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7119" w14:textId="4834EE88" w:rsidR="00221F70" w:rsidRPr="0023395B" w:rsidRDefault="004D1533" w:rsidP="006E5C96">
      <w:pPr>
        <w:pStyle w:val="1MainTitle"/>
        <w:ind w:left="0" w:firstLine="0"/>
        <w:jc w:val="left"/>
      </w:pPr>
      <w:r w:rsidRPr="0023395B">
        <w:t>7</w:t>
      </w:r>
      <w:r w:rsidR="70971A32" w:rsidRPr="0023395B">
        <w:t>.</w:t>
      </w:r>
      <w:r w:rsidRPr="0023395B">
        <w:t>15</w:t>
      </w:r>
      <w:r w:rsidR="00872E8F" w:rsidRPr="0023395B">
        <w:tab/>
      </w:r>
      <w:r w:rsidR="00221F70" w:rsidRPr="0023395B">
        <w:t>MECASERMIN</w:t>
      </w:r>
      <w:r w:rsidR="70971A32" w:rsidRPr="0023395B">
        <w:t xml:space="preserve"> </w:t>
      </w:r>
      <w:r w:rsidR="00872E8F" w:rsidRPr="0023395B">
        <w:br/>
      </w:r>
      <w:bookmarkStart w:id="0" w:name="_Toc80028454"/>
      <w:r w:rsidR="00221F70" w:rsidRPr="0023395B">
        <w:t>Solution for injection 40 mg in 4 mL vial,</w:t>
      </w:r>
      <w:bookmarkEnd w:id="0"/>
      <w:r w:rsidR="00221F70" w:rsidRPr="0023395B">
        <w:t xml:space="preserve"> </w:t>
      </w:r>
      <w:bookmarkStart w:id="1" w:name="_Toc80028455"/>
      <w:r w:rsidR="00221F70" w:rsidRPr="0023395B">
        <w:br/>
      </w:r>
      <w:proofErr w:type="spellStart"/>
      <w:r w:rsidR="00221F70" w:rsidRPr="0023395B">
        <w:t>Increlex</w:t>
      </w:r>
      <w:proofErr w:type="spellEnd"/>
      <w:r w:rsidR="00221F70" w:rsidRPr="0023395B">
        <w:t>®,</w:t>
      </w:r>
      <w:bookmarkEnd w:id="1"/>
      <w:r w:rsidR="00221F70" w:rsidRPr="0023395B">
        <w:t xml:space="preserve"> </w:t>
      </w:r>
      <w:bookmarkStart w:id="2" w:name="_Toc80028456"/>
      <w:r w:rsidR="00221F70" w:rsidRPr="0023395B">
        <w:br/>
        <w:t>Ipsen Pty Ltd.</w:t>
      </w:r>
      <w:bookmarkEnd w:id="2"/>
    </w:p>
    <w:p w14:paraId="5F4D54C1" w14:textId="2A51BC56" w:rsidR="00E11F44" w:rsidRPr="0023395B" w:rsidRDefault="007E490F" w:rsidP="00CD6257">
      <w:pPr>
        <w:pStyle w:val="2-SectionHeading"/>
        <w:rPr>
          <w:rFonts w:cstheme="minorHAnsi"/>
        </w:rPr>
      </w:pPr>
      <w:r w:rsidRPr="0023395B">
        <w:t xml:space="preserve">Purpose of </w:t>
      </w:r>
      <w:r w:rsidR="00FA0B04" w:rsidRPr="0023395B">
        <w:t>Submission</w:t>
      </w:r>
    </w:p>
    <w:p w14:paraId="51FA9DA2" w14:textId="6B1F0FC5" w:rsidR="008D371D" w:rsidRPr="0023395B" w:rsidRDefault="000D0A55" w:rsidP="008D371D">
      <w:pPr>
        <w:pStyle w:val="3Bodytext"/>
        <w:rPr>
          <w:rFonts w:cstheme="minorHAnsi"/>
          <w:i/>
          <w:szCs w:val="24"/>
        </w:rPr>
      </w:pPr>
      <w:r w:rsidRPr="0023395B">
        <w:rPr>
          <w:rFonts w:cstheme="minorHAnsi"/>
          <w:szCs w:val="24"/>
        </w:rPr>
        <w:t xml:space="preserve">The early re-entry resubmission sought to list </w:t>
      </w:r>
      <w:proofErr w:type="spellStart"/>
      <w:r w:rsidR="008D371D" w:rsidRPr="0023395B">
        <w:rPr>
          <w:rFonts w:cstheme="minorHAnsi"/>
          <w:szCs w:val="24"/>
        </w:rPr>
        <w:t>mecasermin</w:t>
      </w:r>
      <w:proofErr w:type="spellEnd"/>
      <w:r w:rsidRPr="0023395B">
        <w:rPr>
          <w:rFonts w:cstheme="minorHAnsi"/>
          <w:szCs w:val="24"/>
        </w:rPr>
        <w:t xml:space="preserve"> with a Section 100 </w:t>
      </w:r>
      <w:r w:rsidR="008D371D" w:rsidRPr="0023395B">
        <w:rPr>
          <w:rFonts w:cstheme="minorHAnsi"/>
          <w:szCs w:val="24"/>
        </w:rPr>
        <w:t>Growth Hormone</w:t>
      </w:r>
      <w:r w:rsidRPr="0023395B">
        <w:rPr>
          <w:rFonts w:cstheme="minorHAnsi"/>
          <w:szCs w:val="24"/>
        </w:rPr>
        <w:t xml:space="preserve"> (</w:t>
      </w:r>
      <w:r w:rsidR="008D371D" w:rsidRPr="0023395B">
        <w:rPr>
          <w:rFonts w:cstheme="minorHAnsi"/>
          <w:szCs w:val="24"/>
        </w:rPr>
        <w:t>GH</w:t>
      </w:r>
      <w:r w:rsidRPr="0023395B">
        <w:rPr>
          <w:rFonts w:cstheme="minorHAnsi"/>
          <w:szCs w:val="24"/>
        </w:rPr>
        <w:t xml:space="preserve">) </w:t>
      </w:r>
      <w:r w:rsidR="008D371D" w:rsidRPr="0023395B">
        <w:rPr>
          <w:rFonts w:cstheme="minorHAnsi"/>
          <w:szCs w:val="24"/>
        </w:rPr>
        <w:t xml:space="preserve">Program </w:t>
      </w:r>
      <w:r w:rsidRPr="0023395B">
        <w:rPr>
          <w:rFonts w:cstheme="minorHAnsi"/>
          <w:szCs w:val="24"/>
        </w:rPr>
        <w:t xml:space="preserve">listing for the </w:t>
      </w:r>
      <w:r w:rsidR="008D371D" w:rsidRPr="0023395B">
        <w:rPr>
          <w:rFonts w:cstheme="minorHAnsi"/>
          <w:szCs w:val="24"/>
        </w:rPr>
        <w:t>long-term treatment of growth failure in children and adolescents from 2 to 18 years with severe primary insulin-like growth factor 1 deficiency (Primary IGFD).</w:t>
      </w:r>
    </w:p>
    <w:p w14:paraId="622D013D" w14:textId="65CA3597" w:rsidR="00C9326B" w:rsidRPr="0023395B" w:rsidRDefault="000D0A55" w:rsidP="001E469B">
      <w:pPr>
        <w:pStyle w:val="3Bodytext"/>
        <w:rPr>
          <w:rFonts w:eastAsiaTheme="minorEastAsia"/>
        </w:rPr>
      </w:pPr>
      <w:r w:rsidRPr="0023395B">
        <w:t xml:space="preserve">The resubmission </w:t>
      </w:r>
      <w:r w:rsidR="00F3059E" w:rsidRPr="0023395B">
        <w:t>sought to address the key matters of concern raised by the PBAC at the November 2021 meeting</w:t>
      </w:r>
      <w:r w:rsidR="001E469B" w:rsidRPr="0023395B">
        <w:t xml:space="preserve"> </w:t>
      </w:r>
      <w:r w:rsidR="003C61D2" w:rsidRPr="0023395B">
        <w:rPr>
          <w:snapToGrid w:val="0"/>
        </w:rPr>
        <w:t>(</w:t>
      </w:r>
      <w:r w:rsidR="00867941" w:rsidRPr="0023395B">
        <w:rPr>
          <w:snapToGrid w:val="0"/>
        </w:rPr>
        <w:fldChar w:fldCharType="begin"/>
      </w:r>
      <w:r w:rsidR="00867941" w:rsidRPr="0023395B">
        <w:rPr>
          <w:snapToGrid w:val="0"/>
        </w:rPr>
        <w:instrText xml:space="preserve"> REF _Ref99445259 \h </w:instrText>
      </w:r>
      <w:r w:rsidR="00867941" w:rsidRPr="0023395B">
        <w:rPr>
          <w:snapToGrid w:val="0"/>
        </w:rPr>
      </w:r>
      <w:r w:rsidR="00867941" w:rsidRPr="0023395B">
        <w:rPr>
          <w:snapToGrid w:val="0"/>
        </w:rPr>
        <w:fldChar w:fldCharType="separate"/>
      </w:r>
      <w:r w:rsidR="006A2CD9" w:rsidRPr="0023395B">
        <w:t xml:space="preserve">Table </w:t>
      </w:r>
      <w:r w:rsidR="006A2CD9">
        <w:rPr>
          <w:noProof/>
        </w:rPr>
        <w:t>1</w:t>
      </w:r>
      <w:r w:rsidR="00867941" w:rsidRPr="0023395B">
        <w:rPr>
          <w:snapToGrid w:val="0"/>
        </w:rPr>
        <w:fldChar w:fldCharType="end"/>
      </w:r>
      <w:r w:rsidR="003C61D2" w:rsidRPr="0023395B">
        <w:rPr>
          <w:snapToGrid w:val="0"/>
        </w:rPr>
        <w:t>)</w:t>
      </w:r>
      <w:r w:rsidR="00C9326B" w:rsidRPr="0023395B">
        <w:rPr>
          <w:snapToGrid w:val="0"/>
        </w:rPr>
        <w:t>.</w:t>
      </w:r>
    </w:p>
    <w:p w14:paraId="6AA87F5A" w14:textId="4DEAA18F" w:rsidR="00867941" w:rsidRPr="0023395B" w:rsidRDefault="00867941" w:rsidP="000D0A55">
      <w:pPr>
        <w:pStyle w:val="TableFigureHeading"/>
      </w:pPr>
      <w:bookmarkStart w:id="3" w:name="_Ref99445259"/>
      <w:r w:rsidRPr="0023395B">
        <w:t xml:space="preserve">Table </w:t>
      </w:r>
      <w:r w:rsidR="002A2C2E">
        <w:fldChar w:fldCharType="begin"/>
      </w:r>
      <w:r w:rsidR="002A2C2E">
        <w:instrText xml:space="preserve"> SEQ Table \* ARABIC </w:instrText>
      </w:r>
      <w:r w:rsidR="002A2C2E">
        <w:fldChar w:fldCharType="separate"/>
      </w:r>
      <w:r w:rsidR="006A2CD9">
        <w:rPr>
          <w:noProof/>
        </w:rPr>
        <w:t>1</w:t>
      </w:r>
      <w:r w:rsidR="002A2C2E">
        <w:rPr>
          <w:noProof/>
        </w:rPr>
        <w:fldChar w:fldCharType="end"/>
      </w:r>
      <w:bookmarkEnd w:id="3"/>
      <w:r w:rsidRPr="0023395B">
        <w:t>: Summary of key matters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333"/>
        <w:gridCol w:w="3278"/>
      </w:tblGrid>
      <w:tr w:rsidR="00D62D12" w:rsidRPr="0023395B" w14:paraId="41016608" w14:textId="1A72B61D" w:rsidTr="00BD5070">
        <w:trPr>
          <w:cantSplit/>
          <w:tblHeader/>
        </w:trPr>
        <w:tc>
          <w:tcPr>
            <w:tcW w:w="2405" w:type="dxa"/>
          </w:tcPr>
          <w:p w14:paraId="52EBB7B7" w14:textId="1DE1F708" w:rsidR="000D0A55" w:rsidRPr="0023395B" w:rsidRDefault="000D0A55" w:rsidP="00F87BDC">
            <w:pPr>
              <w:pStyle w:val="In-tableHeading"/>
              <w:keepNext w:val="0"/>
              <w:rPr>
                <w:lang w:val="en-AU"/>
              </w:rPr>
            </w:pPr>
            <w:r w:rsidRPr="0023395B">
              <w:rPr>
                <w:lang w:val="en-AU"/>
              </w:rPr>
              <w:t>Matter of concern</w:t>
            </w:r>
          </w:p>
        </w:tc>
        <w:tc>
          <w:tcPr>
            <w:tcW w:w="3333" w:type="dxa"/>
          </w:tcPr>
          <w:p w14:paraId="37F3CF2F" w14:textId="12FDB3AC" w:rsidR="000D0A55" w:rsidRPr="0023395B" w:rsidRDefault="000D0A55" w:rsidP="00F87BDC">
            <w:pPr>
              <w:pStyle w:val="In-tableHeading"/>
              <w:keepNext w:val="0"/>
              <w:rPr>
                <w:lang w:val="en-AU"/>
              </w:rPr>
            </w:pPr>
            <w:r w:rsidRPr="0023395B">
              <w:rPr>
                <w:lang w:val="en-AU"/>
              </w:rPr>
              <w:t>Resubmission</w:t>
            </w:r>
          </w:p>
        </w:tc>
        <w:tc>
          <w:tcPr>
            <w:tcW w:w="0" w:type="auto"/>
          </w:tcPr>
          <w:p w14:paraId="1F60008A" w14:textId="7282AEA4" w:rsidR="000D0A55" w:rsidRPr="0023395B" w:rsidRDefault="000D0A55" w:rsidP="00F87BDC">
            <w:pPr>
              <w:pStyle w:val="In-tableHeading"/>
              <w:keepNext w:val="0"/>
              <w:rPr>
                <w:lang w:val="en-AU"/>
              </w:rPr>
            </w:pPr>
            <w:r w:rsidRPr="0023395B">
              <w:rPr>
                <w:lang w:val="en-AU"/>
              </w:rPr>
              <w:t>Addressed?</w:t>
            </w:r>
          </w:p>
        </w:tc>
      </w:tr>
      <w:tr w:rsidR="00D62D12" w:rsidRPr="0023395B" w14:paraId="4B6C0999" w14:textId="5C6806B4" w:rsidTr="00BD5070">
        <w:trPr>
          <w:cantSplit/>
        </w:trPr>
        <w:tc>
          <w:tcPr>
            <w:tcW w:w="2405" w:type="dxa"/>
          </w:tcPr>
          <w:p w14:paraId="0B8B71DD" w14:textId="23EA3E5D" w:rsidR="00B74181" w:rsidRPr="0023395B" w:rsidRDefault="00B74181" w:rsidP="00F87BDC">
            <w:pPr>
              <w:pStyle w:val="TableText0"/>
              <w:keepNext w:val="0"/>
            </w:pPr>
            <w:r w:rsidRPr="0023395B">
              <w:rPr>
                <w:b/>
                <w:bCs w:val="0"/>
              </w:rPr>
              <w:t>Patient population:</w:t>
            </w:r>
            <w:r w:rsidRPr="0023395B">
              <w:rPr>
                <w:bCs w:val="0"/>
              </w:rPr>
              <w:t xml:space="preserve"> </w:t>
            </w:r>
            <w:r w:rsidR="002C435D" w:rsidRPr="0023395B">
              <w:rPr>
                <w:bCs w:val="0"/>
              </w:rPr>
              <w:br/>
            </w:r>
            <w:r w:rsidR="002E3618" w:rsidRPr="0023395B">
              <w:rPr>
                <w:bCs w:val="0"/>
              </w:rPr>
              <w:t xml:space="preserve">The PBAC considered </w:t>
            </w:r>
            <w:r w:rsidR="001336E4" w:rsidRPr="0023395B">
              <w:rPr>
                <w:bCs w:val="0"/>
              </w:rPr>
              <w:t xml:space="preserve">that </w:t>
            </w:r>
            <w:r w:rsidR="002E3618" w:rsidRPr="0023395B">
              <w:rPr>
                <w:bCs w:val="0"/>
              </w:rPr>
              <w:t>the proposed PBS criteria inadequately defined the appropriate patient population</w:t>
            </w:r>
            <w:r w:rsidR="000A622C" w:rsidRPr="0023395B">
              <w:rPr>
                <w:bCs w:val="0"/>
              </w:rPr>
              <w:t xml:space="preserve"> (see paragraphs 7.1, 7.3-7.4)</w:t>
            </w:r>
            <w:r w:rsidR="002E3618" w:rsidRPr="0023395B">
              <w:rPr>
                <w:bCs w:val="0"/>
              </w:rPr>
              <w:t>.</w:t>
            </w:r>
          </w:p>
        </w:tc>
        <w:tc>
          <w:tcPr>
            <w:tcW w:w="3333" w:type="dxa"/>
          </w:tcPr>
          <w:p w14:paraId="7F9BF324" w14:textId="084F3A5F" w:rsidR="00B74181" w:rsidRPr="0023395B" w:rsidRDefault="00B74181" w:rsidP="001E469B">
            <w:pPr>
              <w:jc w:val="left"/>
              <w:rPr>
                <w:rFonts w:ascii="Arial Narrow" w:eastAsiaTheme="majorEastAsia" w:hAnsi="Arial Narrow" w:cstheme="majorBidi"/>
                <w:bCs/>
                <w:i/>
                <w:sz w:val="20"/>
              </w:rPr>
            </w:pPr>
            <w:r w:rsidRPr="0023395B">
              <w:rPr>
                <w:rFonts w:ascii="Arial Narrow" w:eastAsiaTheme="majorEastAsia" w:hAnsi="Arial Narrow" w:cstheme="majorBidi"/>
                <w:bCs/>
                <w:sz w:val="20"/>
              </w:rPr>
              <w:t>The resubmission</w:t>
            </w:r>
            <w:r w:rsidR="00D62D12" w:rsidRPr="0023395B">
              <w:rPr>
                <w:rFonts w:ascii="Arial Narrow" w:eastAsiaTheme="majorEastAsia" w:hAnsi="Arial Narrow" w:cstheme="majorBidi"/>
                <w:bCs/>
                <w:sz w:val="20"/>
              </w:rPr>
              <w:t xml:space="preserve"> r</w:t>
            </w:r>
            <w:r w:rsidR="000A622C" w:rsidRPr="0023395B">
              <w:rPr>
                <w:rFonts w:ascii="Arial Narrow" w:eastAsiaTheme="majorEastAsia" w:hAnsi="Arial Narrow" w:cstheme="majorBidi"/>
                <w:bCs/>
                <w:sz w:val="20"/>
              </w:rPr>
              <w:t>etained</w:t>
            </w:r>
            <w:r w:rsidR="00276D33" w:rsidRPr="0023395B">
              <w:rPr>
                <w:rFonts w:ascii="Arial Narrow" w:eastAsiaTheme="majorEastAsia" w:hAnsi="Arial Narrow" w:cstheme="majorBidi"/>
                <w:bCs/>
                <w:sz w:val="20"/>
              </w:rPr>
              <w:t xml:space="preserve"> the criteria considered at the November 2021 PBAC meeting</w:t>
            </w:r>
            <w:r w:rsidR="00A90EF7" w:rsidRPr="0023395B">
              <w:rPr>
                <w:rFonts w:ascii="Arial Narrow" w:eastAsiaTheme="majorEastAsia" w:hAnsi="Arial Narrow" w:cstheme="majorBidi"/>
                <w:bCs/>
                <w:i/>
                <w:sz w:val="20"/>
              </w:rPr>
              <w:t>.</w:t>
            </w:r>
          </w:p>
        </w:tc>
        <w:tc>
          <w:tcPr>
            <w:tcW w:w="0" w:type="auto"/>
          </w:tcPr>
          <w:p w14:paraId="1CCBA455" w14:textId="27CED7A8" w:rsidR="00AF6AAD" w:rsidRPr="0023395B" w:rsidRDefault="00D62D12" w:rsidP="001F6FF9">
            <w:pPr>
              <w:pStyle w:val="In-tableHeading"/>
              <w:keepNext w:val="0"/>
              <w:rPr>
                <w:b w:val="0"/>
                <w:iCs/>
                <w:lang w:val="en-AU"/>
              </w:rPr>
            </w:pPr>
            <w:r w:rsidRPr="0023395B">
              <w:rPr>
                <w:b w:val="0"/>
                <w:iCs/>
                <w:lang w:val="en-AU"/>
              </w:rPr>
              <w:t>Addressed through the input sought by the PBAC from the Australasian Paediatric Endocrine Group (APEG),</w:t>
            </w:r>
          </w:p>
        </w:tc>
      </w:tr>
      <w:tr w:rsidR="00D62D12" w:rsidRPr="0023395B" w14:paraId="27F1FBC1" w14:textId="7094F6B2" w:rsidTr="00BD5070">
        <w:trPr>
          <w:cantSplit/>
        </w:trPr>
        <w:tc>
          <w:tcPr>
            <w:tcW w:w="2405" w:type="dxa"/>
          </w:tcPr>
          <w:p w14:paraId="377FE82C" w14:textId="5C8E48C6" w:rsidR="000A622C" w:rsidRPr="0023395B" w:rsidRDefault="000A622C" w:rsidP="00F87BDC">
            <w:pPr>
              <w:pStyle w:val="TableText0"/>
              <w:keepNext w:val="0"/>
            </w:pPr>
            <w:r w:rsidRPr="0023395B">
              <w:rPr>
                <w:b/>
              </w:rPr>
              <w:t xml:space="preserve">Cost-effectiveness: </w:t>
            </w:r>
            <w:r w:rsidR="001336E4" w:rsidRPr="0023395B">
              <w:rPr>
                <w:b/>
              </w:rPr>
              <w:br/>
            </w:r>
            <w:r w:rsidRPr="0023395B">
              <w:t xml:space="preserve">The PBAC considered that the ICER was unacceptably high and uncertain, and that a price reduction would be required for </w:t>
            </w:r>
            <w:proofErr w:type="spellStart"/>
            <w:r w:rsidRPr="0023395B">
              <w:t>mecasermin</w:t>
            </w:r>
            <w:proofErr w:type="spellEnd"/>
            <w:r w:rsidRPr="0023395B">
              <w:t xml:space="preserve"> to be considered cost-effective (see paragraphs 7.1, 7.8-7.9).</w:t>
            </w:r>
          </w:p>
        </w:tc>
        <w:tc>
          <w:tcPr>
            <w:tcW w:w="3333" w:type="dxa"/>
          </w:tcPr>
          <w:p w14:paraId="40FAAB4A" w14:textId="19E5098F" w:rsidR="000A622C" w:rsidRPr="0023395B" w:rsidRDefault="000A622C" w:rsidP="009E2FEE">
            <w:pPr>
              <w:jc w:val="left"/>
              <w:rPr>
                <w:rFonts w:ascii="Arial Narrow" w:eastAsiaTheme="majorEastAsia" w:hAnsi="Arial Narrow" w:cstheme="majorBidi"/>
                <w:bCs/>
                <w:sz w:val="20"/>
                <w:szCs w:val="20"/>
              </w:rPr>
            </w:pPr>
            <w:r w:rsidRPr="0023395B">
              <w:rPr>
                <w:rFonts w:ascii="Arial Narrow" w:eastAsiaTheme="majorEastAsia" w:hAnsi="Arial Narrow" w:cstheme="majorBidi"/>
                <w:bCs/>
                <w:sz w:val="20"/>
              </w:rPr>
              <w:t>The resubmission</w:t>
            </w:r>
            <w:r w:rsidR="00D62D12" w:rsidRPr="0023395B">
              <w:rPr>
                <w:rFonts w:ascii="Arial Narrow" w:eastAsiaTheme="majorEastAsia" w:hAnsi="Arial Narrow" w:cstheme="majorBidi"/>
                <w:bCs/>
                <w:sz w:val="20"/>
              </w:rPr>
              <w:t xml:space="preserve"> r</w:t>
            </w:r>
            <w:r w:rsidR="005D2F42" w:rsidRPr="0023395B">
              <w:rPr>
                <w:rFonts w:ascii="Arial Narrow" w:eastAsiaTheme="majorEastAsia" w:hAnsi="Arial Narrow" w:cstheme="majorBidi"/>
                <w:bCs/>
                <w:sz w:val="20"/>
              </w:rPr>
              <w:t xml:space="preserve">equested the same price as the </w:t>
            </w:r>
            <w:r w:rsidR="00484F55" w:rsidRPr="0023395B">
              <w:rPr>
                <w:rFonts w:ascii="Arial Narrow" w:eastAsiaTheme="majorEastAsia" w:hAnsi="Arial Narrow" w:cstheme="majorBidi"/>
                <w:bCs/>
                <w:sz w:val="20"/>
              </w:rPr>
              <w:t>November 2021</w:t>
            </w:r>
            <w:r w:rsidR="005D2F42" w:rsidRPr="0023395B">
              <w:rPr>
                <w:rFonts w:ascii="Arial Narrow" w:eastAsiaTheme="majorEastAsia" w:hAnsi="Arial Narrow" w:cstheme="majorBidi"/>
                <w:bCs/>
                <w:sz w:val="20"/>
              </w:rPr>
              <w:t xml:space="preserve"> submission.</w:t>
            </w:r>
          </w:p>
        </w:tc>
        <w:tc>
          <w:tcPr>
            <w:tcW w:w="0" w:type="auto"/>
          </w:tcPr>
          <w:p w14:paraId="6B89FE69" w14:textId="60082443" w:rsidR="000A622C" w:rsidRPr="0023395B" w:rsidRDefault="000A622C" w:rsidP="001F6FF9">
            <w:pPr>
              <w:pStyle w:val="In-tableHeading"/>
              <w:keepNext w:val="0"/>
              <w:rPr>
                <w:b w:val="0"/>
                <w:iCs/>
                <w:lang w:val="en-AU"/>
              </w:rPr>
            </w:pPr>
            <w:r w:rsidRPr="0023395B">
              <w:rPr>
                <w:b w:val="0"/>
                <w:iCs/>
                <w:lang w:val="en-AU"/>
              </w:rPr>
              <w:t>No</w:t>
            </w:r>
            <w:r w:rsidR="00C16219" w:rsidRPr="0023395B">
              <w:rPr>
                <w:b w:val="0"/>
                <w:iCs/>
                <w:lang w:val="en-AU"/>
              </w:rPr>
              <w:t>. The resubmission stated that a price reduction was not feasible.</w:t>
            </w:r>
            <w:r w:rsidR="00F1082C" w:rsidRPr="0023395B">
              <w:rPr>
                <w:b w:val="0"/>
                <w:iCs/>
                <w:lang w:val="en-AU"/>
              </w:rPr>
              <w:t xml:space="preserve"> </w:t>
            </w:r>
          </w:p>
        </w:tc>
      </w:tr>
      <w:tr w:rsidR="00D62D12" w:rsidRPr="0023395B" w14:paraId="5750EB42" w14:textId="7F65FC88" w:rsidTr="00BD5070">
        <w:trPr>
          <w:cantSplit/>
        </w:trPr>
        <w:tc>
          <w:tcPr>
            <w:tcW w:w="2405" w:type="dxa"/>
          </w:tcPr>
          <w:p w14:paraId="694C65D3" w14:textId="4401645F" w:rsidR="000A622C" w:rsidRPr="0023395B" w:rsidRDefault="005D2F42" w:rsidP="00F87BDC">
            <w:pPr>
              <w:pStyle w:val="TableText0"/>
              <w:keepNext w:val="0"/>
            </w:pPr>
            <w:r w:rsidRPr="0023395B">
              <w:rPr>
                <w:b/>
              </w:rPr>
              <w:t xml:space="preserve">Financial estimates: </w:t>
            </w:r>
            <w:r w:rsidR="001336E4" w:rsidRPr="0023395B">
              <w:rPr>
                <w:b/>
              </w:rPr>
              <w:br/>
            </w:r>
            <w:r w:rsidRPr="0023395B">
              <w:t>The PBAC considered that further validation of the estimated utilisation was required</w:t>
            </w:r>
            <w:r w:rsidR="002C435D" w:rsidRPr="0023395B">
              <w:t xml:space="preserve"> due to uncertainty of the estimates.  The PBAC </w:t>
            </w:r>
            <w:r w:rsidR="00234A4F" w:rsidRPr="0023395B">
              <w:t>also noted that revised</w:t>
            </w:r>
            <w:r w:rsidR="002C435D" w:rsidRPr="0023395B">
              <w:t xml:space="preserve"> financial estimates should take account of any revisions to the restriction criteria (as informed by expert clinical advice) and </w:t>
            </w:r>
            <w:r w:rsidR="00234A4F" w:rsidRPr="0023395B">
              <w:t xml:space="preserve">should </w:t>
            </w:r>
            <w:r w:rsidR="002C435D" w:rsidRPr="0023395B">
              <w:t xml:space="preserve">apply a lower price for </w:t>
            </w:r>
            <w:proofErr w:type="spellStart"/>
            <w:r w:rsidR="002C435D" w:rsidRPr="0023395B">
              <w:t>mecasermin</w:t>
            </w:r>
            <w:proofErr w:type="spellEnd"/>
            <w:r w:rsidR="002C435D" w:rsidRPr="0023395B">
              <w:t xml:space="preserve"> (see paragraphs 7.1, 7.10-7.11).</w:t>
            </w:r>
          </w:p>
        </w:tc>
        <w:tc>
          <w:tcPr>
            <w:tcW w:w="3333" w:type="dxa"/>
          </w:tcPr>
          <w:p w14:paraId="6AE9BD9A" w14:textId="4B4B5E50" w:rsidR="00F950FA" w:rsidRPr="0023395B" w:rsidRDefault="000A622C" w:rsidP="001E469B">
            <w:pPr>
              <w:jc w:val="left"/>
              <w:rPr>
                <w:rFonts w:ascii="Arial Narrow" w:eastAsiaTheme="majorEastAsia" w:hAnsi="Arial Narrow" w:cstheme="majorBidi"/>
                <w:bCs/>
                <w:iCs/>
                <w:sz w:val="20"/>
              </w:rPr>
            </w:pPr>
            <w:r w:rsidRPr="0023395B">
              <w:rPr>
                <w:rFonts w:ascii="Arial Narrow" w:eastAsiaTheme="majorEastAsia" w:hAnsi="Arial Narrow" w:cstheme="majorBidi"/>
                <w:bCs/>
                <w:iCs/>
                <w:sz w:val="20"/>
              </w:rPr>
              <w:t>The resubmission</w:t>
            </w:r>
            <w:r w:rsidR="00D62D12" w:rsidRPr="0023395B">
              <w:rPr>
                <w:rFonts w:ascii="Arial Narrow" w:eastAsiaTheme="majorEastAsia" w:hAnsi="Arial Narrow" w:cstheme="majorBidi"/>
                <w:bCs/>
                <w:iCs/>
                <w:sz w:val="20"/>
              </w:rPr>
              <w:t xml:space="preserve"> </w:t>
            </w:r>
            <w:r w:rsidR="00C16219" w:rsidRPr="0023395B">
              <w:rPr>
                <w:rFonts w:ascii="Arial Narrow" w:eastAsiaTheme="majorEastAsia" w:hAnsi="Arial Narrow" w:cstheme="majorBidi"/>
                <w:bCs/>
                <w:iCs/>
                <w:sz w:val="20"/>
              </w:rPr>
              <w:t>e</w:t>
            </w:r>
            <w:r w:rsidR="00E62395" w:rsidRPr="0023395B">
              <w:rPr>
                <w:rFonts w:ascii="Arial Narrow" w:eastAsiaTheme="majorEastAsia" w:hAnsi="Arial Narrow" w:cstheme="majorBidi"/>
                <w:bCs/>
                <w:iCs/>
                <w:sz w:val="20"/>
              </w:rPr>
              <w:t xml:space="preserve">stimated that 77 to 83 patients would be treated with </w:t>
            </w:r>
            <w:proofErr w:type="spellStart"/>
            <w:r w:rsidR="00E62395" w:rsidRPr="0023395B">
              <w:rPr>
                <w:rFonts w:ascii="Arial Narrow" w:eastAsiaTheme="majorEastAsia" w:hAnsi="Arial Narrow" w:cstheme="majorBidi"/>
                <w:bCs/>
                <w:iCs/>
                <w:sz w:val="20"/>
              </w:rPr>
              <w:t>mecasermin</w:t>
            </w:r>
            <w:proofErr w:type="spellEnd"/>
            <w:r w:rsidR="00E62395" w:rsidRPr="0023395B">
              <w:rPr>
                <w:rFonts w:ascii="Arial Narrow" w:eastAsiaTheme="majorEastAsia" w:hAnsi="Arial Narrow" w:cstheme="majorBidi"/>
                <w:bCs/>
                <w:iCs/>
                <w:sz w:val="20"/>
              </w:rPr>
              <w:t xml:space="preserve"> per year (as compared with 4 to 15 patients per year in the </w:t>
            </w:r>
            <w:r w:rsidR="00484F55" w:rsidRPr="0023395B">
              <w:rPr>
                <w:rFonts w:ascii="Arial Narrow" w:eastAsiaTheme="majorEastAsia" w:hAnsi="Arial Narrow" w:cstheme="majorBidi"/>
                <w:bCs/>
                <w:iCs/>
                <w:sz w:val="20"/>
              </w:rPr>
              <w:t>November 2021</w:t>
            </w:r>
            <w:r w:rsidR="00E62395" w:rsidRPr="0023395B">
              <w:rPr>
                <w:rFonts w:ascii="Arial Narrow" w:eastAsiaTheme="majorEastAsia" w:hAnsi="Arial Narrow" w:cstheme="majorBidi"/>
                <w:bCs/>
                <w:iCs/>
                <w:sz w:val="20"/>
              </w:rPr>
              <w:t xml:space="preserve"> submission).</w:t>
            </w:r>
            <w:r w:rsidR="006E0670" w:rsidRPr="0023395B">
              <w:rPr>
                <w:rFonts w:ascii="Arial Narrow" w:eastAsiaTheme="majorEastAsia" w:hAnsi="Arial Narrow" w:cstheme="majorBidi"/>
                <w:bCs/>
                <w:iCs/>
                <w:sz w:val="20"/>
              </w:rPr>
              <w:t xml:space="preserve"> </w:t>
            </w:r>
            <w:r w:rsidR="00376CA8" w:rsidRPr="0023395B">
              <w:rPr>
                <w:rFonts w:ascii="Arial Narrow" w:eastAsiaTheme="majorEastAsia" w:hAnsi="Arial Narrow" w:cstheme="majorBidi"/>
                <w:bCs/>
                <w:iCs/>
                <w:sz w:val="20"/>
              </w:rPr>
              <w:t>The estimated number of scripts per year was increased to 12</w:t>
            </w:r>
            <w:r w:rsidR="00854C8A" w:rsidRPr="0023395B">
              <w:rPr>
                <w:rFonts w:ascii="Arial Narrow" w:eastAsiaTheme="majorEastAsia" w:hAnsi="Arial Narrow" w:cstheme="majorBidi"/>
                <w:bCs/>
                <w:iCs/>
                <w:sz w:val="20"/>
              </w:rPr>
              <w:t xml:space="preserve"> (compared with 10 in the November 2021 submission). </w:t>
            </w:r>
          </w:p>
        </w:tc>
        <w:tc>
          <w:tcPr>
            <w:tcW w:w="0" w:type="auto"/>
          </w:tcPr>
          <w:p w14:paraId="241BBDE6" w14:textId="0E2CA214" w:rsidR="000A622C" w:rsidRPr="0023395B" w:rsidRDefault="00C16219" w:rsidP="001F6FF9">
            <w:pPr>
              <w:pStyle w:val="TableText0"/>
              <w:keepNext w:val="0"/>
              <w:rPr>
                <w:iCs/>
              </w:rPr>
            </w:pPr>
            <w:r w:rsidRPr="0023395B">
              <w:rPr>
                <w:bCs w:val="0"/>
                <w:iCs/>
              </w:rPr>
              <w:t xml:space="preserve">No new evidence or clinical rationale was provided for the revised estimates. The resubmission stated that certainty of overall PBS expenditure would be provided by the proposed risk sharing arrangement (RSA), as it would apply </w:t>
            </w:r>
            <w:r w:rsidR="001C6AE3" w:rsidRPr="001C6AE3">
              <w:rPr>
                <w:bCs w:val="0"/>
                <w:iCs/>
                <w:color w:val="000000"/>
                <w:spacing w:val="53"/>
                <w:shd w:val="solid" w:color="000000" w:fill="000000"/>
                <w:fitText w:val="333" w:id="-1505504256"/>
                <w14:textFill>
                  <w14:solidFill>
                    <w14:srgbClr w14:val="000000">
                      <w14:alpha w14:val="100000"/>
                    </w14:srgbClr>
                  </w14:solidFill>
                </w14:textFill>
              </w:rPr>
              <w:t>|||</w:t>
            </w:r>
            <w:r w:rsidR="001C6AE3" w:rsidRPr="001C6AE3">
              <w:rPr>
                <w:bCs w:val="0"/>
                <w:iCs/>
                <w:color w:val="000000"/>
                <w:spacing w:val="2"/>
                <w:shd w:val="solid" w:color="000000" w:fill="000000"/>
                <w:fitText w:val="333" w:id="-1505504256"/>
                <w14:textFill>
                  <w14:solidFill>
                    <w14:srgbClr w14:val="000000">
                      <w14:alpha w14:val="100000"/>
                    </w14:srgbClr>
                  </w14:solidFill>
                </w14:textFill>
              </w:rPr>
              <w:t>|</w:t>
            </w:r>
            <w:r w:rsidRPr="0023395B">
              <w:rPr>
                <w:bCs w:val="0"/>
                <w:iCs/>
              </w:rPr>
              <w:t>% rebate above the cap threshold.</w:t>
            </w:r>
          </w:p>
        </w:tc>
      </w:tr>
    </w:tbl>
    <w:p w14:paraId="62F8834A" w14:textId="62F136D1" w:rsidR="00AA475E" w:rsidRPr="0023395B" w:rsidRDefault="000D0A55" w:rsidP="00AF6AAD">
      <w:pPr>
        <w:pStyle w:val="TableFigureFooter"/>
        <w:rPr>
          <w:iCs/>
          <w:lang w:eastAsia="en-US"/>
        </w:rPr>
      </w:pPr>
      <w:r w:rsidRPr="0023395B">
        <w:t xml:space="preserve">Source: </w:t>
      </w:r>
      <w:proofErr w:type="spellStart"/>
      <w:r w:rsidR="00114358" w:rsidRPr="0023395B">
        <w:t>Mecasermin</w:t>
      </w:r>
      <w:proofErr w:type="spellEnd"/>
      <w:r w:rsidR="00114358" w:rsidRPr="0023395B">
        <w:t xml:space="preserve"> </w:t>
      </w:r>
      <w:r w:rsidR="005E53F1" w:rsidRPr="0023395B">
        <w:t xml:space="preserve">Public Summary Document </w:t>
      </w:r>
      <w:r w:rsidR="001E469B" w:rsidRPr="0023395B">
        <w:t>(PSD)</w:t>
      </w:r>
      <w:r w:rsidR="00114358" w:rsidRPr="0023395B">
        <w:t>, November 2021 PBAC meeting</w:t>
      </w:r>
      <w:r w:rsidR="00AF6AAD" w:rsidRPr="0023395B">
        <w:t xml:space="preserve"> and </w:t>
      </w:r>
      <w:r w:rsidR="00AA475E" w:rsidRPr="0023395B">
        <w:rPr>
          <w:iCs/>
          <w:lang w:eastAsia="en-US"/>
        </w:rPr>
        <w:t xml:space="preserve">compiled by </w:t>
      </w:r>
      <w:r w:rsidR="002B0E68" w:rsidRPr="0023395B">
        <w:rPr>
          <w:iCs/>
          <w:lang w:eastAsia="en-US"/>
        </w:rPr>
        <w:t>Secretariat</w:t>
      </w:r>
      <w:r w:rsidR="00AF6AAD" w:rsidRPr="0023395B">
        <w:rPr>
          <w:iCs/>
          <w:lang w:eastAsia="en-US"/>
        </w:rPr>
        <w:t>.</w:t>
      </w:r>
    </w:p>
    <w:p w14:paraId="3D2173BC" w14:textId="77777777" w:rsidR="00AA475E" w:rsidRPr="0023395B" w:rsidRDefault="00AA475E" w:rsidP="000D0A55">
      <w:pPr>
        <w:pStyle w:val="TableFigureFooter"/>
      </w:pPr>
    </w:p>
    <w:p w14:paraId="3D1D4320" w14:textId="77777777" w:rsidR="007E490F" w:rsidRPr="0023395B" w:rsidRDefault="007E490F" w:rsidP="00241835">
      <w:pPr>
        <w:pStyle w:val="2-SectionHeading"/>
        <w:numPr>
          <w:ilvl w:val="0"/>
          <w:numId w:val="1"/>
        </w:numPr>
      </w:pPr>
      <w:r w:rsidRPr="0023395B">
        <w:lastRenderedPageBreak/>
        <w:t xml:space="preserve">Background </w:t>
      </w:r>
    </w:p>
    <w:p w14:paraId="3949A3C2" w14:textId="32BDC155" w:rsidR="00F81039" w:rsidRPr="0023395B" w:rsidRDefault="00F81039" w:rsidP="00241835">
      <w:pPr>
        <w:pStyle w:val="3-BodyText"/>
        <w:numPr>
          <w:ilvl w:val="1"/>
          <w:numId w:val="1"/>
        </w:numPr>
      </w:pPr>
      <w:proofErr w:type="spellStart"/>
      <w:r w:rsidRPr="0023395B">
        <w:t>Mecasermin</w:t>
      </w:r>
      <w:proofErr w:type="spellEnd"/>
      <w:r w:rsidRPr="0023395B">
        <w:t xml:space="preserve"> was TGA registered in November 2019 for the long-term treatment of growth failure in children and adolescents from 2 to 18 years with severe primary insulin-like growth factor 1 deficiency (Primary IGFD).</w:t>
      </w:r>
    </w:p>
    <w:p w14:paraId="04360EAD" w14:textId="5F42C498" w:rsidR="002E6E2A" w:rsidRPr="0023395B" w:rsidRDefault="00F81039" w:rsidP="002E6E2A">
      <w:pPr>
        <w:pStyle w:val="3Bodytext"/>
      </w:pPr>
      <w:r w:rsidRPr="0023395B">
        <w:t xml:space="preserve">This is the second PBAC consideration </w:t>
      </w:r>
      <w:r w:rsidR="003915A7" w:rsidRPr="0023395B">
        <w:t>of</w:t>
      </w:r>
      <w:r w:rsidRPr="0023395B">
        <w:t xml:space="preserve"> </w:t>
      </w:r>
      <w:proofErr w:type="spellStart"/>
      <w:r w:rsidRPr="0023395B">
        <w:t>mecasermin</w:t>
      </w:r>
      <w:proofErr w:type="spellEnd"/>
      <w:r w:rsidRPr="0023395B">
        <w:t xml:space="preserve"> </w:t>
      </w:r>
      <w:r w:rsidRPr="0023395B">
        <w:rPr>
          <w:rFonts w:cstheme="minorHAnsi"/>
          <w:szCs w:val="24"/>
        </w:rPr>
        <w:t xml:space="preserve">for </w:t>
      </w:r>
      <w:r w:rsidR="003915A7" w:rsidRPr="0023395B">
        <w:rPr>
          <w:rFonts w:cstheme="minorHAnsi"/>
          <w:szCs w:val="24"/>
        </w:rPr>
        <w:t>growth failure caused by severe primary IGFD (SPIGFD).</w:t>
      </w:r>
      <w:r w:rsidR="00DA4918" w:rsidRPr="0023395B">
        <w:rPr>
          <w:rFonts w:cstheme="minorHAnsi"/>
          <w:szCs w:val="24"/>
        </w:rPr>
        <w:t xml:space="preserve"> </w:t>
      </w:r>
      <w:proofErr w:type="spellStart"/>
      <w:r w:rsidR="00DA4918" w:rsidRPr="0023395B">
        <w:rPr>
          <w:rFonts w:cstheme="minorHAnsi"/>
          <w:szCs w:val="24"/>
        </w:rPr>
        <w:t>Mecasermin</w:t>
      </w:r>
      <w:proofErr w:type="spellEnd"/>
      <w:r w:rsidR="00DA4918" w:rsidRPr="0023395B">
        <w:rPr>
          <w:rFonts w:cstheme="minorHAnsi"/>
          <w:szCs w:val="24"/>
        </w:rPr>
        <w:t xml:space="preserve"> was previously considered for this indication by the PBAC at its November 2021 meeting.</w:t>
      </w:r>
    </w:p>
    <w:p w14:paraId="4046ED7E" w14:textId="30ED0B89" w:rsidR="00241835" w:rsidRPr="0023395B" w:rsidRDefault="00114358" w:rsidP="00625EBE">
      <w:pPr>
        <w:pStyle w:val="3Bodytext"/>
      </w:pPr>
      <w:r w:rsidRPr="0023395B">
        <w:rPr>
          <w:shd w:val="clear" w:color="auto" w:fill="FFFFFF"/>
        </w:rPr>
        <w:t xml:space="preserve">The growth hormone (GH)–insulin-like growth factor (IGF)-1 axis is the principal endocrine mechanism regulating linear growth in children. </w:t>
      </w:r>
      <w:proofErr w:type="spellStart"/>
      <w:r w:rsidRPr="0023395B">
        <w:t>Mecasermin</w:t>
      </w:r>
      <w:proofErr w:type="spellEnd"/>
      <w:r w:rsidRPr="0023395B">
        <w:t xml:space="preserve"> is a recombinant DNA-derived human IGF-1, which acts as replacement therapy for IGF-1 in patients with SPIGFD and therefore stimulates body growth. As such, there is a potential risk of misuse of </w:t>
      </w:r>
      <w:proofErr w:type="spellStart"/>
      <w:r w:rsidRPr="0023395B">
        <w:t>mecasermin</w:t>
      </w:r>
      <w:proofErr w:type="spellEnd"/>
      <w:r w:rsidRPr="0023395B">
        <w:t xml:space="preserve"> outside its approved indications, </w:t>
      </w:r>
      <w:proofErr w:type="gramStart"/>
      <w:r w:rsidRPr="0023395B">
        <w:t>similar to</w:t>
      </w:r>
      <w:proofErr w:type="gramEnd"/>
      <w:r w:rsidRPr="0023395B">
        <w:t xml:space="preserve"> that of somatropin. The PBS provides subsidised access to growth hormone (somatropin) through the Section 100 Growth Hormone Program, as </w:t>
      </w:r>
      <w:r w:rsidRPr="0023395B">
        <w:rPr>
          <w:rFonts w:cstheme="minorHAnsi"/>
          <w:bCs/>
        </w:rPr>
        <w:t xml:space="preserve">specified in the </w:t>
      </w:r>
      <w:r w:rsidRPr="0023395B">
        <w:rPr>
          <w:rFonts w:cstheme="minorHAnsi"/>
          <w:bCs/>
          <w:i/>
        </w:rPr>
        <w:t>National Health (Growth Hormone Program) Special Arrangement 2015</w:t>
      </w:r>
      <w:r w:rsidRPr="0023395B">
        <w:rPr>
          <w:rFonts w:cstheme="minorHAnsi"/>
          <w:bCs/>
        </w:rPr>
        <w:t xml:space="preserve">. </w:t>
      </w:r>
      <w:r w:rsidR="00241835" w:rsidRPr="0023395B">
        <w:t>The purpose of the Growth Hormone Special Arrangement is to ensure that an adequate supply of pharmaceutical benefits is available for patients who require treatment with growth hormone. Restrictions on the provision of this treatment mean that these pharmaceutical benefits can more conveniently or efficiently be supplied under a special arrangement.</w:t>
      </w:r>
    </w:p>
    <w:p w14:paraId="42F16FBC" w14:textId="19F32560" w:rsidR="00114358" w:rsidRPr="0023395B" w:rsidRDefault="00114358" w:rsidP="00625EBE">
      <w:pPr>
        <w:pStyle w:val="3Bodytext"/>
      </w:pPr>
      <w:r w:rsidRPr="0023395B">
        <w:rPr>
          <w:rFonts w:cstheme="minorHAnsi"/>
          <w:bCs/>
        </w:rPr>
        <w:t>T</w:t>
      </w:r>
      <w:r w:rsidRPr="0023395B">
        <w:t>he PBS utilisation of somatropin was considered by the PBAC in July 2021, informed by analysis performed by the Drug Utilisation Subcommittee (DUSC)</w:t>
      </w:r>
      <w:r w:rsidRPr="0023395B">
        <w:rPr>
          <w:rStyle w:val="FootnoteReference"/>
        </w:rPr>
        <w:footnoteReference w:id="2"/>
      </w:r>
      <w:r w:rsidRPr="0023395B">
        <w:t>.</w:t>
      </w:r>
    </w:p>
    <w:p w14:paraId="2E22CB37" w14:textId="6353770B" w:rsidR="002073EF" w:rsidRPr="009F369E" w:rsidRDefault="002073EF" w:rsidP="009F369E">
      <w:pPr>
        <w:ind w:firstLine="709"/>
        <w:rPr>
          <w:rFonts w:asciiTheme="minorHAnsi" w:hAnsiTheme="minorHAnsi"/>
          <w:i/>
        </w:rPr>
      </w:pPr>
      <w:bookmarkStart w:id="4" w:name="_Hlk76375324"/>
      <w:r w:rsidRPr="0023395B">
        <w:rPr>
          <w:rFonts w:asciiTheme="minorHAnsi" w:hAnsiTheme="minorHAnsi"/>
          <w:i/>
        </w:rPr>
        <w:t>For more detail on PBAC’s view, see section 5 PBAC outcome.</w:t>
      </w:r>
      <w:bookmarkEnd w:id="4"/>
    </w:p>
    <w:p w14:paraId="1B8790B6" w14:textId="77777777" w:rsidR="00964A9F" w:rsidRPr="0023395B" w:rsidRDefault="00964A9F" w:rsidP="00964A9F">
      <w:pPr>
        <w:pStyle w:val="2-SectionHeading"/>
      </w:pPr>
      <w:r w:rsidRPr="0023395B">
        <w:t xml:space="preserve">Requested listing </w:t>
      </w:r>
    </w:p>
    <w:p w14:paraId="563938F8" w14:textId="6EA9C589" w:rsidR="007340C0" w:rsidRPr="0023395B" w:rsidRDefault="0067642B" w:rsidP="009C4469">
      <w:pPr>
        <w:pStyle w:val="3Bodytext"/>
        <w:rPr>
          <w:i/>
        </w:rPr>
      </w:pPr>
      <w:r w:rsidRPr="0023395B">
        <w:t xml:space="preserve">The </w:t>
      </w:r>
      <w:r w:rsidR="00102BCA" w:rsidRPr="0023395B">
        <w:t>re</w:t>
      </w:r>
      <w:r w:rsidRPr="0023395B">
        <w:t xml:space="preserve">submission requested listing in the Section 100 Growth Hormone </w:t>
      </w:r>
      <w:r w:rsidR="00102BCA" w:rsidRPr="0023395B">
        <w:t>P</w:t>
      </w:r>
      <w:r w:rsidRPr="0023395B">
        <w:t>rogram</w:t>
      </w:r>
      <w:r w:rsidR="00102BCA" w:rsidRPr="0023395B">
        <w:t>.</w:t>
      </w:r>
      <w:r w:rsidR="00A0146B" w:rsidRPr="0023395B">
        <w:t xml:space="preserve"> </w:t>
      </w:r>
      <w:r w:rsidR="001E6958" w:rsidRPr="0023395B">
        <w:t xml:space="preserve">This </w:t>
      </w:r>
      <w:r w:rsidR="009C4469" w:rsidRPr="0023395B">
        <w:t>differed</w:t>
      </w:r>
      <w:r w:rsidR="001E6958" w:rsidRPr="0023395B">
        <w:t xml:space="preserve"> from the previous submission, which had requested listing in the Section 100 Highly Specialised Drugs Program.</w:t>
      </w:r>
      <w:r w:rsidR="007340C0" w:rsidRPr="0023395B">
        <w:t xml:space="preserve"> The resubmission (p7) stated that listing of </w:t>
      </w:r>
      <w:proofErr w:type="spellStart"/>
      <w:r w:rsidR="007340C0" w:rsidRPr="0023395B">
        <w:t>mecasermin</w:t>
      </w:r>
      <w:proofErr w:type="spellEnd"/>
      <w:r w:rsidR="007340C0" w:rsidRPr="0023395B">
        <w:t xml:space="preserve"> through the Growth Hormone Program would support quality use of the medicine and mitigate the risk of diversion outside the approved indication.</w:t>
      </w:r>
    </w:p>
    <w:p w14:paraId="5B3E0355" w14:textId="58CA1CB7" w:rsidR="004369B8" w:rsidRPr="0023395B" w:rsidRDefault="00484F55" w:rsidP="004369B8">
      <w:pPr>
        <w:pStyle w:val="3Bodytext"/>
      </w:pPr>
      <w:r w:rsidRPr="0023395B">
        <w:t>In November 2021, the PBAC considered that the proposed PBS criteria inadequately defined the appropriate patient population (</w:t>
      </w:r>
      <w:r w:rsidR="004369B8" w:rsidRPr="0023395B">
        <w:t xml:space="preserve">paragraphs 7.1, 7.3-7.4, </w:t>
      </w:r>
      <w:proofErr w:type="spellStart"/>
      <w:r w:rsidR="004369B8" w:rsidRPr="0023395B">
        <w:t>mecasermin</w:t>
      </w:r>
      <w:proofErr w:type="spellEnd"/>
      <w:r w:rsidR="004369B8" w:rsidRPr="0023395B">
        <w:t xml:space="preserve"> </w:t>
      </w:r>
      <w:r w:rsidR="005E53F1" w:rsidRPr="0023395B">
        <w:t>Public Summary Document [PSD]</w:t>
      </w:r>
      <w:r w:rsidR="004369B8" w:rsidRPr="0023395B">
        <w:t>, November 2021 PBAC meeting</w:t>
      </w:r>
      <w:r w:rsidRPr="0023395B">
        <w:t xml:space="preserve">). </w:t>
      </w:r>
      <w:r w:rsidR="005E53F1" w:rsidRPr="0023395B">
        <w:t>For this resubmission, t</w:t>
      </w:r>
      <w:r w:rsidR="004369B8" w:rsidRPr="0023395B">
        <w:t>he PBAC sought input directly from</w:t>
      </w:r>
      <w:r w:rsidR="004369B8" w:rsidRPr="0023395B">
        <w:rPr>
          <w:rFonts w:cs="Calibri"/>
          <w:bCs/>
        </w:rPr>
        <w:t xml:space="preserve"> the Australasian Paediatric </w:t>
      </w:r>
      <w:r w:rsidR="004369B8" w:rsidRPr="0023395B">
        <w:rPr>
          <w:rFonts w:cs="Calibri"/>
          <w:bCs/>
        </w:rPr>
        <w:lastRenderedPageBreak/>
        <w:t>Endocrine Group (</w:t>
      </w:r>
      <w:r w:rsidR="004369B8" w:rsidRPr="0023395B">
        <w:t xml:space="preserve">APEG) about possible treatment criteria for </w:t>
      </w:r>
      <w:proofErr w:type="spellStart"/>
      <w:r w:rsidR="004369B8" w:rsidRPr="0023395B">
        <w:t>mecasermin</w:t>
      </w:r>
      <w:proofErr w:type="spellEnd"/>
      <w:r w:rsidR="004369B8" w:rsidRPr="0023395B">
        <w:t xml:space="preserve">. The </w:t>
      </w:r>
      <w:r w:rsidR="00814A60" w:rsidRPr="0023395B">
        <w:t xml:space="preserve">APEG </w:t>
      </w:r>
      <w:r w:rsidR="004369B8" w:rsidRPr="0023395B">
        <w:t>advice was incorporated into the proposed restriction</w:t>
      </w:r>
      <w:r w:rsidR="00017CF7" w:rsidRPr="0023395B">
        <w:t xml:space="preserve"> </w:t>
      </w:r>
      <w:r w:rsidR="005A2402" w:rsidRPr="0023395B">
        <w:t>by the Secretariat</w:t>
      </w:r>
      <w:r w:rsidR="004369B8" w:rsidRPr="0023395B">
        <w:t>.</w:t>
      </w:r>
      <w:r w:rsidR="009A0163" w:rsidRPr="0023395B">
        <w:t xml:space="preserve"> Additional discussion in relation to the APEG advice is provided in paragraphs </w:t>
      </w:r>
      <w:r w:rsidR="00C552BD" w:rsidRPr="0023395B">
        <w:t>3.4 to 3.8</w:t>
      </w:r>
      <w:r w:rsidR="009A0163" w:rsidRPr="0023395B">
        <w:t>.</w:t>
      </w:r>
    </w:p>
    <w:p w14:paraId="6BD261B9" w14:textId="770F6BBE" w:rsidR="00017CF7" w:rsidRPr="0023395B" w:rsidRDefault="00017CF7" w:rsidP="00017CF7">
      <w:pPr>
        <w:pStyle w:val="ListBullet"/>
        <w:numPr>
          <w:ilvl w:val="1"/>
          <w:numId w:val="1"/>
        </w:numPr>
        <w:rPr>
          <w:rFonts w:cs="Calibri"/>
          <w:bCs/>
        </w:rPr>
      </w:pPr>
      <w:r w:rsidRPr="0023395B">
        <w:t>The requested PBS listing is reproduced below. New s</w:t>
      </w:r>
      <w:r w:rsidRPr="0023395B">
        <w:rPr>
          <w:rFonts w:cstheme="minorHAnsi"/>
          <w:iCs/>
        </w:rPr>
        <w:t>uggestions and additions proposed by the Secretariat are added in italics and suggested deletions are crossed out with strikethrough.</w:t>
      </w:r>
    </w:p>
    <w:p w14:paraId="00FBE5EE" w14:textId="77777777" w:rsidR="00017CF7" w:rsidRPr="0023395B" w:rsidRDefault="00017CF7" w:rsidP="00017C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
        <w:gridCol w:w="2310"/>
        <w:gridCol w:w="1134"/>
        <w:gridCol w:w="889"/>
        <w:gridCol w:w="552"/>
        <w:gridCol w:w="2386"/>
        <w:gridCol w:w="1650"/>
      </w:tblGrid>
      <w:tr w:rsidR="00017CF7" w:rsidRPr="0023395B" w14:paraId="609702C8" w14:textId="77777777" w:rsidTr="00CB7EC1">
        <w:trPr>
          <w:cantSplit/>
          <w:trHeight w:val="471"/>
        </w:trPr>
        <w:tc>
          <w:tcPr>
            <w:tcW w:w="1334" w:type="pct"/>
            <w:gridSpan w:val="2"/>
          </w:tcPr>
          <w:p w14:paraId="5AB08857" w14:textId="77777777" w:rsidR="00017CF7" w:rsidRPr="0023395B" w:rsidRDefault="00017CF7" w:rsidP="00CB7EC1">
            <w:pPr>
              <w:keepNext/>
              <w:ind w:left="-57"/>
              <w:rPr>
                <w:rFonts w:ascii="Arial Narrow" w:hAnsi="Arial Narrow"/>
                <w:b/>
                <w:bCs/>
                <w:sz w:val="20"/>
                <w:szCs w:val="20"/>
              </w:rPr>
            </w:pPr>
            <w:r w:rsidRPr="0023395B">
              <w:rPr>
                <w:rFonts w:ascii="Arial Narrow" w:hAnsi="Arial Narrow"/>
                <w:b/>
                <w:bCs/>
                <w:sz w:val="20"/>
                <w:szCs w:val="20"/>
              </w:rPr>
              <w:t>MEDICINAL PRODUCT</w:t>
            </w:r>
          </w:p>
          <w:p w14:paraId="416B6A3E" w14:textId="77777777" w:rsidR="00017CF7" w:rsidRPr="0023395B" w:rsidRDefault="00017CF7" w:rsidP="00CB7EC1">
            <w:pPr>
              <w:keepNext/>
              <w:ind w:left="-57"/>
              <w:rPr>
                <w:rFonts w:ascii="Arial Narrow" w:hAnsi="Arial Narrow"/>
                <w:b/>
                <w:sz w:val="20"/>
                <w:szCs w:val="20"/>
              </w:rPr>
            </w:pPr>
            <w:r w:rsidRPr="0023395B">
              <w:rPr>
                <w:rFonts w:ascii="Arial Narrow" w:hAnsi="Arial Narrow"/>
                <w:b/>
                <w:bCs/>
                <w:sz w:val="20"/>
                <w:szCs w:val="20"/>
              </w:rPr>
              <w:t>medicinal product pack</w:t>
            </w:r>
          </w:p>
        </w:tc>
        <w:tc>
          <w:tcPr>
            <w:tcW w:w="629" w:type="pct"/>
          </w:tcPr>
          <w:p w14:paraId="50D79C65" w14:textId="77777777" w:rsidR="00017CF7" w:rsidRPr="0023395B" w:rsidRDefault="00017CF7" w:rsidP="00CB7EC1">
            <w:pPr>
              <w:keepNext/>
              <w:ind w:left="-108"/>
              <w:jc w:val="center"/>
              <w:rPr>
                <w:rFonts w:ascii="Arial Narrow" w:hAnsi="Arial Narrow"/>
                <w:b/>
                <w:sz w:val="20"/>
                <w:szCs w:val="20"/>
              </w:rPr>
            </w:pPr>
            <w:r w:rsidRPr="0023395B">
              <w:rPr>
                <w:rFonts w:ascii="Arial Narrow" w:hAnsi="Arial Narrow"/>
                <w:b/>
                <w:sz w:val="20"/>
                <w:szCs w:val="20"/>
              </w:rPr>
              <w:t>Max. qty packs</w:t>
            </w:r>
          </w:p>
        </w:tc>
        <w:tc>
          <w:tcPr>
            <w:tcW w:w="493" w:type="pct"/>
          </w:tcPr>
          <w:p w14:paraId="7A97C0A7" w14:textId="77777777" w:rsidR="00017CF7" w:rsidRPr="0023395B" w:rsidRDefault="00017CF7" w:rsidP="00CB7EC1">
            <w:pPr>
              <w:keepNext/>
              <w:ind w:left="-108"/>
              <w:jc w:val="center"/>
              <w:rPr>
                <w:rFonts w:ascii="Arial Narrow" w:hAnsi="Arial Narrow"/>
                <w:b/>
                <w:sz w:val="20"/>
                <w:szCs w:val="20"/>
              </w:rPr>
            </w:pPr>
            <w:r w:rsidRPr="0023395B">
              <w:rPr>
                <w:rFonts w:ascii="Arial Narrow" w:hAnsi="Arial Narrow"/>
                <w:b/>
                <w:sz w:val="20"/>
                <w:szCs w:val="20"/>
              </w:rPr>
              <w:t>Max. qty units</w:t>
            </w:r>
          </w:p>
        </w:tc>
        <w:tc>
          <w:tcPr>
            <w:tcW w:w="306" w:type="pct"/>
          </w:tcPr>
          <w:p w14:paraId="2AC6D170" w14:textId="77777777" w:rsidR="00017CF7" w:rsidRPr="0023395B" w:rsidRDefault="00017CF7" w:rsidP="00CB7EC1">
            <w:pPr>
              <w:keepNext/>
              <w:ind w:left="-108"/>
              <w:jc w:val="center"/>
              <w:rPr>
                <w:rFonts w:ascii="Arial Narrow" w:hAnsi="Arial Narrow"/>
                <w:b/>
                <w:sz w:val="20"/>
                <w:szCs w:val="20"/>
              </w:rPr>
            </w:pPr>
            <w:proofErr w:type="gramStart"/>
            <w:r w:rsidRPr="0023395B">
              <w:rPr>
                <w:rFonts w:ascii="Arial Narrow" w:hAnsi="Arial Narrow"/>
                <w:b/>
                <w:sz w:val="20"/>
                <w:szCs w:val="20"/>
              </w:rPr>
              <w:t>№.of</w:t>
            </w:r>
            <w:proofErr w:type="gramEnd"/>
          </w:p>
          <w:p w14:paraId="285D7873" w14:textId="77777777" w:rsidR="00017CF7" w:rsidRPr="0023395B" w:rsidRDefault="00017CF7" w:rsidP="00CB7EC1">
            <w:pPr>
              <w:keepNext/>
              <w:ind w:left="-108"/>
              <w:jc w:val="center"/>
              <w:rPr>
                <w:rFonts w:ascii="Arial Narrow" w:hAnsi="Arial Narrow"/>
                <w:b/>
                <w:sz w:val="20"/>
                <w:szCs w:val="20"/>
              </w:rPr>
            </w:pPr>
            <w:proofErr w:type="spellStart"/>
            <w:r w:rsidRPr="0023395B">
              <w:rPr>
                <w:rFonts w:ascii="Arial Narrow" w:hAnsi="Arial Narrow"/>
                <w:b/>
                <w:sz w:val="20"/>
                <w:szCs w:val="20"/>
              </w:rPr>
              <w:t>Rpts</w:t>
            </w:r>
            <w:proofErr w:type="spellEnd"/>
          </w:p>
        </w:tc>
        <w:tc>
          <w:tcPr>
            <w:tcW w:w="1323" w:type="pct"/>
          </w:tcPr>
          <w:p w14:paraId="24E2A78D" w14:textId="77777777" w:rsidR="00017CF7" w:rsidRPr="0023395B" w:rsidRDefault="00017CF7" w:rsidP="00CB7EC1">
            <w:pPr>
              <w:keepNext/>
              <w:ind w:left="-108"/>
              <w:jc w:val="center"/>
              <w:rPr>
                <w:rFonts w:ascii="Arial Narrow" w:hAnsi="Arial Narrow"/>
                <w:b/>
                <w:sz w:val="20"/>
                <w:szCs w:val="20"/>
              </w:rPr>
            </w:pPr>
            <w:r w:rsidRPr="0023395B">
              <w:rPr>
                <w:rFonts w:ascii="Arial Narrow" w:hAnsi="Arial Narrow"/>
                <w:b/>
                <w:sz w:val="20"/>
                <w:szCs w:val="20"/>
              </w:rPr>
              <w:t>Dispensed Price for Max. Qty</w:t>
            </w:r>
          </w:p>
        </w:tc>
        <w:tc>
          <w:tcPr>
            <w:tcW w:w="915" w:type="pct"/>
          </w:tcPr>
          <w:p w14:paraId="2642828C" w14:textId="77777777" w:rsidR="00017CF7" w:rsidRPr="0023395B" w:rsidRDefault="00017CF7" w:rsidP="00CB7EC1">
            <w:pPr>
              <w:keepNext/>
              <w:rPr>
                <w:rFonts w:ascii="Arial Narrow" w:hAnsi="Arial Narrow"/>
                <w:b/>
                <w:sz w:val="20"/>
                <w:szCs w:val="20"/>
              </w:rPr>
            </w:pPr>
            <w:r w:rsidRPr="0023395B">
              <w:rPr>
                <w:rFonts w:ascii="Arial Narrow" w:hAnsi="Arial Narrow"/>
                <w:b/>
                <w:sz w:val="20"/>
                <w:szCs w:val="20"/>
              </w:rPr>
              <w:t>Available brands</w:t>
            </w:r>
          </w:p>
        </w:tc>
      </w:tr>
      <w:tr w:rsidR="00017CF7" w:rsidRPr="0023395B" w14:paraId="2B1A79CE" w14:textId="77777777" w:rsidTr="00CB7EC1">
        <w:trPr>
          <w:cantSplit/>
          <w:trHeight w:val="224"/>
        </w:trPr>
        <w:tc>
          <w:tcPr>
            <w:tcW w:w="5000" w:type="pct"/>
            <w:gridSpan w:val="7"/>
          </w:tcPr>
          <w:p w14:paraId="1C52AF44" w14:textId="77777777" w:rsidR="00017CF7" w:rsidRPr="0023395B" w:rsidRDefault="00017CF7" w:rsidP="00CB7EC1">
            <w:pPr>
              <w:keepNext/>
              <w:ind w:left="-57"/>
              <w:rPr>
                <w:rFonts w:ascii="Arial Narrow" w:hAnsi="Arial Narrow"/>
                <w:sz w:val="20"/>
                <w:szCs w:val="20"/>
              </w:rPr>
            </w:pPr>
            <w:r w:rsidRPr="0023395B">
              <w:rPr>
                <w:rFonts w:ascii="Arial Narrow" w:hAnsi="Arial Narrow"/>
                <w:sz w:val="20"/>
                <w:szCs w:val="20"/>
              </w:rPr>
              <w:t xml:space="preserve">MECASERMIN </w:t>
            </w:r>
          </w:p>
        </w:tc>
      </w:tr>
      <w:tr w:rsidR="00017CF7" w:rsidRPr="0023395B" w14:paraId="2AF401EC" w14:textId="77777777" w:rsidTr="00CB7EC1">
        <w:trPr>
          <w:cantSplit/>
          <w:trHeight w:val="197"/>
        </w:trPr>
        <w:tc>
          <w:tcPr>
            <w:tcW w:w="1334" w:type="pct"/>
            <w:gridSpan w:val="2"/>
          </w:tcPr>
          <w:p w14:paraId="31BF8CDC" w14:textId="77777777" w:rsidR="00017CF7" w:rsidRPr="0023395B" w:rsidRDefault="00017CF7" w:rsidP="00CB7EC1">
            <w:pPr>
              <w:keepNext/>
              <w:ind w:left="-57"/>
              <w:rPr>
                <w:rFonts w:ascii="Arial Narrow" w:hAnsi="Arial Narrow"/>
                <w:sz w:val="20"/>
                <w:szCs w:val="20"/>
              </w:rPr>
            </w:pPr>
            <w:proofErr w:type="spellStart"/>
            <w:r w:rsidRPr="0023395B">
              <w:rPr>
                <w:rFonts w:ascii="Arial Narrow" w:hAnsi="Arial Narrow"/>
                <w:sz w:val="20"/>
                <w:szCs w:val="20"/>
              </w:rPr>
              <w:t>mecasermin</w:t>
            </w:r>
            <w:proofErr w:type="spellEnd"/>
            <w:r w:rsidRPr="0023395B">
              <w:rPr>
                <w:rFonts w:ascii="Arial Narrow" w:hAnsi="Arial Narrow"/>
                <w:sz w:val="20"/>
                <w:szCs w:val="20"/>
              </w:rPr>
              <w:t xml:space="preserve"> solution for injection 40 mg in 4 mL vial, 1 </w:t>
            </w:r>
          </w:p>
        </w:tc>
        <w:tc>
          <w:tcPr>
            <w:tcW w:w="629" w:type="pct"/>
          </w:tcPr>
          <w:p w14:paraId="1C8B902B" w14:textId="77777777" w:rsidR="00017CF7" w:rsidRPr="0023395B" w:rsidRDefault="00017CF7" w:rsidP="00CB7EC1">
            <w:pPr>
              <w:keepNext/>
              <w:jc w:val="center"/>
              <w:rPr>
                <w:rFonts w:ascii="Arial Narrow" w:hAnsi="Arial Narrow"/>
                <w:sz w:val="20"/>
                <w:szCs w:val="20"/>
              </w:rPr>
            </w:pPr>
            <w:r w:rsidRPr="0023395B">
              <w:rPr>
                <w:rFonts w:ascii="Arial Narrow" w:hAnsi="Arial Narrow"/>
                <w:sz w:val="20"/>
                <w:szCs w:val="20"/>
              </w:rPr>
              <w:t>4</w:t>
            </w:r>
          </w:p>
        </w:tc>
        <w:tc>
          <w:tcPr>
            <w:tcW w:w="493" w:type="pct"/>
          </w:tcPr>
          <w:p w14:paraId="31267699" w14:textId="77777777" w:rsidR="00017CF7" w:rsidRPr="0023395B" w:rsidRDefault="00017CF7" w:rsidP="00CB7EC1">
            <w:pPr>
              <w:keepNext/>
              <w:jc w:val="center"/>
              <w:rPr>
                <w:rFonts w:ascii="Arial Narrow" w:hAnsi="Arial Narrow"/>
                <w:sz w:val="20"/>
                <w:szCs w:val="20"/>
              </w:rPr>
            </w:pPr>
            <w:r w:rsidRPr="0023395B">
              <w:rPr>
                <w:rFonts w:ascii="Arial Narrow" w:hAnsi="Arial Narrow"/>
                <w:sz w:val="20"/>
                <w:szCs w:val="20"/>
              </w:rPr>
              <w:t>4</w:t>
            </w:r>
          </w:p>
        </w:tc>
        <w:tc>
          <w:tcPr>
            <w:tcW w:w="306" w:type="pct"/>
          </w:tcPr>
          <w:p w14:paraId="2BA08F2B" w14:textId="77777777" w:rsidR="00017CF7" w:rsidRPr="0023395B" w:rsidRDefault="00017CF7" w:rsidP="00CB7EC1">
            <w:pPr>
              <w:keepNext/>
              <w:jc w:val="center"/>
              <w:rPr>
                <w:rFonts w:ascii="Arial Narrow" w:hAnsi="Arial Narrow"/>
                <w:sz w:val="20"/>
                <w:szCs w:val="20"/>
              </w:rPr>
            </w:pPr>
            <w:r w:rsidRPr="0023395B">
              <w:rPr>
                <w:rFonts w:ascii="Arial Narrow" w:hAnsi="Arial Narrow"/>
                <w:sz w:val="20"/>
                <w:szCs w:val="20"/>
              </w:rPr>
              <w:t>5</w:t>
            </w:r>
          </w:p>
        </w:tc>
        <w:tc>
          <w:tcPr>
            <w:tcW w:w="1323" w:type="pct"/>
          </w:tcPr>
          <w:p w14:paraId="49A13851" w14:textId="77777777" w:rsidR="00017CF7" w:rsidRPr="0023395B" w:rsidRDefault="00017CF7" w:rsidP="00CB7EC1">
            <w:pPr>
              <w:keepNext/>
              <w:jc w:val="left"/>
              <w:rPr>
                <w:rFonts w:ascii="Arial Narrow" w:hAnsi="Arial Narrow"/>
                <w:sz w:val="20"/>
                <w:szCs w:val="20"/>
              </w:rPr>
            </w:pPr>
            <w:r w:rsidRPr="0023395B">
              <w:rPr>
                <w:rFonts w:ascii="Arial Narrow" w:hAnsi="Arial Narrow"/>
                <w:sz w:val="20"/>
                <w:szCs w:val="20"/>
              </w:rPr>
              <w:t>S100 GH Program</w:t>
            </w:r>
          </w:p>
          <w:p w14:paraId="48FA5125" w14:textId="586147C4" w:rsidR="00017CF7" w:rsidRPr="0023395B" w:rsidRDefault="00017CF7" w:rsidP="00CB7EC1">
            <w:pPr>
              <w:keepNext/>
              <w:jc w:val="left"/>
              <w:rPr>
                <w:rFonts w:ascii="Arial Narrow" w:hAnsi="Arial Narrow"/>
                <w:sz w:val="20"/>
                <w:szCs w:val="20"/>
              </w:rPr>
            </w:pPr>
            <w:r w:rsidRPr="0023395B">
              <w:rPr>
                <w:rFonts w:ascii="Arial Narrow" w:hAnsi="Arial Narrow"/>
                <w:sz w:val="20"/>
                <w:szCs w:val="20"/>
              </w:rPr>
              <w:t>$</w:t>
            </w:r>
            <w:r w:rsidR="001C6AE3" w:rsidRPr="001C6AE3">
              <w:rPr>
                <w:rFonts w:ascii="Arial Narrow" w:hAnsi="Arial Narrow"/>
                <w:color w:val="000000"/>
                <w:spacing w:val="52"/>
                <w:sz w:val="20"/>
                <w:szCs w:val="20"/>
                <w:shd w:val="solid" w:color="000000" w:fill="000000"/>
                <w:fitText w:val="327" w:id="-1505504255"/>
                <w14:textFill>
                  <w14:solidFill>
                    <w14:srgbClr w14:val="000000">
                      <w14:alpha w14:val="100000"/>
                    </w14:srgbClr>
                  </w14:solidFill>
                </w14:textFill>
              </w:rPr>
              <w:t>|||</w:t>
            </w:r>
            <w:r w:rsidR="001C6AE3" w:rsidRPr="001C6AE3">
              <w:rPr>
                <w:rFonts w:ascii="Arial Narrow" w:hAnsi="Arial Narrow"/>
                <w:color w:val="000000"/>
                <w:spacing w:val="1"/>
                <w:sz w:val="20"/>
                <w:szCs w:val="20"/>
                <w:shd w:val="solid" w:color="000000" w:fill="000000"/>
                <w:fitText w:val="327" w:id="-1505504255"/>
                <w14:textFill>
                  <w14:solidFill>
                    <w14:srgbClr w14:val="000000">
                      <w14:alpha w14:val="100000"/>
                    </w14:srgbClr>
                  </w14:solidFill>
                </w14:textFill>
              </w:rPr>
              <w:t>|</w:t>
            </w:r>
            <w:r w:rsidRPr="0023395B">
              <w:rPr>
                <w:rFonts w:ascii="Arial Narrow" w:hAnsi="Arial Narrow"/>
                <w:sz w:val="20"/>
                <w:szCs w:val="20"/>
              </w:rPr>
              <w:t xml:space="preserve"> </w:t>
            </w:r>
          </w:p>
          <w:p w14:paraId="4607CA7D" w14:textId="77777777" w:rsidR="00017CF7" w:rsidRPr="0023395B" w:rsidRDefault="00017CF7" w:rsidP="00CB7EC1">
            <w:pPr>
              <w:keepNext/>
              <w:rPr>
                <w:rFonts w:ascii="Arial Narrow" w:hAnsi="Arial Narrow"/>
                <w:sz w:val="20"/>
                <w:szCs w:val="20"/>
              </w:rPr>
            </w:pPr>
          </w:p>
        </w:tc>
        <w:tc>
          <w:tcPr>
            <w:tcW w:w="915" w:type="pct"/>
          </w:tcPr>
          <w:p w14:paraId="33EFF347" w14:textId="77777777" w:rsidR="00017CF7" w:rsidRPr="0023395B" w:rsidRDefault="00017CF7" w:rsidP="00CB7EC1">
            <w:pPr>
              <w:keepNext/>
              <w:rPr>
                <w:rFonts w:ascii="Arial Narrow" w:hAnsi="Arial Narrow"/>
                <w:sz w:val="20"/>
                <w:szCs w:val="20"/>
              </w:rPr>
            </w:pPr>
            <w:proofErr w:type="spellStart"/>
            <w:r w:rsidRPr="0023395B">
              <w:rPr>
                <w:rFonts w:ascii="Arial Narrow" w:hAnsi="Arial Narrow"/>
                <w:sz w:val="20"/>
                <w:szCs w:val="20"/>
              </w:rPr>
              <w:t>Increlex</w:t>
            </w:r>
            <w:proofErr w:type="spellEnd"/>
            <w:r w:rsidRPr="0023395B">
              <w:rPr>
                <w:rFonts w:ascii="Arial Narrow" w:hAnsi="Arial Narrow"/>
                <w:sz w:val="20"/>
                <w:szCs w:val="20"/>
              </w:rPr>
              <w:t xml:space="preserve"> </w:t>
            </w:r>
          </w:p>
          <w:p w14:paraId="1754CAC7" w14:textId="77777777" w:rsidR="00017CF7" w:rsidRPr="0023395B" w:rsidRDefault="00017CF7" w:rsidP="00CB7EC1">
            <w:pPr>
              <w:keepNext/>
              <w:rPr>
                <w:rFonts w:ascii="Arial Narrow" w:hAnsi="Arial Narrow"/>
                <w:sz w:val="20"/>
                <w:szCs w:val="20"/>
              </w:rPr>
            </w:pPr>
          </w:p>
        </w:tc>
      </w:tr>
      <w:tr w:rsidR="00017CF7" w:rsidRPr="0023395B" w14:paraId="3C6B5364" w14:textId="77777777" w:rsidTr="00CB7EC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DFA751A" w14:textId="77777777" w:rsidR="00017CF7" w:rsidRPr="0023395B" w:rsidRDefault="00017CF7" w:rsidP="00CB7EC1">
            <w:pPr>
              <w:keepNext/>
              <w:rPr>
                <w:rFonts w:ascii="Arial Narrow" w:hAnsi="Arial Narrow"/>
                <w:sz w:val="20"/>
                <w:szCs w:val="20"/>
                <w:highlight w:val="yellow"/>
              </w:rPr>
            </w:pPr>
          </w:p>
        </w:tc>
      </w:tr>
      <w:tr w:rsidR="00017CF7" w:rsidRPr="0023395B" w14:paraId="5C3A3CA9" w14:textId="77777777" w:rsidTr="00CB7EC1">
        <w:tblPrEx>
          <w:tblCellMar>
            <w:top w:w="15" w:type="dxa"/>
            <w:left w:w="15" w:type="dxa"/>
            <w:bottom w:w="15" w:type="dxa"/>
            <w:right w:w="15" w:type="dxa"/>
          </w:tblCellMar>
          <w:tblLook w:val="04A0" w:firstRow="1" w:lastRow="0" w:firstColumn="1" w:lastColumn="0" w:noHBand="0" w:noVBand="1"/>
        </w:tblPrEx>
        <w:tc>
          <w:tcPr>
            <w:tcW w:w="53" w:type="pct"/>
            <w:vMerge w:val="restart"/>
            <w:tcBorders>
              <w:top w:val="single" w:sz="4" w:space="0" w:color="auto"/>
              <w:left w:val="single" w:sz="4" w:space="0" w:color="auto"/>
              <w:right w:val="single" w:sz="4" w:space="0" w:color="auto"/>
            </w:tcBorders>
          </w:tcPr>
          <w:p w14:paraId="7C6B015C" w14:textId="77777777" w:rsidR="00017CF7" w:rsidRPr="0023395B" w:rsidRDefault="00017CF7" w:rsidP="00CB7EC1">
            <w:pPr>
              <w:keepNext/>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3020250D" w14:textId="77777777" w:rsidR="00017CF7" w:rsidRPr="0023395B" w:rsidRDefault="00017CF7" w:rsidP="00CB7EC1">
            <w:pPr>
              <w:keepNext/>
              <w:rPr>
                <w:rFonts w:ascii="Arial Narrow" w:hAnsi="Arial Narrow"/>
                <w:i/>
                <w:iCs/>
                <w:sz w:val="20"/>
                <w:szCs w:val="20"/>
              </w:rPr>
            </w:pPr>
            <w:r w:rsidRPr="0023395B">
              <w:rPr>
                <w:rFonts w:ascii="Arial Narrow" w:hAnsi="Arial Narrow"/>
                <w:b/>
                <w:sz w:val="20"/>
                <w:szCs w:val="20"/>
              </w:rPr>
              <w:t>Category / Program:   Section 100</w:t>
            </w:r>
            <w:r w:rsidRPr="0023395B">
              <w:rPr>
                <w:rFonts w:ascii="Arial Narrow" w:hAnsi="Arial Narrow"/>
                <w:b/>
                <w:strike/>
                <w:sz w:val="20"/>
                <w:szCs w:val="20"/>
              </w:rPr>
              <w:t xml:space="preserve"> </w:t>
            </w:r>
            <w:r w:rsidRPr="0023395B">
              <w:rPr>
                <w:rFonts w:ascii="Arial Narrow" w:hAnsi="Arial Narrow"/>
                <w:b/>
                <w:i/>
                <w:sz w:val="20"/>
                <w:szCs w:val="20"/>
              </w:rPr>
              <w:t>Growth Hormone Program</w:t>
            </w:r>
            <w:r w:rsidRPr="0023395B">
              <w:rPr>
                <w:rFonts w:ascii="Arial Narrow" w:hAnsi="Arial Narrow"/>
                <w:b/>
                <w:sz w:val="20"/>
                <w:szCs w:val="20"/>
              </w:rPr>
              <w:t xml:space="preserve"> </w:t>
            </w:r>
            <w:r w:rsidRPr="0023395B">
              <w:rPr>
                <w:rFonts w:ascii="Arial Narrow" w:hAnsi="Arial Narrow"/>
                <w:b/>
                <w:strike/>
                <w:sz w:val="20"/>
                <w:szCs w:val="20"/>
              </w:rPr>
              <w:t>(program to be determined)</w:t>
            </w:r>
            <w:r w:rsidRPr="0023395B">
              <w:rPr>
                <w:rFonts w:ascii="Arial Narrow" w:hAnsi="Arial Narrow"/>
                <w:b/>
                <w:sz w:val="20"/>
                <w:szCs w:val="20"/>
              </w:rPr>
              <w:t xml:space="preserve"> </w:t>
            </w:r>
          </w:p>
        </w:tc>
      </w:tr>
      <w:tr w:rsidR="00017CF7" w:rsidRPr="0023395B" w14:paraId="79852CFA" w14:textId="77777777" w:rsidTr="00CB7EC1">
        <w:tblPrEx>
          <w:tblCellMar>
            <w:top w:w="15" w:type="dxa"/>
            <w:left w:w="15" w:type="dxa"/>
            <w:bottom w:w="15" w:type="dxa"/>
            <w:right w:w="15" w:type="dxa"/>
          </w:tblCellMar>
          <w:tblLook w:val="04A0" w:firstRow="1" w:lastRow="0" w:firstColumn="1" w:lastColumn="0" w:noHBand="0" w:noVBand="1"/>
        </w:tblPrEx>
        <w:trPr>
          <w:trHeight w:val="240"/>
        </w:trPr>
        <w:tc>
          <w:tcPr>
            <w:tcW w:w="53" w:type="pct"/>
            <w:vMerge/>
            <w:tcBorders>
              <w:left w:val="single" w:sz="4" w:space="0" w:color="auto"/>
              <w:right w:val="single" w:sz="4" w:space="0" w:color="auto"/>
            </w:tcBorders>
          </w:tcPr>
          <w:p w14:paraId="41361089" w14:textId="77777777" w:rsidR="00017CF7" w:rsidRPr="0023395B" w:rsidRDefault="00017CF7" w:rsidP="00CB7EC1">
            <w:pPr>
              <w:keepNext/>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52253C3F" w14:textId="77777777" w:rsidR="00017CF7" w:rsidRPr="0023395B" w:rsidRDefault="00017CF7" w:rsidP="00CB7EC1">
            <w:pPr>
              <w:keepNext/>
              <w:rPr>
                <w:rFonts w:ascii="Arial Narrow" w:hAnsi="Arial Narrow"/>
                <w:b/>
                <w:sz w:val="20"/>
                <w:szCs w:val="20"/>
              </w:rPr>
            </w:pPr>
            <w:r w:rsidRPr="0023395B">
              <w:rPr>
                <w:rFonts w:ascii="Arial Narrow" w:hAnsi="Arial Narrow"/>
                <w:b/>
                <w:sz w:val="20"/>
                <w:szCs w:val="20"/>
              </w:rPr>
              <w:t xml:space="preserve">Prescriber type:   </w:t>
            </w:r>
            <w:r w:rsidRPr="0023395B">
              <w:rPr>
                <w:rFonts w:ascii="Arial Narrow" w:hAnsi="Arial Narrow"/>
                <w:sz w:val="20"/>
                <w:szCs w:val="20"/>
              </w:rPr>
              <w:fldChar w:fldCharType="begin">
                <w:ffData>
                  <w:name w:val=""/>
                  <w:enabled/>
                  <w:calcOnExit w:val="0"/>
                  <w:checkBox>
                    <w:sizeAuto/>
                    <w:default w:val="1"/>
                  </w:checkBox>
                </w:ffData>
              </w:fldChar>
            </w:r>
            <w:r w:rsidRPr="0023395B">
              <w:rPr>
                <w:rFonts w:ascii="Arial Narrow" w:hAnsi="Arial Narrow"/>
                <w:sz w:val="20"/>
                <w:szCs w:val="20"/>
              </w:rPr>
              <w:instrText xml:space="preserve"> FORMCHECKBOX </w:instrText>
            </w:r>
            <w:r w:rsidR="002A2C2E">
              <w:rPr>
                <w:rFonts w:ascii="Arial Narrow" w:hAnsi="Arial Narrow"/>
                <w:sz w:val="20"/>
                <w:szCs w:val="20"/>
              </w:rPr>
            </w:r>
            <w:r w:rsidR="002A2C2E">
              <w:rPr>
                <w:rFonts w:ascii="Arial Narrow" w:hAnsi="Arial Narrow"/>
                <w:sz w:val="20"/>
                <w:szCs w:val="20"/>
              </w:rPr>
              <w:fldChar w:fldCharType="separate"/>
            </w:r>
            <w:r w:rsidRPr="0023395B">
              <w:rPr>
                <w:rFonts w:ascii="Arial Narrow" w:hAnsi="Arial Narrow"/>
                <w:sz w:val="20"/>
                <w:szCs w:val="20"/>
              </w:rPr>
              <w:fldChar w:fldCharType="end"/>
            </w:r>
            <w:r w:rsidRPr="0023395B">
              <w:rPr>
                <w:rFonts w:ascii="Arial Narrow" w:hAnsi="Arial Narrow"/>
                <w:sz w:val="20"/>
                <w:szCs w:val="20"/>
              </w:rPr>
              <w:t xml:space="preserve"> Medical Practitioners    </w:t>
            </w:r>
          </w:p>
        </w:tc>
      </w:tr>
      <w:tr w:rsidR="00017CF7" w:rsidRPr="0023395B" w14:paraId="7661E952" w14:textId="77777777" w:rsidTr="00CB7EC1">
        <w:tblPrEx>
          <w:tblCellMar>
            <w:top w:w="15" w:type="dxa"/>
            <w:left w:w="15" w:type="dxa"/>
            <w:bottom w:w="15" w:type="dxa"/>
            <w:right w:w="15" w:type="dxa"/>
          </w:tblCellMar>
          <w:tblLook w:val="04A0" w:firstRow="1" w:lastRow="0" w:firstColumn="1" w:lastColumn="0" w:noHBand="0" w:noVBand="1"/>
        </w:tblPrEx>
        <w:tc>
          <w:tcPr>
            <w:tcW w:w="53" w:type="pct"/>
            <w:vMerge/>
            <w:tcBorders>
              <w:left w:val="single" w:sz="4" w:space="0" w:color="auto"/>
              <w:bottom w:val="single" w:sz="4" w:space="0" w:color="auto"/>
              <w:right w:val="single" w:sz="4" w:space="0" w:color="auto"/>
            </w:tcBorders>
          </w:tcPr>
          <w:p w14:paraId="051B68D6" w14:textId="77777777" w:rsidR="00017CF7" w:rsidRPr="0023395B" w:rsidRDefault="00017CF7" w:rsidP="00CB7EC1">
            <w:pPr>
              <w:keepNext/>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07919085" w14:textId="77777777" w:rsidR="00017CF7" w:rsidRPr="0023395B" w:rsidRDefault="00017CF7" w:rsidP="00CB7EC1">
            <w:pPr>
              <w:keepNext/>
              <w:rPr>
                <w:rFonts w:ascii="Arial Narrow" w:eastAsia="Calibri" w:hAnsi="Arial Narrow"/>
                <w:sz w:val="20"/>
                <w:szCs w:val="20"/>
              </w:rPr>
            </w:pPr>
            <w:r w:rsidRPr="0023395B">
              <w:rPr>
                <w:rFonts w:ascii="Arial Narrow" w:hAnsi="Arial Narrow"/>
                <w:b/>
                <w:sz w:val="20"/>
                <w:szCs w:val="20"/>
              </w:rPr>
              <w:t>Restriction type:</w:t>
            </w:r>
            <w:r w:rsidRPr="0023395B">
              <w:rPr>
                <w:rFonts w:ascii="Arial Narrow" w:eastAsia="Calibri" w:hAnsi="Arial Narrow"/>
                <w:sz w:val="20"/>
                <w:szCs w:val="20"/>
              </w:rPr>
              <w:t xml:space="preserve"> </w:t>
            </w:r>
            <w:r w:rsidRPr="0023395B">
              <w:rPr>
                <w:rFonts w:ascii="Arial Narrow" w:eastAsia="Calibri" w:hAnsi="Arial Narrow"/>
                <w:sz w:val="20"/>
                <w:szCs w:val="20"/>
              </w:rPr>
              <w:fldChar w:fldCharType="begin">
                <w:ffData>
                  <w:name w:val="Check3"/>
                  <w:enabled/>
                  <w:calcOnExit w:val="0"/>
                  <w:checkBox>
                    <w:sizeAuto/>
                    <w:default w:val="1"/>
                  </w:checkBox>
                </w:ffData>
              </w:fldChar>
            </w:r>
            <w:r w:rsidRPr="0023395B">
              <w:rPr>
                <w:rFonts w:ascii="Arial Narrow" w:eastAsia="Calibri" w:hAnsi="Arial Narrow"/>
                <w:sz w:val="20"/>
                <w:szCs w:val="20"/>
              </w:rPr>
              <w:instrText xml:space="preserve"> FORMCHECKBOX </w:instrText>
            </w:r>
            <w:r w:rsidR="002A2C2E">
              <w:rPr>
                <w:rFonts w:ascii="Arial Narrow" w:eastAsia="Calibri" w:hAnsi="Arial Narrow"/>
                <w:sz w:val="20"/>
                <w:szCs w:val="20"/>
              </w:rPr>
            </w:r>
            <w:r w:rsidR="002A2C2E">
              <w:rPr>
                <w:rFonts w:ascii="Arial Narrow" w:eastAsia="Calibri" w:hAnsi="Arial Narrow"/>
                <w:sz w:val="20"/>
                <w:szCs w:val="20"/>
              </w:rPr>
              <w:fldChar w:fldCharType="separate"/>
            </w:r>
            <w:r w:rsidRPr="0023395B">
              <w:rPr>
                <w:rFonts w:ascii="Arial Narrow" w:eastAsia="Calibri" w:hAnsi="Arial Narrow"/>
                <w:sz w:val="20"/>
                <w:szCs w:val="20"/>
              </w:rPr>
              <w:fldChar w:fldCharType="end"/>
            </w:r>
            <w:r w:rsidRPr="0023395B">
              <w:rPr>
                <w:rFonts w:ascii="Arial Narrow" w:eastAsia="Calibri" w:hAnsi="Arial Narrow"/>
                <w:sz w:val="20"/>
                <w:szCs w:val="20"/>
              </w:rPr>
              <w:t xml:space="preserve"> Authority Required (In-writing only via post/HPOS upload)</w:t>
            </w:r>
          </w:p>
        </w:tc>
      </w:tr>
      <w:tr w:rsidR="00017CF7" w:rsidRPr="0023395B" w14:paraId="04A20587" w14:textId="77777777" w:rsidTr="00CB7EC1">
        <w:tblPrEx>
          <w:tblCellMar>
            <w:top w:w="15" w:type="dxa"/>
            <w:left w:w="15" w:type="dxa"/>
            <w:bottom w:w="15" w:type="dxa"/>
            <w:right w:w="15" w:type="dxa"/>
          </w:tblCellMar>
          <w:tblLook w:val="04A0" w:firstRow="1" w:lastRow="0" w:firstColumn="1" w:lastColumn="0" w:noHBand="0" w:noVBand="1"/>
        </w:tblPrEx>
        <w:trPr>
          <w:trHeight w:val="20"/>
        </w:trPr>
        <w:tc>
          <w:tcPr>
            <w:tcW w:w="53" w:type="pct"/>
            <w:vMerge w:val="restart"/>
            <w:tcBorders>
              <w:left w:val="single" w:sz="4" w:space="0" w:color="auto"/>
            </w:tcBorders>
          </w:tcPr>
          <w:p w14:paraId="2540F909" w14:textId="77777777" w:rsidR="00017CF7" w:rsidRPr="0023395B" w:rsidRDefault="00017CF7" w:rsidP="00CB7EC1">
            <w:pPr>
              <w:keepNext/>
              <w:jc w:val="center"/>
              <w:rPr>
                <w:rFonts w:ascii="Arial Narrow" w:hAnsi="Arial Narrow"/>
                <w:sz w:val="20"/>
                <w:szCs w:val="20"/>
              </w:rPr>
            </w:pPr>
          </w:p>
        </w:tc>
        <w:tc>
          <w:tcPr>
            <w:tcW w:w="4947" w:type="pct"/>
            <w:gridSpan w:val="6"/>
          </w:tcPr>
          <w:p w14:paraId="489E86B1" w14:textId="77777777" w:rsidR="00017CF7" w:rsidRPr="0023395B" w:rsidRDefault="00017CF7" w:rsidP="00CB7EC1">
            <w:pPr>
              <w:keepNext/>
              <w:rPr>
                <w:rFonts w:ascii="Arial Narrow" w:hAnsi="Arial Narrow"/>
                <w:b/>
                <w:bCs/>
                <w:sz w:val="20"/>
                <w:szCs w:val="20"/>
              </w:rPr>
            </w:pPr>
            <w:r w:rsidRPr="0023395B">
              <w:rPr>
                <w:rFonts w:ascii="Arial Narrow" w:hAnsi="Arial Narrow"/>
                <w:b/>
                <w:bCs/>
                <w:sz w:val="20"/>
                <w:szCs w:val="20"/>
                <w:u w:val="single"/>
              </w:rPr>
              <w:t>Note</w:t>
            </w:r>
            <w:r w:rsidRPr="0023395B">
              <w:rPr>
                <w:rFonts w:ascii="Arial Narrow" w:hAnsi="Arial Narrow"/>
                <w:b/>
                <w:bCs/>
                <w:sz w:val="20"/>
                <w:szCs w:val="20"/>
              </w:rPr>
              <w:t xml:space="preserve">: </w:t>
            </w:r>
            <w:r w:rsidRPr="0023395B">
              <w:rPr>
                <w:rFonts w:ascii="Arial Narrow" w:hAnsi="Arial Narrow"/>
                <w:bCs/>
                <w:sz w:val="20"/>
                <w:szCs w:val="20"/>
              </w:rPr>
              <w:t>No increase in the maximum quantity or number of units may be authorised.</w:t>
            </w:r>
          </w:p>
        </w:tc>
      </w:tr>
      <w:tr w:rsidR="00017CF7" w:rsidRPr="0023395B" w14:paraId="64C79AFC" w14:textId="77777777" w:rsidTr="00CB7EC1">
        <w:tblPrEx>
          <w:tblCellMar>
            <w:top w:w="15" w:type="dxa"/>
            <w:left w:w="15" w:type="dxa"/>
            <w:bottom w:w="15" w:type="dxa"/>
            <w:right w:w="15" w:type="dxa"/>
          </w:tblCellMar>
          <w:tblLook w:val="04A0" w:firstRow="1" w:lastRow="0" w:firstColumn="1" w:lastColumn="0" w:noHBand="0" w:noVBand="1"/>
        </w:tblPrEx>
        <w:trPr>
          <w:trHeight w:val="20"/>
        </w:trPr>
        <w:tc>
          <w:tcPr>
            <w:tcW w:w="53" w:type="pct"/>
            <w:vMerge/>
            <w:tcBorders>
              <w:left w:val="single" w:sz="4" w:space="0" w:color="auto"/>
            </w:tcBorders>
          </w:tcPr>
          <w:p w14:paraId="56BABB9F" w14:textId="77777777" w:rsidR="00017CF7" w:rsidRPr="0023395B" w:rsidRDefault="00017CF7" w:rsidP="00CB7EC1">
            <w:pPr>
              <w:jc w:val="center"/>
              <w:rPr>
                <w:rFonts w:ascii="Arial Narrow" w:hAnsi="Arial Narrow"/>
                <w:sz w:val="20"/>
                <w:szCs w:val="20"/>
              </w:rPr>
            </w:pPr>
          </w:p>
        </w:tc>
        <w:tc>
          <w:tcPr>
            <w:tcW w:w="4947" w:type="pct"/>
            <w:gridSpan w:val="6"/>
          </w:tcPr>
          <w:p w14:paraId="54BCA9B6" w14:textId="77777777" w:rsidR="00017CF7" w:rsidRPr="0023395B" w:rsidRDefault="00017CF7" w:rsidP="00CB7EC1">
            <w:pPr>
              <w:rPr>
                <w:rFonts w:ascii="Arial Narrow" w:hAnsi="Arial Narrow"/>
                <w:b/>
                <w:bCs/>
                <w:sz w:val="20"/>
                <w:szCs w:val="20"/>
              </w:rPr>
            </w:pPr>
            <w:r w:rsidRPr="0023395B">
              <w:rPr>
                <w:rFonts w:ascii="Arial Narrow" w:hAnsi="Arial Narrow"/>
                <w:b/>
                <w:bCs/>
                <w:sz w:val="20"/>
                <w:szCs w:val="20"/>
                <w:u w:val="single"/>
              </w:rPr>
              <w:t>Note</w:t>
            </w:r>
            <w:r w:rsidRPr="0023395B">
              <w:rPr>
                <w:rFonts w:ascii="Arial Narrow" w:hAnsi="Arial Narrow"/>
                <w:b/>
                <w:bCs/>
                <w:sz w:val="20"/>
                <w:szCs w:val="20"/>
              </w:rPr>
              <w:t xml:space="preserve">: </w:t>
            </w:r>
            <w:r w:rsidRPr="0023395B">
              <w:rPr>
                <w:rFonts w:ascii="Arial Narrow" w:hAnsi="Arial Narrow"/>
                <w:bCs/>
                <w:sz w:val="20"/>
                <w:szCs w:val="20"/>
              </w:rPr>
              <w:t>No increase in the maximum number of repeats may be authorised.</w:t>
            </w:r>
          </w:p>
        </w:tc>
      </w:tr>
      <w:tr w:rsidR="00017CF7" w:rsidRPr="0023395B" w14:paraId="1DAECD0A" w14:textId="77777777" w:rsidTr="00CB7EC1">
        <w:tblPrEx>
          <w:tblCellMar>
            <w:top w:w="15" w:type="dxa"/>
            <w:left w:w="15" w:type="dxa"/>
            <w:bottom w:w="15" w:type="dxa"/>
            <w:right w:w="15" w:type="dxa"/>
          </w:tblCellMar>
          <w:tblLook w:val="04A0" w:firstRow="1" w:lastRow="0" w:firstColumn="1" w:lastColumn="0" w:noHBand="0" w:noVBand="1"/>
        </w:tblPrEx>
        <w:trPr>
          <w:trHeight w:val="35"/>
        </w:trPr>
        <w:tc>
          <w:tcPr>
            <w:tcW w:w="53" w:type="pct"/>
            <w:vMerge/>
            <w:tcBorders>
              <w:left w:val="single" w:sz="4" w:space="0" w:color="auto"/>
            </w:tcBorders>
          </w:tcPr>
          <w:p w14:paraId="589196A7" w14:textId="77777777" w:rsidR="00017CF7" w:rsidRPr="0023395B" w:rsidRDefault="00017CF7" w:rsidP="00CB7EC1">
            <w:pPr>
              <w:jc w:val="center"/>
              <w:rPr>
                <w:rFonts w:ascii="Arial Narrow" w:hAnsi="Arial Narrow"/>
                <w:sz w:val="20"/>
                <w:szCs w:val="20"/>
              </w:rPr>
            </w:pPr>
          </w:p>
        </w:tc>
        <w:tc>
          <w:tcPr>
            <w:tcW w:w="4947" w:type="pct"/>
            <w:gridSpan w:val="6"/>
          </w:tcPr>
          <w:p w14:paraId="644D6E17"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Administrative advice:</w:t>
            </w:r>
          </w:p>
          <w:p w14:paraId="09855801"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Any queries concerning the arrangements to prescribe may be directed to Services Australia on 1800 700 270 (hours of operation 8 a.m. to 5 p.m. EST Monday to Friday).</w:t>
            </w:r>
          </w:p>
          <w:p w14:paraId="5B8DC433"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68ACCE50"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4873C195"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Or mailed to:</w:t>
            </w:r>
          </w:p>
          <w:p w14:paraId="1BD647E6"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Services Australia</w:t>
            </w:r>
          </w:p>
          <w:p w14:paraId="06910312"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Complex Drugs</w:t>
            </w:r>
          </w:p>
          <w:p w14:paraId="042F8C14" w14:textId="77777777" w:rsidR="00017CF7" w:rsidRPr="0023395B" w:rsidRDefault="00017CF7" w:rsidP="00CB7EC1">
            <w:pPr>
              <w:ind w:right="57"/>
              <w:rPr>
                <w:rFonts w:ascii="Arial Narrow" w:hAnsi="Arial Narrow"/>
                <w:bCs/>
                <w:sz w:val="20"/>
                <w:szCs w:val="20"/>
              </w:rPr>
            </w:pPr>
            <w:r w:rsidRPr="0023395B">
              <w:rPr>
                <w:rFonts w:ascii="Arial Narrow" w:hAnsi="Arial Narrow"/>
                <w:bCs/>
                <w:sz w:val="20"/>
                <w:szCs w:val="20"/>
              </w:rPr>
              <w:t>Reply Paid 9826</w:t>
            </w:r>
          </w:p>
          <w:p w14:paraId="2F1D9A22" w14:textId="77777777" w:rsidR="00017CF7" w:rsidRPr="0023395B" w:rsidRDefault="00017CF7" w:rsidP="00CB7EC1">
            <w:pPr>
              <w:ind w:right="57"/>
              <w:rPr>
                <w:rFonts w:ascii="Arial Narrow" w:hAnsi="Arial Narrow"/>
                <w:b/>
                <w:bCs/>
                <w:sz w:val="20"/>
                <w:szCs w:val="20"/>
                <w:u w:val="single"/>
              </w:rPr>
            </w:pPr>
            <w:r w:rsidRPr="0023395B">
              <w:rPr>
                <w:rFonts w:ascii="Arial Narrow" w:hAnsi="Arial Narrow"/>
                <w:bCs/>
                <w:sz w:val="20"/>
                <w:szCs w:val="20"/>
              </w:rPr>
              <w:t>HOBART TAS 7001</w:t>
            </w:r>
          </w:p>
        </w:tc>
      </w:tr>
      <w:tr w:rsidR="00017CF7" w:rsidRPr="0023395B" w14:paraId="722429E6" w14:textId="77777777" w:rsidTr="00CB7EC1">
        <w:tblPrEx>
          <w:tblCellMar>
            <w:top w:w="15" w:type="dxa"/>
            <w:left w:w="15" w:type="dxa"/>
            <w:bottom w:w="15" w:type="dxa"/>
            <w:right w:w="15" w:type="dxa"/>
          </w:tblCellMar>
          <w:tblLook w:val="04A0" w:firstRow="1" w:lastRow="0" w:firstColumn="1" w:lastColumn="0" w:noHBand="0" w:noVBand="1"/>
        </w:tblPrEx>
        <w:tc>
          <w:tcPr>
            <w:tcW w:w="53" w:type="pct"/>
            <w:vMerge w:val="restart"/>
            <w:vAlign w:val="center"/>
          </w:tcPr>
          <w:p w14:paraId="55FCC56F"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5D2F1421" w14:textId="77777777" w:rsidR="00017CF7" w:rsidRPr="0023395B" w:rsidRDefault="00017CF7" w:rsidP="00CB7EC1">
            <w:pPr>
              <w:rPr>
                <w:rFonts w:ascii="Arial Narrow" w:hAnsi="Arial Narrow"/>
                <w:b/>
                <w:bCs/>
                <w:i/>
                <w:sz w:val="20"/>
                <w:szCs w:val="20"/>
              </w:rPr>
            </w:pPr>
            <w:proofErr w:type="spellStart"/>
            <w:r w:rsidRPr="0023395B">
              <w:rPr>
                <w:rFonts w:ascii="Arial Narrow" w:hAnsi="Arial Narrow"/>
                <w:b/>
                <w:bCs/>
                <w:i/>
                <w:sz w:val="20"/>
                <w:szCs w:val="20"/>
              </w:rPr>
              <w:t>Episodicity</w:t>
            </w:r>
            <w:proofErr w:type="spellEnd"/>
            <w:r w:rsidRPr="0023395B">
              <w:rPr>
                <w:rFonts w:ascii="Arial Narrow" w:hAnsi="Arial Narrow"/>
                <w:b/>
                <w:bCs/>
                <w:i/>
                <w:sz w:val="20"/>
                <w:szCs w:val="20"/>
              </w:rPr>
              <w:t xml:space="preserve">: </w:t>
            </w:r>
            <w:r w:rsidRPr="0023395B">
              <w:rPr>
                <w:rFonts w:ascii="Arial Narrow" w:hAnsi="Arial Narrow"/>
                <w:i/>
                <w:sz w:val="20"/>
                <w:szCs w:val="20"/>
              </w:rPr>
              <w:t>[blank]</w:t>
            </w:r>
          </w:p>
        </w:tc>
      </w:tr>
      <w:tr w:rsidR="00017CF7" w:rsidRPr="0023395B" w14:paraId="34BDF11F" w14:textId="77777777" w:rsidTr="00CB7EC1">
        <w:tblPrEx>
          <w:tblCellMar>
            <w:top w:w="15" w:type="dxa"/>
            <w:left w:w="15" w:type="dxa"/>
            <w:bottom w:w="15" w:type="dxa"/>
            <w:right w:w="15" w:type="dxa"/>
          </w:tblCellMar>
          <w:tblLook w:val="04A0" w:firstRow="1" w:lastRow="0" w:firstColumn="1" w:lastColumn="0" w:noHBand="0" w:noVBand="1"/>
        </w:tblPrEx>
        <w:tc>
          <w:tcPr>
            <w:tcW w:w="53" w:type="pct"/>
            <w:vMerge/>
            <w:vAlign w:val="center"/>
          </w:tcPr>
          <w:p w14:paraId="70685CAE"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6EB8706D" w14:textId="77777777" w:rsidR="00017CF7" w:rsidRPr="0023395B" w:rsidRDefault="00017CF7" w:rsidP="00CB7EC1">
            <w:pPr>
              <w:rPr>
                <w:rFonts w:ascii="Arial Narrow" w:hAnsi="Arial Narrow"/>
                <w:b/>
                <w:bCs/>
                <w:i/>
                <w:sz w:val="20"/>
                <w:szCs w:val="20"/>
              </w:rPr>
            </w:pPr>
            <w:r w:rsidRPr="0023395B">
              <w:rPr>
                <w:rFonts w:ascii="Arial Narrow" w:hAnsi="Arial Narrow"/>
                <w:b/>
                <w:bCs/>
                <w:i/>
                <w:sz w:val="20"/>
                <w:szCs w:val="20"/>
              </w:rPr>
              <w:t xml:space="preserve">Severity: </w:t>
            </w:r>
            <w:r w:rsidRPr="0023395B">
              <w:rPr>
                <w:rFonts w:ascii="Arial Narrow" w:hAnsi="Arial Narrow"/>
                <w:i/>
                <w:sz w:val="20"/>
                <w:szCs w:val="20"/>
              </w:rPr>
              <w:t>Severe</w:t>
            </w:r>
          </w:p>
        </w:tc>
      </w:tr>
      <w:tr w:rsidR="00017CF7" w:rsidRPr="0023395B" w14:paraId="166272AF" w14:textId="77777777" w:rsidTr="00CB7EC1">
        <w:tblPrEx>
          <w:tblCellMar>
            <w:top w:w="15" w:type="dxa"/>
            <w:left w:w="15" w:type="dxa"/>
            <w:bottom w:w="15" w:type="dxa"/>
            <w:right w:w="15" w:type="dxa"/>
          </w:tblCellMar>
          <w:tblLook w:val="04A0" w:firstRow="1" w:lastRow="0" w:firstColumn="1" w:lastColumn="0" w:noHBand="0" w:noVBand="1"/>
        </w:tblPrEx>
        <w:tc>
          <w:tcPr>
            <w:tcW w:w="53" w:type="pct"/>
            <w:vMerge/>
            <w:vAlign w:val="center"/>
          </w:tcPr>
          <w:p w14:paraId="75D7FEE9"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7A5B29E0" w14:textId="77777777" w:rsidR="00017CF7" w:rsidRPr="0023395B" w:rsidRDefault="00017CF7" w:rsidP="00CB7EC1">
            <w:pPr>
              <w:rPr>
                <w:rFonts w:ascii="Arial Narrow" w:hAnsi="Arial Narrow"/>
                <w:b/>
                <w:bCs/>
                <w:i/>
                <w:sz w:val="20"/>
                <w:szCs w:val="20"/>
              </w:rPr>
            </w:pPr>
            <w:r w:rsidRPr="0023395B">
              <w:rPr>
                <w:rFonts w:ascii="Arial Narrow" w:hAnsi="Arial Narrow"/>
                <w:b/>
                <w:bCs/>
                <w:i/>
                <w:sz w:val="20"/>
                <w:szCs w:val="20"/>
              </w:rPr>
              <w:t xml:space="preserve">Condition: </w:t>
            </w:r>
            <w:proofErr w:type="spellStart"/>
            <w:r w:rsidRPr="0023395B">
              <w:rPr>
                <w:rFonts w:ascii="Arial Narrow" w:hAnsi="Arial Narrow"/>
                <w:i/>
                <w:strike/>
                <w:sz w:val="20"/>
                <w:szCs w:val="20"/>
              </w:rPr>
              <w:t>g</w:t>
            </w:r>
            <w:r w:rsidRPr="0023395B">
              <w:rPr>
                <w:rFonts w:ascii="Arial Narrow" w:hAnsi="Arial Narrow"/>
                <w:i/>
                <w:sz w:val="20"/>
                <w:szCs w:val="20"/>
              </w:rPr>
              <w:t>G</w:t>
            </w:r>
            <w:r w:rsidRPr="0023395B">
              <w:rPr>
                <w:rFonts w:ascii="Arial Narrow" w:hAnsi="Arial Narrow"/>
                <w:sz w:val="20"/>
                <w:szCs w:val="20"/>
              </w:rPr>
              <w:t>rowth</w:t>
            </w:r>
            <w:proofErr w:type="spellEnd"/>
            <w:r w:rsidRPr="0023395B">
              <w:rPr>
                <w:rFonts w:ascii="Arial Narrow" w:hAnsi="Arial Narrow"/>
                <w:sz w:val="20"/>
                <w:szCs w:val="20"/>
              </w:rPr>
              <w:t xml:space="preserve"> failure with primary insulin-like growth factor-1 deficiency</w:t>
            </w:r>
          </w:p>
        </w:tc>
      </w:tr>
      <w:tr w:rsidR="00017CF7" w:rsidRPr="0023395B" w14:paraId="217F4BD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59D6643C"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10D048A3" w14:textId="77777777" w:rsidR="00017CF7" w:rsidRPr="0023395B" w:rsidRDefault="00017CF7" w:rsidP="00CB7EC1">
            <w:pPr>
              <w:rPr>
                <w:rFonts w:ascii="Arial Narrow" w:hAnsi="Arial Narrow"/>
                <w:sz w:val="20"/>
                <w:szCs w:val="20"/>
              </w:rPr>
            </w:pPr>
            <w:r w:rsidRPr="0023395B">
              <w:rPr>
                <w:rFonts w:ascii="Arial Narrow" w:hAnsi="Arial Narrow"/>
                <w:b/>
                <w:bCs/>
                <w:sz w:val="20"/>
                <w:szCs w:val="20"/>
              </w:rPr>
              <w:t>Indication:</w:t>
            </w:r>
            <w:r w:rsidRPr="0023395B">
              <w:rPr>
                <w:rFonts w:ascii="Arial Narrow" w:hAnsi="Arial Narrow"/>
                <w:sz w:val="20"/>
                <w:szCs w:val="20"/>
              </w:rPr>
              <w:t xml:space="preserve"> Severe growth failure with primary insulin-like growth factor-1 deficiency</w:t>
            </w:r>
          </w:p>
        </w:tc>
      </w:tr>
      <w:tr w:rsidR="00017CF7" w:rsidRPr="0023395B" w14:paraId="2EDC1793"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2B8D3A8B"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640BAC41" w14:textId="77777777" w:rsidR="00017CF7" w:rsidRPr="0023395B" w:rsidRDefault="00017CF7" w:rsidP="00CB7EC1">
            <w:pPr>
              <w:rPr>
                <w:rFonts w:ascii="Arial Narrow" w:hAnsi="Arial Narrow"/>
                <w:sz w:val="20"/>
                <w:szCs w:val="20"/>
              </w:rPr>
            </w:pPr>
            <w:r w:rsidRPr="0023395B">
              <w:rPr>
                <w:rFonts w:ascii="Arial Narrow" w:hAnsi="Arial Narrow"/>
                <w:b/>
                <w:bCs/>
                <w:sz w:val="20"/>
                <w:szCs w:val="20"/>
              </w:rPr>
              <w:t>Treatment Phase:</w:t>
            </w:r>
            <w:r w:rsidRPr="0023395B">
              <w:rPr>
                <w:rFonts w:ascii="Arial Narrow" w:hAnsi="Arial Narrow"/>
                <w:sz w:val="20"/>
                <w:szCs w:val="20"/>
              </w:rPr>
              <w:t xml:space="preserve"> Initial treatment</w:t>
            </w:r>
          </w:p>
        </w:tc>
      </w:tr>
      <w:tr w:rsidR="00017CF7" w:rsidRPr="0023395B" w14:paraId="5DAD7804"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C8133B3"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13A936F1" w14:textId="77777777" w:rsidR="00017CF7" w:rsidRPr="0023395B" w:rsidRDefault="00017CF7" w:rsidP="00CB7EC1">
            <w:pPr>
              <w:rPr>
                <w:rFonts w:ascii="Arial Narrow" w:hAnsi="Arial Narrow"/>
                <w:sz w:val="20"/>
                <w:szCs w:val="20"/>
              </w:rPr>
            </w:pPr>
            <w:r w:rsidRPr="0023395B">
              <w:rPr>
                <w:rFonts w:ascii="Arial Narrow" w:hAnsi="Arial Narrow"/>
                <w:b/>
                <w:bCs/>
                <w:sz w:val="20"/>
                <w:szCs w:val="20"/>
              </w:rPr>
              <w:t xml:space="preserve">Clinical criteria: </w:t>
            </w:r>
          </w:p>
        </w:tc>
      </w:tr>
      <w:tr w:rsidR="00017CF7" w:rsidRPr="0023395B" w14:paraId="0BD87713"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62E221B2"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18338741" w14:textId="77777777" w:rsidR="00017CF7" w:rsidRPr="0023395B" w:rsidRDefault="00017CF7" w:rsidP="00CB7EC1">
            <w:pPr>
              <w:ind w:right="57"/>
              <w:rPr>
                <w:rFonts w:ascii="Arial Narrow" w:hAnsi="Arial Narrow"/>
                <w:sz w:val="20"/>
                <w:szCs w:val="20"/>
              </w:rPr>
            </w:pPr>
            <w:r w:rsidRPr="0023395B">
              <w:rPr>
                <w:rFonts w:ascii="Arial Narrow" w:hAnsi="Arial Narrow" w:cs="Arial Narrow"/>
                <w:iCs/>
                <w:sz w:val="20"/>
                <w:szCs w:val="20"/>
              </w:rPr>
              <w:t>The condition must be caused by severe primary insulin-like growth factor-1 deficiency (IGFD), with IGFD deficiency for the purpose of PBS-subsidy defined as a basal IGF-1 level (measured any time prior to initiating treatment with this drug) below the 2.5</w:t>
            </w:r>
            <w:r w:rsidRPr="0023395B">
              <w:rPr>
                <w:rFonts w:ascii="Arial Narrow" w:hAnsi="Arial Narrow" w:cs="Arial Narrow"/>
                <w:iCs/>
                <w:sz w:val="20"/>
                <w:szCs w:val="20"/>
                <w:vertAlign w:val="superscript"/>
              </w:rPr>
              <w:t>th</w:t>
            </w:r>
            <w:r w:rsidRPr="0023395B">
              <w:rPr>
                <w:rFonts w:ascii="Arial Narrow" w:hAnsi="Arial Narrow" w:cs="Arial Narrow"/>
                <w:iCs/>
                <w:sz w:val="20"/>
                <w:szCs w:val="20"/>
              </w:rPr>
              <w:t xml:space="preserve"> percentile adjusted for each of: (</w:t>
            </w:r>
            <w:proofErr w:type="spellStart"/>
            <w:r w:rsidRPr="0023395B">
              <w:rPr>
                <w:rFonts w:ascii="Arial Narrow" w:hAnsi="Arial Narrow" w:cs="Arial Narrow"/>
                <w:iCs/>
                <w:sz w:val="20"/>
                <w:szCs w:val="20"/>
              </w:rPr>
              <w:t>i</w:t>
            </w:r>
            <w:proofErr w:type="spellEnd"/>
            <w:r w:rsidRPr="0023395B">
              <w:rPr>
                <w:rFonts w:ascii="Arial Narrow" w:hAnsi="Arial Narrow" w:cs="Arial Narrow"/>
                <w:iCs/>
                <w:sz w:val="20"/>
                <w:szCs w:val="20"/>
              </w:rPr>
              <w:t>) age, (ii) gender; state in this authority application the patient’s basal IGF-1 level measured in ng/mL, including the measurement date in dd/mm/</w:t>
            </w:r>
            <w:proofErr w:type="spellStart"/>
            <w:r w:rsidRPr="0023395B">
              <w:rPr>
                <w:rFonts w:ascii="Arial Narrow" w:hAnsi="Arial Narrow" w:cs="Arial Narrow"/>
                <w:iCs/>
                <w:sz w:val="20"/>
                <w:szCs w:val="20"/>
              </w:rPr>
              <w:t>yy</w:t>
            </w:r>
            <w:proofErr w:type="spellEnd"/>
            <w:r w:rsidRPr="0023395B">
              <w:rPr>
                <w:rFonts w:ascii="Arial Narrow" w:hAnsi="Arial Narrow" w:cs="Arial Narrow"/>
                <w:iCs/>
                <w:sz w:val="20"/>
                <w:szCs w:val="20"/>
              </w:rPr>
              <w:t>, plus the name of the pathology result provider</w:t>
            </w:r>
            <w:r w:rsidRPr="0023395B">
              <w:rPr>
                <w:rFonts w:ascii="Arial Narrow" w:hAnsi="Arial Narrow" w:cs="Arial Narrow"/>
                <w:i/>
                <w:iCs/>
                <w:sz w:val="20"/>
                <w:szCs w:val="20"/>
              </w:rPr>
              <w:t xml:space="preserve">.  </w:t>
            </w:r>
          </w:p>
        </w:tc>
      </w:tr>
      <w:tr w:rsidR="00017CF7" w:rsidRPr="0023395B" w14:paraId="3055A27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0A5CB8B2"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22263F43"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AND</w:t>
            </w:r>
          </w:p>
        </w:tc>
      </w:tr>
      <w:tr w:rsidR="00017CF7" w:rsidRPr="0023395B" w14:paraId="4E4E8C24"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604680C0"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0BC63792"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Clinical criteria:</w:t>
            </w:r>
          </w:p>
        </w:tc>
      </w:tr>
      <w:tr w:rsidR="00017CF7" w:rsidRPr="0023395B" w14:paraId="2337100E"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6633272"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16931270"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 xml:space="preserve">The condition must have resulted in the patient experiencing short stature, with short stature for the purpose of PBS-subsidy defined as the patient’s height (measured any time prior to initiating treatment with this drug) being at least 3 standard deviations below the norm, adjusted for each of: </w:t>
            </w:r>
            <w:r w:rsidRPr="0023395B">
              <w:rPr>
                <w:rFonts w:ascii="Arial Narrow" w:hAnsi="Arial Narrow"/>
                <w:i/>
                <w:sz w:val="20"/>
                <w:szCs w:val="20"/>
              </w:rPr>
              <w:t>(</w:t>
            </w:r>
            <w:proofErr w:type="spellStart"/>
            <w:r w:rsidRPr="0023395B">
              <w:rPr>
                <w:rFonts w:ascii="Arial Narrow" w:hAnsi="Arial Narrow"/>
                <w:i/>
                <w:sz w:val="20"/>
                <w:szCs w:val="20"/>
              </w:rPr>
              <w:t>i</w:t>
            </w:r>
            <w:proofErr w:type="spellEnd"/>
            <w:r w:rsidRPr="0023395B">
              <w:rPr>
                <w:rFonts w:ascii="Arial Narrow" w:hAnsi="Arial Narrow"/>
                <w:i/>
                <w:sz w:val="20"/>
                <w:szCs w:val="20"/>
              </w:rPr>
              <w:t>)</w:t>
            </w:r>
            <w:r w:rsidRPr="0023395B">
              <w:rPr>
                <w:rFonts w:ascii="Arial Narrow" w:hAnsi="Arial Narrow"/>
                <w:sz w:val="20"/>
                <w:szCs w:val="20"/>
              </w:rPr>
              <w:t xml:space="preserve"> age, (ii) gender; state in this authority application the patient’s height in centimetres, including the measurement date in dd/mm/</w:t>
            </w:r>
            <w:proofErr w:type="spellStart"/>
            <w:r w:rsidRPr="0023395B">
              <w:rPr>
                <w:rFonts w:ascii="Arial Narrow" w:hAnsi="Arial Narrow"/>
                <w:sz w:val="20"/>
                <w:szCs w:val="20"/>
              </w:rPr>
              <w:t>yy</w:t>
            </w:r>
            <w:proofErr w:type="spellEnd"/>
            <w:r w:rsidRPr="0023395B">
              <w:rPr>
                <w:rFonts w:ascii="Arial Narrow" w:hAnsi="Arial Narrow"/>
                <w:sz w:val="20"/>
                <w:szCs w:val="20"/>
              </w:rPr>
              <w:t xml:space="preserve"> </w:t>
            </w:r>
          </w:p>
        </w:tc>
      </w:tr>
      <w:tr w:rsidR="00017CF7" w:rsidRPr="0023395B" w14:paraId="43088530"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126FB9DD"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6339FF6B"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AND</w:t>
            </w:r>
          </w:p>
        </w:tc>
      </w:tr>
      <w:tr w:rsidR="00017CF7" w:rsidRPr="0023395B" w14:paraId="73B9D6BC"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8EA49B2"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0F1A018A"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Clinical criteria:</w:t>
            </w:r>
          </w:p>
        </w:tc>
      </w:tr>
      <w:tr w:rsidR="00017CF7" w:rsidRPr="0023395B" w14:paraId="4648B5F0"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B6FCEB4"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4B599227"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 xml:space="preserve">The condition must have resulted in the patient experiencing slow growth, with slow growth for the purpose of PBS-subsidy defined as a baseline height velocity </w:t>
            </w:r>
            <w:r w:rsidRPr="0023395B">
              <w:rPr>
                <w:rFonts w:ascii="Arial Narrow" w:hAnsi="Arial Narrow"/>
                <w:i/>
                <w:sz w:val="20"/>
                <w:szCs w:val="20"/>
              </w:rPr>
              <w:t>on CDC2000 charts</w:t>
            </w:r>
            <w:r w:rsidRPr="0023395B">
              <w:rPr>
                <w:rFonts w:ascii="Arial Narrow" w:hAnsi="Arial Narrow"/>
                <w:sz w:val="20"/>
                <w:szCs w:val="20"/>
              </w:rPr>
              <w:t xml:space="preserve"> (measured any time prior to initiating treatment with this drug) less than the 25</w:t>
            </w:r>
            <w:r w:rsidRPr="0023395B">
              <w:rPr>
                <w:rFonts w:ascii="Arial Narrow" w:hAnsi="Arial Narrow"/>
                <w:sz w:val="20"/>
                <w:szCs w:val="20"/>
                <w:vertAlign w:val="superscript"/>
              </w:rPr>
              <w:t>th</w:t>
            </w:r>
            <w:r w:rsidRPr="0023395B">
              <w:rPr>
                <w:rFonts w:ascii="Arial Narrow" w:hAnsi="Arial Narrow"/>
                <w:sz w:val="20"/>
                <w:szCs w:val="20"/>
              </w:rPr>
              <w:t xml:space="preserve"> percentile for bone age, based on 2 measurements over 12 months; state in this authority application each of the 2 height velocity measurements in cm/year, including the 2 time points the measurements were observed in month/year.</w:t>
            </w:r>
          </w:p>
        </w:tc>
      </w:tr>
      <w:tr w:rsidR="00017CF7" w:rsidRPr="0023395B" w14:paraId="0AFB1738"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6E7894DF"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22F4234D"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AND</w:t>
            </w:r>
          </w:p>
        </w:tc>
      </w:tr>
      <w:tr w:rsidR="00017CF7" w:rsidRPr="0023395B" w14:paraId="752837ED"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5DB67571"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3BC44F6F"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Clinical criteria:</w:t>
            </w:r>
          </w:p>
        </w:tc>
      </w:tr>
      <w:tr w:rsidR="00017CF7" w:rsidRPr="0023395B" w14:paraId="5E507F03"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22F680CD"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65B7FC22"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 xml:space="preserve">The condition must not be caused by growth hormone deficiency – substantiate this by stating in this authority application the patient’s measured (any time point) peak growth hormone level in ug/L, along with the pathology provider’s stated lower range of ‘normal’ </w:t>
            </w:r>
          </w:p>
        </w:tc>
      </w:tr>
      <w:tr w:rsidR="00017CF7" w:rsidRPr="0023395B" w14:paraId="03006CCB"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51258E0D"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28C75B25" w14:textId="77777777" w:rsidR="00017CF7" w:rsidRPr="0023395B" w:rsidRDefault="00017CF7" w:rsidP="00CB7EC1">
            <w:pPr>
              <w:ind w:right="57"/>
              <w:rPr>
                <w:rFonts w:ascii="Arial Narrow" w:hAnsi="Arial Narrow"/>
                <w:i/>
                <w:sz w:val="20"/>
                <w:szCs w:val="20"/>
              </w:rPr>
            </w:pPr>
            <w:r w:rsidRPr="0023395B">
              <w:rPr>
                <w:rFonts w:ascii="Arial Narrow" w:hAnsi="Arial Narrow"/>
                <w:b/>
                <w:bCs/>
                <w:i/>
                <w:color w:val="000000" w:themeColor="text1"/>
                <w:sz w:val="20"/>
                <w:szCs w:val="20"/>
              </w:rPr>
              <w:t>AND</w:t>
            </w:r>
          </w:p>
        </w:tc>
      </w:tr>
      <w:tr w:rsidR="00017CF7" w:rsidRPr="0023395B" w14:paraId="2D9083BC"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25A4CC3"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1D3FA458" w14:textId="77777777" w:rsidR="00017CF7" w:rsidRPr="0023395B" w:rsidRDefault="00017CF7" w:rsidP="00CB7EC1">
            <w:pPr>
              <w:ind w:right="57"/>
              <w:rPr>
                <w:rFonts w:ascii="Arial Narrow" w:hAnsi="Arial Narrow"/>
                <w:i/>
                <w:sz w:val="20"/>
                <w:szCs w:val="20"/>
              </w:rPr>
            </w:pPr>
            <w:r w:rsidRPr="0023395B">
              <w:rPr>
                <w:rFonts w:ascii="Arial Narrow" w:hAnsi="Arial Narrow"/>
                <w:b/>
                <w:bCs/>
                <w:i/>
                <w:color w:val="000000" w:themeColor="text1"/>
                <w:sz w:val="20"/>
                <w:szCs w:val="20"/>
              </w:rPr>
              <w:t>Clinical criteria:</w:t>
            </w:r>
          </w:p>
        </w:tc>
      </w:tr>
      <w:tr w:rsidR="00017CF7" w:rsidRPr="0023395B" w14:paraId="7F2A0214"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1C1A8CE1"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419B5573" w14:textId="77777777" w:rsidR="00017CF7" w:rsidRPr="0023395B" w:rsidRDefault="00017CF7" w:rsidP="00CB7EC1">
            <w:pPr>
              <w:ind w:right="57"/>
              <w:rPr>
                <w:rFonts w:ascii="Arial Narrow" w:hAnsi="Arial Narrow"/>
                <w:i/>
                <w:color w:val="000000" w:themeColor="text1"/>
                <w:sz w:val="20"/>
                <w:szCs w:val="20"/>
              </w:rPr>
            </w:pPr>
            <w:r w:rsidRPr="0023395B">
              <w:rPr>
                <w:rFonts w:ascii="Arial Narrow" w:hAnsi="Arial Narrow"/>
                <w:i/>
                <w:color w:val="000000" w:themeColor="text1"/>
                <w:sz w:val="20"/>
                <w:szCs w:val="20"/>
              </w:rPr>
              <w:t>Patient must have a bone age less than 13.5 years (in girls) or 15.5 years (in boys)</w:t>
            </w:r>
          </w:p>
        </w:tc>
      </w:tr>
      <w:tr w:rsidR="00017CF7" w:rsidRPr="0023395B" w14:paraId="3F834B95"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099EA949"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26D11E47"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AND</w:t>
            </w:r>
          </w:p>
        </w:tc>
      </w:tr>
      <w:tr w:rsidR="00017CF7" w:rsidRPr="0023395B" w14:paraId="4D6A2CAD"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2AF7590A"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6E1F9A2A"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Clinical criteria:</w:t>
            </w:r>
          </w:p>
        </w:tc>
      </w:tr>
      <w:tr w:rsidR="00017CF7" w:rsidRPr="0023395B" w14:paraId="1506DB8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7D40C694"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390F24E3"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The condition must not be caused by secondary causes of IGFD – prior to initiating treatment with this drug, the treating physician has at least excluded each of the following: (</w:t>
            </w:r>
            <w:proofErr w:type="spellStart"/>
            <w:r w:rsidRPr="0023395B">
              <w:rPr>
                <w:rFonts w:ascii="Arial Narrow" w:hAnsi="Arial Narrow"/>
                <w:sz w:val="20"/>
                <w:szCs w:val="20"/>
              </w:rPr>
              <w:t>i</w:t>
            </w:r>
            <w:proofErr w:type="spellEnd"/>
            <w:r w:rsidRPr="0023395B">
              <w:rPr>
                <w:rFonts w:ascii="Arial Narrow" w:hAnsi="Arial Narrow"/>
                <w:sz w:val="20"/>
                <w:szCs w:val="20"/>
              </w:rPr>
              <w:t>) malnutrition, (ii) hypopituitarism, (iii) hypothyroidism, (iv) medication side-effects</w:t>
            </w:r>
          </w:p>
        </w:tc>
      </w:tr>
      <w:tr w:rsidR="00017CF7" w:rsidRPr="0023395B" w14:paraId="2047A97C"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3209353" w14:textId="77777777" w:rsidR="00017CF7" w:rsidRPr="0023395B" w:rsidRDefault="00017CF7" w:rsidP="00CB7EC1">
            <w:pPr>
              <w:jc w:val="center"/>
              <w:rPr>
                <w:rFonts w:ascii="Arial Narrow" w:hAnsi="Arial Narrow"/>
                <w:i/>
                <w:color w:val="FF0000"/>
                <w:sz w:val="20"/>
                <w:szCs w:val="20"/>
              </w:rPr>
            </w:pPr>
          </w:p>
        </w:tc>
        <w:tc>
          <w:tcPr>
            <w:tcW w:w="4947" w:type="pct"/>
            <w:gridSpan w:val="6"/>
            <w:vAlign w:val="center"/>
          </w:tcPr>
          <w:p w14:paraId="53C0A35B" w14:textId="77777777" w:rsidR="00017CF7" w:rsidRPr="0023395B" w:rsidRDefault="00017CF7" w:rsidP="00CB7EC1">
            <w:pPr>
              <w:ind w:right="57"/>
              <w:rPr>
                <w:rFonts w:ascii="Arial Narrow" w:hAnsi="Arial Narrow"/>
                <w:i/>
                <w:sz w:val="20"/>
                <w:szCs w:val="20"/>
              </w:rPr>
            </w:pPr>
            <w:r w:rsidRPr="0023395B">
              <w:rPr>
                <w:rFonts w:ascii="Arial Narrow" w:hAnsi="Arial Narrow"/>
                <w:b/>
                <w:bCs/>
                <w:i/>
                <w:sz w:val="20"/>
                <w:szCs w:val="20"/>
              </w:rPr>
              <w:t>AND</w:t>
            </w:r>
          </w:p>
        </w:tc>
      </w:tr>
      <w:tr w:rsidR="00017CF7" w:rsidRPr="0023395B" w14:paraId="4041E30F"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783DC233" w14:textId="77777777" w:rsidR="00017CF7" w:rsidRPr="0023395B" w:rsidRDefault="00017CF7" w:rsidP="00CB7EC1">
            <w:pPr>
              <w:jc w:val="center"/>
              <w:rPr>
                <w:rFonts w:ascii="Arial Narrow" w:hAnsi="Arial Narrow"/>
                <w:i/>
                <w:color w:val="FF0000"/>
                <w:sz w:val="20"/>
                <w:szCs w:val="20"/>
              </w:rPr>
            </w:pPr>
          </w:p>
        </w:tc>
        <w:tc>
          <w:tcPr>
            <w:tcW w:w="4947" w:type="pct"/>
            <w:gridSpan w:val="6"/>
            <w:vAlign w:val="center"/>
          </w:tcPr>
          <w:p w14:paraId="74501BA8" w14:textId="77777777" w:rsidR="00017CF7" w:rsidRPr="0023395B" w:rsidRDefault="00017CF7" w:rsidP="00CB7EC1">
            <w:pPr>
              <w:ind w:right="57"/>
              <w:rPr>
                <w:rFonts w:ascii="Arial Narrow" w:hAnsi="Arial Narrow"/>
                <w:i/>
                <w:sz w:val="20"/>
                <w:szCs w:val="20"/>
              </w:rPr>
            </w:pPr>
            <w:r w:rsidRPr="0023395B">
              <w:rPr>
                <w:rFonts w:ascii="Arial Narrow" w:hAnsi="Arial Narrow"/>
                <w:b/>
                <w:bCs/>
                <w:i/>
                <w:sz w:val="20"/>
                <w:szCs w:val="20"/>
              </w:rPr>
              <w:t>Clinical criteria:</w:t>
            </w:r>
          </w:p>
        </w:tc>
      </w:tr>
      <w:tr w:rsidR="00017CF7" w:rsidRPr="0023395B" w14:paraId="74172E88"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AB086FF" w14:textId="77777777" w:rsidR="00017CF7" w:rsidRPr="0023395B" w:rsidRDefault="00017CF7" w:rsidP="00CB7EC1">
            <w:pPr>
              <w:jc w:val="center"/>
              <w:rPr>
                <w:rFonts w:ascii="Arial Narrow" w:hAnsi="Arial Narrow"/>
                <w:color w:val="FF0000"/>
                <w:sz w:val="20"/>
                <w:szCs w:val="20"/>
              </w:rPr>
            </w:pPr>
          </w:p>
        </w:tc>
        <w:tc>
          <w:tcPr>
            <w:tcW w:w="4947" w:type="pct"/>
            <w:gridSpan w:val="6"/>
            <w:vAlign w:val="center"/>
          </w:tcPr>
          <w:p w14:paraId="2137C898" w14:textId="77777777" w:rsidR="00017CF7" w:rsidRPr="0023395B" w:rsidRDefault="00017CF7" w:rsidP="00CB7EC1">
            <w:pPr>
              <w:ind w:right="57"/>
              <w:rPr>
                <w:rFonts w:ascii="Arial Narrow" w:hAnsi="Arial Narrow"/>
                <w:i/>
                <w:sz w:val="20"/>
                <w:szCs w:val="20"/>
              </w:rPr>
            </w:pPr>
            <w:r w:rsidRPr="0023395B">
              <w:rPr>
                <w:rFonts w:ascii="Arial Narrow" w:hAnsi="Arial Narrow"/>
                <w:i/>
                <w:sz w:val="20"/>
                <w:szCs w:val="20"/>
              </w:rPr>
              <w:t>The treatment must not be in a patient with known epiphyseal closure/growth plate fusion (</w:t>
            </w:r>
            <w:proofErr w:type="gramStart"/>
            <w:r w:rsidRPr="0023395B">
              <w:rPr>
                <w:rFonts w:ascii="Arial Narrow" w:hAnsi="Arial Narrow"/>
                <w:i/>
                <w:sz w:val="20"/>
                <w:szCs w:val="20"/>
              </w:rPr>
              <w:t>i.e.</w:t>
            </w:r>
            <w:proofErr w:type="gramEnd"/>
            <w:r w:rsidRPr="0023395B">
              <w:rPr>
                <w:rFonts w:ascii="Arial Narrow" w:hAnsi="Arial Narrow"/>
                <w:i/>
                <w:sz w:val="20"/>
                <w:szCs w:val="20"/>
              </w:rPr>
              <w:t xml:space="preserve"> the patient is known to have ceased growing)</w:t>
            </w:r>
          </w:p>
        </w:tc>
      </w:tr>
      <w:tr w:rsidR="00017CF7" w:rsidRPr="0023395B" w14:paraId="278B791E"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86103E7"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7CDF8F5A"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Treatment criteria:</w:t>
            </w:r>
          </w:p>
        </w:tc>
      </w:tr>
      <w:tr w:rsidR="00017CF7" w:rsidRPr="0023395B" w14:paraId="001B77D1"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2CB22C79"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4A60D6C1" w14:textId="1BAB4DB8" w:rsidR="00017CF7" w:rsidRPr="0023395B" w:rsidRDefault="00017CF7" w:rsidP="00CB7EC1">
            <w:pPr>
              <w:ind w:right="57"/>
              <w:rPr>
                <w:rFonts w:ascii="Arial Narrow" w:hAnsi="Arial Narrow"/>
                <w:sz w:val="20"/>
                <w:szCs w:val="20"/>
              </w:rPr>
            </w:pPr>
            <w:r w:rsidRPr="0023395B">
              <w:rPr>
                <w:rFonts w:ascii="Arial Narrow" w:hAnsi="Arial Narrow"/>
                <w:sz w:val="20"/>
                <w:szCs w:val="20"/>
              </w:rPr>
              <w:t>Must be treated by a specialist physician identifying as one of: (</w:t>
            </w:r>
            <w:proofErr w:type="spellStart"/>
            <w:r w:rsidRPr="0023395B">
              <w:rPr>
                <w:rFonts w:ascii="Arial Narrow" w:hAnsi="Arial Narrow"/>
                <w:sz w:val="20"/>
                <w:szCs w:val="20"/>
              </w:rPr>
              <w:t>i</w:t>
            </w:r>
            <w:proofErr w:type="spellEnd"/>
            <w:r w:rsidRPr="0023395B">
              <w:rPr>
                <w:rFonts w:ascii="Arial Narrow" w:hAnsi="Arial Narrow"/>
                <w:sz w:val="20"/>
                <w:szCs w:val="20"/>
              </w:rPr>
              <w:t>) a paediatric endocrinologist; the authority application form must be completed by the specified physician type; OR</w:t>
            </w:r>
          </w:p>
        </w:tc>
      </w:tr>
      <w:tr w:rsidR="00017CF7" w:rsidRPr="0023395B" w14:paraId="719EBCE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8D04E44"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2A57492B" w14:textId="77777777" w:rsidR="00017CF7" w:rsidRPr="0023395B" w:rsidRDefault="00017CF7" w:rsidP="00CB7EC1">
            <w:pPr>
              <w:autoSpaceDE w:val="0"/>
              <w:autoSpaceDN w:val="0"/>
              <w:adjustRightInd w:val="0"/>
              <w:ind w:right="57"/>
              <w:rPr>
                <w:rFonts w:ascii="Arial Narrow" w:hAnsi="Arial Narrow" w:cs="Arial Narrow"/>
                <w:iCs/>
                <w:sz w:val="20"/>
                <w:szCs w:val="20"/>
              </w:rPr>
            </w:pPr>
            <w:r w:rsidRPr="0023395B">
              <w:rPr>
                <w:rFonts w:ascii="Arial Narrow" w:hAnsi="Arial Narrow"/>
                <w:sz w:val="20"/>
                <w:szCs w:val="20"/>
              </w:rPr>
              <w:t xml:space="preserve">Must be treated by a paediatrician who has consulted the </w:t>
            </w:r>
            <w:proofErr w:type="gramStart"/>
            <w:r w:rsidRPr="0023395B">
              <w:rPr>
                <w:rFonts w:ascii="Arial Narrow" w:hAnsi="Arial Narrow"/>
                <w:sz w:val="20"/>
                <w:szCs w:val="20"/>
              </w:rPr>
              <w:t>above mentioned</w:t>
            </w:r>
            <w:proofErr w:type="gramEnd"/>
            <w:r w:rsidRPr="0023395B">
              <w:rPr>
                <w:rFonts w:ascii="Arial Narrow" w:hAnsi="Arial Narrow"/>
                <w:sz w:val="20"/>
                <w:szCs w:val="20"/>
              </w:rPr>
              <w:t xml:space="preserve"> specialist type, with the authority application form completed by this paediatrician.</w:t>
            </w:r>
          </w:p>
        </w:tc>
      </w:tr>
      <w:tr w:rsidR="00017CF7" w:rsidRPr="0023395B" w14:paraId="1D9A98EE"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71C1D24A"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33AD6223"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Population criteria:</w:t>
            </w:r>
          </w:p>
        </w:tc>
      </w:tr>
      <w:tr w:rsidR="00017CF7" w:rsidRPr="0023395B" w14:paraId="30C8830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EE9AF7D"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75FE1DC2"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Patient must be aged from 2 years up until their 19</w:t>
            </w:r>
            <w:r w:rsidRPr="0023395B">
              <w:rPr>
                <w:rFonts w:ascii="Arial Narrow" w:hAnsi="Arial Narrow"/>
                <w:sz w:val="20"/>
                <w:szCs w:val="20"/>
                <w:vertAlign w:val="superscript"/>
              </w:rPr>
              <w:t>th</w:t>
            </w:r>
            <w:r w:rsidRPr="0023395B">
              <w:rPr>
                <w:rFonts w:ascii="Arial Narrow" w:hAnsi="Arial Narrow"/>
                <w:sz w:val="20"/>
                <w:szCs w:val="20"/>
              </w:rPr>
              <w:t xml:space="preserve"> birthday </w:t>
            </w:r>
          </w:p>
        </w:tc>
      </w:tr>
      <w:tr w:rsidR="00017CF7" w:rsidRPr="0023395B" w14:paraId="5A6F2F3C" w14:textId="77777777" w:rsidTr="00CB7EC1">
        <w:tblPrEx>
          <w:tblCellMar>
            <w:top w:w="15" w:type="dxa"/>
            <w:left w:w="15" w:type="dxa"/>
            <w:bottom w:w="15" w:type="dxa"/>
            <w:right w:w="15" w:type="dxa"/>
          </w:tblCellMar>
        </w:tblPrEx>
        <w:tc>
          <w:tcPr>
            <w:tcW w:w="53" w:type="pct"/>
          </w:tcPr>
          <w:p w14:paraId="17577E95" w14:textId="77777777" w:rsidR="00017CF7" w:rsidRPr="0023395B" w:rsidRDefault="00017CF7" w:rsidP="00CB7EC1">
            <w:pPr>
              <w:jc w:val="center"/>
              <w:rPr>
                <w:rFonts w:ascii="Arial Narrow" w:hAnsi="Arial Narrow"/>
                <w:sz w:val="20"/>
                <w:szCs w:val="20"/>
              </w:rPr>
            </w:pPr>
          </w:p>
        </w:tc>
        <w:tc>
          <w:tcPr>
            <w:tcW w:w="4947" w:type="pct"/>
            <w:gridSpan w:val="6"/>
          </w:tcPr>
          <w:p w14:paraId="129FE835" w14:textId="77777777" w:rsidR="00017CF7" w:rsidRPr="0023395B" w:rsidRDefault="00017CF7" w:rsidP="00CB7EC1">
            <w:pPr>
              <w:ind w:right="57"/>
              <w:rPr>
                <w:rFonts w:ascii="Arial Narrow" w:hAnsi="Arial Narrow" w:cs="Arial Narrow"/>
                <w:b/>
                <w:iCs/>
                <w:sz w:val="20"/>
                <w:szCs w:val="20"/>
              </w:rPr>
            </w:pPr>
            <w:r w:rsidRPr="0023395B">
              <w:rPr>
                <w:rFonts w:ascii="Arial Narrow" w:hAnsi="Arial Narrow" w:cs="Arial Narrow"/>
                <w:b/>
                <w:iCs/>
                <w:sz w:val="20"/>
                <w:szCs w:val="20"/>
              </w:rPr>
              <w:t>Prescribing Instructions:</w:t>
            </w:r>
          </w:p>
          <w:p w14:paraId="1B9BF713"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The authority application must be made in writing and must include:</w:t>
            </w:r>
          </w:p>
          <w:p w14:paraId="496241C2"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(1) a completed authority prescription form; and</w:t>
            </w:r>
          </w:p>
          <w:p w14:paraId="59818F9C"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017CF7" w:rsidRPr="0023395B" w14:paraId="7FB5E966"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7673E949"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57C98337"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Prescribing Instructions:</w:t>
            </w:r>
          </w:p>
          <w:p w14:paraId="68BBABD2" w14:textId="77777777" w:rsidR="00017CF7" w:rsidRPr="0023395B" w:rsidRDefault="00017CF7" w:rsidP="00CB7EC1">
            <w:pPr>
              <w:ind w:right="57"/>
              <w:rPr>
                <w:rFonts w:ascii="Arial Narrow" w:hAnsi="Arial Narrow"/>
                <w:sz w:val="20"/>
                <w:szCs w:val="20"/>
                <w:u w:val="single"/>
              </w:rPr>
            </w:pPr>
            <w:r w:rsidRPr="0023395B">
              <w:rPr>
                <w:rFonts w:ascii="Arial Narrow" w:hAnsi="Arial Narrow"/>
                <w:sz w:val="20"/>
                <w:szCs w:val="20"/>
                <w:u w:val="single"/>
              </w:rPr>
              <w:t>Maximum quantity/amount of drug selection:</w:t>
            </w:r>
          </w:p>
          <w:p w14:paraId="02BB8523"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At the time of the authority application, state the following:</w:t>
            </w:r>
          </w:p>
          <w:p w14:paraId="6EEF4E21"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w:t>
            </w:r>
            <w:proofErr w:type="spellStart"/>
            <w:r w:rsidRPr="0023395B">
              <w:rPr>
                <w:rFonts w:ascii="Arial Narrow" w:hAnsi="Arial Narrow"/>
                <w:sz w:val="20"/>
                <w:szCs w:val="20"/>
              </w:rPr>
              <w:t>i</w:t>
            </w:r>
            <w:proofErr w:type="spellEnd"/>
            <w:r w:rsidRPr="0023395B">
              <w:rPr>
                <w:rFonts w:ascii="Arial Narrow" w:hAnsi="Arial Narrow"/>
                <w:sz w:val="20"/>
                <w:szCs w:val="20"/>
              </w:rPr>
              <w:t xml:space="preserve">) the patient’s weight in </w:t>
            </w:r>
            <w:proofErr w:type="gramStart"/>
            <w:r w:rsidRPr="0023395B">
              <w:rPr>
                <w:rFonts w:ascii="Arial Narrow" w:hAnsi="Arial Narrow"/>
                <w:sz w:val="20"/>
                <w:szCs w:val="20"/>
              </w:rPr>
              <w:t>kg;</w:t>
            </w:r>
            <w:proofErr w:type="gramEnd"/>
          </w:p>
          <w:p w14:paraId="6D952D97" w14:textId="6C73CB41" w:rsidR="00017CF7" w:rsidRPr="0023395B" w:rsidRDefault="00017CF7" w:rsidP="00CB7EC1">
            <w:pPr>
              <w:ind w:right="57"/>
              <w:rPr>
                <w:rFonts w:ascii="Arial Narrow" w:hAnsi="Arial Narrow"/>
                <w:sz w:val="20"/>
                <w:szCs w:val="20"/>
              </w:rPr>
            </w:pPr>
            <w:r w:rsidRPr="0023395B">
              <w:rPr>
                <w:rFonts w:ascii="Arial Narrow" w:hAnsi="Arial Narrow"/>
                <w:sz w:val="20"/>
                <w:szCs w:val="20"/>
              </w:rPr>
              <w:t>(ii) the prescribed dose (between 0.04 to 0.12 mg/kg</w:t>
            </w:r>
            <w:r w:rsidR="00D304EA" w:rsidRPr="0023395B">
              <w:rPr>
                <w:rFonts w:ascii="Arial Narrow" w:hAnsi="Arial Narrow"/>
                <w:sz w:val="20"/>
                <w:szCs w:val="20"/>
              </w:rPr>
              <w:t xml:space="preserve"> twice daily</w:t>
            </w:r>
            <w:proofErr w:type="gramStart"/>
            <w:r w:rsidRPr="0023395B">
              <w:rPr>
                <w:rFonts w:ascii="Arial Narrow" w:hAnsi="Arial Narrow"/>
                <w:sz w:val="20"/>
                <w:szCs w:val="20"/>
              </w:rPr>
              <w:t>);</w:t>
            </w:r>
            <w:proofErr w:type="gramEnd"/>
            <w:r w:rsidRPr="0023395B">
              <w:rPr>
                <w:rFonts w:ascii="Arial Narrow" w:hAnsi="Arial Narrow"/>
                <w:sz w:val="20"/>
                <w:szCs w:val="20"/>
              </w:rPr>
              <w:t xml:space="preserve"> </w:t>
            </w:r>
          </w:p>
          <w:p w14:paraId="0F02F677"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(iii) the number of vials rounded to the nearest whole number, to provide sufficient drug quantity for 4 weeks treatment.</w:t>
            </w:r>
          </w:p>
        </w:tc>
      </w:tr>
      <w:tr w:rsidR="00017CF7" w:rsidRPr="0023395B" w14:paraId="0AE82C2E"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00C7FAC6"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12EC3634" w14:textId="77777777" w:rsidR="00017CF7" w:rsidRPr="0023395B" w:rsidRDefault="00017CF7" w:rsidP="00CB7EC1">
            <w:pPr>
              <w:ind w:right="57"/>
              <w:rPr>
                <w:rFonts w:ascii="Arial Narrow" w:hAnsi="Arial Narrow"/>
                <w:b/>
                <w:bCs/>
                <w:sz w:val="20"/>
                <w:szCs w:val="20"/>
              </w:rPr>
            </w:pPr>
          </w:p>
        </w:tc>
      </w:tr>
      <w:tr w:rsidR="00017CF7" w:rsidRPr="0023395B" w14:paraId="0377D271" w14:textId="77777777" w:rsidTr="00CB7EC1">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07F3A40A" w14:textId="77777777" w:rsidR="00017CF7" w:rsidRPr="0023395B" w:rsidRDefault="00017CF7" w:rsidP="00CB7EC1">
            <w:pPr>
              <w:ind w:right="57"/>
              <w:rPr>
                <w:rFonts w:ascii="Arial Narrow" w:hAnsi="Arial Narrow"/>
                <w:bCs/>
                <w:sz w:val="20"/>
                <w:szCs w:val="20"/>
              </w:rPr>
            </w:pPr>
          </w:p>
          <w:p w14:paraId="28E8BBC2" w14:textId="77777777" w:rsidR="00017CF7" w:rsidRPr="0023395B" w:rsidRDefault="00017CF7" w:rsidP="00CB7EC1">
            <w:pPr>
              <w:ind w:right="57"/>
              <w:rPr>
                <w:rFonts w:ascii="Arial Narrow" w:hAnsi="Arial Narrow"/>
                <w:bCs/>
                <w:sz w:val="20"/>
                <w:szCs w:val="20"/>
              </w:rPr>
            </w:pPr>
          </w:p>
        </w:tc>
      </w:tr>
      <w:tr w:rsidR="00017CF7" w:rsidRPr="0023395B" w14:paraId="53CBAC27"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hideMark/>
          </w:tcPr>
          <w:p w14:paraId="26D0E36D" w14:textId="77777777" w:rsidR="00017CF7" w:rsidRPr="0023395B" w:rsidRDefault="00017CF7" w:rsidP="00CB7EC1">
            <w:pPr>
              <w:keepNext/>
              <w:jc w:val="center"/>
              <w:rPr>
                <w:rFonts w:ascii="Arial Narrow" w:hAnsi="Arial Narrow"/>
                <w:sz w:val="20"/>
                <w:szCs w:val="20"/>
              </w:rPr>
            </w:pPr>
          </w:p>
        </w:tc>
        <w:tc>
          <w:tcPr>
            <w:tcW w:w="4947" w:type="pct"/>
            <w:gridSpan w:val="6"/>
            <w:vAlign w:val="center"/>
            <w:hideMark/>
          </w:tcPr>
          <w:p w14:paraId="36B1886E" w14:textId="77777777" w:rsidR="00017CF7" w:rsidRPr="0023395B" w:rsidRDefault="00017CF7" w:rsidP="00CB7EC1">
            <w:pPr>
              <w:keepNext/>
              <w:ind w:right="57"/>
              <w:rPr>
                <w:rFonts w:ascii="Arial Narrow" w:hAnsi="Arial Narrow"/>
                <w:sz w:val="20"/>
                <w:szCs w:val="20"/>
              </w:rPr>
            </w:pPr>
            <w:r w:rsidRPr="0023395B">
              <w:rPr>
                <w:rFonts w:ascii="Arial Narrow" w:hAnsi="Arial Narrow"/>
                <w:b/>
                <w:bCs/>
                <w:sz w:val="20"/>
                <w:szCs w:val="20"/>
              </w:rPr>
              <w:t>Treatment Phase:</w:t>
            </w:r>
            <w:r w:rsidRPr="0023395B">
              <w:rPr>
                <w:rFonts w:ascii="Arial Narrow" w:hAnsi="Arial Narrow"/>
                <w:sz w:val="20"/>
                <w:szCs w:val="20"/>
              </w:rPr>
              <w:t xml:space="preserve"> Continuing treatment</w:t>
            </w:r>
          </w:p>
        </w:tc>
      </w:tr>
      <w:tr w:rsidR="00017CF7" w:rsidRPr="0023395B" w14:paraId="31901BE9"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7984190"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371812A5"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 xml:space="preserve">Clinical criteria: </w:t>
            </w:r>
          </w:p>
        </w:tc>
      </w:tr>
      <w:tr w:rsidR="00017CF7" w:rsidRPr="0023395B" w14:paraId="7EA63B6F"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008B7691"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01503FA5"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Patient must have previously received PBS-subsidised treatment with this drug for this condition</w:t>
            </w:r>
          </w:p>
        </w:tc>
      </w:tr>
      <w:tr w:rsidR="00017CF7" w:rsidRPr="0023395B" w14:paraId="0AC402A5"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A431A41"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0B5303C3"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AND</w:t>
            </w:r>
          </w:p>
        </w:tc>
      </w:tr>
      <w:tr w:rsidR="00017CF7" w:rsidRPr="0023395B" w14:paraId="18ACC25C"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1CA62D44"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2E233B75" w14:textId="77777777" w:rsidR="00017CF7" w:rsidRPr="0023395B" w:rsidRDefault="00017CF7" w:rsidP="00CB7EC1">
            <w:pPr>
              <w:ind w:right="57"/>
              <w:rPr>
                <w:rFonts w:ascii="Arial Narrow" w:hAnsi="Arial Narrow"/>
                <w:sz w:val="20"/>
                <w:szCs w:val="20"/>
              </w:rPr>
            </w:pPr>
            <w:r w:rsidRPr="0023395B">
              <w:rPr>
                <w:rFonts w:ascii="Arial Narrow" w:hAnsi="Arial Narrow" w:cs="Arial Narrow"/>
                <w:iCs/>
                <w:sz w:val="20"/>
                <w:szCs w:val="20"/>
              </w:rPr>
              <w:t>The treatment must be in a patient in which height is either: (</w:t>
            </w:r>
            <w:proofErr w:type="spellStart"/>
            <w:r w:rsidRPr="0023395B">
              <w:rPr>
                <w:rFonts w:ascii="Arial Narrow" w:hAnsi="Arial Narrow" w:cs="Arial Narrow"/>
                <w:iCs/>
                <w:sz w:val="20"/>
                <w:szCs w:val="20"/>
              </w:rPr>
              <w:t>i</w:t>
            </w:r>
            <w:proofErr w:type="spellEnd"/>
            <w:r w:rsidRPr="0023395B">
              <w:rPr>
                <w:rFonts w:ascii="Arial Narrow" w:hAnsi="Arial Narrow" w:cs="Arial Narrow"/>
                <w:iCs/>
                <w:sz w:val="20"/>
                <w:szCs w:val="20"/>
              </w:rPr>
              <w:t>) still increasing, (ii) reasonably expected to increase</w:t>
            </w:r>
          </w:p>
        </w:tc>
      </w:tr>
      <w:tr w:rsidR="00017CF7" w:rsidRPr="0023395B" w14:paraId="6D0369C3"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6A90882"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0DB828D7" w14:textId="77777777" w:rsidR="00017CF7" w:rsidRPr="0023395B" w:rsidRDefault="00017CF7" w:rsidP="00CB7EC1">
            <w:pPr>
              <w:ind w:right="57"/>
              <w:rPr>
                <w:rFonts w:ascii="Arial Narrow" w:hAnsi="Arial Narrow" w:cs="Arial Narrow"/>
                <w:iCs/>
                <w:sz w:val="20"/>
                <w:szCs w:val="20"/>
              </w:rPr>
            </w:pPr>
            <w:r w:rsidRPr="0023395B">
              <w:rPr>
                <w:rFonts w:ascii="Arial Narrow" w:hAnsi="Arial Narrow"/>
                <w:b/>
                <w:bCs/>
                <w:i/>
                <w:color w:val="000000" w:themeColor="text1"/>
                <w:sz w:val="20"/>
                <w:szCs w:val="20"/>
              </w:rPr>
              <w:t>AND</w:t>
            </w:r>
          </w:p>
        </w:tc>
      </w:tr>
      <w:tr w:rsidR="00017CF7" w:rsidRPr="0023395B" w14:paraId="394FBAD2"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36FD5DBE"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31021E43" w14:textId="77777777" w:rsidR="00017CF7" w:rsidRPr="0023395B" w:rsidRDefault="00017CF7" w:rsidP="00CB7EC1">
            <w:pPr>
              <w:ind w:right="57"/>
              <w:rPr>
                <w:rFonts w:ascii="Arial Narrow" w:hAnsi="Arial Narrow" w:cs="Arial Narrow"/>
                <w:iCs/>
                <w:sz w:val="20"/>
                <w:szCs w:val="20"/>
              </w:rPr>
            </w:pPr>
            <w:r w:rsidRPr="0023395B">
              <w:rPr>
                <w:rFonts w:ascii="Arial Narrow" w:hAnsi="Arial Narrow"/>
                <w:b/>
                <w:bCs/>
                <w:i/>
                <w:color w:val="000000" w:themeColor="text1"/>
                <w:sz w:val="20"/>
                <w:szCs w:val="20"/>
              </w:rPr>
              <w:t>Clinical criteria:</w:t>
            </w:r>
          </w:p>
        </w:tc>
      </w:tr>
      <w:tr w:rsidR="00017CF7" w:rsidRPr="0023395B" w14:paraId="727DE4EE"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42BED2E5"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2DAD7568" w14:textId="77777777" w:rsidR="00017CF7" w:rsidRPr="0023395B" w:rsidRDefault="00017CF7" w:rsidP="00CB7EC1">
            <w:pPr>
              <w:ind w:right="57"/>
              <w:rPr>
                <w:rFonts w:ascii="Arial Narrow" w:hAnsi="Arial Narrow" w:cs="Arial Narrow"/>
                <w:iCs/>
                <w:sz w:val="20"/>
                <w:szCs w:val="20"/>
              </w:rPr>
            </w:pPr>
            <w:r w:rsidRPr="0023395B">
              <w:rPr>
                <w:rFonts w:ascii="Arial Narrow" w:hAnsi="Arial Narrow"/>
                <w:i/>
                <w:color w:val="000000" w:themeColor="text1"/>
                <w:sz w:val="20"/>
                <w:szCs w:val="20"/>
              </w:rPr>
              <w:t xml:space="preserve"> Patient must have a bone age less than 13.5 years (in girls) or 15.5 years (in boys)</w:t>
            </w:r>
          </w:p>
        </w:tc>
      </w:tr>
      <w:tr w:rsidR="00017CF7" w:rsidRPr="0023395B" w14:paraId="3B3106D1"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62C4699B"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241455EC"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AND</w:t>
            </w:r>
          </w:p>
        </w:tc>
      </w:tr>
      <w:tr w:rsidR="00017CF7" w:rsidRPr="0023395B" w14:paraId="70D84E6A" w14:textId="77777777" w:rsidTr="00CB7EC1">
        <w:tblPrEx>
          <w:tblCellMar>
            <w:top w:w="15" w:type="dxa"/>
            <w:left w:w="15" w:type="dxa"/>
            <w:bottom w:w="15" w:type="dxa"/>
            <w:right w:w="15" w:type="dxa"/>
          </w:tblCellMar>
          <w:tblLook w:val="04A0" w:firstRow="1" w:lastRow="0" w:firstColumn="1" w:lastColumn="0" w:noHBand="0" w:noVBand="1"/>
        </w:tblPrEx>
        <w:tc>
          <w:tcPr>
            <w:tcW w:w="53" w:type="pct"/>
            <w:vAlign w:val="center"/>
          </w:tcPr>
          <w:p w14:paraId="62DF4FB9"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2C025735" w14:textId="77777777" w:rsidR="00017CF7" w:rsidRPr="0023395B" w:rsidRDefault="00017CF7" w:rsidP="00CB7EC1">
            <w:pPr>
              <w:ind w:right="57"/>
              <w:rPr>
                <w:rFonts w:ascii="Arial Narrow" w:hAnsi="Arial Narrow"/>
                <w:sz w:val="20"/>
                <w:szCs w:val="20"/>
              </w:rPr>
            </w:pPr>
            <w:r w:rsidRPr="0023395B">
              <w:rPr>
                <w:rFonts w:ascii="Arial Narrow" w:hAnsi="Arial Narrow"/>
                <w:b/>
                <w:bCs/>
                <w:sz w:val="20"/>
                <w:szCs w:val="20"/>
              </w:rPr>
              <w:t>Clinical criteria:</w:t>
            </w:r>
          </w:p>
        </w:tc>
      </w:tr>
      <w:tr w:rsidR="00017CF7" w:rsidRPr="0023395B" w14:paraId="4DC4B9BC" w14:textId="77777777" w:rsidTr="00CB7EC1">
        <w:tblPrEx>
          <w:tblCellMar>
            <w:top w:w="15" w:type="dxa"/>
            <w:left w:w="15" w:type="dxa"/>
            <w:bottom w:w="15" w:type="dxa"/>
            <w:right w:w="15" w:type="dxa"/>
          </w:tblCellMar>
          <w:tblLook w:val="04A0" w:firstRow="1" w:lastRow="0" w:firstColumn="1" w:lastColumn="0" w:noHBand="0" w:noVBand="1"/>
        </w:tblPrEx>
        <w:trPr>
          <w:trHeight w:val="482"/>
        </w:trPr>
        <w:tc>
          <w:tcPr>
            <w:tcW w:w="53" w:type="pct"/>
            <w:vAlign w:val="center"/>
          </w:tcPr>
          <w:p w14:paraId="35452142" w14:textId="77777777" w:rsidR="00017CF7" w:rsidRPr="0023395B" w:rsidRDefault="00017CF7" w:rsidP="00CB7EC1">
            <w:pPr>
              <w:jc w:val="center"/>
              <w:rPr>
                <w:rFonts w:ascii="Arial Narrow" w:hAnsi="Arial Narrow"/>
                <w:sz w:val="20"/>
                <w:szCs w:val="20"/>
              </w:rPr>
            </w:pPr>
          </w:p>
        </w:tc>
        <w:tc>
          <w:tcPr>
            <w:tcW w:w="4947" w:type="pct"/>
            <w:gridSpan w:val="6"/>
            <w:vAlign w:val="center"/>
            <w:hideMark/>
          </w:tcPr>
          <w:p w14:paraId="3819B86B"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The treatment must not be in a patient with known epiphyseal closure/growth plate fusion (</w:t>
            </w:r>
            <w:proofErr w:type="gramStart"/>
            <w:r w:rsidRPr="0023395B">
              <w:rPr>
                <w:rFonts w:ascii="Arial Narrow" w:hAnsi="Arial Narrow"/>
                <w:sz w:val="20"/>
                <w:szCs w:val="20"/>
              </w:rPr>
              <w:t>i.e.</w:t>
            </w:r>
            <w:proofErr w:type="gramEnd"/>
            <w:r w:rsidRPr="0023395B">
              <w:rPr>
                <w:rFonts w:ascii="Arial Narrow" w:hAnsi="Arial Narrow"/>
                <w:sz w:val="20"/>
                <w:szCs w:val="20"/>
              </w:rPr>
              <w:t xml:space="preserve"> the patient is known to have ceased growing)</w:t>
            </w:r>
          </w:p>
        </w:tc>
      </w:tr>
      <w:tr w:rsidR="00017CF7" w:rsidRPr="0023395B" w14:paraId="4E04FE85" w14:textId="77777777" w:rsidTr="00CB7EC1">
        <w:tblPrEx>
          <w:tblCellMar>
            <w:top w:w="15" w:type="dxa"/>
            <w:left w:w="15" w:type="dxa"/>
            <w:bottom w:w="15" w:type="dxa"/>
            <w:right w:w="15" w:type="dxa"/>
          </w:tblCellMar>
          <w:tblLook w:val="04A0" w:firstRow="1" w:lastRow="0" w:firstColumn="1" w:lastColumn="0" w:noHBand="0" w:noVBand="1"/>
        </w:tblPrEx>
        <w:trPr>
          <w:trHeight w:val="184"/>
        </w:trPr>
        <w:tc>
          <w:tcPr>
            <w:tcW w:w="53" w:type="pct"/>
            <w:vAlign w:val="center"/>
          </w:tcPr>
          <w:p w14:paraId="0F164B79"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655A2331"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AND</w:t>
            </w:r>
          </w:p>
        </w:tc>
      </w:tr>
      <w:tr w:rsidR="00017CF7" w:rsidRPr="0023395B" w14:paraId="643D6202" w14:textId="77777777" w:rsidTr="00CB7EC1">
        <w:tblPrEx>
          <w:tblCellMar>
            <w:top w:w="15" w:type="dxa"/>
            <w:left w:w="15" w:type="dxa"/>
            <w:bottom w:w="15" w:type="dxa"/>
            <w:right w:w="15" w:type="dxa"/>
          </w:tblCellMar>
          <w:tblLook w:val="04A0" w:firstRow="1" w:lastRow="0" w:firstColumn="1" w:lastColumn="0" w:noHBand="0" w:noVBand="1"/>
        </w:tblPrEx>
        <w:trPr>
          <w:trHeight w:val="74"/>
        </w:trPr>
        <w:tc>
          <w:tcPr>
            <w:tcW w:w="53" w:type="pct"/>
            <w:vAlign w:val="center"/>
          </w:tcPr>
          <w:p w14:paraId="30A5077D"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461D11B7" w14:textId="77777777" w:rsidR="00017CF7" w:rsidRPr="0023395B" w:rsidRDefault="00017CF7" w:rsidP="00CB7EC1">
            <w:pPr>
              <w:ind w:right="57"/>
              <w:rPr>
                <w:rFonts w:ascii="Arial Narrow" w:hAnsi="Arial Narrow"/>
                <w:b/>
                <w:bCs/>
                <w:sz w:val="20"/>
                <w:szCs w:val="20"/>
              </w:rPr>
            </w:pPr>
            <w:r w:rsidRPr="0023395B">
              <w:rPr>
                <w:rFonts w:ascii="Arial Narrow" w:hAnsi="Arial Narrow"/>
                <w:b/>
                <w:bCs/>
                <w:sz w:val="20"/>
                <w:szCs w:val="20"/>
              </w:rPr>
              <w:t>Clinical criteria:</w:t>
            </w:r>
          </w:p>
        </w:tc>
      </w:tr>
      <w:tr w:rsidR="00017CF7" w:rsidRPr="0023395B" w14:paraId="38322D5D" w14:textId="77777777" w:rsidTr="00CB7EC1">
        <w:tblPrEx>
          <w:tblCellMar>
            <w:top w:w="15" w:type="dxa"/>
            <w:left w:w="15" w:type="dxa"/>
            <w:bottom w:w="15" w:type="dxa"/>
            <w:right w:w="15" w:type="dxa"/>
          </w:tblCellMar>
          <w:tblLook w:val="04A0" w:firstRow="1" w:lastRow="0" w:firstColumn="1" w:lastColumn="0" w:noHBand="0" w:noVBand="1"/>
        </w:tblPrEx>
        <w:trPr>
          <w:trHeight w:val="120"/>
        </w:trPr>
        <w:tc>
          <w:tcPr>
            <w:tcW w:w="53" w:type="pct"/>
            <w:vAlign w:val="center"/>
          </w:tcPr>
          <w:p w14:paraId="21E5E056"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0ADC1584" w14:textId="77777777" w:rsidR="00017CF7" w:rsidRPr="0023395B" w:rsidRDefault="00017CF7" w:rsidP="00CB7EC1">
            <w:pPr>
              <w:ind w:right="57"/>
              <w:rPr>
                <w:rFonts w:ascii="Arial Narrow" w:hAnsi="Arial Narrow"/>
                <w:sz w:val="20"/>
                <w:szCs w:val="20"/>
              </w:rPr>
            </w:pPr>
            <w:r w:rsidRPr="0023395B">
              <w:rPr>
                <w:rFonts w:ascii="Arial Narrow" w:hAnsi="Arial Narrow"/>
                <w:sz w:val="20"/>
                <w:szCs w:val="20"/>
              </w:rPr>
              <w:t>The treatment must not be in a patient where their height has ceased to increase (</w:t>
            </w:r>
            <w:proofErr w:type="gramStart"/>
            <w:r w:rsidRPr="0023395B">
              <w:rPr>
                <w:rFonts w:ascii="Arial Narrow" w:hAnsi="Arial Narrow"/>
                <w:sz w:val="20"/>
                <w:szCs w:val="20"/>
              </w:rPr>
              <w:t>i.e.</w:t>
            </w:r>
            <w:proofErr w:type="gramEnd"/>
            <w:r w:rsidRPr="0023395B">
              <w:rPr>
                <w:rFonts w:ascii="Arial Narrow" w:hAnsi="Arial Narrow"/>
                <w:sz w:val="20"/>
                <w:szCs w:val="20"/>
              </w:rPr>
              <w:t xml:space="preserve"> plateaued) over the preceding 12 months relative to the date of this authority application </w:t>
            </w:r>
          </w:p>
        </w:tc>
      </w:tr>
      <w:tr w:rsidR="00017CF7" w:rsidRPr="0023395B" w14:paraId="156687A7" w14:textId="77777777" w:rsidTr="00CB7EC1">
        <w:tblPrEx>
          <w:tblCellMar>
            <w:top w:w="15" w:type="dxa"/>
            <w:left w:w="15" w:type="dxa"/>
            <w:bottom w:w="15" w:type="dxa"/>
            <w:right w:w="15" w:type="dxa"/>
          </w:tblCellMar>
          <w:tblLook w:val="04A0" w:firstRow="1" w:lastRow="0" w:firstColumn="1" w:lastColumn="0" w:noHBand="0" w:noVBand="1"/>
        </w:tblPrEx>
        <w:trPr>
          <w:trHeight w:val="120"/>
        </w:trPr>
        <w:tc>
          <w:tcPr>
            <w:tcW w:w="53" w:type="pct"/>
            <w:vAlign w:val="center"/>
          </w:tcPr>
          <w:p w14:paraId="78031C67"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2A659088" w14:textId="77777777" w:rsidR="00017CF7" w:rsidRPr="0023395B" w:rsidRDefault="00017CF7" w:rsidP="00CB7EC1">
            <w:pPr>
              <w:ind w:right="57"/>
              <w:rPr>
                <w:rFonts w:ascii="Arial Narrow" w:hAnsi="Arial Narrow"/>
                <w:sz w:val="20"/>
                <w:szCs w:val="20"/>
              </w:rPr>
            </w:pPr>
            <w:r w:rsidRPr="0023395B">
              <w:rPr>
                <w:rFonts w:ascii="Arial Narrow" w:hAnsi="Arial Narrow"/>
                <w:b/>
                <w:bCs/>
                <w:i/>
                <w:color w:val="000000" w:themeColor="text1"/>
                <w:sz w:val="20"/>
                <w:szCs w:val="20"/>
              </w:rPr>
              <w:t>AND</w:t>
            </w:r>
          </w:p>
        </w:tc>
      </w:tr>
      <w:tr w:rsidR="00017CF7" w:rsidRPr="0023395B" w14:paraId="78952218" w14:textId="77777777" w:rsidTr="00CB7EC1">
        <w:tblPrEx>
          <w:tblCellMar>
            <w:top w:w="15" w:type="dxa"/>
            <w:left w:w="15" w:type="dxa"/>
            <w:bottom w:w="15" w:type="dxa"/>
            <w:right w:w="15" w:type="dxa"/>
          </w:tblCellMar>
          <w:tblLook w:val="04A0" w:firstRow="1" w:lastRow="0" w:firstColumn="1" w:lastColumn="0" w:noHBand="0" w:noVBand="1"/>
        </w:tblPrEx>
        <w:trPr>
          <w:trHeight w:val="120"/>
        </w:trPr>
        <w:tc>
          <w:tcPr>
            <w:tcW w:w="53" w:type="pct"/>
            <w:vAlign w:val="center"/>
          </w:tcPr>
          <w:p w14:paraId="196EC7C5"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49F28996" w14:textId="77777777" w:rsidR="00017CF7" w:rsidRPr="0023395B" w:rsidRDefault="00017CF7" w:rsidP="00CB7EC1">
            <w:pPr>
              <w:ind w:right="57"/>
              <w:rPr>
                <w:rFonts w:ascii="Arial Narrow" w:hAnsi="Arial Narrow"/>
                <w:sz w:val="20"/>
                <w:szCs w:val="20"/>
              </w:rPr>
            </w:pPr>
            <w:r w:rsidRPr="0023395B">
              <w:rPr>
                <w:rFonts w:ascii="Arial Narrow" w:hAnsi="Arial Narrow"/>
                <w:b/>
                <w:bCs/>
                <w:i/>
                <w:color w:val="000000" w:themeColor="text1"/>
                <w:sz w:val="20"/>
                <w:szCs w:val="20"/>
              </w:rPr>
              <w:t>Clinical criteria: (Proposed continuation criteria)</w:t>
            </w:r>
          </w:p>
        </w:tc>
      </w:tr>
      <w:tr w:rsidR="00017CF7" w:rsidRPr="0023395B" w14:paraId="1F0CC74A" w14:textId="77777777" w:rsidTr="00CB7EC1">
        <w:tblPrEx>
          <w:tblCellMar>
            <w:top w:w="15" w:type="dxa"/>
            <w:left w:w="15" w:type="dxa"/>
            <w:bottom w:w="15" w:type="dxa"/>
            <w:right w:w="15" w:type="dxa"/>
          </w:tblCellMar>
          <w:tblLook w:val="04A0" w:firstRow="1" w:lastRow="0" w:firstColumn="1" w:lastColumn="0" w:noHBand="0" w:noVBand="1"/>
        </w:tblPrEx>
        <w:trPr>
          <w:trHeight w:val="120"/>
        </w:trPr>
        <w:tc>
          <w:tcPr>
            <w:tcW w:w="53" w:type="pct"/>
            <w:vAlign w:val="center"/>
          </w:tcPr>
          <w:p w14:paraId="0C49F46C"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0C3296E6" w14:textId="77777777" w:rsidR="00017CF7" w:rsidRPr="0023395B" w:rsidRDefault="00017CF7" w:rsidP="00CB7EC1">
            <w:pPr>
              <w:ind w:right="57"/>
              <w:rPr>
                <w:rFonts w:ascii="Arial Narrow" w:hAnsi="Arial Narrow"/>
                <w:i/>
                <w:sz w:val="20"/>
                <w:szCs w:val="20"/>
              </w:rPr>
            </w:pPr>
            <w:r w:rsidRPr="0023395B">
              <w:rPr>
                <w:rFonts w:ascii="Arial Narrow" w:hAnsi="Arial Narrow"/>
                <w:i/>
                <w:sz w:val="20"/>
                <w:szCs w:val="20"/>
              </w:rPr>
              <w:t xml:space="preserve">The patient is showing catch-up for height standard deviation score against Laron syndrome (GHIS) growth charts (Growth Curves for Laron syndrome, Archives of Disease in Childhood 1993; 68: 768-770). </w:t>
            </w:r>
          </w:p>
          <w:p w14:paraId="0BD3A9DC" w14:textId="77777777" w:rsidR="00017CF7" w:rsidRPr="0023395B" w:rsidRDefault="00017CF7" w:rsidP="00CB7EC1">
            <w:pPr>
              <w:ind w:right="57"/>
              <w:rPr>
                <w:rFonts w:ascii="Arial Narrow" w:hAnsi="Arial Narrow"/>
                <w:i/>
                <w:sz w:val="20"/>
                <w:szCs w:val="20"/>
              </w:rPr>
            </w:pPr>
            <w:r w:rsidRPr="0023395B">
              <w:rPr>
                <w:rFonts w:ascii="Arial Narrow" w:hAnsi="Arial Narrow"/>
                <w:i/>
                <w:sz w:val="20"/>
                <w:szCs w:val="20"/>
              </w:rPr>
              <w:t>and</w:t>
            </w:r>
          </w:p>
          <w:p w14:paraId="52280828" w14:textId="77777777" w:rsidR="00017CF7" w:rsidRPr="0023395B" w:rsidRDefault="00017CF7" w:rsidP="00CB7EC1">
            <w:pPr>
              <w:ind w:right="57"/>
              <w:rPr>
                <w:rFonts w:ascii="Arial Narrow" w:hAnsi="Arial Narrow"/>
                <w:i/>
                <w:sz w:val="20"/>
                <w:szCs w:val="20"/>
              </w:rPr>
            </w:pPr>
            <w:r w:rsidRPr="0023395B">
              <w:rPr>
                <w:rFonts w:ascii="Arial Narrow" w:hAnsi="Arial Narrow"/>
                <w:i/>
                <w:sz w:val="20"/>
                <w:szCs w:val="20"/>
              </w:rPr>
              <w:t xml:space="preserve">growth velocity &gt; 2cm per year over the last </w:t>
            </w:r>
            <w:proofErr w:type="gramStart"/>
            <w:r w:rsidRPr="0023395B">
              <w:rPr>
                <w:rFonts w:ascii="Arial Narrow" w:hAnsi="Arial Narrow"/>
                <w:i/>
                <w:sz w:val="20"/>
                <w:szCs w:val="20"/>
              </w:rPr>
              <w:t>6 month</w:t>
            </w:r>
            <w:proofErr w:type="gramEnd"/>
            <w:r w:rsidRPr="0023395B">
              <w:rPr>
                <w:rFonts w:ascii="Arial Narrow" w:hAnsi="Arial Narrow"/>
                <w:i/>
                <w:sz w:val="20"/>
                <w:szCs w:val="20"/>
              </w:rPr>
              <w:t xml:space="preserve"> period</w:t>
            </w:r>
          </w:p>
          <w:p w14:paraId="64CDB8F3" w14:textId="77777777" w:rsidR="00017CF7" w:rsidRPr="0023395B" w:rsidRDefault="00017CF7" w:rsidP="00CB7EC1">
            <w:pPr>
              <w:ind w:right="57"/>
              <w:rPr>
                <w:rFonts w:ascii="Arial Narrow" w:hAnsi="Arial Narrow"/>
                <w:i/>
                <w:sz w:val="20"/>
                <w:szCs w:val="20"/>
              </w:rPr>
            </w:pPr>
            <w:r w:rsidRPr="0023395B">
              <w:rPr>
                <w:rFonts w:ascii="Arial Narrow" w:hAnsi="Arial Narrow"/>
                <w:i/>
                <w:sz w:val="20"/>
                <w:szCs w:val="20"/>
              </w:rPr>
              <w:t xml:space="preserve">or, </w:t>
            </w:r>
          </w:p>
          <w:p w14:paraId="433D3AFD" w14:textId="77777777" w:rsidR="00017CF7" w:rsidRPr="0023395B" w:rsidRDefault="00017CF7" w:rsidP="00CB7EC1">
            <w:pPr>
              <w:ind w:right="57"/>
              <w:rPr>
                <w:rFonts w:ascii="Arial Narrow" w:hAnsi="Arial Narrow"/>
                <w:sz w:val="20"/>
                <w:szCs w:val="20"/>
              </w:rPr>
            </w:pPr>
            <w:r w:rsidRPr="0023395B">
              <w:rPr>
                <w:rFonts w:ascii="Arial Narrow" w:hAnsi="Arial Narrow"/>
                <w:i/>
                <w:sz w:val="20"/>
                <w:szCs w:val="20"/>
              </w:rPr>
              <w:t>has not been on the maximum dose for the preceding approval period</w:t>
            </w:r>
            <w:r w:rsidRPr="0023395B">
              <w:rPr>
                <w:rFonts w:ascii="Arial Narrow" w:hAnsi="Arial Narrow"/>
                <w:sz w:val="20"/>
                <w:szCs w:val="20"/>
              </w:rPr>
              <w:t xml:space="preserve"> </w:t>
            </w:r>
          </w:p>
        </w:tc>
      </w:tr>
      <w:tr w:rsidR="00017CF7" w:rsidRPr="0023395B" w14:paraId="2922F138"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48463162"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47E14BBA" w14:textId="77777777" w:rsidR="00017CF7" w:rsidRPr="0023395B" w:rsidRDefault="00017CF7" w:rsidP="00CB7EC1">
            <w:pPr>
              <w:rPr>
                <w:rFonts w:ascii="Arial Narrow" w:hAnsi="Arial Narrow"/>
                <w:sz w:val="20"/>
                <w:szCs w:val="20"/>
              </w:rPr>
            </w:pPr>
            <w:r w:rsidRPr="0023395B">
              <w:rPr>
                <w:rFonts w:ascii="Arial Narrow" w:hAnsi="Arial Narrow"/>
                <w:b/>
                <w:bCs/>
                <w:sz w:val="20"/>
                <w:szCs w:val="20"/>
              </w:rPr>
              <w:t>Treatment criteria:</w:t>
            </w:r>
          </w:p>
        </w:tc>
      </w:tr>
      <w:tr w:rsidR="00017CF7" w:rsidRPr="0023395B" w14:paraId="63DB0A2F"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3C8CB23B"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7C9E66CF" w14:textId="7BA40755" w:rsidR="00017CF7" w:rsidRPr="0023395B" w:rsidRDefault="00017CF7" w:rsidP="00CB7EC1">
            <w:pPr>
              <w:rPr>
                <w:rFonts w:ascii="Arial Narrow" w:hAnsi="Arial Narrow"/>
                <w:sz w:val="20"/>
                <w:szCs w:val="20"/>
              </w:rPr>
            </w:pPr>
            <w:r w:rsidRPr="0023395B">
              <w:rPr>
                <w:rFonts w:ascii="Arial Narrow" w:hAnsi="Arial Narrow"/>
                <w:sz w:val="20"/>
                <w:szCs w:val="20"/>
              </w:rPr>
              <w:t>Must be treated by a specialist physician identifying as one of: (</w:t>
            </w:r>
            <w:proofErr w:type="spellStart"/>
            <w:r w:rsidRPr="0023395B">
              <w:rPr>
                <w:rFonts w:ascii="Arial Narrow" w:hAnsi="Arial Narrow"/>
                <w:sz w:val="20"/>
                <w:szCs w:val="20"/>
              </w:rPr>
              <w:t>i</w:t>
            </w:r>
            <w:proofErr w:type="spellEnd"/>
            <w:r w:rsidRPr="0023395B">
              <w:rPr>
                <w:rFonts w:ascii="Arial Narrow" w:hAnsi="Arial Narrow"/>
                <w:sz w:val="20"/>
                <w:szCs w:val="20"/>
              </w:rPr>
              <w:t xml:space="preserve">) a paediatric </w:t>
            </w:r>
            <w:proofErr w:type="gramStart"/>
            <w:r w:rsidRPr="0023395B">
              <w:rPr>
                <w:rFonts w:ascii="Arial Narrow" w:hAnsi="Arial Narrow"/>
                <w:sz w:val="20"/>
                <w:szCs w:val="20"/>
              </w:rPr>
              <w:t>endocrinologist,;</w:t>
            </w:r>
            <w:proofErr w:type="gramEnd"/>
            <w:r w:rsidRPr="0023395B">
              <w:rPr>
                <w:rFonts w:ascii="Arial Narrow" w:hAnsi="Arial Narrow"/>
                <w:sz w:val="20"/>
                <w:szCs w:val="20"/>
              </w:rPr>
              <w:t xml:space="preserve"> the authority application form must be completed by the specified physician type; OR</w:t>
            </w:r>
          </w:p>
        </w:tc>
      </w:tr>
      <w:tr w:rsidR="00017CF7" w:rsidRPr="0023395B" w14:paraId="2CD78BAC"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vAlign w:val="center"/>
          </w:tcPr>
          <w:p w14:paraId="652297FF"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7B2DF331"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 xml:space="preserve">Must be treated by a paediatrician who has consulted the </w:t>
            </w:r>
            <w:proofErr w:type="gramStart"/>
            <w:r w:rsidRPr="0023395B">
              <w:rPr>
                <w:rFonts w:ascii="Arial Narrow" w:hAnsi="Arial Narrow"/>
                <w:sz w:val="20"/>
                <w:szCs w:val="20"/>
              </w:rPr>
              <w:t>above mentioned</w:t>
            </w:r>
            <w:proofErr w:type="gramEnd"/>
            <w:r w:rsidRPr="0023395B">
              <w:rPr>
                <w:rFonts w:ascii="Arial Narrow" w:hAnsi="Arial Narrow"/>
                <w:sz w:val="20"/>
                <w:szCs w:val="20"/>
              </w:rPr>
              <w:t xml:space="preserve"> specialist type, with the authority application form completed by this paediatrician.</w:t>
            </w:r>
          </w:p>
        </w:tc>
      </w:tr>
      <w:tr w:rsidR="00017CF7" w:rsidRPr="0023395B" w14:paraId="5FCCB432"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vAlign w:val="center"/>
          </w:tcPr>
          <w:p w14:paraId="64161C79" w14:textId="77777777" w:rsidR="00017CF7" w:rsidRPr="0023395B" w:rsidRDefault="00017CF7" w:rsidP="00CB7EC1">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vAlign w:val="center"/>
          </w:tcPr>
          <w:p w14:paraId="3F4F49BD" w14:textId="77777777" w:rsidR="00017CF7" w:rsidRPr="0023395B" w:rsidRDefault="00017CF7" w:rsidP="00CB7EC1">
            <w:pPr>
              <w:rPr>
                <w:rFonts w:ascii="Arial Narrow" w:hAnsi="Arial Narrow"/>
                <w:b/>
                <w:bCs/>
                <w:sz w:val="20"/>
                <w:szCs w:val="20"/>
              </w:rPr>
            </w:pPr>
            <w:r w:rsidRPr="0023395B">
              <w:rPr>
                <w:rFonts w:ascii="Arial Narrow" w:hAnsi="Arial Narrow"/>
                <w:b/>
                <w:bCs/>
                <w:sz w:val="20"/>
                <w:szCs w:val="20"/>
              </w:rPr>
              <w:t>Population criteria:</w:t>
            </w:r>
          </w:p>
        </w:tc>
      </w:tr>
      <w:tr w:rsidR="00017CF7" w:rsidRPr="0023395B" w14:paraId="6313FA66"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vAlign w:val="center"/>
          </w:tcPr>
          <w:p w14:paraId="4B29C884" w14:textId="77777777" w:rsidR="00017CF7" w:rsidRPr="0023395B" w:rsidRDefault="00017CF7" w:rsidP="00CB7EC1">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vAlign w:val="center"/>
          </w:tcPr>
          <w:p w14:paraId="1CFE4E71"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 xml:space="preserve">Patient must be aged from 2 years up until their 19th birthday </w:t>
            </w:r>
          </w:p>
        </w:tc>
      </w:tr>
      <w:tr w:rsidR="00017CF7" w:rsidRPr="0023395B" w14:paraId="49DDC14A" w14:textId="77777777" w:rsidTr="00CB7EC1">
        <w:tblPrEx>
          <w:tblCellMar>
            <w:top w:w="15" w:type="dxa"/>
            <w:left w:w="15" w:type="dxa"/>
            <w:bottom w:w="15" w:type="dxa"/>
            <w:right w:w="15" w:type="dxa"/>
          </w:tblCellMar>
          <w:tblLook w:val="04A0" w:firstRow="1" w:lastRow="0" w:firstColumn="1" w:lastColumn="0" w:noHBand="0" w:noVBand="1"/>
        </w:tblPrEx>
        <w:trPr>
          <w:trHeight w:val="248"/>
        </w:trPr>
        <w:tc>
          <w:tcPr>
            <w:tcW w:w="53" w:type="pct"/>
            <w:tcBorders>
              <w:top w:val="single" w:sz="4" w:space="0" w:color="auto"/>
              <w:left w:val="single" w:sz="4" w:space="0" w:color="auto"/>
              <w:bottom w:val="single" w:sz="4" w:space="0" w:color="auto"/>
              <w:right w:val="single" w:sz="4" w:space="0" w:color="auto"/>
            </w:tcBorders>
          </w:tcPr>
          <w:p w14:paraId="107A017C" w14:textId="77777777" w:rsidR="00017CF7" w:rsidRPr="0023395B" w:rsidRDefault="00017CF7" w:rsidP="00CB7EC1">
            <w:pPr>
              <w:jc w:val="center"/>
              <w:rPr>
                <w:rFonts w:ascii="Arial Narrow" w:hAnsi="Arial Narrow"/>
                <w:sz w:val="20"/>
                <w:szCs w:val="20"/>
              </w:rPr>
            </w:pPr>
          </w:p>
        </w:tc>
        <w:tc>
          <w:tcPr>
            <w:tcW w:w="4947" w:type="pct"/>
            <w:gridSpan w:val="6"/>
            <w:tcBorders>
              <w:top w:val="single" w:sz="4" w:space="0" w:color="auto"/>
              <w:left w:val="single" w:sz="4" w:space="0" w:color="auto"/>
              <w:bottom w:val="single" w:sz="4" w:space="0" w:color="auto"/>
              <w:right w:val="single" w:sz="4" w:space="0" w:color="auto"/>
            </w:tcBorders>
          </w:tcPr>
          <w:p w14:paraId="3397B123" w14:textId="77777777" w:rsidR="00017CF7" w:rsidRPr="0023395B" w:rsidRDefault="00017CF7" w:rsidP="00CB7EC1">
            <w:pPr>
              <w:rPr>
                <w:rFonts w:ascii="Arial Narrow" w:hAnsi="Arial Narrow" w:cs="Arial Narrow"/>
                <w:b/>
                <w:iCs/>
                <w:sz w:val="20"/>
                <w:szCs w:val="20"/>
              </w:rPr>
            </w:pPr>
            <w:r w:rsidRPr="0023395B">
              <w:rPr>
                <w:rFonts w:ascii="Arial Narrow" w:hAnsi="Arial Narrow" w:cs="Arial Narrow"/>
                <w:b/>
                <w:iCs/>
                <w:sz w:val="20"/>
                <w:szCs w:val="20"/>
              </w:rPr>
              <w:t>Prescribing Instructions:</w:t>
            </w:r>
          </w:p>
          <w:p w14:paraId="5D73634E"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The authority application must be made in writing and must include:</w:t>
            </w:r>
          </w:p>
          <w:p w14:paraId="2EB58E24"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(1) a completed authority prescription form; and</w:t>
            </w:r>
          </w:p>
          <w:p w14:paraId="061AB6A6" w14:textId="77777777" w:rsidR="00017CF7" w:rsidRPr="0023395B" w:rsidRDefault="00017CF7" w:rsidP="00CB7EC1">
            <w:pPr>
              <w:jc w:val="left"/>
              <w:rPr>
                <w:rFonts w:ascii="Arial Narrow" w:hAnsi="Arial Narrow"/>
                <w:sz w:val="20"/>
                <w:szCs w:val="20"/>
              </w:rPr>
            </w:pPr>
            <w:r w:rsidRPr="0023395B">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017CF7" w:rsidRPr="0023395B" w14:paraId="2A1E235C" w14:textId="77777777" w:rsidTr="00CB7EC1">
        <w:tblPrEx>
          <w:tblCellMar>
            <w:top w:w="15" w:type="dxa"/>
            <w:left w:w="15" w:type="dxa"/>
            <w:bottom w:w="15" w:type="dxa"/>
            <w:right w:w="15" w:type="dxa"/>
          </w:tblCellMar>
        </w:tblPrEx>
        <w:trPr>
          <w:trHeight w:val="248"/>
        </w:trPr>
        <w:tc>
          <w:tcPr>
            <w:tcW w:w="53" w:type="pct"/>
            <w:vAlign w:val="center"/>
          </w:tcPr>
          <w:p w14:paraId="5B4D1C8E" w14:textId="77777777" w:rsidR="00017CF7" w:rsidRPr="0023395B" w:rsidRDefault="00017CF7" w:rsidP="00CB7EC1">
            <w:pPr>
              <w:jc w:val="center"/>
              <w:rPr>
                <w:rFonts w:ascii="Arial Narrow" w:hAnsi="Arial Narrow"/>
                <w:sz w:val="20"/>
                <w:szCs w:val="20"/>
              </w:rPr>
            </w:pPr>
          </w:p>
        </w:tc>
        <w:tc>
          <w:tcPr>
            <w:tcW w:w="4947" w:type="pct"/>
            <w:gridSpan w:val="6"/>
            <w:vAlign w:val="center"/>
          </w:tcPr>
          <w:p w14:paraId="384D6A46" w14:textId="77777777" w:rsidR="00017CF7" w:rsidRPr="0023395B" w:rsidRDefault="00017CF7" w:rsidP="00CB7EC1">
            <w:pPr>
              <w:rPr>
                <w:rFonts w:ascii="Arial Narrow" w:hAnsi="Arial Narrow"/>
                <w:b/>
                <w:bCs/>
                <w:sz w:val="20"/>
                <w:szCs w:val="20"/>
              </w:rPr>
            </w:pPr>
            <w:r w:rsidRPr="0023395B">
              <w:rPr>
                <w:rFonts w:ascii="Arial Narrow" w:hAnsi="Arial Narrow"/>
                <w:b/>
                <w:bCs/>
                <w:sz w:val="20"/>
                <w:szCs w:val="20"/>
              </w:rPr>
              <w:t>Prescriber instructions:</w:t>
            </w:r>
          </w:p>
          <w:p w14:paraId="0CF2CE7C" w14:textId="77777777" w:rsidR="00017CF7" w:rsidRPr="0023395B" w:rsidRDefault="00017CF7" w:rsidP="00CB7EC1">
            <w:pPr>
              <w:rPr>
                <w:rFonts w:ascii="Arial Narrow" w:hAnsi="Arial Narrow"/>
                <w:sz w:val="20"/>
                <w:szCs w:val="20"/>
                <w:u w:val="single"/>
              </w:rPr>
            </w:pPr>
            <w:r w:rsidRPr="0023395B">
              <w:rPr>
                <w:rFonts w:ascii="Arial Narrow" w:hAnsi="Arial Narrow"/>
                <w:sz w:val="20"/>
                <w:szCs w:val="20"/>
                <w:u w:val="single"/>
              </w:rPr>
              <w:t>Maximum quantity/amount of drug selection:</w:t>
            </w:r>
          </w:p>
          <w:p w14:paraId="59E8105C"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At the time of the authority application, state the following:</w:t>
            </w:r>
          </w:p>
          <w:p w14:paraId="36C884CC"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w:t>
            </w:r>
            <w:proofErr w:type="spellStart"/>
            <w:r w:rsidRPr="0023395B">
              <w:rPr>
                <w:rFonts w:ascii="Arial Narrow" w:hAnsi="Arial Narrow"/>
                <w:sz w:val="20"/>
                <w:szCs w:val="20"/>
              </w:rPr>
              <w:t>i</w:t>
            </w:r>
            <w:proofErr w:type="spellEnd"/>
            <w:r w:rsidRPr="0023395B">
              <w:rPr>
                <w:rFonts w:ascii="Arial Narrow" w:hAnsi="Arial Narrow"/>
                <w:sz w:val="20"/>
                <w:szCs w:val="20"/>
              </w:rPr>
              <w:t xml:space="preserve">) the patient’s weight in </w:t>
            </w:r>
            <w:proofErr w:type="gramStart"/>
            <w:r w:rsidRPr="0023395B">
              <w:rPr>
                <w:rFonts w:ascii="Arial Narrow" w:hAnsi="Arial Narrow"/>
                <w:sz w:val="20"/>
                <w:szCs w:val="20"/>
              </w:rPr>
              <w:t>kg;</w:t>
            </w:r>
            <w:proofErr w:type="gramEnd"/>
          </w:p>
          <w:p w14:paraId="459B44C0"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(ii) the prescribed dose (between 0.04 to 0.12 mg/kg administered twice daily</w:t>
            </w:r>
            <w:proofErr w:type="gramStart"/>
            <w:r w:rsidRPr="0023395B">
              <w:rPr>
                <w:rFonts w:ascii="Arial Narrow" w:hAnsi="Arial Narrow"/>
                <w:sz w:val="20"/>
                <w:szCs w:val="20"/>
              </w:rPr>
              <w:t>);</w:t>
            </w:r>
            <w:proofErr w:type="gramEnd"/>
            <w:r w:rsidRPr="0023395B">
              <w:rPr>
                <w:rFonts w:ascii="Arial Narrow" w:hAnsi="Arial Narrow"/>
                <w:sz w:val="20"/>
                <w:szCs w:val="20"/>
              </w:rPr>
              <w:t xml:space="preserve"> </w:t>
            </w:r>
          </w:p>
          <w:p w14:paraId="70A94DE4" w14:textId="77777777" w:rsidR="00017CF7" w:rsidRPr="0023395B" w:rsidRDefault="00017CF7" w:rsidP="00CB7EC1">
            <w:pPr>
              <w:rPr>
                <w:rFonts w:ascii="Arial Narrow" w:hAnsi="Arial Narrow"/>
                <w:sz w:val="20"/>
                <w:szCs w:val="20"/>
              </w:rPr>
            </w:pPr>
            <w:r w:rsidRPr="0023395B">
              <w:rPr>
                <w:rFonts w:ascii="Arial Narrow" w:hAnsi="Arial Narrow"/>
                <w:sz w:val="20"/>
                <w:szCs w:val="20"/>
              </w:rPr>
              <w:t>(iii) the number of vials rounded to the nearest whole number, to provide sufficient drug quantity for 4 weeks treatment.</w:t>
            </w:r>
          </w:p>
        </w:tc>
      </w:tr>
      <w:tr w:rsidR="00017CF7" w:rsidRPr="0023395B" w14:paraId="1B44D174" w14:textId="77777777" w:rsidTr="00CB7EC1">
        <w:tblPrEx>
          <w:tblCellMar>
            <w:top w:w="15" w:type="dxa"/>
            <w:left w:w="15" w:type="dxa"/>
            <w:bottom w:w="15" w:type="dxa"/>
            <w:right w:w="15" w:type="dxa"/>
          </w:tblCellMar>
        </w:tblPrEx>
        <w:trPr>
          <w:trHeight w:val="248"/>
        </w:trPr>
        <w:tc>
          <w:tcPr>
            <w:tcW w:w="53" w:type="pct"/>
          </w:tcPr>
          <w:p w14:paraId="613F39E4" w14:textId="77777777" w:rsidR="00017CF7" w:rsidRPr="0023395B" w:rsidRDefault="00017CF7" w:rsidP="00CB7EC1">
            <w:pPr>
              <w:jc w:val="center"/>
              <w:rPr>
                <w:rFonts w:ascii="Arial Narrow" w:hAnsi="Arial Narrow"/>
                <w:sz w:val="20"/>
                <w:szCs w:val="20"/>
              </w:rPr>
            </w:pPr>
          </w:p>
        </w:tc>
        <w:tc>
          <w:tcPr>
            <w:tcW w:w="4947" w:type="pct"/>
            <w:gridSpan w:val="6"/>
          </w:tcPr>
          <w:p w14:paraId="519CC5E1" w14:textId="77777777" w:rsidR="00017CF7" w:rsidRPr="0023395B" w:rsidRDefault="00017CF7" w:rsidP="00CB7EC1">
            <w:pPr>
              <w:jc w:val="left"/>
              <w:rPr>
                <w:rFonts w:ascii="Arial Narrow" w:hAnsi="Arial Narrow" w:cs="Arial Narrow"/>
                <w:b/>
                <w:iCs/>
                <w:sz w:val="20"/>
                <w:szCs w:val="20"/>
              </w:rPr>
            </w:pPr>
            <w:r w:rsidRPr="0023395B">
              <w:rPr>
                <w:rFonts w:ascii="Arial Narrow" w:hAnsi="Arial Narrow" w:cs="Arial Narrow"/>
                <w:b/>
                <w:iCs/>
                <w:sz w:val="20"/>
                <w:szCs w:val="20"/>
              </w:rPr>
              <w:t>Prescribing Instructions:</w:t>
            </w:r>
          </w:p>
          <w:p w14:paraId="066031B7" w14:textId="77777777" w:rsidR="00017CF7" w:rsidRPr="0023395B" w:rsidRDefault="00017CF7" w:rsidP="00CB7EC1">
            <w:pPr>
              <w:jc w:val="left"/>
              <w:rPr>
                <w:rFonts w:ascii="Arial Narrow" w:hAnsi="Arial Narrow"/>
                <w:sz w:val="20"/>
                <w:szCs w:val="20"/>
              </w:rPr>
            </w:pPr>
            <w:r w:rsidRPr="0023395B">
              <w:rPr>
                <w:rFonts w:ascii="Arial Narrow" w:hAnsi="Arial Narrow"/>
                <w:sz w:val="20"/>
                <w:szCs w:val="20"/>
              </w:rPr>
              <w:t>The authority application must be made in writing and must include:</w:t>
            </w:r>
          </w:p>
          <w:p w14:paraId="335FFF51" w14:textId="77777777" w:rsidR="00017CF7" w:rsidRPr="0023395B" w:rsidRDefault="00017CF7" w:rsidP="00CB7EC1">
            <w:pPr>
              <w:jc w:val="left"/>
              <w:rPr>
                <w:rFonts w:ascii="Arial Narrow" w:hAnsi="Arial Narrow"/>
                <w:sz w:val="20"/>
                <w:szCs w:val="20"/>
              </w:rPr>
            </w:pPr>
            <w:r w:rsidRPr="0023395B">
              <w:rPr>
                <w:rFonts w:ascii="Arial Narrow" w:hAnsi="Arial Narrow"/>
                <w:sz w:val="20"/>
                <w:szCs w:val="20"/>
              </w:rPr>
              <w:t>(1) a completed authority prescription form; and</w:t>
            </w:r>
          </w:p>
          <w:p w14:paraId="04D284FF" w14:textId="77777777" w:rsidR="00017CF7" w:rsidRPr="0023395B" w:rsidRDefault="00017CF7" w:rsidP="00CB7EC1">
            <w:pPr>
              <w:jc w:val="left"/>
              <w:rPr>
                <w:rFonts w:ascii="Arial Narrow" w:hAnsi="Arial Narrow"/>
                <w:sz w:val="20"/>
                <w:szCs w:val="20"/>
              </w:rPr>
            </w:pPr>
            <w:r w:rsidRPr="0023395B">
              <w:rPr>
                <w:rFonts w:ascii="Arial Narrow" w:hAnsi="Arial Narrow"/>
                <w:sz w:val="20"/>
                <w:szCs w:val="20"/>
              </w:rPr>
              <w:t>(2) a completed authority application form relevant to the indication and treatment phase (the latest version is located on the website specified in the Administrative Advice).</w:t>
            </w:r>
          </w:p>
        </w:tc>
      </w:tr>
    </w:tbl>
    <w:p w14:paraId="3A240610" w14:textId="77777777" w:rsidR="00017CF7" w:rsidRPr="0023395B" w:rsidRDefault="00017CF7" w:rsidP="00017CF7"/>
    <w:p w14:paraId="1EF19339" w14:textId="0AF8053D" w:rsidR="00484F55" w:rsidRPr="0023395B" w:rsidRDefault="009A0163" w:rsidP="00CB7EC1">
      <w:pPr>
        <w:pStyle w:val="3Bodytext"/>
      </w:pPr>
      <w:r w:rsidRPr="0023395B">
        <w:t xml:space="preserve">The APEG recommended the following additions to the restriction </w:t>
      </w:r>
      <w:r w:rsidR="00994852" w:rsidRPr="0023395B">
        <w:t xml:space="preserve">for initiation of treatment, </w:t>
      </w:r>
      <w:r w:rsidRPr="0023395B">
        <w:t>which have been included by the Secretariat:</w:t>
      </w:r>
    </w:p>
    <w:p w14:paraId="1AD04EEB" w14:textId="1692564A" w:rsidR="009A0163" w:rsidRPr="0023395B" w:rsidRDefault="009A0163" w:rsidP="00545337">
      <w:pPr>
        <w:pStyle w:val="ListParagraph"/>
        <w:numPr>
          <w:ilvl w:val="0"/>
          <w:numId w:val="38"/>
        </w:numPr>
        <w:spacing w:after="0"/>
      </w:pPr>
      <w:r w:rsidRPr="0023395B">
        <w:lastRenderedPageBreak/>
        <w:t xml:space="preserve">Low growth velocity indicated by baseline height velocity less than the 25th percentile for bone age on </w:t>
      </w:r>
      <w:r w:rsidR="00F2041A" w:rsidRPr="0023395B">
        <w:t xml:space="preserve">the </w:t>
      </w:r>
      <w:proofErr w:type="spellStart"/>
      <w:r w:rsidR="00F2041A" w:rsidRPr="0023395B">
        <w:t>Centers</w:t>
      </w:r>
      <w:proofErr w:type="spellEnd"/>
      <w:r w:rsidR="00F2041A" w:rsidRPr="0023395B">
        <w:t xml:space="preserve"> for Disease Control and Prevention (CDC) 2000 (</w:t>
      </w:r>
      <w:r w:rsidRPr="0023395B">
        <w:t>CDC2000</w:t>
      </w:r>
      <w:r w:rsidR="00F2041A" w:rsidRPr="0023395B">
        <w:t>)</w:t>
      </w:r>
      <w:r w:rsidRPr="0023395B">
        <w:t xml:space="preserve"> charts</w:t>
      </w:r>
      <w:r w:rsidR="00F2041A" w:rsidRPr="0023395B">
        <w:rPr>
          <w:rStyle w:val="FootnoteReference"/>
        </w:rPr>
        <w:footnoteReference w:id="3"/>
      </w:r>
      <w:r w:rsidRPr="0023395B">
        <w:t>.</w:t>
      </w:r>
    </w:p>
    <w:p w14:paraId="580D28E8" w14:textId="51468E5C" w:rsidR="009A0163" w:rsidRPr="0023395B" w:rsidRDefault="009A0163" w:rsidP="007873A4">
      <w:pPr>
        <w:pStyle w:val="ListParagraph"/>
        <w:numPr>
          <w:ilvl w:val="0"/>
          <w:numId w:val="38"/>
        </w:numPr>
      </w:pPr>
      <w:r w:rsidRPr="0023395B">
        <w:t>Bone age less than 13.5 years in girls and 15.5 years in boys.</w:t>
      </w:r>
    </w:p>
    <w:p w14:paraId="79D36AFC" w14:textId="4CFF8F3A" w:rsidR="00C552BD" w:rsidRPr="0023395B" w:rsidRDefault="009A0163" w:rsidP="001D660F">
      <w:pPr>
        <w:pStyle w:val="3Bodytext"/>
      </w:pPr>
      <w:r w:rsidRPr="0023395B">
        <w:t xml:space="preserve">The APEG </w:t>
      </w:r>
      <w:r w:rsidR="003717F6" w:rsidRPr="0023395B">
        <w:t xml:space="preserve">noted that based on the current state of knowledge about the condition, a significant number of patients will not have a demonstrable molecular defect because new ones are being regularly described. The APEG recommended </w:t>
      </w:r>
      <w:r w:rsidR="000B627B" w:rsidRPr="0023395B">
        <w:t xml:space="preserve">that confirmation of mutation in the growth hormone/IGF signalling pathway </w:t>
      </w:r>
      <w:r w:rsidR="003717F6" w:rsidRPr="0023395B">
        <w:t xml:space="preserve">could be </w:t>
      </w:r>
      <w:r w:rsidR="000B627B" w:rsidRPr="0023395B">
        <w:t>recorded</w:t>
      </w:r>
      <w:r w:rsidR="003717F6" w:rsidRPr="0023395B">
        <w:t xml:space="preserve"> as optional evidence if available.</w:t>
      </w:r>
    </w:p>
    <w:p w14:paraId="3B8BB3AD" w14:textId="2D914310" w:rsidR="00535E84" w:rsidRPr="0023395B" w:rsidRDefault="003717F6" w:rsidP="00CB7EC1">
      <w:pPr>
        <w:pStyle w:val="3Bodytext"/>
        <w:rPr>
          <w:rFonts w:eastAsia="Times New Roman" w:cs="Arial"/>
          <w:snapToGrid w:val="0"/>
          <w:szCs w:val="24"/>
        </w:rPr>
      </w:pPr>
      <w:r w:rsidRPr="0023395B">
        <w:t xml:space="preserve">The APEG recommended that </w:t>
      </w:r>
      <w:r w:rsidR="009A0163" w:rsidRPr="0023395B">
        <w:rPr>
          <w:snapToGrid w:val="0"/>
        </w:rPr>
        <w:t>GH sufficiency or insensitivity should be demonstrated and defined as random or stimulated growth hormone level &gt; 6.6 ug/L.</w:t>
      </w:r>
      <w:r w:rsidRPr="0023395B">
        <w:rPr>
          <w:snapToGrid w:val="0"/>
        </w:rPr>
        <w:t xml:space="preserve"> The pre-PBAC </w:t>
      </w:r>
      <w:r w:rsidR="00535E84" w:rsidRPr="0023395B">
        <w:rPr>
          <w:snapToGrid w:val="0"/>
        </w:rPr>
        <w:t xml:space="preserve">response suggested </w:t>
      </w:r>
      <w:r w:rsidR="00535E84" w:rsidRPr="0023395B">
        <w:rPr>
          <w:rFonts w:eastAsia="Times New Roman" w:cs="Arial"/>
          <w:snapToGrid w:val="0"/>
          <w:szCs w:val="24"/>
        </w:rPr>
        <w:t xml:space="preserve">the reciprocal of the existing PBS restriction criteria (i.e., </w:t>
      </w:r>
      <w:r w:rsidR="00436E01" w:rsidRPr="0023395B">
        <w:rPr>
          <w:rFonts w:eastAsia="Times New Roman" w:cs="Arial"/>
          <w:snapToGrid w:val="0"/>
          <w:szCs w:val="24"/>
        </w:rPr>
        <w:t>&gt;</w:t>
      </w:r>
      <w:r w:rsidR="00436E01">
        <w:rPr>
          <w:rFonts w:eastAsia="Times New Roman" w:cs="Arial"/>
          <w:snapToGrid w:val="0"/>
          <w:szCs w:val="24"/>
        </w:rPr>
        <w:t> </w:t>
      </w:r>
      <w:r w:rsidR="00535E84" w:rsidRPr="0023395B">
        <w:rPr>
          <w:rFonts w:eastAsia="Times New Roman" w:cs="Arial"/>
          <w:snapToGrid w:val="0"/>
          <w:szCs w:val="24"/>
        </w:rPr>
        <w:t>3.3</w:t>
      </w:r>
      <w:r w:rsidR="00436E01">
        <w:rPr>
          <w:rFonts w:eastAsia="Times New Roman" w:cs="Arial"/>
          <w:snapToGrid w:val="0"/>
          <w:szCs w:val="24"/>
        </w:rPr>
        <w:t> </w:t>
      </w:r>
      <w:r w:rsidR="00535E84" w:rsidRPr="0023395B">
        <w:rPr>
          <w:rFonts w:eastAsia="Times New Roman" w:cs="Arial"/>
          <w:snapToGrid w:val="0"/>
          <w:szCs w:val="24"/>
        </w:rPr>
        <w:t xml:space="preserve">ug/L, as GH deficiency is defined as stimulation test &lt; 3.3 ug/L) could be used instead, or the wording </w:t>
      </w:r>
      <w:r w:rsidR="000B627B" w:rsidRPr="0023395B">
        <w:rPr>
          <w:rFonts w:eastAsia="Times New Roman" w:cs="Arial"/>
          <w:snapToGrid w:val="0"/>
          <w:szCs w:val="24"/>
        </w:rPr>
        <w:t xml:space="preserve">requested </w:t>
      </w:r>
      <w:r w:rsidR="00535E84" w:rsidRPr="0023395B">
        <w:rPr>
          <w:rFonts w:eastAsia="Times New Roman" w:cs="Arial"/>
          <w:snapToGrid w:val="0"/>
          <w:szCs w:val="24"/>
        </w:rPr>
        <w:t>in the resubmission which required the prescriber to demonstrate the condition was not caused by growth hormone deficiency with reference to the pathology provider’s ‘normal’ reference ranges (see proposed listing above).</w:t>
      </w:r>
    </w:p>
    <w:p w14:paraId="2B3727A4" w14:textId="69E68703" w:rsidR="003717F6" w:rsidRPr="0023395B" w:rsidRDefault="0027354D" w:rsidP="00CB7EC1">
      <w:pPr>
        <w:pStyle w:val="3Bodytext"/>
      </w:pPr>
      <w:r w:rsidRPr="0023395B">
        <w:t>T</w:t>
      </w:r>
      <w:r w:rsidR="003717F6" w:rsidRPr="0023395B">
        <w:t>he APEG noted that c</w:t>
      </w:r>
      <w:r w:rsidR="009A0163" w:rsidRPr="0023395B">
        <w:t xml:space="preserve">ontinuation criteria cannot be judged with reference to normal growth standards </w:t>
      </w:r>
      <w:r w:rsidR="003717F6" w:rsidRPr="0023395B">
        <w:t>such as</w:t>
      </w:r>
      <w:r w:rsidR="009A0163" w:rsidRPr="0023395B">
        <w:t xml:space="preserve"> CDC2000</w:t>
      </w:r>
      <w:r w:rsidR="003717F6" w:rsidRPr="0023395B">
        <w:t xml:space="preserve"> and that r</w:t>
      </w:r>
      <w:r w:rsidR="009A0163" w:rsidRPr="0023395B">
        <w:t>aw growth velocity is imprecise across age groups.</w:t>
      </w:r>
      <w:r w:rsidR="003717F6" w:rsidRPr="0023395B">
        <w:t xml:space="preserve"> The APEG r</w:t>
      </w:r>
      <w:r w:rsidR="009A0163" w:rsidRPr="0023395B">
        <w:t>ecommend</w:t>
      </w:r>
      <w:r w:rsidR="003717F6" w:rsidRPr="0023395B">
        <w:t>ed</w:t>
      </w:r>
      <w:r w:rsidR="009A0163" w:rsidRPr="0023395B">
        <w:t xml:space="preserve"> that some marker of response is </w:t>
      </w:r>
      <w:proofErr w:type="gramStart"/>
      <w:r w:rsidR="009A0163" w:rsidRPr="0023395B">
        <w:t>needed, and</w:t>
      </w:r>
      <w:proofErr w:type="gramEnd"/>
      <w:r w:rsidR="009A0163" w:rsidRPr="0023395B">
        <w:t xml:space="preserve"> suggest</w:t>
      </w:r>
      <w:r w:rsidR="003717F6" w:rsidRPr="0023395B">
        <w:t>ed</w:t>
      </w:r>
      <w:r w:rsidR="009A0163" w:rsidRPr="0023395B">
        <w:t xml:space="preserve"> </w:t>
      </w:r>
      <w:r w:rsidR="003717F6" w:rsidRPr="0023395B">
        <w:t>an approach</w:t>
      </w:r>
      <w:r w:rsidR="00987252" w:rsidRPr="0023395B">
        <w:t xml:space="preserve"> similar to that which is currently used for Turner syndrome</w:t>
      </w:r>
      <w:r w:rsidR="004A2074" w:rsidRPr="0023395B">
        <w:t xml:space="preserve"> (applying to somatropin)</w:t>
      </w:r>
      <w:r w:rsidR="00987252" w:rsidRPr="0023395B">
        <w:t xml:space="preserve">. </w:t>
      </w:r>
      <w:r w:rsidR="00DD1878" w:rsidRPr="0023395B">
        <w:t>The p</w:t>
      </w:r>
      <w:r w:rsidR="00987252" w:rsidRPr="0023395B">
        <w:t>roposed continuation criteria</w:t>
      </w:r>
      <w:r w:rsidR="00DD1878" w:rsidRPr="0023395B">
        <w:t xml:space="preserve"> were</w:t>
      </w:r>
      <w:r w:rsidR="00987252" w:rsidRPr="0023395B">
        <w:t>:</w:t>
      </w:r>
    </w:p>
    <w:p w14:paraId="7711F4EA" w14:textId="77777777" w:rsidR="00987252" w:rsidRPr="0023395B" w:rsidRDefault="00987252" w:rsidP="00987252">
      <w:pPr>
        <w:pStyle w:val="ListParagraph"/>
        <w:numPr>
          <w:ilvl w:val="0"/>
          <w:numId w:val="38"/>
        </w:numPr>
      </w:pPr>
      <w:r w:rsidRPr="0023395B">
        <w:t>Treatment can continue if:</w:t>
      </w:r>
    </w:p>
    <w:p w14:paraId="06ED9D3D" w14:textId="77777777" w:rsidR="00987252" w:rsidRPr="0023395B" w:rsidRDefault="00987252" w:rsidP="00987252">
      <w:pPr>
        <w:pStyle w:val="ListParagraph"/>
        <w:ind w:left="1080" w:firstLine="0"/>
      </w:pPr>
      <w:r w:rsidRPr="0023395B">
        <w:t>Bone age less than 13.5 years in girls and 15.5 years in boys</w:t>
      </w:r>
    </w:p>
    <w:p w14:paraId="64B5D3BF" w14:textId="77777777" w:rsidR="00987252" w:rsidRPr="0023395B" w:rsidRDefault="00987252" w:rsidP="00987252">
      <w:pPr>
        <w:pStyle w:val="ListParagraph"/>
        <w:ind w:left="1080" w:firstLine="0"/>
      </w:pPr>
      <w:r w:rsidRPr="0023395B">
        <w:t>and</w:t>
      </w:r>
    </w:p>
    <w:p w14:paraId="2E893522" w14:textId="77777777" w:rsidR="00987252" w:rsidRPr="0023395B" w:rsidRDefault="00987252" w:rsidP="00987252">
      <w:pPr>
        <w:pStyle w:val="ListParagraph"/>
        <w:ind w:left="1080" w:firstLine="0"/>
      </w:pPr>
      <w:r w:rsidRPr="0023395B">
        <w:t xml:space="preserve">showing catch-up for </w:t>
      </w:r>
      <w:proofErr w:type="spellStart"/>
      <w:r w:rsidRPr="0023395B">
        <w:t>Ht</w:t>
      </w:r>
      <w:proofErr w:type="spellEnd"/>
      <w:r w:rsidRPr="0023395B">
        <w:t xml:space="preserve"> SDS against Laron syndrome (GHIS) growth charts (Growth Curves for Laron syndrome, Archives of Disease in Childhood 1993; 68: 768-770). </w:t>
      </w:r>
    </w:p>
    <w:p w14:paraId="60C81EA9" w14:textId="77777777" w:rsidR="00987252" w:rsidRPr="0023395B" w:rsidRDefault="00987252" w:rsidP="00987252">
      <w:pPr>
        <w:pStyle w:val="ListParagraph"/>
        <w:ind w:left="1080" w:firstLine="0"/>
      </w:pPr>
      <w:r w:rsidRPr="0023395B">
        <w:t>and</w:t>
      </w:r>
    </w:p>
    <w:p w14:paraId="784D13E8" w14:textId="77777777" w:rsidR="00987252" w:rsidRPr="0023395B" w:rsidRDefault="00987252" w:rsidP="00987252">
      <w:pPr>
        <w:pStyle w:val="ListParagraph"/>
        <w:ind w:left="1080" w:firstLine="0"/>
      </w:pPr>
      <w:r w:rsidRPr="0023395B">
        <w:t xml:space="preserve">growth velocity &gt; 2cm per year over the last </w:t>
      </w:r>
      <w:proofErr w:type="gramStart"/>
      <w:r w:rsidRPr="0023395B">
        <w:t>6 month</w:t>
      </w:r>
      <w:proofErr w:type="gramEnd"/>
      <w:r w:rsidRPr="0023395B">
        <w:t xml:space="preserve"> period</w:t>
      </w:r>
    </w:p>
    <w:p w14:paraId="4001954E" w14:textId="77777777" w:rsidR="00987252" w:rsidRPr="0023395B" w:rsidRDefault="00987252" w:rsidP="00987252">
      <w:pPr>
        <w:pStyle w:val="ListParagraph"/>
        <w:ind w:left="1080" w:firstLine="0"/>
      </w:pPr>
      <w:r w:rsidRPr="0023395B">
        <w:t xml:space="preserve">or, </w:t>
      </w:r>
    </w:p>
    <w:p w14:paraId="17C9AC14" w14:textId="77777777" w:rsidR="00987252" w:rsidRPr="0023395B" w:rsidRDefault="00987252" w:rsidP="00987252">
      <w:pPr>
        <w:pStyle w:val="ListParagraph"/>
        <w:ind w:left="1080" w:firstLine="0"/>
      </w:pPr>
      <w:r w:rsidRPr="0023395B">
        <w:t>has not been on the maximum dose for the preceding approval period (in which case the dose can be put up if considered appropriate by the prescriber, as per growth hormone).</w:t>
      </w:r>
    </w:p>
    <w:p w14:paraId="7AF2A075" w14:textId="0BF9950B" w:rsidR="00DF4726" w:rsidRPr="0023395B" w:rsidRDefault="004A2074" w:rsidP="00CB7EC1">
      <w:pPr>
        <w:pStyle w:val="3Bodytext"/>
      </w:pPr>
      <w:r w:rsidRPr="0023395B">
        <w:lastRenderedPageBreak/>
        <w:t xml:space="preserve">The APEG </w:t>
      </w:r>
      <w:r w:rsidR="00DD1878" w:rsidRPr="0023395B">
        <w:t>requested the</w:t>
      </w:r>
      <w:r w:rsidR="00DF4726" w:rsidRPr="0023395B">
        <w:t xml:space="preserve"> PBAC consider a mechanism for special consideration of cases that do not fit standard criteria for </w:t>
      </w:r>
      <w:proofErr w:type="spellStart"/>
      <w:r w:rsidR="00DF4726" w:rsidRPr="0023395B">
        <w:t>mecasermin</w:t>
      </w:r>
      <w:proofErr w:type="spellEnd"/>
      <w:r w:rsidR="00DF4726" w:rsidRPr="0023395B">
        <w:t xml:space="preserve"> treatment.</w:t>
      </w:r>
    </w:p>
    <w:p w14:paraId="029E42F1" w14:textId="7620EBC5" w:rsidR="008778DA" w:rsidRPr="0023395B" w:rsidRDefault="00EE0CB2" w:rsidP="002565F5">
      <w:pPr>
        <w:pStyle w:val="3Bodytext"/>
        <w:rPr>
          <w:i/>
        </w:rPr>
      </w:pPr>
      <w:r w:rsidRPr="0023395B">
        <w:t>T</w:t>
      </w:r>
      <w:r w:rsidR="008778DA" w:rsidRPr="0023395B">
        <w:t xml:space="preserve">he resubmission requested the same price as the previous submission. </w:t>
      </w:r>
      <w:r w:rsidR="007340C0" w:rsidRPr="0023395B">
        <w:t>The requested ex-manufacturer price was $</w:t>
      </w:r>
      <w:proofErr w:type="gramStart"/>
      <w:r w:rsidR="001C6AE3" w:rsidRPr="002A2C2E">
        <w:rPr>
          <w:color w:val="000000"/>
          <w:w w:val="15"/>
          <w:shd w:val="solid" w:color="000000" w:fill="000000"/>
          <w:fitText w:val="-20" w:id="-1505504254"/>
          <w14:textFill>
            <w14:solidFill>
              <w14:srgbClr w14:val="000000">
                <w14:alpha w14:val="100000"/>
              </w14:srgbClr>
            </w14:solidFill>
          </w14:textFill>
        </w:rPr>
        <w:t xml:space="preserve">|  </w:t>
      </w:r>
      <w:r w:rsidR="001C6AE3" w:rsidRPr="002A2C2E">
        <w:rPr>
          <w:color w:val="000000"/>
          <w:spacing w:val="-69"/>
          <w:w w:val="15"/>
          <w:shd w:val="solid" w:color="000000" w:fill="000000"/>
          <w:fitText w:val="-20" w:id="-1505504254"/>
          <w14:textFill>
            <w14:solidFill>
              <w14:srgbClr w14:val="000000">
                <w14:alpha w14:val="100000"/>
              </w14:srgbClr>
            </w14:solidFill>
          </w14:textFill>
        </w:rPr>
        <w:t>|</w:t>
      </w:r>
      <w:proofErr w:type="gramEnd"/>
      <w:r w:rsidR="007340C0" w:rsidRPr="0023395B">
        <w:t xml:space="preserve"> per vial, corresponding to a DPMQ of $</w:t>
      </w:r>
      <w:r w:rsidR="001C6AE3" w:rsidRPr="002A2C2E">
        <w:rPr>
          <w:color w:val="000000"/>
          <w:w w:val="15"/>
          <w:shd w:val="solid" w:color="000000" w:fill="000000"/>
          <w:fitText w:val="-20" w:id="-1505504253"/>
          <w14:textFill>
            <w14:solidFill>
              <w14:srgbClr w14:val="000000">
                <w14:alpha w14:val="100000"/>
              </w14:srgbClr>
            </w14:solidFill>
          </w14:textFill>
        </w:rPr>
        <w:t xml:space="preserve">|  </w:t>
      </w:r>
      <w:r w:rsidR="001C6AE3" w:rsidRPr="002A2C2E">
        <w:rPr>
          <w:color w:val="000000"/>
          <w:spacing w:val="-69"/>
          <w:w w:val="15"/>
          <w:shd w:val="solid" w:color="000000" w:fill="000000"/>
          <w:fitText w:val="-20" w:id="-1505504253"/>
          <w14:textFill>
            <w14:solidFill>
              <w14:srgbClr w14:val="000000">
                <w14:alpha w14:val="100000"/>
              </w14:srgbClr>
            </w14:solidFill>
          </w14:textFill>
        </w:rPr>
        <w:t>|</w:t>
      </w:r>
      <w:r w:rsidR="007340C0" w:rsidRPr="0023395B">
        <w:t xml:space="preserve"> for a maximum quantity of 4 vials supplied via the GH Program.</w:t>
      </w:r>
    </w:p>
    <w:p w14:paraId="7484EB9F" w14:textId="2F125075" w:rsidR="009C4469" w:rsidRPr="0023395B" w:rsidRDefault="009C4469" w:rsidP="009C4469">
      <w:pPr>
        <w:pStyle w:val="3Bodytext"/>
      </w:pPr>
      <w:r w:rsidRPr="0023395B">
        <w:t xml:space="preserve">The proposed PBS restriction aligns with the TGA indication, which is for the long-term treatment of growth failure in children and adolescents from 2 to 18 years </w:t>
      </w:r>
      <w:r w:rsidR="00023D19" w:rsidRPr="0023395B">
        <w:t xml:space="preserve">(inclusive) </w:t>
      </w:r>
      <w:r w:rsidRPr="0023395B">
        <w:t>with severe primary insulin-like growth factor 1 deficiency (Primary IGFD), noting that this age group includes patients until their nineteenth birthday.</w:t>
      </w:r>
    </w:p>
    <w:p w14:paraId="5A96A759" w14:textId="3D1EF318" w:rsidR="009C4469" w:rsidRPr="0023395B" w:rsidRDefault="009C4469" w:rsidP="00AF6AAD">
      <w:pPr>
        <w:pStyle w:val="3Bodytext"/>
        <w:rPr>
          <w:i/>
        </w:rPr>
      </w:pPr>
      <w:r w:rsidRPr="0023395B">
        <w:t xml:space="preserve">The resubmission (p12) reported that </w:t>
      </w:r>
      <w:r w:rsidR="00C552BD" w:rsidRPr="0023395B">
        <w:t xml:space="preserve">the sponsor </w:t>
      </w:r>
      <w:r w:rsidRPr="0023395B">
        <w:t xml:space="preserve">currently supplies four Australian patients with compassionate access to </w:t>
      </w:r>
      <w:proofErr w:type="spellStart"/>
      <w:r w:rsidRPr="0023395B">
        <w:t>mecasermin</w:t>
      </w:r>
      <w:proofErr w:type="spellEnd"/>
      <w:r w:rsidRPr="0023395B">
        <w:t xml:space="preserve"> at no cost to the patient</w:t>
      </w:r>
      <w:r w:rsidR="00042A17" w:rsidRPr="0023395B">
        <w:t>s</w:t>
      </w:r>
      <w:r w:rsidRPr="0023395B">
        <w:t xml:space="preserve">. </w:t>
      </w:r>
      <w:r w:rsidR="00814A60" w:rsidRPr="0023395B">
        <w:t>T</w:t>
      </w:r>
      <w:r w:rsidRPr="0023395B">
        <w:t>he financial estimates included four grandfathered patients treated each year.</w:t>
      </w:r>
    </w:p>
    <w:p w14:paraId="5DE70FA8" w14:textId="140ABD89" w:rsidR="002073EF" w:rsidRPr="009F369E" w:rsidRDefault="002073EF" w:rsidP="009F369E">
      <w:pPr>
        <w:ind w:firstLine="709"/>
        <w:rPr>
          <w:rFonts w:asciiTheme="minorHAnsi" w:hAnsiTheme="minorHAnsi"/>
          <w:i/>
        </w:rPr>
      </w:pPr>
      <w:r w:rsidRPr="0023395B">
        <w:rPr>
          <w:rFonts w:asciiTheme="minorHAnsi" w:hAnsiTheme="minorHAnsi"/>
          <w:i/>
        </w:rPr>
        <w:t>For more detail on PBAC’s view, see section 5 PBAC outcome.</w:t>
      </w:r>
    </w:p>
    <w:p w14:paraId="0436B7D8" w14:textId="77777777" w:rsidR="00C27C1C" w:rsidRPr="0023395B" w:rsidRDefault="00C27C1C" w:rsidP="007D119B">
      <w:pPr>
        <w:pStyle w:val="Heading1"/>
        <w:keepNext/>
        <w:keepLines/>
        <w:numPr>
          <w:ilvl w:val="0"/>
          <w:numId w:val="1"/>
        </w:numPr>
        <w:spacing w:before="240"/>
        <w:ind w:left="709" w:hanging="709"/>
        <w:rPr>
          <w:sz w:val="32"/>
          <w:szCs w:val="32"/>
        </w:rPr>
      </w:pPr>
      <w:r w:rsidRPr="0023395B">
        <w:rPr>
          <w:sz w:val="32"/>
          <w:szCs w:val="32"/>
        </w:rPr>
        <w:t>Consideration of the evidence</w:t>
      </w:r>
    </w:p>
    <w:p w14:paraId="4F33F07B" w14:textId="77777777" w:rsidR="002073EF" w:rsidRPr="0023395B" w:rsidRDefault="002073EF" w:rsidP="002073EF">
      <w:pPr>
        <w:pStyle w:val="4-SubsectionHeading"/>
        <w:rPr>
          <w:lang w:eastAsia="en-US"/>
        </w:rPr>
      </w:pPr>
      <w:bookmarkStart w:id="5" w:name="_Hlk76375935"/>
      <w:r w:rsidRPr="0023395B">
        <w:rPr>
          <w:lang w:eastAsia="en-US"/>
        </w:rPr>
        <w:t>Sponsor hearing</w:t>
      </w:r>
    </w:p>
    <w:p w14:paraId="4E763E0F" w14:textId="30718966" w:rsidR="00C72D5B" w:rsidRPr="0023395B" w:rsidRDefault="00C72D5B" w:rsidP="00C72D5B">
      <w:pPr>
        <w:widowControl w:val="0"/>
        <w:numPr>
          <w:ilvl w:val="1"/>
          <w:numId w:val="1"/>
        </w:numPr>
        <w:spacing w:after="120"/>
        <w:rPr>
          <w:rFonts w:cs="Calibri"/>
          <w:bCs/>
          <w:snapToGrid w:val="0"/>
        </w:rPr>
      </w:pPr>
      <w:r w:rsidRPr="0023395B">
        <w:rPr>
          <w:rFonts w:cs="Calibri"/>
          <w:bCs/>
          <w:snapToGrid w:val="0"/>
        </w:rPr>
        <w:t>There was no hearing for this item.</w:t>
      </w:r>
    </w:p>
    <w:p w14:paraId="6CA6B6C9" w14:textId="77777777" w:rsidR="002073EF" w:rsidRPr="0023395B" w:rsidRDefault="002073EF" w:rsidP="002073EF">
      <w:pPr>
        <w:pStyle w:val="4-SubsectionHeading"/>
        <w:rPr>
          <w:lang w:eastAsia="en-US"/>
        </w:rPr>
      </w:pPr>
      <w:r w:rsidRPr="0023395B">
        <w:rPr>
          <w:lang w:eastAsia="en-US"/>
        </w:rPr>
        <w:t>Consumer comments</w:t>
      </w:r>
    </w:p>
    <w:p w14:paraId="332E5564" w14:textId="19F69975" w:rsidR="002073EF" w:rsidRPr="0023395B" w:rsidRDefault="002073EF" w:rsidP="002073EF">
      <w:pPr>
        <w:widowControl w:val="0"/>
        <w:numPr>
          <w:ilvl w:val="1"/>
          <w:numId w:val="1"/>
        </w:numPr>
        <w:spacing w:after="120"/>
        <w:rPr>
          <w:rFonts w:asciiTheme="minorHAnsi" w:hAnsiTheme="minorHAnsi" w:cs="Arial"/>
          <w:bCs/>
          <w:snapToGrid w:val="0"/>
        </w:rPr>
      </w:pPr>
      <w:bookmarkStart w:id="6" w:name="_Hlk76382618"/>
      <w:r w:rsidRPr="0023395B">
        <w:rPr>
          <w:rFonts w:asciiTheme="minorHAnsi" w:hAnsiTheme="minorHAnsi" w:cs="Arial"/>
          <w:bCs/>
          <w:snapToGrid w:val="0"/>
        </w:rPr>
        <w:t>The PBAC noted that no consumer comments were received for this item.</w:t>
      </w:r>
    </w:p>
    <w:bookmarkEnd w:id="5"/>
    <w:bookmarkEnd w:id="6"/>
    <w:p w14:paraId="402A7776" w14:textId="395A2C92" w:rsidR="00C27C1C" w:rsidRPr="0023395B" w:rsidRDefault="00632A0C" w:rsidP="00C27C1C">
      <w:pPr>
        <w:pStyle w:val="4-SubsectionHeading"/>
        <w:rPr>
          <w:lang w:eastAsia="en-US"/>
        </w:rPr>
      </w:pPr>
      <w:r w:rsidRPr="0023395B">
        <w:rPr>
          <w:lang w:eastAsia="en-US"/>
        </w:rPr>
        <w:t>Clinical trials</w:t>
      </w:r>
    </w:p>
    <w:p w14:paraId="47900815" w14:textId="70F5045B" w:rsidR="002C0AF9" w:rsidRPr="0023395B" w:rsidRDefault="002C0AF9" w:rsidP="00D03173">
      <w:pPr>
        <w:pStyle w:val="3Bodytext"/>
        <w:rPr>
          <w:rFonts w:eastAsia="Times New Roman" w:cs="Arial"/>
          <w:i/>
          <w:snapToGrid w:val="0"/>
          <w:szCs w:val="24"/>
        </w:rPr>
      </w:pPr>
      <w:r w:rsidRPr="0023395B">
        <w:rPr>
          <w:rFonts w:eastAsia="Times New Roman" w:cs="Arial"/>
          <w:snapToGrid w:val="0"/>
          <w:szCs w:val="24"/>
        </w:rPr>
        <w:t xml:space="preserve">The November 2021 consideration of </w:t>
      </w:r>
      <w:proofErr w:type="spellStart"/>
      <w:r w:rsidRPr="0023395B">
        <w:rPr>
          <w:rFonts w:eastAsia="Times New Roman" w:cs="Arial"/>
          <w:snapToGrid w:val="0"/>
          <w:szCs w:val="24"/>
        </w:rPr>
        <w:t>mecasermin</w:t>
      </w:r>
      <w:proofErr w:type="spellEnd"/>
      <w:r w:rsidRPr="0023395B">
        <w:rPr>
          <w:rFonts w:eastAsia="Times New Roman" w:cs="Arial"/>
          <w:snapToGrid w:val="0"/>
          <w:szCs w:val="24"/>
        </w:rPr>
        <w:t xml:space="preserve"> was based on </w:t>
      </w:r>
      <w:r w:rsidRPr="0023395B">
        <w:t xml:space="preserve">one head-to-head trial comparing </w:t>
      </w:r>
      <w:proofErr w:type="spellStart"/>
      <w:r w:rsidRPr="0023395B">
        <w:t>mecasermin</w:t>
      </w:r>
      <w:proofErr w:type="spellEnd"/>
      <w:r w:rsidRPr="0023395B">
        <w:t xml:space="preserve"> to no treatment (Trial MS301) and three single-arm studies (Study 1419, EU-IGFD Registry, </w:t>
      </w:r>
      <w:r w:rsidR="00632A0C" w:rsidRPr="0023395B">
        <w:t xml:space="preserve">and </w:t>
      </w:r>
      <w:proofErr w:type="spellStart"/>
      <w:r w:rsidRPr="0023395B">
        <w:rPr>
          <w:szCs w:val="18"/>
        </w:rPr>
        <w:t>Petriczko</w:t>
      </w:r>
      <w:proofErr w:type="spellEnd"/>
      <w:r w:rsidRPr="0023395B">
        <w:rPr>
          <w:szCs w:val="18"/>
        </w:rPr>
        <w:t xml:space="preserve"> et al</w:t>
      </w:r>
      <w:r w:rsidR="00632A0C" w:rsidRPr="0023395B">
        <w:rPr>
          <w:szCs w:val="18"/>
        </w:rPr>
        <w:t>.</w:t>
      </w:r>
      <w:r w:rsidRPr="0023395B">
        <w:rPr>
          <w:szCs w:val="18"/>
        </w:rPr>
        <w:t xml:space="preserve"> 2019)</w:t>
      </w:r>
      <w:r w:rsidR="00632A0C" w:rsidRPr="0023395B">
        <w:rPr>
          <w:szCs w:val="18"/>
        </w:rPr>
        <w:t>.</w:t>
      </w:r>
      <w:r w:rsidR="00632A0C" w:rsidRPr="0023395B">
        <w:t xml:space="preserve"> </w:t>
      </w:r>
      <w:r w:rsidRPr="0023395B">
        <w:rPr>
          <w:rFonts w:eastAsia="Times New Roman" w:cs="Arial"/>
          <w:snapToGrid w:val="0"/>
          <w:szCs w:val="24"/>
        </w:rPr>
        <w:t>No additional clinical data were presented in the resubmission.</w:t>
      </w:r>
    </w:p>
    <w:p w14:paraId="147E6C09" w14:textId="5BD62BE7" w:rsidR="0088123C" w:rsidRPr="0023395B" w:rsidRDefault="0088123C" w:rsidP="00D03173">
      <w:pPr>
        <w:pStyle w:val="3Bodytext"/>
        <w:rPr>
          <w:rFonts w:eastAsia="Times New Roman" w:cs="Arial"/>
          <w:i/>
          <w:snapToGrid w:val="0"/>
          <w:szCs w:val="24"/>
        </w:rPr>
      </w:pPr>
      <w:r w:rsidRPr="0023395B">
        <w:rPr>
          <w:szCs w:val="20"/>
        </w:rPr>
        <w:t xml:space="preserve">The PBAC previously considered that the submission’s claim of superior comparative effectiveness was reasonable </w:t>
      </w:r>
      <w:proofErr w:type="gramStart"/>
      <w:r w:rsidRPr="0023395B">
        <w:rPr>
          <w:szCs w:val="20"/>
        </w:rPr>
        <w:t>on the basis of</w:t>
      </w:r>
      <w:proofErr w:type="gramEnd"/>
      <w:r w:rsidRPr="0023395B">
        <w:rPr>
          <w:szCs w:val="20"/>
        </w:rPr>
        <w:t xml:space="preserve"> </w:t>
      </w:r>
      <w:r w:rsidRPr="0023395B">
        <w:t xml:space="preserve">improved height outcomes. </w:t>
      </w:r>
      <w:r w:rsidRPr="0023395B">
        <w:rPr>
          <w:szCs w:val="20"/>
        </w:rPr>
        <w:t xml:space="preserve">The PBAC considered that </w:t>
      </w:r>
      <w:proofErr w:type="spellStart"/>
      <w:r w:rsidRPr="0023395B">
        <w:rPr>
          <w:rFonts w:eastAsia="Calibri"/>
        </w:rPr>
        <w:t>mecasermin</w:t>
      </w:r>
      <w:proofErr w:type="spellEnd"/>
      <w:r w:rsidRPr="0023395B">
        <w:rPr>
          <w:rFonts w:eastAsia="Calibri"/>
        </w:rPr>
        <w:t xml:space="preserve"> has inferior safety when compared with no treatment based on Trial MS301 (</w:t>
      </w:r>
      <w:r w:rsidRPr="0023395B">
        <w:t xml:space="preserve">paragraph 7.7, </w:t>
      </w:r>
      <w:proofErr w:type="spellStart"/>
      <w:r w:rsidRPr="0023395B">
        <w:t>mecasermin</w:t>
      </w:r>
      <w:proofErr w:type="spellEnd"/>
      <w:r w:rsidRPr="0023395B">
        <w:t xml:space="preserve"> PSD, November 2021 PBAC meeting</w:t>
      </w:r>
      <w:r w:rsidRPr="0023395B">
        <w:rPr>
          <w:rFonts w:eastAsia="Calibri"/>
        </w:rPr>
        <w:t>.</w:t>
      </w:r>
    </w:p>
    <w:p w14:paraId="45D181E4" w14:textId="5BD62BE7" w:rsidR="00C27C1C" w:rsidRPr="0023395B" w:rsidRDefault="00C27C1C" w:rsidP="00C27C1C">
      <w:pPr>
        <w:pStyle w:val="4-SubsectionHeading"/>
        <w:rPr>
          <w:lang w:eastAsia="en-US"/>
        </w:rPr>
      </w:pPr>
      <w:r w:rsidRPr="0023395B">
        <w:rPr>
          <w:lang w:eastAsia="en-US"/>
        </w:rPr>
        <w:t xml:space="preserve">Economic analysis </w:t>
      </w:r>
    </w:p>
    <w:p w14:paraId="22DF841C" w14:textId="45EA7F84" w:rsidR="00F2231B" w:rsidRPr="0023395B" w:rsidRDefault="00125C2C" w:rsidP="0088123C">
      <w:pPr>
        <w:pStyle w:val="3Bodytext"/>
      </w:pPr>
      <w:r w:rsidRPr="0023395B">
        <w:t xml:space="preserve">In November 2021, the PBAC considered that the ICER was unacceptably high and uncertain, and that a price reduction would be required </w:t>
      </w:r>
    </w:p>
    <w:p w14:paraId="0EDBE195" w14:textId="25119A71" w:rsidR="00792584" w:rsidRPr="0023395B" w:rsidRDefault="00F2231B" w:rsidP="004C2ECC">
      <w:pPr>
        <w:pStyle w:val="3Bodytext"/>
      </w:pPr>
      <w:r w:rsidRPr="0023395B">
        <w:t>The resubmission</w:t>
      </w:r>
      <w:r w:rsidR="00ED62BC" w:rsidRPr="0023395B">
        <w:t xml:space="preserve"> requested the same price as the November 2021 submission and</w:t>
      </w:r>
      <w:r w:rsidRPr="0023395B">
        <w:t xml:space="preserve"> stated that a price reduction </w:t>
      </w:r>
      <w:r w:rsidR="004C2ECC" w:rsidRPr="0023395B">
        <w:t>was not feasible</w:t>
      </w:r>
      <w:r w:rsidRPr="0023395B">
        <w:t xml:space="preserve">. </w:t>
      </w:r>
    </w:p>
    <w:p w14:paraId="23F77C6C" w14:textId="3CEBF8DF" w:rsidR="00F85206" w:rsidRPr="0023395B" w:rsidRDefault="00F85206" w:rsidP="0088123C">
      <w:pPr>
        <w:pStyle w:val="4-SubsectionHeading"/>
      </w:pPr>
      <w:r w:rsidRPr="0023395B">
        <w:lastRenderedPageBreak/>
        <w:t>Drug cost/patient/year</w:t>
      </w:r>
    </w:p>
    <w:p w14:paraId="0D00667D" w14:textId="55C8C9B3" w:rsidR="00DA6D81" w:rsidRPr="0023395B" w:rsidRDefault="00651BBD" w:rsidP="00CD573B">
      <w:pPr>
        <w:pStyle w:val="3-BodyText"/>
        <w:numPr>
          <w:ilvl w:val="1"/>
          <w:numId w:val="1"/>
        </w:numPr>
        <w:rPr>
          <w:i/>
        </w:rPr>
      </w:pPr>
      <w:r w:rsidRPr="0023395B">
        <w:t xml:space="preserve">The estimated drug cost per patient per year </w:t>
      </w:r>
      <w:r w:rsidR="00DA6D81" w:rsidRPr="0023395B">
        <w:t xml:space="preserve">of </w:t>
      </w:r>
      <w:proofErr w:type="spellStart"/>
      <w:r w:rsidR="00DA6D81" w:rsidRPr="0023395B">
        <w:t>mecasermin</w:t>
      </w:r>
      <w:proofErr w:type="spellEnd"/>
      <w:r w:rsidR="00DA6D81" w:rsidRPr="0023395B">
        <w:t xml:space="preserve"> is </w:t>
      </w:r>
      <w:r w:rsidR="008B0B05" w:rsidRPr="0023395B">
        <w:t>$</w:t>
      </w:r>
      <w:r w:rsidR="001C6AE3" w:rsidRPr="001C6AE3">
        <w:rPr>
          <w:color w:val="000000"/>
          <w:w w:val="61"/>
          <w:shd w:val="solid" w:color="000000" w:fill="000000"/>
          <w:fitText w:val="473" w:id="-1505504252"/>
          <w14:textFill>
            <w14:solidFill>
              <w14:srgbClr w14:val="000000">
                <w14:alpha w14:val="100000"/>
              </w14:srgbClr>
            </w14:solidFill>
          </w14:textFill>
        </w:rPr>
        <w:t>||</w:t>
      </w:r>
      <w:proofErr w:type="gramStart"/>
      <w:r w:rsidR="001C6AE3" w:rsidRPr="001C6AE3">
        <w:rPr>
          <w:color w:val="000000"/>
          <w:w w:val="61"/>
          <w:shd w:val="solid" w:color="000000" w:fill="000000"/>
          <w:fitText w:val="473" w:id="-1505504252"/>
          <w14:textFill>
            <w14:solidFill>
              <w14:srgbClr w14:val="000000">
                <w14:alpha w14:val="100000"/>
              </w14:srgbClr>
            </w14:solidFill>
          </w14:textFill>
        </w:rPr>
        <w:t>|  |</w:t>
      </w:r>
      <w:proofErr w:type="gramEnd"/>
      <w:r w:rsidR="001C6AE3" w:rsidRPr="001C6AE3">
        <w:rPr>
          <w:color w:val="000000"/>
          <w:w w:val="61"/>
          <w:shd w:val="solid" w:color="000000" w:fill="000000"/>
          <w:fitText w:val="473" w:id="-1505504252"/>
          <w14:textFill>
            <w14:solidFill>
              <w14:srgbClr w14:val="000000">
                <w14:alpha w14:val="100000"/>
              </w14:srgbClr>
            </w14:solidFill>
          </w14:textFill>
        </w:rPr>
        <w:t>|</w:t>
      </w:r>
      <w:r w:rsidR="001C6AE3" w:rsidRPr="001C6AE3">
        <w:rPr>
          <w:color w:val="000000"/>
          <w:spacing w:val="3"/>
          <w:w w:val="61"/>
          <w:shd w:val="solid" w:color="000000" w:fill="000000"/>
          <w:fitText w:val="473" w:id="-1505504252"/>
          <w14:textFill>
            <w14:solidFill>
              <w14:srgbClr w14:val="000000">
                <w14:alpha w14:val="100000"/>
              </w14:srgbClr>
            </w14:solidFill>
          </w14:textFill>
        </w:rPr>
        <w:t>|</w:t>
      </w:r>
      <w:r w:rsidR="00DA6D81" w:rsidRPr="0023395B">
        <w:t>, based on the proposed price (DPMQ $</w:t>
      </w:r>
      <w:r w:rsidR="001C6AE3" w:rsidRPr="002A2C2E">
        <w:rPr>
          <w:color w:val="000000"/>
          <w:w w:val="15"/>
          <w:shd w:val="solid" w:color="000000" w:fill="000000"/>
          <w:fitText w:val="-20" w:id="-1505504251"/>
          <w14:textFill>
            <w14:solidFill>
              <w14:srgbClr w14:val="000000">
                <w14:alpha w14:val="100000"/>
              </w14:srgbClr>
            </w14:solidFill>
          </w14:textFill>
        </w:rPr>
        <w:t xml:space="preserve">|  </w:t>
      </w:r>
      <w:r w:rsidR="001C6AE3" w:rsidRPr="002A2C2E">
        <w:rPr>
          <w:color w:val="000000"/>
          <w:spacing w:val="-69"/>
          <w:w w:val="15"/>
          <w:shd w:val="solid" w:color="000000" w:fill="000000"/>
          <w:fitText w:val="-20" w:id="-1505504251"/>
          <w14:textFill>
            <w14:solidFill>
              <w14:srgbClr w14:val="000000">
                <w14:alpha w14:val="100000"/>
              </w14:srgbClr>
            </w14:solidFill>
          </w14:textFill>
        </w:rPr>
        <w:t>|</w:t>
      </w:r>
      <w:r w:rsidR="00DA6D81" w:rsidRPr="0023395B">
        <w:t xml:space="preserve"> for </w:t>
      </w:r>
      <w:r w:rsidR="00CD573B" w:rsidRPr="0023395B">
        <w:t>4 x 40 mg vials</w:t>
      </w:r>
      <w:r w:rsidR="00DA6D81" w:rsidRPr="0023395B">
        <w:t>)</w:t>
      </w:r>
      <w:r w:rsidR="00CD573B" w:rsidRPr="0023395B">
        <w:t xml:space="preserve"> and the </w:t>
      </w:r>
      <w:r w:rsidR="00DA6D81" w:rsidRPr="0023395B">
        <w:t>average drug utilisation reported in the EU-IGFD registry (</w:t>
      </w:r>
      <w:r w:rsidR="00CD573B" w:rsidRPr="0023395B">
        <w:t xml:space="preserve">mean daily dose of </w:t>
      </w:r>
      <w:r w:rsidR="00DA6D81" w:rsidRPr="0023395B">
        <w:t>0.196 mg/kg</w:t>
      </w:r>
      <w:r w:rsidR="00CD573B" w:rsidRPr="0023395B">
        <w:t>, mean patient weight of 22 kg</w:t>
      </w:r>
      <w:r w:rsidR="00C14519" w:rsidRPr="0023395B">
        <w:t>, 3.274 vials per month, equivalent to 9.823 scripts per year</w:t>
      </w:r>
      <w:r w:rsidR="00CD573B" w:rsidRPr="0023395B">
        <w:t>)</w:t>
      </w:r>
      <w:r w:rsidR="00DA6D81" w:rsidRPr="0023395B">
        <w:t>.</w:t>
      </w:r>
    </w:p>
    <w:p w14:paraId="5EB16602" w14:textId="3495DA99" w:rsidR="00D70349" w:rsidRPr="0023395B" w:rsidRDefault="00D70349" w:rsidP="00D70349">
      <w:pPr>
        <w:pStyle w:val="4-SubsectionHeading"/>
        <w:rPr>
          <w:lang w:eastAsia="en-US"/>
        </w:rPr>
      </w:pPr>
      <w:r w:rsidRPr="0023395B">
        <w:rPr>
          <w:lang w:eastAsia="en-US"/>
        </w:rPr>
        <w:t>Estimated PBS utilisation and financial implications</w:t>
      </w:r>
    </w:p>
    <w:p w14:paraId="10FB18EA" w14:textId="4A9035FC" w:rsidR="00ED5947" w:rsidRPr="0023395B" w:rsidRDefault="000F76EF" w:rsidP="00ED5947">
      <w:pPr>
        <w:pStyle w:val="3Bodytext"/>
        <w:rPr>
          <w:i/>
        </w:rPr>
      </w:pPr>
      <w:bookmarkStart w:id="7" w:name="_Ref94871810"/>
      <w:r w:rsidRPr="0023395B">
        <w:t xml:space="preserve">The resubmission applied the estimated prevalence of SPIGFD as reported in the TGA submission, which lead to an estimated eligible population of 146 patients in year 1, increasing to 157 in year 6 due to population growth. In addition, the resubmission </w:t>
      </w:r>
      <w:r w:rsidR="00CB7EC1" w:rsidRPr="0023395B">
        <w:t>assumed</w:t>
      </w:r>
      <w:r w:rsidRPr="0023395B">
        <w:t xml:space="preserve"> that 50% of the eligible patient population would be treated with </w:t>
      </w:r>
      <w:proofErr w:type="spellStart"/>
      <w:r w:rsidRPr="0023395B">
        <w:t>mecasermin</w:t>
      </w:r>
      <w:proofErr w:type="spellEnd"/>
      <w:r w:rsidRPr="0023395B">
        <w:t>.</w:t>
      </w:r>
      <w:r w:rsidR="00CB7EC1" w:rsidRPr="0023395B">
        <w:t xml:space="preserve"> The resubmission estimated that 77 to 83 patients would be treated with </w:t>
      </w:r>
      <w:proofErr w:type="spellStart"/>
      <w:r w:rsidR="00CB7EC1" w:rsidRPr="0023395B">
        <w:t>mecasermin</w:t>
      </w:r>
      <w:proofErr w:type="spellEnd"/>
      <w:r w:rsidR="00CB7EC1" w:rsidRPr="0023395B">
        <w:t xml:space="preserve"> per year</w:t>
      </w:r>
      <w:r w:rsidR="00313A2E" w:rsidRPr="0023395B">
        <w:t>, which included 4 grandfathered patients (</w:t>
      </w:r>
      <w:r w:rsidR="00313A2E" w:rsidRPr="0023395B">
        <w:fldChar w:fldCharType="begin"/>
      </w:r>
      <w:r w:rsidR="00313A2E" w:rsidRPr="0023395B">
        <w:instrText xml:space="preserve"> REF _Ref92831986 \h </w:instrText>
      </w:r>
      <w:r w:rsidR="00313A2E" w:rsidRPr="0023395B">
        <w:fldChar w:fldCharType="separate"/>
      </w:r>
      <w:r w:rsidR="006A2CD9" w:rsidRPr="0023395B">
        <w:t xml:space="preserve">Table </w:t>
      </w:r>
      <w:r w:rsidR="006A2CD9">
        <w:rPr>
          <w:noProof/>
        </w:rPr>
        <w:t>2</w:t>
      </w:r>
      <w:r w:rsidR="00313A2E" w:rsidRPr="0023395B">
        <w:fldChar w:fldCharType="end"/>
      </w:r>
      <w:r w:rsidR="00313A2E" w:rsidRPr="0023395B">
        <w:t>)</w:t>
      </w:r>
      <w:r w:rsidR="00CB7EC1" w:rsidRPr="0023395B">
        <w:t xml:space="preserve">. </w:t>
      </w:r>
      <w:bookmarkEnd w:id="7"/>
    </w:p>
    <w:p w14:paraId="49D147E3" w14:textId="5084615A" w:rsidR="00A80C67" w:rsidRPr="0023395B" w:rsidRDefault="000F76EF" w:rsidP="001D660F">
      <w:pPr>
        <w:pStyle w:val="3Bodytext"/>
      </w:pPr>
      <w:bookmarkStart w:id="8" w:name="_Ref93593270"/>
      <w:r w:rsidRPr="0023395B">
        <w:t>The resubmission assumed that 12 scripts would be dispensed per patient per year, which was higher than the assumption in the November 2021 submission (9.823, based on the utilisation observed in EU-IGFD Registry). Th</w:t>
      </w:r>
      <w:r w:rsidR="00F4124E" w:rsidRPr="0023395B">
        <w:t xml:space="preserve">e PBAC considered this was </w:t>
      </w:r>
      <w:r w:rsidRPr="0023395B">
        <w:t>not justified.</w:t>
      </w:r>
      <w:bookmarkEnd w:id="8"/>
      <w:r w:rsidR="00E06C82" w:rsidRPr="0023395B">
        <w:t xml:space="preserve"> The PBAC considered that the utilisation </w:t>
      </w:r>
      <w:r w:rsidR="00A80C67" w:rsidRPr="0023395B">
        <w:t xml:space="preserve">assumptions </w:t>
      </w:r>
      <w:r w:rsidR="00E06C82" w:rsidRPr="0023395B">
        <w:t>corresponding to the EU-IGFD registry should be applied in the estimates, consistent with the November 2021 submission.</w:t>
      </w:r>
      <w:r w:rsidR="008D42E0" w:rsidRPr="0023395B">
        <w:t xml:space="preserve"> </w:t>
      </w:r>
      <w:r w:rsidR="00A80C67" w:rsidRPr="0023395B">
        <w:t>After adjustment to reflect the drug utilisation in the EU-IGFD registry, the estimated net cost to health budget was $</w:t>
      </w:r>
      <w:r w:rsidR="00CA6761" w:rsidRPr="00BD5070">
        <w:t>10 million to &lt; $20 million</w:t>
      </w:r>
      <w:r w:rsidR="00CA6761" w:rsidRPr="0023395B" w:rsidDel="00CA6761">
        <w:t xml:space="preserve"> </w:t>
      </w:r>
      <w:r w:rsidR="00A80C67" w:rsidRPr="0023395B">
        <w:t>over six years (</w:t>
      </w:r>
      <w:r w:rsidR="00A80C67" w:rsidRPr="0023395B">
        <w:fldChar w:fldCharType="begin"/>
      </w:r>
      <w:r w:rsidR="00A80C67" w:rsidRPr="0023395B">
        <w:instrText xml:space="preserve"> REF _Ref92831986 \h </w:instrText>
      </w:r>
      <w:r w:rsidR="00CA6761">
        <w:instrText xml:space="preserve"> \* MERGEFORMAT </w:instrText>
      </w:r>
      <w:r w:rsidR="00A80C67" w:rsidRPr="0023395B">
        <w:fldChar w:fldCharType="separate"/>
      </w:r>
      <w:r w:rsidR="006A2CD9" w:rsidRPr="0023395B">
        <w:t xml:space="preserve">Table </w:t>
      </w:r>
      <w:r w:rsidR="006A2CD9">
        <w:t>2</w:t>
      </w:r>
      <w:r w:rsidR="00A80C67" w:rsidRPr="0023395B">
        <w:fldChar w:fldCharType="end"/>
      </w:r>
      <w:r w:rsidR="00A80C67" w:rsidRPr="0023395B">
        <w:t>), compared with $</w:t>
      </w:r>
      <w:r w:rsidR="00CA6761" w:rsidRPr="00BD5070">
        <w:t>0 to &lt; $10 million</w:t>
      </w:r>
      <w:r w:rsidR="00CA6761" w:rsidRPr="0023395B" w:rsidDel="00CA6761">
        <w:t xml:space="preserve"> </w:t>
      </w:r>
      <w:r w:rsidR="00A80C67" w:rsidRPr="0023395B">
        <w:t xml:space="preserve">in the November 2021 submission. </w:t>
      </w:r>
    </w:p>
    <w:p w14:paraId="5B18EC70" w14:textId="77777777" w:rsidR="00406BB0" w:rsidRPr="0023395B" w:rsidRDefault="00406BB0" w:rsidP="00406BB0">
      <w:pPr>
        <w:pStyle w:val="3Bodytext"/>
        <w:numPr>
          <w:ilvl w:val="0"/>
          <w:numId w:val="0"/>
        </w:numPr>
      </w:pPr>
    </w:p>
    <w:p w14:paraId="3F5371D5" w14:textId="452BC5DF" w:rsidR="00125333" w:rsidRPr="0023395B" w:rsidRDefault="00125333" w:rsidP="00125333">
      <w:pPr>
        <w:pStyle w:val="TableFigureHeading"/>
        <w:rPr>
          <w:rStyle w:val="CommentReference"/>
          <w:sz w:val="20"/>
          <w:szCs w:val="24"/>
        </w:rPr>
      </w:pPr>
      <w:bookmarkStart w:id="9" w:name="_Ref92831986"/>
      <w:r w:rsidRPr="0023395B">
        <w:lastRenderedPageBreak/>
        <w:t xml:space="preserve">Table </w:t>
      </w:r>
      <w:r w:rsidR="002A2C2E">
        <w:fldChar w:fldCharType="begin"/>
      </w:r>
      <w:r w:rsidR="002A2C2E">
        <w:instrText xml:space="preserve"> SEQ Table \* ARABIC </w:instrText>
      </w:r>
      <w:r w:rsidR="002A2C2E">
        <w:fldChar w:fldCharType="separate"/>
      </w:r>
      <w:r w:rsidR="006A2CD9">
        <w:rPr>
          <w:noProof/>
        </w:rPr>
        <w:t>2</w:t>
      </w:r>
      <w:r w:rsidR="002A2C2E">
        <w:rPr>
          <w:noProof/>
        </w:rPr>
        <w:fldChar w:fldCharType="end"/>
      </w:r>
      <w:bookmarkEnd w:id="9"/>
      <w:r w:rsidRPr="0023395B">
        <w:t xml:space="preserve">: </w:t>
      </w:r>
      <w:r w:rsidRPr="0023395B">
        <w:rPr>
          <w:rStyle w:val="CommentReference"/>
          <w:sz w:val="20"/>
          <w:szCs w:val="22"/>
        </w:rPr>
        <w:t xml:space="preserve">Estimated use and financial implications </w:t>
      </w:r>
      <w:r w:rsidRPr="0023395B">
        <w:rPr>
          <w:rStyle w:val="CommentReference"/>
          <w:sz w:val="20"/>
          <w:szCs w:val="20"/>
        </w:rPr>
        <w:t xml:space="preserve">of </w:t>
      </w:r>
      <w:proofErr w:type="spellStart"/>
      <w:r w:rsidRPr="0023395B">
        <w:rPr>
          <w:rStyle w:val="CommentReference"/>
          <w:sz w:val="20"/>
          <w:szCs w:val="20"/>
        </w:rPr>
        <w:t>mecasermin</w:t>
      </w:r>
      <w:proofErr w:type="spellEnd"/>
    </w:p>
    <w:tbl>
      <w:tblPr>
        <w:tblStyle w:val="TableGrid"/>
        <w:tblW w:w="5000" w:type="pct"/>
        <w:tblLook w:val="04A0" w:firstRow="1" w:lastRow="0" w:firstColumn="1" w:lastColumn="0" w:noHBand="0" w:noVBand="1"/>
      </w:tblPr>
      <w:tblGrid>
        <w:gridCol w:w="1923"/>
        <w:gridCol w:w="1134"/>
        <w:gridCol w:w="1134"/>
        <w:gridCol w:w="1134"/>
        <w:gridCol w:w="1134"/>
        <w:gridCol w:w="1149"/>
        <w:gridCol w:w="1408"/>
      </w:tblGrid>
      <w:tr w:rsidR="00125333" w:rsidRPr="0023395B" w14:paraId="05CFD299" w14:textId="77777777" w:rsidTr="004C2ECC">
        <w:tc>
          <w:tcPr>
            <w:tcW w:w="1066" w:type="pct"/>
          </w:tcPr>
          <w:p w14:paraId="7F42C002" w14:textId="77777777" w:rsidR="00125333" w:rsidRPr="0023395B" w:rsidRDefault="00125333" w:rsidP="00990CFB">
            <w:pPr>
              <w:pStyle w:val="TableText0"/>
            </w:pPr>
          </w:p>
        </w:tc>
        <w:tc>
          <w:tcPr>
            <w:tcW w:w="629" w:type="pct"/>
          </w:tcPr>
          <w:p w14:paraId="3ECCFF71" w14:textId="77777777" w:rsidR="00125333" w:rsidRPr="0023395B" w:rsidRDefault="00125333" w:rsidP="00990CFB">
            <w:pPr>
              <w:pStyle w:val="Tabletitles"/>
              <w:jc w:val="right"/>
            </w:pPr>
            <w:r w:rsidRPr="0023395B">
              <w:t>2022</w:t>
            </w:r>
          </w:p>
        </w:tc>
        <w:tc>
          <w:tcPr>
            <w:tcW w:w="629" w:type="pct"/>
          </w:tcPr>
          <w:p w14:paraId="59706F7C" w14:textId="77777777" w:rsidR="00125333" w:rsidRPr="0023395B" w:rsidRDefault="00125333" w:rsidP="00990CFB">
            <w:pPr>
              <w:pStyle w:val="Tabletitles"/>
              <w:jc w:val="right"/>
            </w:pPr>
            <w:r w:rsidRPr="0023395B">
              <w:t>2023</w:t>
            </w:r>
          </w:p>
        </w:tc>
        <w:tc>
          <w:tcPr>
            <w:tcW w:w="629" w:type="pct"/>
          </w:tcPr>
          <w:p w14:paraId="4971D54B" w14:textId="77777777" w:rsidR="00125333" w:rsidRPr="0023395B" w:rsidRDefault="00125333" w:rsidP="00990CFB">
            <w:pPr>
              <w:pStyle w:val="Tabletitles"/>
              <w:jc w:val="right"/>
            </w:pPr>
            <w:r w:rsidRPr="0023395B">
              <w:t>2024</w:t>
            </w:r>
          </w:p>
        </w:tc>
        <w:tc>
          <w:tcPr>
            <w:tcW w:w="629" w:type="pct"/>
          </w:tcPr>
          <w:p w14:paraId="2F1071A5" w14:textId="77777777" w:rsidR="00125333" w:rsidRPr="0023395B" w:rsidRDefault="00125333" w:rsidP="00990CFB">
            <w:pPr>
              <w:pStyle w:val="Tabletitles"/>
              <w:jc w:val="right"/>
            </w:pPr>
            <w:r w:rsidRPr="0023395B">
              <w:t>2025</w:t>
            </w:r>
          </w:p>
        </w:tc>
        <w:tc>
          <w:tcPr>
            <w:tcW w:w="637" w:type="pct"/>
          </w:tcPr>
          <w:p w14:paraId="24E480CA" w14:textId="77777777" w:rsidR="00125333" w:rsidRPr="0023395B" w:rsidRDefault="00125333" w:rsidP="00990CFB">
            <w:pPr>
              <w:pStyle w:val="Tabletitles"/>
              <w:jc w:val="right"/>
            </w:pPr>
            <w:r w:rsidRPr="0023395B">
              <w:t>2026</w:t>
            </w:r>
          </w:p>
        </w:tc>
        <w:tc>
          <w:tcPr>
            <w:tcW w:w="781" w:type="pct"/>
          </w:tcPr>
          <w:p w14:paraId="6D2D818C" w14:textId="77777777" w:rsidR="00125333" w:rsidRPr="0023395B" w:rsidRDefault="00125333" w:rsidP="00990CFB">
            <w:pPr>
              <w:pStyle w:val="Tabletitles"/>
              <w:jc w:val="right"/>
            </w:pPr>
            <w:r w:rsidRPr="0023395B">
              <w:t>2027</w:t>
            </w:r>
          </w:p>
        </w:tc>
      </w:tr>
      <w:tr w:rsidR="00125333" w:rsidRPr="0023395B" w14:paraId="6A6A8F28" w14:textId="77777777" w:rsidTr="004C2ECC">
        <w:tc>
          <w:tcPr>
            <w:tcW w:w="5000" w:type="pct"/>
            <w:gridSpan w:val="7"/>
          </w:tcPr>
          <w:p w14:paraId="10CED914" w14:textId="7BF1169F" w:rsidR="00125333" w:rsidRPr="0023395B" w:rsidRDefault="00125333" w:rsidP="008D42E0">
            <w:pPr>
              <w:pStyle w:val="TableText0"/>
            </w:pPr>
            <w:r w:rsidRPr="0023395B">
              <w:rPr>
                <w:b/>
              </w:rPr>
              <w:t>Resubmission</w:t>
            </w:r>
            <w:r w:rsidR="00B37AFD" w:rsidRPr="0023395B">
              <w:rPr>
                <w:b/>
              </w:rPr>
              <w:t xml:space="preserve"> estimates with adjustment</w:t>
            </w:r>
            <w:r w:rsidR="008D42E0" w:rsidRPr="0023395B">
              <w:rPr>
                <w:b/>
              </w:rPr>
              <w:t xml:space="preserve"> to reflect the drug utilisation in the EU-IGFD registry</w:t>
            </w:r>
            <w:r w:rsidR="00430BE0" w:rsidRPr="0023395B">
              <w:rPr>
                <w:b/>
              </w:rPr>
              <w:t xml:space="preserve"> (scripts per year)</w:t>
            </w:r>
          </w:p>
        </w:tc>
      </w:tr>
      <w:tr w:rsidR="00125333" w:rsidRPr="0023395B" w14:paraId="5C8D50E6" w14:textId="77777777" w:rsidTr="004C2ECC">
        <w:tc>
          <w:tcPr>
            <w:tcW w:w="1066" w:type="pct"/>
          </w:tcPr>
          <w:p w14:paraId="1502E8E5" w14:textId="77777777" w:rsidR="00125333" w:rsidRPr="0023395B" w:rsidRDefault="00125333" w:rsidP="00990CFB">
            <w:pPr>
              <w:pStyle w:val="TableText0"/>
            </w:pPr>
            <w:r w:rsidRPr="0023395B">
              <w:t>Eligible patients</w:t>
            </w:r>
          </w:p>
        </w:tc>
        <w:tc>
          <w:tcPr>
            <w:tcW w:w="629" w:type="pct"/>
          </w:tcPr>
          <w:p w14:paraId="2BAD5A3B" w14:textId="03ECC4F5" w:rsidR="00125333" w:rsidRPr="00BD5070" w:rsidRDefault="001C6AE3" w:rsidP="00990CFB">
            <w:pPr>
              <w:pStyle w:val="TableText0"/>
              <w:jc w:val="right"/>
              <w:rPr>
                <w:vertAlign w:val="superscript"/>
              </w:rPr>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c>
          <w:tcPr>
            <w:tcW w:w="629" w:type="pct"/>
          </w:tcPr>
          <w:p w14:paraId="346B5663" w14:textId="6F316FE0" w:rsidR="00125333" w:rsidRPr="0023395B" w:rsidRDefault="001C6AE3" w:rsidP="00990CFB">
            <w:pPr>
              <w:pStyle w:val="TableText0"/>
              <w:jc w:val="right"/>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c>
          <w:tcPr>
            <w:tcW w:w="629" w:type="pct"/>
          </w:tcPr>
          <w:p w14:paraId="14DDDC59" w14:textId="770285FF" w:rsidR="00125333" w:rsidRPr="0023395B" w:rsidRDefault="001C6AE3" w:rsidP="00990CFB">
            <w:pPr>
              <w:pStyle w:val="TableText0"/>
              <w:jc w:val="right"/>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c>
          <w:tcPr>
            <w:tcW w:w="629" w:type="pct"/>
          </w:tcPr>
          <w:p w14:paraId="1E5B07A5" w14:textId="64323E99" w:rsidR="00125333" w:rsidRPr="0023395B" w:rsidRDefault="001C6AE3" w:rsidP="00990CFB">
            <w:pPr>
              <w:pStyle w:val="TableText0"/>
              <w:jc w:val="right"/>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c>
          <w:tcPr>
            <w:tcW w:w="637" w:type="pct"/>
          </w:tcPr>
          <w:p w14:paraId="2540F918" w14:textId="1FD39177" w:rsidR="00125333" w:rsidRPr="0023395B" w:rsidRDefault="001C6AE3" w:rsidP="00990CFB">
            <w:pPr>
              <w:pStyle w:val="TableText0"/>
              <w:jc w:val="right"/>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c>
          <w:tcPr>
            <w:tcW w:w="781" w:type="pct"/>
          </w:tcPr>
          <w:p w14:paraId="48A0D161" w14:textId="41DDB097" w:rsidR="00125333" w:rsidRPr="0023395B" w:rsidRDefault="001C6AE3" w:rsidP="00990CFB">
            <w:pPr>
              <w:pStyle w:val="TableText0"/>
              <w:jc w:val="right"/>
            </w:pPr>
            <w:r w:rsidRPr="001C6AE3">
              <w:rPr>
                <w:color w:val="000000" w:themeColor="text1"/>
                <w:sz w:val="18"/>
                <w:szCs w:val="18"/>
                <w:shd w:val="solid" w:color="000000" w:fill="000000"/>
                <w14:textFill>
                  <w14:solidFill>
                    <w14:schemeClr w14:val="tx1">
                      <w14:alpha w14:val="100000"/>
                    </w14:schemeClr>
                  </w14:solidFill>
                </w14:textFill>
              </w:rPr>
              <w:t>|</w:t>
            </w:r>
            <w:r w:rsidR="009B1B10">
              <w:rPr>
                <w:color w:val="000000" w:themeColor="text1"/>
                <w:sz w:val="18"/>
                <w:szCs w:val="18"/>
                <w:vertAlign w:val="superscript"/>
              </w:rPr>
              <w:t>1</w:t>
            </w:r>
          </w:p>
        </w:tc>
      </w:tr>
      <w:tr w:rsidR="00125333" w:rsidRPr="0023395B" w14:paraId="2D6CE0C8" w14:textId="77777777" w:rsidTr="001C6AE3">
        <w:tc>
          <w:tcPr>
            <w:tcW w:w="1066" w:type="pct"/>
          </w:tcPr>
          <w:p w14:paraId="34657F84" w14:textId="77777777" w:rsidR="00125333" w:rsidRPr="0023395B" w:rsidRDefault="00125333" w:rsidP="00990CFB">
            <w:pPr>
              <w:pStyle w:val="TableText0"/>
            </w:pPr>
            <w:r w:rsidRPr="0023395B">
              <w:t xml:space="preserve">Treated proportion </w:t>
            </w:r>
          </w:p>
        </w:tc>
        <w:tc>
          <w:tcPr>
            <w:tcW w:w="629" w:type="pct"/>
          </w:tcPr>
          <w:p w14:paraId="34D9BD60"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c>
          <w:tcPr>
            <w:tcW w:w="629" w:type="pct"/>
          </w:tcPr>
          <w:p w14:paraId="2042DE39"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c>
          <w:tcPr>
            <w:tcW w:w="629" w:type="pct"/>
          </w:tcPr>
          <w:p w14:paraId="4053FC16"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c>
          <w:tcPr>
            <w:tcW w:w="629" w:type="pct"/>
            <w:tcBorders>
              <w:bottom w:val="single" w:sz="4" w:space="0" w:color="auto"/>
            </w:tcBorders>
          </w:tcPr>
          <w:p w14:paraId="70FAA77D"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c>
          <w:tcPr>
            <w:tcW w:w="637" w:type="pct"/>
          </w:tcPr>
          <w:p w14:paraId="5AF85BE5"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c>
          <w:tcPr>
            <w:tcW w:w="781" w:type="pct"/>
          </w:tcPr>
          <w:p w14:paraId="04EA5934" w14:textId="77777777" w:rsidR="00125333" w:rsidRPr="0023395B" w:rsidRDefault="00125333" w:rsidP="00990CFB">
            <w:pPr>
              <w:pStyle w:val="TableText0"/>
              <w:jc w:val="right"/>
              <w:rPr>
                <w:color w:val="000000" w:themeColor="text1"/>
                <w:sz w:val="18"/>
                <w:szCs w:val="18"/>
              </w:rPr>
            </w:pPr>
            <w:r w:rsidRPr="0023395B">
              <w:rPr>
                <w:color w:val="000000" w:themeColor="text1"/>
                <w:sz w:val="18"/>
                <w:szCs w:val="18"/>
              </w:rPr>
              <w:t>50%</w:t>
            </w:r>
          </w:p>
        </w:tc>
      </w:tr>
      <w:tr w:rsidR="009F369E" w:rsidRPr="0023395B" w14:paraId="6BF7B5A6" w14:textId="77777777" w:rsidTr="001C6AE3">
        <w:tc>
          <w:tcPr>
            <w:tcW w:w="1066" w:type="pct"/>
          </w:tcPr>
          <w:p w14:paraId="3580B68E" w14:textId="019F3DEB" w:rsidR="009F369E" w:rsidRPr="0023395B" w:rsidRDefault="009F369E" w:rsidP="009F369E">
            <w:pPr>
              <w:pStyle w:val="TableText0"/>
            </w:pPr>
            <w:r w:rsidRPr="0023395B">
              <w:t>Eligible patients treated</w:t>
            </w:r>
          </w:p>
        </w:tc>
        <w:tc>
          <w:tcPr>
            <w:tcW w:w="629" w:type="pct"/>
          </w:tcPr>
          <w:p w14:paraId="25E83589" w14:textId="55170ADB"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c>
          <w:tcPr>
            <w:tcW w:w="629" w:type="pct"/>
          </w:tcPr>
          <w:p w14:paraId="585A9B57" w14:textId="70084D06"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c>
          <w:tcPr>
            <w:tcW w:w="629" w:type="pct"/>
          </w:tcPr>
          <w:p w14:paraId="270638E4" w14:textId="097FBFD7"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c>
          <w:tcPr>
            <w:tcW w:w="629" w:type="pct"/>
            <w:tcBorders>
              <w:bottom w:val="single" w:sz="4" w:space="0" w:color="auto"/>
            </w:tcBorders>
          </w:tcPr>
          <w:p w14:paraId="34C145F7" w14:textId="6D7DE697"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c>
          <w:tcPr>
            <w:tcW w:w="637" w:type="pct"/>
          </w:tcPr>
          <w:p w14:paraId="75A5E4FA" w14:textId="5A55E826"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c>
          <w:tcPr>
            <w:tcW w:w="781" w:type="pct"/>
          </w:tcPr>
          <w:p w14:paraId="784E3943" w14:textId="2CB7DBBD"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themeColor="text1"/>
                <w:sz w:val="18"/>
                <w:szCs w:val="18"/>
                <w:shd w:val="solid" w:color="000000" w:fill="000000"/>
                <w14:textFill>
                  <w14:solidFill>
                    <w14:schemeClr w14:val="tx1">
                      <w14:alpha w14:val="100000"/>
                    </w14:schemeClr>
                  </w14:solidFill>
                </w14:textFill>
              </w:rPr>
              <w:t>|</w:t>
            </w:r>
            <w:r>
              <w:rPr>
                <w:color w:val="000000" w:themeColor="text1"/>
                <w:sz w:val="18"/>
                <w:szCs w:val="18"/>
                <w:vertAlign w:val="superscript"/>
              </w:rPr>
              <w:t>1</w:t>
            </w:r>
          </w:p>
        </w:tc>
      </w:tr>
      <w:tr w:rsidR="009F369E" w:rsidRPr="0023395B" w14:paraId="6A194CFC" w14:textId="77777777" w:rsidTr="001C6AE3">
        <w:tc>
          <w:tcPr>
            <w:tcW w:w="1066" w:type="pct"/>
          </w:tcPr>
          <w:p w14:paraId="4CA7FF78" w14:textId="77777777" w:rsidR="009F369E" w:rsidRPr="0023395B" w:rsidRDefault="009F369E" w:rsidP="009F369E">
            <w:pPr>
              <w:pStyle w:val="TableText0"/>
            </w:pPr>
            <w:r w:rsidRPr="0023395B">
              <w:t>Grandfathered patients</w:t>
            </w:r>
          </w:p>
        </w:tc>
        <w:tc>
          <w:tcPr>
            <w:tcW w:w="629" w:type="pct"/>
          </w:tcPr>
          <w:p w14:paraId="640082D9" w14:textId="43AEFC0E"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02A89A06" w14:textId="405EDCB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19298DD5" w14:textId="5296BBDF"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Borders>
              <w:bottom w:val="single" w:sz="4" w:space="0" w:color="auto"/>
            </w:tcBorders>
          </w:tcPr>
          <w:p w14:paraId="6A32D9F4" w14:textId="674BB3CF"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37" w:type="pct"/>
          </w:tcPr>
          <w:p w14:paraId="3BE0519D" w14:textId="01897E3D"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tcPr>
          <w:p w14:paraId="27A7C40F" w14:textId="296CCE32"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r>
      <w:tr w:rsidR="009F369E" w:rsidRPr="0023395B" w14:paraId="0A23EB4A" w14:textId="77777777" w:rsidTr="001C6AE3">
        <w:tc>
          <w:tcPr>
            <w:tcW w:w="1066" w:type="pct"/>
          </w:tcPr>
          <w:p w14:paraId="7EC8095B" w14:textId="103E9DA4" w:rsidR="009F369E" w:rsidRPr="0023395B" w:rsidRDefault="009F369E" w:rsidP="009F369E">
            <w:pPr>
              <w:pStyle w:val="TableText0"/>
            </w:pPr>
            <w:r w:rsidRPr="0023395B">
              <w:t>Treated Patients</w:t>
            </w:r>
          </w:p>
        </w:tc>
        <w:tc>
          <w:tcPr>
            <w:tcW w:w="629" w:type="pct"/>
          </w:tcPr>
          <w:p w14:paraId="5B1BE796" w14:textId="4D324F14"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58904553" w14:textId="1E109C71"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31C06735" w14:textId="7E4E5D49"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Borders>
              <w:bottom w:val="single" w:sz="4" w:space="0" w:color="auto"/>
            </w:tcBorders>
          </w:tcPr>
          <w:p w14:paraId="3D441EDE" w14:textId="67325C67"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37" w:type="pct"/>
          </w:tcPr>
          <w:p w14:paraId="7960F07A" w14:textId="52A04D4C"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tcPr>
          <w:p w14:paraId="16F6839D" w14:textId="6AC22E6E" w:rsidR="009F369E" w:rsidRPr="001C6AE3" w:rsidRDefault="009F369E" w:rsidP="009F369E">
            <w:pPr>
              <w:pStyle w:val="TableText0"/>
              <w:jc w:val="right"/>
              <w:rPr>
                <w:color w:val="000000"/>
                <w:shd w:val="solid" w:color="000000" w:fill="000000"/>
                <w14:textFill>
                  <w14:solidFill>
                    <w14:srgbClr w14:val="000000">
                      <w14:alpha w14:val="100000"/>
                    </w14:srgbClr>
                  </w14:solidFill>
                </w14:textFill>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r>
      <w:tr w:rsidR="009F369E" w:rsidRPr="00EF2092" w14:paraId="157EB31B" w14:textId="77777777" w:rsidTr="004C2ECC">
        <w:tc>
          <w:tcPr>
            <w:tcW w:w="1066" w:type="pct"/>
          </w:tcPr>
          <w:p w14:paraId="369BCFE8" w14:textId="228C0BE5" w:rsidR="009F369E" w:rsidRPr="0023395B" w:rsidRDefault="009F369E" w:rsidP="009F369E">
            <w:pPr>
              <w:pStyle w:val="TableText0"/>
              <w:rPr>
                <w:szCs w:val="20"/>
              </w:rPr>
            </w:pPr>
            <w:r w:rsidRPr="0023395B">
              <w:rPr>
                <w:szCs w:val="20"/>
              </w:rPr>
              <w:t>Scripts per year</w:t>
            </w:r>
          </w:p>
        </w:tc>
        <w:tc>
          <w:tcPr>
            <w:tcW w:w="629" w:type="pct"/>
          </w:tcPr>
          <w:p w14:paraId="1283D851" w14:textId="71B11DBD" w:rsidR="009F369E" w:rsidRPr="00454648" w:rsidRDefault="009F369E" w:rsidP="009F369E">
            <w:pPr>
              <w:jc w:val="right"/>
              <w:rPr>
                <w:rFonts w:ascii="Arial Narrow" w:hAnsi="Arial Narrow"/>
                <w:sz w:val="20"/>
                <w:szCs w:val="20"/>
              </w:rPr>
            </w:pPr>
            <w:r w:rsidRPr="00454648">
              <w:rPr>
                <w:rFonts w:ascii="Arial Narrow" w:hAnsi="Arial Narrow"/>
                <w:sz w:val="20"/>
                <w:szCs w:val="20"/>
              </w:rPr>
              <w:t>9.823</w:t>
            </w:r>
          </w:p>
        </w:tc>
        <w:tc>
          <w:tcPr>
            <w:tcW w:w="629" w:type="pct"/>
          </w:tcPr>
          <w:p w14:paraId="670E5784" w14:textId="32CEDBCA" w:rsidR="009F369E" w:rsidRPr="00454648" w:rsidRDefault="009F369E" w:rsidP="009F369E">
            <w:pPr>
              <w:jc w:val="right"/>
              <w:rPr>
                <w:rFonts w:ascii="Arial Narrow" w:hAnsi="Arial Narrow"/>
                <w:sz w:val="20"/>
                <w:szCs w:val="20"/>
              </w:rPr>
            </w:pPr>
            <w:r w:rsidRPr="00454648">
              <w:rPr>
                <w:rFonts w:ascii="Arial Narrow" w:hAnsi="Arial Narrow"/>
                <w:sz w:val="20"/>
                <w:szCs w:val="20"/>
              </w:rPr>
              <w:t>9.823</w:t>
            </w:r>
          </w:p>
        </w:tc>
        <w:tc>
          <w:tcPr>
            <w:tcW w:w="629" w:type="pct"/>
          </w:tcPr>
          <w:p w14:paraId="2C4056B8" w14:textId="44D29F3C" w:rsidR="009F369E" w:rsidRPr="00EF2092" w:rsidRDefault="009F369E" w:rsidP="009F369E">
            <w:pPr>
              <w:jc w:val="right"/>
              <w:rPr>
                <w:rFonts w:ascii="Arial Narrow" w:hAnsi="Arial Narrow"/>
                <w:sz w:val="20"/>
                <w:szCs w:val="20"/>
              </w:rPr>
            </w:pPr>
            <w:r w:rsidRPr="00EF2092">
              <w:rPr>
                <w:rFonts w:ascii="Arial Narrow" w:hAnsi="Arial Narrow"/>
                <w:sz w:val="20"/>
                <w:szCs w:val="20"/>
              </w:rPr>
              <w:t>9.823</w:t>
            </w:r>
          </w:p>
        </w:tc>
        <w:tc>
          <w:tcPr>
            <w:tcW w:w="629" w:type="pct"/>
          </w:tcPr>
          <w:p w14:paraId="3B4B9CAC" w14:textId="5F33AC3E" w:rsidR="009F369E" w:rsidRPr="00EF2092" w:rsidRDefault="009F369E" w:rsidP="009F369E">
            <w:pPr>
              <w:jc w:val="right"/>
              <w:rPr>
                <w:rFonts w:ascii="Arial Narrow" w:hAnsi="Arial Narrow"/>
                <w:sz w:val="20"/>
                <w:szCs w:val="20"/>
              </w:rPr>
            </w:pPr>
            <w:r w:rsidRPr="00EF2092">
              <w:rPr>
                <w:rFonts w:ascii="Arial Narrow" w:hAnsi="Arial Narrow"/>
                <w:sz w:val="20"/>
                <w:szCs w:val="20"/>
              </w:rPr>
              <w:t>9.823</w:t>
            </w:r>
          </w:p>
        </w:tc>
        <w:tc>
          <w:tcPr>
            <w:tcW w:w="637" w:type="pct"/>
          </w:tcPr>
          <w:p w14:paraId="5EC6456E" w14:textId="5C63B27E" w:rsidR="009F369E" w:rsidRPr="00EF2092" w:rsidRDefault="009F369E" w:rsidP="009F369E">
            <w:pPr>
              <w:jc w:val="right"/>
              <w:rPr>
                <w:rFonts w:ascii="Arial Narrow" w:hAnsi="Arial Narrow"/>
                <w:sz w:val="20"/>
                <w:szCs w:val="20"/>
              </w:rPr>
            </w:pPr>
            <w:r w:rsidRPr="00EF2092">
              <w:rPr>
                <w:rFonts w:ascii="Arial Narrow" w:hAnsi="Arial Narrow"/>
                <w:sz w:val="20"/>
                <w:szCs w:val="20"/>
              </w:rPr>
              <w:t>9.823</w:t>
            </w:r>
          </w:p>
        </w:tc>
        <w:tc>
          <w:tcPr>
            <w:tcW w:w="781" w:type="pct"/>
          </w:tcPr>
          <w:p w14:paraId="776269B8" w14:textId="77C38228" w:rsidR="009F369E" w:rsidRPr="00EF2092" w:rsidRDefault="009F369E" w:rsidP="009F369E">
            <w:pPr>
              <w:jc w:val="right"/>
              <w:rPr>
                <w:rFonts w:ascii="Arial Narrow" w:hAnsi="Arial Narrow"/>
                <w:sz w:val="20"/>
                <w:szCs w:val="20"/>
              </w:rPr>
            </w:pPr>
            <w:r w:rsidRPr="00EF2092">
              <w:rPr>
                <w:rFonts w:ascii="Arial Narrow" w:hAnsi="Arial Narrow"/>
                <w:sz w:val="20"/>
                <w:szCs w:val="20"/>
              </w:rPr>
              <w:t>9.823</w:t>
            </w:r>
          </w:p>
        </w:tc>
      </w:tr>
      <w:tr w:rsidR="009F369E" w:rsidRPr="0023395B" w14:paraId="514F1250" w14:textId="77777777" w:rsidTr="004C2ECC">
        <w:tc>
          <w:tcPr>
            <w:tcW w:w="1066" w:type="pct"/>
          </w:tcPr>
          <w:p w14:paraId="38A9BEA4" w14:textId="22653870" w:rsidR="009F369E" w:rsidRPr="0023395B" w:rsidRDefault="009F369E" w:rsidP="009F369E">
            <w:pPr>
              <w:pStyle w:val="TableText0"/>
              <w:rPr>
                <w:szCs w:val="20"/>
              </w:rPr>
            </w:pPr>
            <w:r w:rsidRPr="0023395B">
              <w:rPr>
                <w:szCs w:val="20"/>
              </w:rPr>
              <w:t>Total Scripts</w:t>
            </w:r>
          </w:p>
        </w:tc>
        <w:tc>
          <w:tcPr>
            <w:tcW w:w="629" w:type="pct"/>
            <w:vAlign w:val="center"/>
          </w:tcPr>
          <w:p w14:paraId="63037D61" w14:textId="719C2D53"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c>
          <w:tcPr>
            <w:tcW w:w="629" w:type="pct"/>
            <w:vAlign w:val="center"/>
          </w:tcPr>
          <w:p w14:paraId="17EDF058" w14:textId="3BC90FC8"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c>
          <w:tcPr>
            <w:tcW w:w="629" w:type="pct"/>
            <w:vAlign w:val="center"/>
          </w:tcPr>
          <w:p w14:paraId="1E2A2E59" w14:textId="0AD88C45"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c>
          <w:tcPr>
            <w:tcW w:w="629" w:type="pct"/>
            <w:vAlign w:val="center"/>
          </w:tcPr>
          <w:p w14:paraId="5340BFA8" w14:textId="011A3541"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c>
          <w:tcPr>
            <w:tcW w:w="637" w:type="pct"/>
            <w:vAlign w:val="center"/>
          </w:tcPr>
          <w:p w14:paraId="76057A20" w14:textId="1332FC0D"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c>
          <w:tcPr>
            <w:tcW w:w="781" w:type="pct"/>
            <w:vAlign w:val="center"/>
          </w:tcPr>
          <w:p w14:paraId="4B2B259F" w14:textId="5A3DFEB3" w:rsidR="009F369E" w:rsidRPr="0023395B" w:rsidRDefault="009F369E" w:rsidP="009F369E">
            <w:pPr>
              <w:jc w:val="right"/>
              <w:rPr>
                <w:rFonts w:ascii="Arial Narrow" w:hAnsi="Arial Narrow"/>
                <w:sz w:val="20"/>
                <w:szCs w:val="20"/>
              </w:rPr>
            </w:pP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2</w:t>
            </w:r>
            <w:r w:rsidRPr="0023395B">
              <w:rPr>
                <w:rFonts w:ascii="Arial Narrow" w:hAnsi="Arial Narrow"/>
                <w:sz w:val="20"/>
                <w:szCs w:val="20"/>
              </w:rPr>
              <w:t xml:space="preserve"> </w:t>
            </w:r>
          </w:p>
        </w:tc>
      </w:tr>
      <w:tr w:rsidR="009F369E" w:rsidRPr="0023395B" w14:paraId="00A5BC70" w14:textId="77777777" w:rsidTr="004C2ECC">
        <w:tc>
          <w:tcPr>
            <w:tcW w:w="1066" w:type="pct"/>
          </w:tcPr>
          <w:p w14:paraId="617E60D3" w14:textId="3198C529" w:rsidR="009F369E" w:rsidRPr="0023395B" w:rsidRDefault="009F369E" w:rsidP="009F369E">
            <w:pPr>
              <w:pStyle w:val="TableText0"/>
              <w:rPr>
                <w:szCs w:val="20"/>
              </w:rPr>
            </w:pPr>
            <w:r w:rsidRPr="0023395B">
              <w:rPr>
                <w:szCs w:val="20"/>
              </w:rPr>
              <w:t>Cost to PBS/RPBS</w:t>
            </w:r>
          </w:p>
        </w:tc>
        <w:tc>
          <w:tcPr>
            <w:tcW w:w="629" w:type="pct"/>
            <w:vAlign w:val="center"/>
          </w:tcPr>
          <w:p w14:paraId="48556FB8" w14:textId="0851A697" w:rsidR="009F369E" w:rsidRPr="00BD5070" w:rsidRDefault="009F369E" w:rsidP="009F369E">
            <w:pPr>
              <w:jc w:val="right"/>
              <w:rPr>
                <w:rFonts w:ascii="Arial Narrow" w:hAnsi="Arial Narrow"/>
                <w:sz w:val="20"/>
                <w:szCs w:val="20"/>
                <w:vertAlign w:val="superscript"/>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10ABC35C" w14:textId="558BC47F"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287247E9" w14:textId="376C15A8"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433D84EB" w14:textId="1395E266"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37" w:type="pct"/>
            <w:vAlign w:val="center"/>
          </w:tcPr>
          <w:p w14:paraId="2A210BF5" w14:textId="26C490C9"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781" w:type="pct"/>
            <w:vAlign w:val="center"/>
          </w:tcPr>
          <w:p w14:paraId="50D46EA6" w14:textId="42634DD7"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r>
      <w:tr w:rsidR="009F369E" w:rsidRPr="0023395B" w14:paraId="52C95467" w14:textId="77777777" w:rsidTr="004C2ECC">
        <w:tc>
          <w:tcPr>
            <w:tcW w:w="1066" w:type="pct"/>
          </w:tcPr>
          <w:p w14:paraId="713AB7E7" w14:textId="6FDD275E" w:rsidR="009F369E" w:rsidRPr="0023395B" w:rsidRDefault="009F369E" w:rsidP="009F369E">
            <w:pPr>
              <w:pStyle w:val="TableText0"/>
              <w:rPr>
                <w:szCs w:val="20"/>
              </w:rPr>
            </w:pPr>
            <w:r w:rsidRPr="0023395B">
              <w:rPr>
                <w:szCs w:val="20"/>
              </w:rPr>
              <w:t>Less co-payments</w:t>
            </w:r>
          </w:p>
        </w:tc>
        <w:tc>
          <w:tcPr>
            <w:tcW w:w="629" w:type="pct"/>
            <w:vAlign w:val="center"/>
          </w:tcPr>
          <w:p w14:paraId="74AE00FE" w14:textId="31E35D64"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hint="eastAsia"/>
                <w:color w:val="000000"/>
                <w:w w:val="15"/>
                <w:sz w:val="20"/>
                <w:szCs w:val="20"/>
                <w:shd w:val="solid" w:color="000000" w:fill="000000"/>
                <w:fitText w:val="53" w:id="-1505504250"/>
                <w14:textFill>
                  <w14:solidFill>
                    <w14:srgbClr w14:val="000000">
                      <w14:alpha w14:val="100000"/>
                    </w14:srgbClr>
                  </w14:solidFill>
                </w14:textFill>
              </w:rPr>
              <w:t xml:space="preserve">　</w:t>
            </w:r>
            <w:r w:rsidRPr="001C6AE3">
              <w:rPr>
                <w:rFonts w:ascii="Arial Narrow" w:hAnsi="Arial Narrow"/>
                <w:color w:val="000000"/>
                <w:w w:val="15"/>
                <w:sz w:val="20"/>
                <w:szCs w:val="20"/>
                <w:shd w:val="solid" w:color="000000" w:fill="000000"/>
                <w:fitText w:val="53" w:id="-1505504250"/>
                <w14:textFill>
                  <w14:solidFill>
                    <w14:srgbClr w14:val="000000">
                      <w14:alpha w14:val="100000"/>
                    </w14:srgbClr>
                  </w14:solidFill>
                </w14:textFill>
              </w:rPr>
              <w:t>|</w:t>
            </w:r>
            <w:r w:rsidRPr="001C6AE3">
              <w:rPr>
                <w:rFonts w:ascii="Arial Narrow" w:hAnsi="Arial Narrow" w:hint="eastAsia"/>
                <w:color w:val="000000"/>
                <w:spacing w:val="-12"/>
                <w:w w:val="15"/>
                <w:sz w:val="20"/>
                <w:szCs w:val="20"/>
                <w:shd w:val="solid" w:color="000000" w:fill="000000"/>
                <w:fitText w:val="53" w:id="-1505504250"/>
                <w14:textFill>
                  <w14:solidFill>
                    <w14:srgbClr w14:val="000000">
                      <w14:alpha w14:val="100000"/>
                    </w14:srgbClr>
                  </w14:solidFill>
                </w14:textFill>
              </w:rPr>
              <w:t xml:space="preserve">　</w:t>
            </w:r>
            <w:r>
              <w:rPr>
                <w:rFonts w:ascii="Arial Narrow" w:hAnsi="Arial Narrow"/>
                <w:sz w:val="20"/>
                <w:szCs w:val="20"/>
                <w:vertAlign w:val="superscript"/>
              </w:rPr>
              <w:t>3</w:t>
            </w:r>
          </w:p>
        </w:tc>
        <w:tc>
          <w:tcPr>
            <w:tcW w:w="629" w:type="pct"/>
            <w:vAlign w:val="center"/>
          </w:tcPr>
          <w:p w14:paraId="52690131" w14:textId="3791BC39"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hint="eastAsia"/>
                <w:color w:val="000000"/>
                <w:w w:val="15"/>
                <w:sz w:val="20"/>
                <w:szCs w:val="20"/>
                <w:shd w:val="solid" w:color="000000" w:fill="000000"/>
                <w:fitText w:val="53" w:id="-1505504249"/>
                <w14:textFill>
                  <w14:solidFill>
                    <w14:srgbClr w14:val="000000">
                      <w14:alpha w14:val="100000"/>
                    </w14:srgbClr>
                  </w14:solidFill>
                </w14:textFill>
              </w:rPr>
              <w:t xml:space="preserve">　</w:t>
            </w:r>
            <w:r w:rsidRPr="001C6AE3">
              <w:rPr>
                <w:rFonts w:ascii="Arial Narrow" w:hAnsi="Arial Narrow"/>
                <w:color w:val="000000"/>
                <w:w w:val="15"/>
                <w:sz w:val="20"/>
                <w:szCs w:val="20"/>
                <w:shd w:val="solid" w:color="000000" w:fill="000000"/>
                <w:fitText w:val="53" w:id="-1505504249"/>
                <w14:textFill>
                  <w14:solidFill>
                    <w14:srgbClr w14:val="000000">
                      <w14:alpha w14:val="100000"/>
                    </w14:srgbClr>
                  </w14:solidFill>
                </w14:textFill>
              </w:rPr>
              <w:t>|</w:t>
            </w:r>
            <w:r w:rsidRPr="001C6AE3">
              <w:rPr>
                <w:rFonts w:ascii="Arial Narrow" w:hAnsi="Arial Narrow" w:hint="eastAsia"/>
                <w:color w:val="000000"/>
                <w:spacing w:val="-12"/>
                <w:w w:val="15"/>
                <w:sz w:val="20"/>
                <w:szCs w:val="20"/>
                <w:shd w:val="solid" w:color="000000" w:fill="000000"/>
                <w:fitText w:val="53" w:id="-1505504249"/>
                <w14:textFill>
                  <w14:solidFill>
                    <w14:srgbClr w14:val="000000">
                      <w14:alpha w14:val="100000"/>
                    </w14:srgbClr>
                  </w14:solidFill>
                </w14:textFill>
              </w:rPr>
              <w:t xml:space="preserve">　</w:t>
            </w:r>
            <w:r>
              <w:rPr>
                <w:rFonts w:ascii="Arial Narrow" w:hAnsi="Arial Narrow"/>
                <w:sz w:val="20"/>
                <w:szCs w:val="20"/>
                <w:vertAlign w:val="superscript"/>
              </w:rPr>
              <w:t>3</w:t>
            </w:r>
          </w:p>
        </w:tc>
        <w:tc>
          <w:tcPr>
            <w:tcW w:w="629" w:type="pct"/>
            <w:vAlign w:val="center"/>
          </w:tcPr>
          <w:p w14:paraId="215F8474" w14:textId="1EF68F50"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hint="eastAsia"/>
                <w:color w:val="000000"/>
                <w:w w:val="15"/>
                <w:sz w:val="20"/>
                <w:szCs w:val="20"/>
                <w:shd w:val="solid" w:color="000000" w:fill="000000"/>
                <w:fitText w:val="53" w:id="-1505504248"/>
                <w14:textFill>
                  <w14:solidFill>
                    <w14:srgbClr w14:val="000000">
                      <w14:alpha w14:val="100000"/>
                    </w14:srgbClr>
                  </w14:solidFill>
                </w14:textFill>
              </w:rPr>
              <w:t xml:space="preserve">　</w:t>
            </w:r>
            <w:r w:rsidRPr="001C6AE3">
              <w:rPr>
                <w:rFonts w:ascii="Arial Narrow" w:hAnsi="Arial Narrow"/>
                <w:color w:val="000000"/>
                <w:w w:val="15"/>
                <w:sz w:val="20"/>
                <w:szCs w:val="20"/>
                <w:shd w:val="solid" w:color="000000" w:fill="000000"/>
                <w:fitText w:val="53" w:id="-1505504248"/>
                <w14:textFill>
                  <w14:solidFill>
                    <w14:srgbClr w14:val="000000">
                      <w14:alpha w14:val="100000"/>
                    </w14:srgbClr>
                  </w14:solidFill>
                </w14:textFill>
              </w:rPr>
              <w:t>|</w:t>
            </w:r>
            <w:r w:rsidRPr="001C6AE3">
              <w:rPr>
                <w:rFonts w:ascii="Arial Narrow" w:hAnsi="Arial Narrow" w:hint="eastAsia"/>
                <w:color w:val="000000"/>
                <w:spacing w:val="-12"/>
                <w:w w:val="15"/>
                <w:sz w:val="20"/>
                <w:szCs w:val="20"/>
                <w:shd w:val="solid" w:color="000000" w:fill="000000"/>
                <w:fitText w:val="53" w:id="-1505504248"/>
                <w14:textFill>
                  <w14:solidFill>
                    <w14:srgbClr w14:val="000000">
                      <w14:alpha w14:val="100000"/>
                    </w14:srgbClr>
                  </w14:solidFill>
                </w14:textFill>
              </w:rPr>
              <w:t xml:space="preserve">　</w:t>
            </w:r>
            <w:r>
              <w:rPr>
                <w:rFonts w:ascii="Arial Narrow" w:hAnsi="Arial Narrow"/>
                <w:sz w:val="20"/>
                <w:szCs w:val="20"/>
                <w:vertAlign w:val="superscript"/>
              </w:rPr>
              <w:t>3</w:t>
            </w:r>
          </w:p>
        </w:tc>
        <w:tc>
          <w:tcPr>
            <w:tcW w:w="629" w:type="pct"/>
            <w:vAlign w:val="center"/>
          </w:tcPr>
          <w:p w14:paraId="68690CD6" w14:textId="41C96860"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hint="eastAsia"/>
                <w:color w:val="000000"/>
                <w:w w:val="15"/>
                <w:sz w:val="20"/>
                <w:szCs w:val="20"/>
                <w:shd w:val="solid" w:color="000000" w:fill="000000"/>
                <w:fitText w:val="54" w:id="-1505504247"/>
                <w14:textFill>
                  <w14:solidFill>
                    <w14:srgbClr w14:val="000000">
                      <w14:alpha w14:val="100000"/>
                    </w14:srgbClr>
                  </w14:solidFill>
                </w14:textFill>
              </w:rPr>
              <w:t xml:space="preserve">　</w:t>
            </w:r>
            <w:r w:rsidRPr="001C6AE3">
              <w:rPr>
                <w:rFonts w:ascii="Arial Narrow" w:hAnsi="Arial Narrow"/>
                <w:color w:val="000000"/>
                <w:w w:val="15"/>
                <w:sz w:val="20"/>
                <w:szCs w:val="20"/>
                <w:shd w:val="solid" w:color="000000" w:fill="000000"/>
                <w:fitText w:val="54" w:id="-1505504247"/>
                <w14:textFill>
                  <w14:solidFill>
                    <w14:srgbClr w14:val="000000">
                      <w14:alpha w14:val="100000"/>
                    </w14:srgbClr>
                  </w14:solidFill>
                </w14:textFill>
              </w:rPr>
              <w:t>|</w:t>
            </w:r>
            <w:r w:rsidRPr="001C6AE3">
              <w:rPr>
                <w:rFonts w:ascii="Arial Narrow" w:hAnsi="Arial Narrow" w:hint="eastAsia"/>
                <w:color w:val="000000"/>
                <w:spacing w:val="-11"/>
                <w:w w:val="15"/>
                <w:sz w:val="20"/>
                <w:szCs w:val="20"/>
                <w:shd w:val="solid" w:color="000000" w:fill="000000"/>
                <w:fitText w:val="54" w:id="-1505504247"/>
                <w14:textFill>
                  <w14:solidFill>
                    <w14:srgbClr w14:val="000000">
                      <w14:alpha w14:val="100000"/>
                    </w14:srgbClr>
                  </w14:solidFill>
                </w14:textFill>
              </w:rPr>
              <w:t xml:space="preserve">　</w:t>
            </w:r>
            <w:r>
              <w:rPr>
                <w:rFonts w:ascii="Arial Narrow" w:hAnsi="Arial Narrow"/>
                <w:sz w:val="20"/>
                <w:szCs w:val="20"/>
                <w:vertAlign w:val="superscript"/>
              </w:rPr>
              <w:t>3</w:t>
            </w:r>
          </w:p>
        </w:tc>
        <w:tc>
          <w:tcPr>
            <w:tcW w:w="637" w:type="pct"/>
            <w:vAlign w:val="center"/>
          </w:tcPr>
          <w:p w14:paraId="211E5E83" w14:textId="302F96F0"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hint="eastAsia"/>
                <w:color w:val="000000"/>
                <w:w w:val="15"/>
                <w:sz w:val="20"/>
                <w:szCs w:val="20"/>
                <w:shd w:val="solid" w:color="000000" w:fill="000000"/>
                <w:fitText w:val="33" w:id="-1505504246"/>
                <w14:textFill>
                  <w14:solidFill>
                    <w14:srgbClr w14:val="000000">
                      <w14:alpha w14:val="100000"/>
                    </w14:srgbClr>
                  </w14:solidFill>
                </w14:textFill>
              </w:rPr>
              <w:t xml:space="preserve">　</w:t>
            </w:r>
            <w:r w:rsidRPr="001C6AE3">
              <w:rPr>
                <w:rFonts w:ascii="Arial Narrow" w:hAnsi="Arial Narrow"/>
                <w:color w:val="000000"/>
                <w:w w:val="15"/>
                <w:sz w:val="20"/>
                <w:szCs w:val="20"/>
                <w:shd w:val="solid" w:color="000000" w:fill="000000"/>
                <w:fitText w:val="33" w:id="-1505504246"/>
                <w14:textFill>
                  <w14:solidFill>
                    <w14:srgbClr w14:val="000000">
                      <w14:alpha w14:val="100000"/>
                    </w14:srgbClr>
                  </w14:solidFill>
                </w14:textFill>
              </w:rPr>
              <w:t>|</w:t>
            </w:r>
            <w:r w:rsidRPr="001C6AE3">
              <w:rPr>
                <w:rFonts w:ascii="Arial Narrow" w:hAnsi="Arial Narrow" w:hint="eastAsia"/>
                <w:color w:val="000000"/>
                <w:spacing w:val="-32"/>
                <w:w w:val="15"/>
                <w:sz w:val="20"/>
                <w:szCs w:val="20"/>
                <w:shd w:val="solid" w:color="000000" w:fill="000000"/>
                <w:fitText w:val="33" w:id="-1505504246"/>
                <w14:textFill>
                  <w14:solidFill>
                    <w14:srgbClr w14:val="000000">
                      <w14:alpha w14:val="100000"/>
                    </w14:srgbClr>
                  </w14:solidFill>
                </w14:textFill>
              </w:rPr>
              <w:t xml:space="preserve">　</w:t>
            </w:r>
            <w:r>
              <w:rPr>
                <w:rFonts w:ascii="Arial Narrow" w:hAnsi="Arial Narrow"/>
                <w:sz w:val="20"/>
                <w:szCs w:val="20"/>
                <w:vertAlign w:val="superscript"/>
              </w:rPr>
              <w:t>3</w:t>
            </w:r>
          </w:p>
        </w:tc>
        <w:tc>
          <w:tcPr>
            <w:tcW w:w="781" w:type="pct"/>
            <w:vAlign w:val="center"/>
          </w:tcPr>
          <w:p w14:paraId="251C893B" w14:textId="124C945E"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r>
      <w:tr w:rsidR="009F369E" w:rsidRPr="0023395B" w14:paraId="0ED979D5" w14:textId="77777777" w:rsidTr="004C2ECC">
        <w:tc>
          <w:tcPr>
            <w:tcW w:w="1066" w:type="pct"/>
          </w:tcPr>
          <w:p w14:paraId="10B7E78F" w14:textId="47AD1152" w:rsidR="009F369E" w:rsidRPr="0023395B" w:rsidRDefault="009F369E" w:rsidP="009F369E">
            <w:pPr>
              <w:pStyle w:val="TableText0"/>
              <w:rPr>
                <w:szCs w:val="20"/>
              </w:rPr>
            </w:pPr>
            <w:r w:rsidRPr="0023395B">
              <w:rPr>
                <w:szCs w:val="20"/>
              </w:rPr>
              <w:t>Net cost to PBS/RPBS</w:t>
            </w:r>
          </w:p>
        </w:tc>
        <w:tc>
          <w:tcPr>
            <w:tcW w:w="629" w:type="pct"/>
            <w:vAlign w:val="center"/>
          </w:tcPr>
          <w:p w14:paraId="7A3B2140" w14:textId="6D9FFA18"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49779F51" w14:textId="66A116D8"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0D27C510" w14:textId="3DDC1813"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49BFBA19" w14:textId="41483A80"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37" w:type="pct"/>
            <w:vAlign w:val="center"/>
          </w:tcPr>
          <w:p w14:paraId="5B532F44" w14:textId="4A45FE92"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781" w:type="pct"/>
            <w:vAlign w:val="center"/>
          </w:tcPr>
          <w:p w14:paraId="214929E8" w14:textId="655D8E7C"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r>
      <w:tr w:rsidR="009F369E" w:rsidRPr="0023395B" w14:paraId="588C6431" w14:textId="77777777" w:rsidTr="004C2ECC">
        <w:tc>
          <w:tcPr>
            <w:tcW w:w="1066" w:type="pct"/>
            <w:vAlign w:val="center"/>
          </w:tcPr>
          <w:p w14:paraId="48239DF8" w14:textId="118EBE26" w:rsidR="009F369E" w:rsidRPr="0023395B" w:rsidRDefault="009F369E" w:rsidP="009F369E">
            <w:pPr>
              <w:pStyle w:val="TableText0"/>
              <w:rPr>
                <w:szCs w:val="20"/>
              </w:rPr>
            </w:pPr>
            <w:r w:rsidRPr="0023395B">
              <w:rPr>
                <w:szCs w:val="20"/>
              </w:rPr>
              <w:t>Net cost to MBS</w:t>
            </w:r>
          </w:p>
        </w:tc>
        <w:tc>
          <w:tcPr>
            <w:tcW w:w="629" w:type="pct"/>
            <w:vAlign w:val="center"/>
          </w:tcPr>
          <w:p w14:paraId="197018C6" w14:textId="07A351CE"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7C732A0F" w14:textId="58235EC7"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69218240" w14:textId="7340DC7F"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458EB461" w14:textId="45C19414"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37" w:type="pct"/>
            <w:vAlign w:val="center"/>
          </w:tcPr>
          <w:p w14:paraId="0EAAD2FF" w14:textId="1DF67522"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781" w:type="pct"/>
            <w:vAlign w:val="center"/>
          </w:tcPr>
          <w:p w14:paraId="4A6D2760" w14:textId="0280339B"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r>
      <w:tr w:rsidR="009F369E" w:rsidRPr="0023395B" w14:paraId="546B3605" w14:textId="77777777" w:rsidTr="004C2ECC">
        <w:tc>
          <w:tcPr>
            <w:tcW w:w="1066" w:type="pct"/>
            <w:vAlign w:val="center"/>
          </w:tcPr>
          <w:p w14:paraId="1CEC8F3C" w14:textId="4E7DE9F9" w:rsidR="009F369E" w:rsidRPr="0023395B" w:rsidRDefault="009F369E" w:rsidP="009F369E">
            <w:pPr>
              <w:pStyle w:val="TableText0"/>
              <w:rPr>
                <w:szCs w:val="20"/>
              </w:rPr>
            </w:pPr>
            <w:r w:rsidRPr="0023395B">
              <w:rPr>
                <w:szCs w:val="20"/>
              </w:rPr>
              <w:t>Net cost to health budget</w:t>
            </w:r>
          </w:p>
        </w:tc>
        <w:tc>
          <w:tcPr>
            <w:tcW w:w="629" w:type="pct"/>
            <w:vAlign w:val="center"/>
          </w:tcPr>
          <w:p w14:paraId="3A3FA5B2" w14:textId="202D1283"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36C480A5" w14:textId="0C026951"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2B8811C2" w14:textId="2DBB7F54"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29" w:type="pct"/>
            <w:vAlign w:val="center"/>
          </w:tcPr>
          <w:p w14:paraId="1E1E14D3" w14:textId="20631A27"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637" w:type="pct"/>
            <w:vAlign w:val="center"/>
          </w:tcPr>
          <w:p w14:paraId="031191DC" w14:textId="0D0E778B"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c>
          <w:tcPr>
            <w:tcW w:w="781" w:type="pct"/>
            <w:vAlign w:val="center"/>
          </w:tcPr>
          <w:p w14:paraId="54156908" w14:textId="25A5CBF3" w:rsidR="009F369E" w:rsidRPr="0023395B" w:rsidRDefault="009F369E" w:rsidP="009F369E">
            <w:pPr>
              <w:jc w:val="right"/>
              <w:rPr>
                <w:rFonts w:ascii="Arial Narrow" w:hAnsi="Arial Narrow"/>
                <w:sz w:val="20"/>
                <w:szCs w:val="20"/>
              </w:rPr>
            </w:pPr>
            <w:r w:rsidRPr="0023395B">
              <w:rPr>
                <w:rFonts w:ascii="Arial Narrow" w:hAnsi="Arial Narrow"/>
                <w:sz w:val="20"/>
                <w:szCs w:val="20"/>
              </w:rPr>
              <w:t>$</w:t>
            </w:r>
            <w:r w:rsidRPr="001C6AE3">
              <w:rPr>
                <w:rFonts w:ascii="Arial Narrow" w:hAnsi="Arial Narrow"/>
                <w:color w:val="000000"/>
                <w:sz w:val="20"/>
                <w:szCs w:val="20"/>
                <w:shd w:val="solid" w:color="000000" w:fill="000000"/>
                <w14:textFill>
                  <w14:solidFill>
                    <w14:srgbClr w14:val="000000">
                      <w14:alpha w14:val="100000"/>
                    </w14:srgbClr>
                  </w14:solidFill>
                </w14:textFill>
              </w:rPr>
              <w:t>|</w:t>
            </w:r>
            <w:r>
              <w:rPr>
                <w:rFonts w:ascii="Arial Narrow" w:hAnsi="Arial Narrow"/>
                <w:sz w:val="20"/>
                <w:szCs w:val="20"/>
                <w:vertAlign w:val="superscript"/>
              </w:rPr>
              <w:t>3</w:t>
            </w:r>
          </w:p>
        </w:tc>
      </w:tr>
      <w:tr w:rsidR="009F369E" w:rsidRPr="0023395B" w14:paraId="29FE4453" w14:textId="77777777" w:rsidTr="004C2ECC">
        <w:tc>
          <w:tcPr>
            <w:tcW w:w="4219" w:type="pct"/>
            <w:gridSpan w:val="6"/>
            <w:vAlign w:val="center"/>
          </w:tcPr>
          <w:p w14:paraId="30042DB1" w14:textId="60C07EF1" w:rsidR="009F369E" w:rsidRPr="0023395B" w:rsidRDefault="009F369E" w:rsidP="009F369E">
            <w:pPr>
              <w:pStyle w:val="TableText0"/>
              <w:rPr>
                <w:szCs w:val="20"/>
              </w:rPr>
            </w:pPr>
            <w:r w:rsidRPr="0023395B">
              <w:rPr>
                <w:szCs w:val="20"/>
              </w:rPr>
              <w:t>Net cost to health budget over 6 years</w:t>
            </w:r>
          </w:p>
        </w:tc>
        <w:tc>
          <w:tcPr>
            <w:tcW w:w="781" w:type="pct"/>
          </w:tcPr>
          <w:p w14:paraId="2B59AAE8" w14:textId="708B03D2" w:rsidR="009F369E" w:rsidRPr="00BD5070" w:rsidRDefault="009F369E" w:rsidP="009F369E">
            <w:pPr>
              <w:pStyle w:val="TableText0"/>
              <w:jc w:val="right"/>
              <w:rPr>
                <w:szCs w:val="20"/>
                <w:vertAlign w:val="superscript"/>
              </w:rPr>
            </w:pPr>
            <w:r w:rsidRPr="0023395B">
              <w:rPr>
                <w:szCs w:val="20"/>
              </w:rPr>
              <w:t>$</w:t>
            </w:r>
            <w:r w:rsidRPr="001C6AE3">
              <w:rPr>
                <w:color w:val="000000"/>
                <w:szCs w:val="20"/>
                <w:shd w:val="solid" w:color="000000" w:fill="000000"/>
                <w14:textFill>
                  <w14:solidFill>
                    <w14:srgbClr w14:val="000000">
                      <w14:alpha w14:val="100000"/>
                    </w14:srgbClr>
                  </w14:solidFill>
                </w14:textFill>
              </w:rPr>
              <w:t>|</w:t>
            </w:r>
            <w:r>
              <w:rPr>
                <w:szCs w:val="20"/>
                <w:vertAlign w:val="superscript"/>
              </w:rPr>
              <w:t>4</w:t>
            </w:r>
          </w:p>
        </w:tc>
      </w:tr>
      <w:tr w:rsidR="009F369E" w:rsidRPr="0023395B" w14:paraId="5DFC2ABD" w14:textId="77777777" w:rsidTr="004C2ECC">
        <w:tc>
          <w:tcPr>
            <w:tcW w:w="5000" w:type="pct"/>
            <w:gridSpan w:val="7"/>
            <w:vAlign w:val="center"/>
          </w:tcPr>
          <w:p w14:paraId="6A6FCC44" w14:textId="4608CDB7" w:rsidR="009F369E" w:rsidRPr="0023395B" w:rsidRDefault="009F369E" w:rsidP="009F369E">
            <w:pPr>
              <w:pStyle w:val="TableText0"/>
              <w:rPr>
                <w:b/>
              </w:rPr>
            </w:pPr>
            <w:r w:rsidRPr="0023395B">
              <w:rPr>
                <w:b/>
              </w:rPr>
              <w:t>Resubmission estimates</w:t>
            </w:r>
          </w:p>
        </w:tc>
      </w:tr>
      <w:tr w:rsidR="009F369E" w:rsidRPr="0023395B" w14:paraId="192C4172" w14:textId="77777777" w:rsidTr="004C2ECC">
        <w:tc>
          <w:tcPr>
            <w:tcW w:w="1066" w:type="pct"/>
          </w:tcPr>
          <w:p w14:paraId="38ABD0DF" w14:textId="77777777" w:rsidR="009F369E" w:rsidRPr="0023395B" w:rsidRDefault="009F369E" w:rsidP="009F369E">
            <w:pPr>
              <w:pStyle w:val="TableText0"/>
            </w:pPr>
            <w:r w:rsidRPr="0023395B">
              <w:t>Treated Patients</w:t>
            </w:r>
          </w:p>
        </w:tc>
        <w:tc>
          <w:tcPr>
            <w:tcW w:w="629" w:type="pct"/>
          </w:tcPr>
          <w:p w14:paraId="3278DC92" w14:textId="151B6423"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61B2938B" w14:textId="26AD4E73"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1AD338C7" w14:textId="046F6E19"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3435F8BE" w14:textId="18395438"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37" w:type="pct"/>
          </w:tcPr>
          <w:p w14:paraId="159471AF" w14:textId="398C02B5"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tcPr>
          <w:p w14:paraId="7ADA062F" w14:textId="0A6244E8"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r>
      <w:tr w:rsidR="009F369E" w:rsidRPr="0023395B" w14:paraId="4645E488" w14:textId="77777777" w:rsidTr="004C2ECC">
        <w:tc>
          <w:tcPr>
            <w:tcW w:w="1066" w:type="pct"/>
          </w:tcPr>
          <w:p w14:paraId="7DD4654C" w14:textId="4CEEA9AE" w:rsidR="009F369E" w:rsidRPr="0023395B" w:rsidRDefault="009F369E" w:rsidP="009F369E">
            <w:pPr>
              <w:pStyle w:val="TableText0"/>
            </w:pPr>
            <w:r w:rsidRPr="0023395B">
              <w:t>Scripts per year</w:t>
            </w:r>
          </w:p>
        </w:tc>
        <w:tc>
          <w:tcPr>
            <w:tcW w:w="629" w:type="pct"/>
          </w:tcPr>
          <w:p w14:paraId="583F1D0D" w14:textId="5814EC5F"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084A7316" w14:textId="5E4AA3E6"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2B2DD408" w14:textId="2E4F964B"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tcPr>
          <w:p w14:paraId="182C03DC" w14:textId="46616BE8"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37" w:type="pct"/>
          </w:tcPr>
          <w:p w14:paraId="6B9CD74D" w14:textId="199A7FC4"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tcPr>
          <w:p w14:paraId="7AFC90A4" w14:textId="09D71D04"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r>
      <w:tr w:rsidR="009F369E" w:rsidRPr="0023395B" w14:paraId="2359F8D3" w14:textId="77777777" w:rsidTr="004C2ECC">
        <w:tc>
          <w:tcPr>
            <w:tcW w:w="1066" w:type="pct"/>
          </w:tcPr>
          <w:p w14:paraId="41E593A0" w14:textId="0FC59666" w:rsidR="009F369E" w:rsidRPr="0023395B" w:rsidRDefault="009F369E" w:rsidP="009F369E">
            <w:pPr>
              <w:pStyle w:val="TableText0"/>
            </w:pPr>
            <w:r w:rsidRPr="0023395B">
              <w:t>Total Scripts</w:t>
            </w:r>
          </w:p>
        </w:tc>
        <w:tc>
          <w:tcPr>
            <w:tcW w:w="629" w:type="pct"/>
          </w:tcPr>
          <w:p w14:paraId="1F5D3A38" w14:textId="479B561E"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c>
          <w:tcPr>
            <w:tcW w:w="629" w:type="pct"/>
          </w:tcPr>
          <w:p w14:paraId="568F28B2" w14:textId="6063BD01"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c>
          <w:tcPr>
            <w:tcW w:w="629" w:type="pct"/>
          </w:tcPr>
          <w:p w14:paraId="4D1910E6" w14:textId="73812454"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c>
          <w:tcPr>
            <w:tcW w:w="629" w:type="pct"/>
          </w:tcPr>
          <w:p w14:paraId="55AA3865" w14:textId="210B9C6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c>
          <w:tcPr>
            <w:tcW w:w="637" w:type="pct"/>
          </w:tcPr>
          <w:p w14:paraId="7E4269A8" w14:textId="16B0DAE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c>
          <w:tcPr>
            <w:tcW w:w="781" w:type="pct"/>
          </w:tcPr>
          <w:p w14:paraId="54DC529B" w14:textId="4D32EFD9"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szCs w:val="20"/>
                <w:vertAlign w:val="superscript"/>
              </w:rPr>
              <w:t>2</w:t>
            </w:r>
          </w:p>
        </w:tc>
      </w:tr>
      <w:tr w:rsidR="009F369E" w:rsidRPr="0023395B" w14:paraId="51F38FEF" w14:textId="77777777" w:rsidTr="004C2ECC">
        <w:tc>
          <w:tcPr>
            <w:tcW w:w="1066" w:type="pct"/>
          </w:tcPr>
          <w:p w14:paraId="4CB052EF" w14:textId="48115447" w:rsidR="009F369E" w:rsidRPr="0023395B" w:rsidRDefault="009F369E" w:rsidP="009F369E">
            <w:pPr>
              <w:pStyle w:val="TableText0"/>
            </w:pPr>
            <w:r w:rsidRPr="0023395B">
              <w:t>Cost to PBS/RPBS</w:t>
            </w:r>
          </w:p>
        </w:tc>
        <w:tc>
          <w:tcPr>
            <w:tcW w:w="629" w:type="pct"/>
          </w:tcPr>
          <w:p w14:paraId="236A762A" w14:textId="4B3B2499"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4643ECD8" w14:textId="4BC5ED3B"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36E1EE2A" w14:textId="58C6471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147A96FB" w14:textId="65A051E6"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tcPr>
          <w:p w14:paraId="3DFEC6DE" w14:textId="23034D07"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tcPr>
          <w:p w14:paraId="72200883" w14:textId="67C2F054"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48341AAF" w14:textId="77777777" w:rsidTr="004C2ECC">
        <w:tc>
          <w:tcPr>
            <w:tcW w:w="1066" w:type="pct"/>
          </w:tcPr>
          <w:p w14:paraId="05536758" w14:textId="7FBB9183" w:rsidR="009F369E" w:rsidRPr="0023395B" w:rsidRDefault="009F369E" w:rsidP="009F369E">
            <w:pPr>
              <w:pStyle w:val="TableText0"/>
            </w:pPr>
            <w:r w:rsidRPr="0023395B">
              <w:t>Less co-payments</w:t>
            </w:r>
          </w:p>
        </w:tc>
        <w:tc>
          <w:tcPr>
            <w:tcW w:w="629" w:type="pct"/>
          </w:tcPr>
          <w:p w14:paraId="6BB05B54" w14:textId="5AC404F4"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4245"/>
                <w14:textFill>
                  <w14:solidFill>
                    <w14:srgbClr w14:val="000000">
                      <w14:alpha w14:val="100000"/>
                    </w14:srgbClr>
                  </w14:solidFill>
                </w14:textFill>
              </w:rPr>
              <w:t xml:space="preserve">　</w:t>
            </w:r>
            <w:r w:rsidRPr="001C6AE3">
              <w:rPr>
                <w:color w:val="000000"/>
                <w:w w:val="15"/>
                <w:shd w:val="solid" w:color="000000" w:fill="000000"/>
                <w:fitText w:val="53" w:id="-1505504245"/>
                <w14:textFill>
                  <w14:solidFill>
                    <w14:srgbClr w14:val="000000">
                      <w14:alpha w14:val="100000"/>
                    </w14:srgbClr>
                  </w14:solidFill>
                </w14:textFill>
              </w:rPr>
              <w:t>|</w:t>
            </w:r>
            <w:r w:rsidRPr="001C6AE3">
              <w:rPr>
                <w:rFonts w:hint="eastAsia"/>
                <w:color w:val="000000"/>
                <w:spacing w:val="-12"/>
                <w:w w:val="15"/>
                <w:shd w:val="solid" w:color="000000" w:fill="000000"/>
                <w:fitText w:val="53" w:id="-1505504245"/>
                <w14:textFill>
                  <w14:solidFill>
                    <w14:srgbClr w14:val="000000">
                      <w14:alpha w14:val="100000"/>
                    </w14:srgbClr>
                  </w14:solidFill>
                </w14:textFill>
              </w:rPr>
              <w:t xml:space="preserve">　</w:t>
            </w:r>
            <w:r>
              <w:rPr>
                <w:szCs w:val="20"/>
                <w:vertAlign w:val="superscript"/>
              </w:rPr>
              <w:t>3</w:t>
            </w:r>
          </w:p>
        </w:tc>
        <w:tc>
          <w:tcPr>
            <w:tcW w:w="629" w:type="pct"/>
          </w:tcPr>
          <w:p w14:paraId="67ACA6D7" w14:textId="1E7DFD7E"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4244"/>
                <w14:textFill>
                  <w14:solidFill>
                    <w14:srgbClr w14:val="000000">
                      <w14:alpha w14:val="100000"/>
                    </w14:srgbClr>
                  </w14:solidFill>
                </w14:textFill>
              </w:rPr>
              <w:t xml:space="preserve">　</w:t>
            </w:r>
            <w:r w:rsidRPr="001C6AE3">
              <w:rPr>
                <w:color w:val="000000"/>
                <w:w w:val="15"/>
                <w:shd w:val="solid" w:color="000000" w:fill="000000"/>
                <w:fitText w:val="53" w:id="-1505504244"/>
                <w14:textFill>
                  <w14:solidFill>
                    <w14:srgbClr w14:val="000000">
                      <w14:alpha w14:val="100000"/>
                    </w14:srgbClr>
                  </w14:solidFill>
                </w14:textFill>
              </w:rPr>
              <w:t>|</w:t>
            </w:r>
            <w:r w:rsidRPr="001C6AE3">
              <w:rPr>
                <w:rFonts w:hint="eastAsia"/>
                <w:color w:val="000000"/>
                <w:spacing w:val="-12"/>
                <w:w w:val="15"/>
                <w:shd w:val="solid" w:color="000000" w:fill="000000"/>
                <w:fitText w:val="53" w:id="-1505504244"/>
                <w14:textFill>
                  <w14:solidFill>
                    <w14:srgbClr w14:val="000000">
                      <w14:alpha w14:val="100000"/>
                    </w14:srgbClr>
                  </w14:solidFill>
                </w14:textFill>
              </w:rPr>
              <w:t xml:space="preserve">　</w:t>
            </w:r>
            <w:r>
              <w:rPr>
                <w:szCs w:val="20"/>
                <w:vertAlign w:val="superscript"/>
              </w:rPr>
              <w:t>3</w:t>
            </w:r>
          </w:p>
        </w:tc>
        <w:tc>
          <w:tcPr>
            <w:tcW w:w="629" w:type="pct"/>
          </w:tcPr>
          <w:p w14:paraId="658973B9" w14:textId="274CCE5E"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4243"/>
                <w14:textFill>
                  <w14:solidFill>
                    <w14:srgbClr w14:val="000000">
                      <w14:alpha w14:val="100000"/>
                    </w14:srgbClr>
                  </w14:solidFill>
                </w14:textFill>
              </w:rPr>
              <w:t xml:space="preserve">　</w:t>
            </w:r>
            <w:r w:rsidRPr="001C6AE3">
              <w:rPr>
                <w:color w:val="000000"/>
                <w:w w:val="15"/>
                <w:shd w:val="solid" w:color="000000" w:fill="000000"/>
                <w:fitText w:val="53" w:id="-1505504243"/>
                <w14:textFill>
                  <w14:solidFill>
                    <w14:srgbClr w14:val="000000">
                      <w14:alpha w14:val="100000"/>
                    </w14:srgbClr>
                  </w14:solidFill>
                </w14:textFill>
              </w:rPr>
              <w:t>|</w:t>
            </w:r>
            <w:r w:rsidRPr="001C6AE3">
              <w:rPr>
                <w:rFonts w:hint="eastAsia"/>
                <w:color w:val="000000"/>
                <w:spacing w:val="-12"/>
                <w:w w:val="15"/>
                <w:shd w:val="solid" w:color="000000" w:fill="000000"/>
                <w:fitText w:val="53" w:id="-1505504243"/>
                <w14:textFill>
                  <w14:solidFill>
                    <w14:srgbClr w14:val="000000">
                      <w14:alpha w14:val="100000"/>
                    </w14:srgbClr>
                  </w14:solidFill>
                </w14:textFill>
              </w:rPr>
              <w:t xml:space="preserve">　</w:t>
            </w:r>
            <w:r>
              <w:rPr>
                <w:szCs w:val="20"/>
                <w:vertAlign w:val="superscript"/>
              </w:rPr>
              <w:t>3</w:t>
            </w:r>
          </w:p>
        </w:tc>
        <w:tc>
          <w:tcPr>
            <w:tcW w:w="629" w:type="pct"/>
          </w:tcPr>
          <w:p w14:paraId="65297671" w14:textId="52B36C01" w:rsidR="009F369E" w:rsidRPr="0023395B" w:rsidRDefault="009F369E" w:rsidP="009F369E">
            <w:pPr>
              <w:pStyle w:val="TableText0"/>
              <w:jc w:val="right"/>
            </w:pPr>
            <w:r w:rsidRPr="0023395B">
              <w:t>-$</w:t>
            </w:r>
            <w:r w:rsidRPr="001C6AE3">
              <w:rPr>
                <w:rFonts w:hint="eastAsia"/>
                <w:color w:val="000000"/>
                <w:w w:val="15"/>
                <w:shd w:val="solid" w:color="000000" w:fill="000000"/>
                <w:fitText w:val="54" w:id="-1505504000"/>
                <w14:textFill>
                  <w14:solidFill>
                    <w14:srgbClr w14:val="000000">
                      <w14:alpha w14:val="100000"/>
                    </w14:srgbClr>
                  </w14:solidFill>
                </w14:textFill>
              </w:rPr>
              <w:t xml:space="preserve">　</w:t>
            </w:r>
            <w:r w:rsidRPr="001C6AE3">
              <w:rPr>
                <w:color w:val="000000"/>
                <w:w w:val="15"/>
                <w:shd w:val="solid" w:color="000000" w:fill="000000"/>
                <w:fitText w:val="54" w:id="-1505504000"/>
                <w14:textFill>
                  <w14:solidFill>
                    <w14:srgbClr w14:val="000000">
                      <w14:alpha w14:val="100000"/>
                    </w14:srgbClr>
                  </w14:solidFill>
                </w14:textFill>
              </w:rPr>
              <w:t>|</w:t>
            </w:r>
            <w:r w:rsidRPr="001C6AE3">
              <w:rPr>
                <w:rFonts w:hint="eastAsia"/>
                <w:color w:val="000000"/>
                <w:spacing w:val="-11"/>
                <w:w w:val="15"/>
                <w:shd w:val="solid" w:color="000000" w:fill="000000"/>
                <w:fitText w:val="54" w:id="-1505504000"/>
                <w14:textFill>
                  <w14:solidFill>
                    <w14:srgbClr w14:val="000000">
                      <w14:alpha w14:val="100000"/>
                    </w14:srgbClr>
                  </w14:solidFill>
                </w14:textFill>
              </w:rPr>
              <w:t xml:space="preserve">　</w:t>
            </w:r>
            <w:r>
              <w:rPr>
                <w:szCs w:val="20"/>
                <w:vertAlign w:val="superscript"/>
              </w:rPr>
              <w:t>3</w:t>
            </w:r>
          </w:p>
        </w:tc>
        <w:tc>
          <w:tcPr>
            <w:tcW w:w="637" w:type="pct"/>
          </w:tcPr>
          <w:p w14:paraId="02B1BF05" w14:textId="26292B51" w:rsidR="009F369E" w:rsidRPr="0023395B" w:rsidRDefault="009F369E" w:rsidP="009F369E">
            <w:pPr>
              <w:pStyle w:val="TableText0"/>
              <w:jc w:val="right"/>
            </w:pPr>
            <w:r w:rsidRPr="0023395B">
              <w:t>-$</w:t>
            </w:r>
            <w:r w:rsidRPr="001C6AE3">
              <w:rPr>
                <w:rFonts w:hint="eastAsia"/>
                <w:color w:val="000000"/>
                <w:w w:val="15"/>
                <w:shd w:val="solid" w:color="000000" w:fill="000000"/>
                <w:fitText w:val="33" w:id="-1505503999"/>
                <w14:textFill>
                  <w14:solidFill>
                    <w14:srgbClr w14:val="000000">
                      <w14:alpha w14:val="100000"/>
                    </w14:srgbClr>
                  </w14:solidFill>
                </w14:textFill>
              </w:rPr>
              <w:t xml:space="preserve">　</w:t>
            </w:r>
            <w:r w:rsidRPr="001C6AE3">
              <w:rPr>
                <w:color w:val="000000"/>
                <w:w w:val="15"/>
                <w:shd w:val="solid" w:color="000000" w:fill="000000"/>
                <w:fitText w:val="33" w:id="-1505503999"/>
                <w14:textFill>
                  <w14:solidFill>
                    <w14:srgbClr w14:val="000000">
                      <w14:alpha w14:val="100000"/>
                    </w14:srgbClr>
                  </w14:solidFill>
                </w14:textFill>
              </w:rPr>
              <w:t>|</w:t>
            </w:r>
            <w:r w:rsidRPr="001C6AE3">
              <w:rPr>
                <w:rFonts w:hint="eastAsia"/>
                <w:color w:val="000000"/>
                <w:spacing w:val="-32"/>
                <w:w w:val="15"/>
                <w:shd w:val="solid" w:color="000000" w:fill="000000"/>
                <w:fitText w:val="33" w:id="-1505503999"/>
                <w14:textFill>
                  <w14:solidFill>
                    <w14:srgbClr w14:val="000000">
                      <w14:alpha w14:val="100000"/>
                    </w14:srgbClr>
                  </w14:solidFill>
                </w14:textFill>
              </w:rPr>
              <w:t xml:space="preserve">　</w:t>
            </w:r>
            <w:r>
              <w:rPr>
                <w:szCs w:val="20"/>
                <w:vertAlign w:val="superscript"/>
              </w:rPr>
              <w:t>3</w:t>
            </w:r>
          </w:p>
        </w:tc>
        <w:tc>
          <w:tcPr>
            <w:tcW w:w="781" w:type="pct"/>
          </w:tcPr>
          <w:p w14:paraId="77F9E0DB" w14:textId="29C54AA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4250FD8B" w14:textId="77777777" w:rsidTr="004C2ECC">
        <w:tc>
          <w:tcPr>
            <w:tcW w:w="1066" w:type="pct"/>
          </w:tcPr>
          <w:p w14:paraId="6C697F9C" w14:textId="5F47CC3B" w:rsidR="009F369E" w:rsidRPr="0023395B" w:rsidRDefault="009F369E" w:rsidP="009F369E">
            <w:pPr>
              <w:pStyle w:val="TableText0"/>
            </w:pPr>
            <w:r w:rsidRPr="0023395B">
              <w:t>Net cost to PBS/RPBS</w:t>
            </w:r>
          </w:p>
        </w:tc>
        <w:tc>
          <w:tcPr>
            <w:tcW w:w="629" w:type="pct"/>
          </w:tcPr>
          <w:p w14:paraId="26517976" w14:textId="74A56D8A"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1EAD6C07" w14:textId="2B6D81D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7E15F8F1" w14:textId="261C3050"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2BFC42CB" w14:textId="503BDFE3"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tcPr>
          <w:p w14:paraId="079B285C" w14:textId="473E8688"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tcPr>
          <w:p w14:paraId="66681741" w14:textId="017DEF3B"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431E378D" w14:textId="77777777" w:rsidTr="004C2ECC">
        <w:tc>
          <w:tcPr>
            <w:tcW w:w="1066" w:type="pct"/>
            <w:vAlign w:val="center"/>
          </w:tcPr>
          <w:p w14:paraId="2E33F98D" w14:textId="2E1A8513" w:rsidR="009F369E" w:rsidRPr="0023395B" w:rsidRDefault="009F369E" w:rsidP="009F369E">
            <w:pPr>
              <w:pStyle w:val="TableText0"/>
            </w:pPr>
            <w:r w:rsidRPr="0023395B">
              <w:t>Net cost to MBS</w:t>
            </w:r>
          </w:p>
        </w:tc>
        <w:tc>
          <w:tcPr>
            <w:tcW w:w="629" w:type="pct"/>
          </w:tcPr>
          <w:p w14:paraId="1AF96713" w14:textId="16D8456F"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6CF3F700" w14:textId="02AD5D8B"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6657B68E" w14:textId="562A79C3"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tcPr>
          <w:p w14:paraId="4E0353A8" w14:textId="263526ED"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tcPr>
          <w:p w14:paraId="70AD2759" w14:textId="4BE98BB7"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tcPr>
          <w:p w14:paraId="3DCB80EF" w14:textId="2BF48E3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694F5C04" w14:textId="77777777" w:rsidTr="004C2ECC">
        <w:tc>
          <w:tcPr>
            <w:tcW w:w="1066" w:type="pct"/>
            <w:vAlign w:val="center"/>
          </w:tcPr>
          <w:p w14:paraId="48C6EE17" w14:textId="787ED437" w:rsidR="009F369E" w:rsidRPr="0023395B" w:rsidRDefault="009F369E" w:rsidP="009F369E">
            <w:pPr>
              <w:pStyle w:val="TableText0"/>
            </w:pPr>
            <w:r w:rsidRPr="0023395B">
              <w:t>Net cost to health budget</w:t>
            </w:r>
          </w:p>
        </w:tc>
        <w:tc>
          <w:tcPr>
            <w:tcW w:w="629" w:type="pct"/>
          </w:tcPr>
          <w:p w14:paraId="12A8CB6A" w14:textId="3FC485EA"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tcPr>
          <w:p w14:paraId="709059ED" w14:textId="1B4728F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tcPr>
          <w:p w14:paraId="6CD6D0AE" w14:textId="59CC1F44"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tcPr>
          <w:p w14:paraId="08109F85" w14:textId="0F23BAF9"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37" w:type="pct"/>
          </w:tcPr>
          <w:p w14:paraId="00C471FC" w14:textId="31FA70C9"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781" w:type="pct"/>
          </w:tcPr>
          <w:p w14:paraId="0B557AA9" w14:textId="5D99670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r>
      <w:tr w:rsidR="009F369E" w:rsidRPr="0023395B" w14:paraId="7A4672A5" w14:textId="77777777" w:rsidTr="004C2ECC">
        <w:tc>
          <w:tcPr>
            <w:tcW w:w="4219" w:type="pct"/>
            <w:gridSpan w:val="6"/>
            <w:vAlign w:val="center"/>
          </w:tcPr>
          <w:p w14:paraId="1D6F23EF" w14:textId="3EC1C5AE" w:rsidR="009F369E" w:rsidRPr="0023395B" w:rsidRDefault="009F369E" w:rsidP="009F369E">
            <w:pPr>
              <w:pStyle w:val="TableText0"/>
            </w:pPr>
            <w:r w:rsidRPr="0023395B">
              <w:rPr>
                <w:szCs w:val="20"/>
              </w:rPr>
              <w:t>Net cost to health budget over 6 years</w:t>
            </w:r>
          </w:p>
        </w:tc>
        <w:tc>
          <w:tcPr>
            <w:tcW w:w="781" w:type="pct"/>
          </w:tcPr>
          <w:p w14:paraId="4BC25BBE" w14:textId="294040AB" w:rsidR="009F369E" w:rsidRPr="00BD5070" w:rsidRDefault="009F369E" w:rsidP="009F369E">
            <w:pPr>
              <w:pStyle w:val="TableText0"/>
              <w:jc w:val="right"/>
              <w:rPr>
                <w:vertAlign w:val="superscript"/>
              </w:rPr>
            </w:pPr>
            <w:r w:rsidRPr="0023395B">
              <w:t>$</w:t>
            </w:r>
            <w:r w:rsidRPr="001C6AE3">
              <w:rPr>
                <w:color w:val="000000"/>
                <w:shd w:val="solid" w:color="000000" w:fill="000000"/>
                <w14:textFill>
                  <w14:solidFill>
                    <w14:srgbClr w14:val="000000">
                      <w14:alpha w14:val="100000"/>
                    </w14:srgbClr>
                  </w14:solidFill>
                </w14:textFill>
              </w:rPr>
              <w:t>|</w:t>
            </w:r>
            <w:r>
              <w:rPr>
                <w:vertAlign w:val="superscript"/>
              </w:rPr>
              <w:t>4</w:t>
            </w:r>
          </w:p>
        </w:tc>
      </w:tr>
      <w:tr w:rsidR="009F369E" w:rsidRPr="0023395B" w14:paraId="1D9A72C8" w14:textId="77777777" w:rsidTr="004C2ECC">
        <w:tc>
          <w:tcPr>
            <w:tcW w:w="5000" w:type="pct"/>
            <w:gridSpan w:val="7"/>
            <w:shd w:val="clear" w:color="auto" w:fill="auto"/>
            <w:vAlign w:val="center"/>
          </w:tcPr>
          <w:p w14:paraId="1A8FE6EB" w14:textId="77777777" w:rsidR="009F369E" w:rsidRPr="0023395B" w:rsidRDefault="009F369E" w:rsidP="009F369E">
            <w:pPr>
              <w:pStyle w:val="TableText0"/>
              <w:rPr>
                <w:b/>
              </w:rPr>
            </w:pPr>
            <w:r w:rsidRPr="0023395B">
              <w:rPr>
                <w:b/>
              </w:rPr>
              <w:t>November 2021 submission</w:t>
            </w:r>
          </w:p>
        </w:tc>
      </w:tr>
      <w:tr w:rsidR="009F369E" w:rsidRPr="0023395B" w14:paraId="77342745" w14:textId="77777777" w:rsidTr="004C2ECC">
        <w:tc>
          <w:tcPr>
            <w:tcW w:w="1066" w:type="pct"/>
            <w:shd w:val="clear" w:color="auto" w:fill="auto"/>
          </w:tcPr>
          <w:p w14:paraId="493218FB" w14:textId="77777777" w:rsidR="009F369E" w:rsidRPr="0023395B" w:rsidRDefault="009F369E" w:rsidP="009F369E">
            <w:pPr>
              <w:pStyle w:val="TableText0"/>
            </w:pPr>
            <w:r w:rsidRPr="0023395B">
              <w:t>Treated Patients</w:t>
            </w:r>
          </w:p>
        </w:tc>
        <w:tc>
          <w:tcPr>
            <w:tcW w:w="629" w:type="pct"/>
            <w:shd w:val="clear" w:color="auto" w:fill="auto"/>
          </w:tcPr>
          <w:p w14:paraId="21F5231C" w14:textId="3B42F47C"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shd w:val="clear" w:color="auto" w:fill="auto"/>
          </w:tcPr>
          <w:p w14:paraId="5450BF6A" w14:textId="700FB70F"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shd w:val="clear" w:color="auto" w:fill="auto"/>
          </w:tcPr>
          <w:p w14:paraId="38CC21F8" w14:textId="1F9C8E98"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29" w:type="pct"/>
            <w:shd w:val="clear" w:color="auto" w:fill="auto"/>
          </w:tcPr>
          <w:p w14:paraId="0A40067B" w14:textId="44F54F5D"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637" w:type="pct"/>
            <w:shd w:val="clear" w:color="auto" w:fill="auto"/>
          </w:tcPr>
          <w:p w14:paraId="554558ED" w14:textId="724737D4"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shd w:val="clear" w:color="auto" w:fill="auto"/>
          </w:tcPr>
          <w:p w14:paraId="6071576F" w14:textId="04EF883F"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r>
      <w:tr w:rsidR="009F369E" w:rsidRPr="0023395B" w14:paraId="6E0C8486" w14:textId="77777777" w:rsidTr="004C2ECC">
        <w:tc>
          <w:tcPr>
            <w:tcW w:w="1066" w:type="pct"/>
            <w:shd w:val="clear" w:color="auto" w:fill="auto"/>
          </w:tcPr>
          <w:p w14:paraId="26D37C20" w14:textId="77777777" w:rsidR="009F369E" w:rsidRPr="0023395B" w:rsidRDefault="009F369E" w:rsidP="009F369E">
            <w:pPr>
              <w:pStyle w:val="TableText0"/>
            </w:pPr>
            <w:r w:rsidRPr="0023395B">
              <w:t>Scripts per year</w:t>
            </w:r>
          </w:p>
        </w:tc>
        <w:tc>
          <w:tcPr>
            <w:tcW w:w="629" w:type="pct"/>
            <w:shd w:val="clear" w:color="auto" w:fill="auto"/>
          </w:tcPr>
          <w:p w14:paraId="1A4DAD6C" w14:textId="77777777" w:rsidR="009F369E" w:rsidRPr="0023395B" w:rsidRDefault="009F369E" w:rsidP="009F369E">
            <w:pPr>
              <w:pStyle w:val="TableText0"/>
              <w:jc w:val="right"/>
            </w:pPr>
            <w:r w:rsidRPr="0023395B">
              <w:t>9.823</w:t>
            </w:r>
          </w:p>
        </w:tc>
        <w:tc>
          <w:tcPr>
            <w:tcW w:w="629" w:type="pct"/>
            <w:shd w:val="clear" w:color="auto" w:fill="auto"/>
          </w:tcPr>
          <w:p w14:paraId="3102BAE3" w14:textId="77777777" w:rsidR="009F369E" w:rsidRPr="0023395B" w:rsidRDefault="009F369E" w:rsidP="009F369E">
            <w:pPr>
              <w:pStyle w:val="TableText0"/>
              <w:jc w:val="right"/>
            </w:pPr>
            <w:r w:rsidRPr="0023395B">
              <w:t>9.823</w:t>
            </w:r>
          </w:p>
        </w:tc>
        <w:tc>
          <w:tcPr>
            <w:tcW w:w="629" w:type="pct"/>
            <w:shd w:val="clear" w:color="auto" w:fill="auto"/>
          </w:tcPr>
          <w:p w14:paraId="50C86836" w14:textId="77777777" w:rsidR="009F369E" w:rsidRPr="0023395B" w:rsidRDefault="009F369E" w:rsidP="009F369E">
            <w:pPr>
              <w:pStyle w:val="TableText0"/>
              <w:jc w:val="right"/>
            </w:pPr>
            <w:r w:rsidRPr="0023395B">
              <w:t>9.823</w:t>
            </w:r>
          </w:p>
        </w:tc>
        <w:tc>
          <w:tcPr>
            <w:tcW w:w="629" w:type="pct"/>
            <w:shd w:val="clear" w:color="auto" w:fill="auto"/>
          </w:tcPr>
          <w:p w14:paraId="3352BFFA" w14:textId="77777777" w:rsidR="009F369E" w:rsidRPr="0023395B" w:rsidRDefault="009F369E" w:rsidP="009F369E">
            <w:pPr>
              <w:pStyle w:val="TableText0"/>
              <w:jc w:val="right"/>
            </w:pPr>
            <w:r w:rsidRPr="0023395B">
              <w:t>9.823</w:t>
            </w:r>
          </w:p>
        </w:tc>
        <w:tc>
          <w:tcPr>
            <w:tcW w:w="637" w:type="pct"/>
            <w:shd w:val="clear" w:color="auto" w:fill="auto"/>
          </w:tcPr>
          <w:p w14:paraId="089BA3EE" w14:textId="77777777" w:rsidR="009F369E" w:rsidRPr="0023395B" w:rsidRDefault="009F369E" w:rsidP="009F369E">
            <w:pPr>
              <w:pStyle w:val="TableText0"/>
              <w:jc w:val="right"/>
            </w:pPr>
            <w:r w:rsidRPr="0023395B">
              <w:t>9.823</w:t>
            </w:r>
          </w:p>
        </w:tc>
        <w:tc>
          <w:tcPr>
            <w:tcW w:w="781" w:type="pct"/>
            <w:shd w:val="clear" w:color="auto" w:fill="auto"/>
          </w:tcPr>
          <w:p w14:paraId="55EC8739" w14:textId="77777777" w:rsidR="009F369E" w:rsidRPr="0023395B" w:rsidRDefault="009F369E" w:rsidP="009F369E">
            <w:pPr>
              <w:pStyle w:val="TableText0"/>
              <w:jc w:val="right"/>
            </w:pPr>
            <w:r w:rsidRPr="00454648">
              <w:t>9.823</w:t>
            </w:r>
          </w:p>
        </w:tc>
      </w:tr>
      <w:tr w:rsidR="009F369E" w:rsidRPr="0023395B" w14:paraId="24FFD13B" w14:textId="77777777" w:rsidTr="004C2ECC">
        <w:tc>
          <w:tcPr>
            <w:tcW w:w="1066" w:type="pct"/>
            <w:shd w:val="clear" w:color="auto" w:fill="auto"/>
          </w:tcPr>
          <w:p w14:paraId="7144FB51" w14:textId="77777777" w:rsidR="009F369E" w:rsidRPr="0023395B" w:rsidRDefault="009F369E" w:rsidP="009F369E">
            <w:pPr>
              <w:pStyle w:val="TableText0"/>
            </w:pPr>
            <w:r w:rsidRPr="0023395B">
              <w:t>Total Scripts</w:t>
            </w:r>
          </w:p>
        </w:tc>
        <w:tc>
          <w:tcPr>
            <w:tcW w:w="629" w:type="pct"/>
            <w:shd w:val="clear" w:color="auto" w:fill="auto"/>
            <w:vAlign w:val="center"/>
          </w:tcPr>
          <w:p w14:paraId="7E6A4F54" w14:textId="523D3997"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r w:rsidRPr="0023395B">
              <w:t xml:space="preserve"> </w:t>
            </w:r>
          </w:p>
        </w:tc>
        <w:tc>
          <w:tcPr>
            <w:tcW w:w="629" w:type="pct"/>
            <w:shd w:val="clear" w:color="auto" w:fill="auto"/>
            <w:vAlign w:val="center"/>
          </w:tcPr>
          <w:p w14:paraId="4F7241ED" w14:textId="65E8C59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r w:rsidRPr="0023395B">
              <w:t xml:space="preserve"> </w:t>
            </w:r>
          </w:p>
        </w:tc>
        <w:tc>
          <w:tcPr>
            <w:tcW w:w="629" w:type="pct"/>
            <w:shd w:val="clear" w:color="auto" w:fill="auto"/>
            <w:vAlign w:val="center"/>
          </w:tcPr>
          <w:p w14:paraId="6D57F70A" w14:textId="7F9FCD0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r w:rsidRPr="0023395B">
              <w:t xml:space="preserve"> </w:t>
            </w:r>
          </w:p>
        </w:tc>
        <w:tc>
          <w:tcPr>
            <w:tcW w:w="629" w:type="pct"/>
            <w:shd w:val="clear" w:color="auto" w:fill="auto"/>
            <w:vAlign w:val="center"/>
          </w:tcPr>
          <w:p w14:paraId="62AD2195" w14:textId="0F7CD261"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r w:rsidRPr="0023395B">
              <w:t xml:space="preserve"> </w:t>
            </w:r>
          </w:p>
        </w:tc>
        <w:tc>
          <w:tcPr>
            <w:tcW w:w="637" w:type="pct"/>
            <w:shd w:val="clear" w:color="auto" w:fill="auto"/>
            <w:vAlign w:val="center"/>
          </w:tcPr>
          <w:p w14:paraId="26EE4126" w14:textId="4281EA7D" w:rsidR="009F369E" w:rsidRPr="00BD5070" w:rsidRDefault="009F369E" w:rsidP="009F369E">
            <w:pPr>
              <w:pStyle w:val="TableText0"/>
              <w:jc w:val="right"/>
              <w:rPr>
                <w:highlight w:val="yellow"/>
              </w:rPr>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p>
        </w:tc>
        <w:tc>
          <w:tcPr>
            <w:tcW w:w="781" w:type="pct"/>
            <w:shd w:val="clear" w:color="auto" w:fill="auto"/>
            <w:vAlign w:val="center"/>
          </w:tcPr>
          <w:p w14:paraId="1D46177D" w14:textId="50B57B0A" w:rsidR="009F369E" w:rsidRPr="0023395B" w:rsidRDefault="009F369E" w:rsidP="009F369E">
            <w:pPr>
              <w:pStyle w:val="TableText0"/>
              <w:jc w:val="right"/>
            </w:pPr>
            <w:r w:rsidRPr="001C6AE3">
              <w:rPr>
                <w:color w:val="000000"/>
                <w:shd w:val="solid" w:color="000000" w:fill="000000"/>
                <w14:textFill>
                  <w14:solidFill>
                    <w14:srgbClr w14:val="000000">
                      <w14:alpha w14:val="100000"/>
                    </w14:srgbClr>
                  </w14:solidFill>
                </w14:textFill>
              </w:rPr>
              <w:t>|</w:t>
            </w:r>
            <w:r>
              <w:rPr>
                <w:color w:val="000000" w:themeColor="text1"/>
                <w:sz w:val="18"/>
                <w:szCs w:val="18"/>
                <w:vertAlign w:val="superscript"/>
              </w:rPr>
              <w:t>1</w:t>
            </w:r>
            <w:r w:rsidRPr="0023395B">
              <w:t xml:space="preserve"> </w:t>
            </w:r>
          </w:p>
        </w:tc>
      </w:tr>
      <w:tr w:rsidR="009F369E" w:rsidRPr="0023395B" w14:paraId="08DA1E8E" w14:textId="77777777" w:rsidTr="004C2ECC">
        <w:tc>
          <w:tcPr>
            <w:tcW w:w="1066" w:type="pct"/>
            <w:shd w:val="clear" w:color="auto" w:fill="auto"/>
          </w:tcPr>
          <w:p w14:paraId="050A8E77" w14:textId="77777777" w:rsidR="009F369E" w:rsidRPr="0023395B" w:rsidRDefault="009F369E" w:rsidP="009F369E">
            <w:pPr>
              <w:pStyle w:val="TableText0"/>
            </w:pPr>
            <w:r w:rsidRPr="0023395B">
              <w:t>Cost to PBS/RPBS</w:t>
            </w:r>
          </w:p>
        </w:tc>
        <w:tc>
          <w:tcPr>
            <w:tcW w:w="629" w:type="pct"/>
            <w:shd w:val="clear" w:color="auto" w:fill="auto"/>
          </w:tcPr>
          <w:p w14:paraId="01083065" w14:textId="7956D7FE"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323538E8" w14:textId="49D37C72"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3ED4E82F" w14:textId="01C71AD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08DC387E" w14:textId="3762F19F"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shd w:val="clear" w:color="auto" w:fill="auto"/>
          </w:tcPr>
          <w:p w14:paraId="036FFAAA" w14:textId="44C13653"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shd w:val="clear" w:color="auto" w:fill="auto"/>
          </w:tcPr>
          <w:p w14:paraId="79F00AC5" w14:textId="15268F13"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0AA69631" w14:textId="77777777" w:rsidTr="004C2ECC">
        <w:tc>
          <w:tcPr>
            <w:tcW w:w="1066" w:type="pct"/>
            <w:shd w:val="clear" w:color="auto" w:fill="auto"/>
          </w:tcPr>
          <w:p w14:paraId="32D2F225" w14:textId="77777777" w:rsidR="009F369E" w:rsidRPr="0023395B" w:rsidRDefault="009F369E" w:rsidP="009F369E">
            <w:pPr>
              <w:pStyle w:val="TableText0"/>
            </w:pPr>
            <w:r w:rsidRPr="0023395B">
              <w:t>Less co-payments</w:t>
            </w:r>
          </w:p>
        </w:tc>
        <w:tc>
          <w:tcPr>
            <w:tcW w:w="629" w:type="pct"/>
            <w:shd w:val="clear" w:color="auto" w:fill="auto"/>
          </w:tcPr>
          <w:p w14:paraId="61A056FF" w14:textId="5B092CD6"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3998"/>
                <w14:textFill>
                  <w14:solidFill>
                    <w14:srgbClr w14:val="000000">
                      <w14:alpha w14:val="100000"/>
                    </w14:srgbClr>
                  </w14:solidFill>
                </w14:textFill>
              </w:rPr>
              <w:t xml:space="preserve">　</w:t>
            </w:r>
            <w:r w:rsidRPr="001C6AE3">
              <w:rPr>
                <w:color w:val="000000"/>
                <w:w w:val="15"/>
                <w:shd w:val="solid" w:color="000000" w:fill="000000"/>
                <w:fitText w:val="53" w:id="-1505503998"/>
                <w14:textFill>
                  <w14:solidFill>
                    <w14:srgbClr w14:val="000000">
                      <w14:alpha w14:val="100000"/>
                    </w14:srgbClr>
                  </w14:solidFill>
                </w14:textFill>
              </w:rPr>
              <w:t>|</w:t>
            </w:r>
            <w:r w:rsidRPr="001C6AE3">
              <w:rPr>
                <w:rFonts w:hint="eastAsia"/>
                <w:color w:val="000000"/>
                <w:spacing w:val="-12"/>
                <w:w w:val="15"/>
                <w:shd w:val="solid" w:color="000000" w:fill="000000"/>
                <w:fitText w:val="53" w:id="-1505503998"/>
                <w14:textFill>
                  <w14:solidFill>
                    <w14:srgbClr w14:val="000000">
                      <w14:alpha w14:val="100000"/>
                    </w14:srgbClr>
                  </w14:solidFill>
                </w14:textFill>
              </w:rPr>
              <w:t xml:space="preserve">　</w:t>
            </w:r>
            <w:r>
              <w:rPr>
                <w:szCs w:val="20"/>
                <w:vertAlign w:val="superscript"/>
              </w:rPr>
              <w:t>3</w:t>
            </w:r>
          </w:p>
        </w:tc>
        <w:tc>
          <w:tcPr>
            <w:tcW w:w="629" w:type="pct"/>
            <w:shd w:val="clear" w:color="auto" w:fill="auto"/>
          </w:tcPr>
          <w:p w14:paraId="5F366182" w14:textId="55204840"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3997"/>
                <w14:textFill>
                  <w14:solidFill>
                    <w14:srgbClr w14:val="000000">
                      <w14:alpha w14:val="100000"/>
                    </w14:srgbClr>
                  </w14:solidFill>
                </w14:textFill>
              </w:rPr>
              <w:t xml:space="preserve">　</w:t>
            </w:r>
            <w:r w:rsidRPr="001C6AE3">
              <w:rPr>
                <w:color w:val="000000"/>
                <w:w w:val="15"/>
                <w:shd w:val="solid" w:color="000000" w:fill="000000"/>
                <w:fitText w:val="53" w:id="-1505503997"/>
                <w14:textFill>
                  <w14:solidFill>
                    <w14:srgbClr w14:val="000000">
                      <w14:alpha w14:val="100000"/>
                    </w14:srgbClr>
                  </w14:solidFill>
                </w14:textFill>
              </w:rPr>
              <w:t>|</w:t>
            </w:r>
            <w:r w:rsidRPr="001C6AE3">
              <w:rPr>
                <w:rFonts w:hint="eastAsia"/>
                <w:color w:val="000000"/>
                <w:spacing w:val="-12"/>
                <w:w w:val="15"/>
                <w:shd w:val="solid" w:color="000000" w:fill="000000"/>
                <w:fitText w:val="53" w:id="-1505503997"/>
                <w14:textFill>
                  <w14:solidFill>
                    <w14:srgbClr w14:val="000000">
                      <w14:alpha w14:val="100000"/>
                    </w14:srgbClr>
                  </w14:solidFill>
                </w14:textFill>
              </w:rPr>
              <w:t xml:space="preserve">　</w:t>
            </w:r>
            <w:r>
              <w:rPr>
                <w:szCs w:val="20"/>
                <w:vertAlign w:val="superscript"/>
              </w:rPr>
              <w:t>3</w:t>
            </w:r>
          </w:p>
        </w:tc>
        <w:tc>
          <w:tcPr>
            <w:tcW w:w="629" w:type="pct"/>
            <w:shd w:val="clear" w:color="auto" w:fill="auto"/>
          </w:tcPr>
          <w:p w14:paraId="44478F25" w14:textId="62BE79DA" w:rsidR="009F369E" w:rsidRPr="0023395B" w:rsidRDefault="009F369E" w:rsidP="009F369E">
            <w:pPr>
              <w:pStyle w:val="TableText0"/>
              <w:jc w:val="right"/>
            </w:pPr>
            <w:r w:rsidRPr="0023395B">
              <w:t>-$</w:t>
            </w:r>
            <w:r w:rsidRPr="001C6AE3">
              <w:rPr>
                <w:rFonts w:hint="eastAsia"/>
                <w:color w:val="000000"/>
                <w:w w:val="15"/>
                <w:shd w:val="solid" w:color="000000" w:fill="000000"/>
                <w:fitText w:val="53" w:id="-1505503996"/>
                <w14:textFill>
                  <w14:solidFill>
                    <w14:srgbClr w14:val="000000">
                      <w14:alpha w14:val="100000"/>
                    </w14:srgbClr>
                  </w14:solidFill>
                </w14:textFill>
              </w:rPr>
              <w:t xml:space="preserve">　</w:t>
            </w:r>
            <w:r w:rsidRPr="001C6AE3">
              <w:rPr>
                <w:color w:val="000000"/>
                <w:w w:val="15"/>
                <w:shd w:val="solid" w:color="000000" w:fill="000000"/>
                <w:fitText w:val="53" w:id="-1505503996"/>
                <w14:textFill>
                  <w14:solidFill>
                    <w14:srgbClr w14:val="000000">
                      <w14:alpha w14:val="100000"/>
                    </w14:srgbClr>
                  </w14:solidFill>
                </w14:textFill>
              </w:rPr>
              <w:t>|</w:t>
            </w:r>
            <w:r w:rsidRPr="001C6AE3">
              <w:rPr>
                <w:rFonts w:hint="eastAsia"/>
                <w:color w:val="000000"/>
                <w:spacing w:val="-12"/>
                <w:w w:val="15"/>
                <w:shd w:val="solid" w:color="000000" w:fill="000000"/>
                <w:fitText w:val="53" w:id="-1505503996"/>
                <w14:textFill>
                  <w14:solidFill>
                    <w14:srgbClr w14:val="000000">
                      <w14:alpha w14:val="100000"/>
                    </w14:srgbClr>
                  </w14:solidFill>
                </w14:textFill>
              </w:rPr>
              <w:t xml:space="preserve">　</w:t>
            </w:r>
            <w:r>
              <w:rPr>
                <w:szCs w:val="20"/>
                <w:vertAlign w:val="superscript"/>
              </w:rPr>
              <w:t>3</w:t>
            </w:r>
          </w:p>
        </w:tc>
        <w:tc>
          <w:tcPr>
            <w:tcW w:w="629" w:type="pct"/>
            <w:shd w:val="clear" w:color="auto" w:fill="auto"/>
          </w:tcPr>
          <w:p w14:paraId="084B4CE5" w14:textId="15AF3902" w:rsidR="009F369E" w:rsidRPr="0023395B" w:rsidRDefault="009F369E" w:rsidP="009F369E">
            <w:pPr>
              <w:pStyle w:val="TableText0"/>
              <w:jc w:val="right"/>
            </w:pPr>
            <w:r w:rsidRPr="0023395B">
              <w:t>-$</w:t>
            </w:r>
            <w:r w:rsidRPr="001C6AE3">
              <w:rPr>
                <w:rFonts w:hint="eastAsia"/>
                <w:color w:val="000000"/>
                <w:w w:val="15"/>
                <w:shd w:val="solid" w:color="000000" w:fill="000000"/>
                <w:fitText w:val="54" w:id="-1505503995"/>
                <w14:textFill>
                  <w14:solidFill>
                    <w14:srgbClr w14:val="000000">
                      <w14:alpha w14:val="100000"/>
                    </w14:srgbClr>
                  </w14:solidFill>
                </w14:textFill>
              </w:rPr>
              <w:t xml:space="preserve">　</w:t>
            </w:r>
            <w:r w:rsidRPr="001C6AE3">
              <w:rPr>
                <w:color w:val="000000"/>
                <w:w w:val="15"/>
                <w:shd w:val="solid" w:color="000000" w:fill="000000"/>
                <w:fitText w:val="54" w:id="-1505503995"/>
                <w14:textFill>
                  <w14:solidFill>
                    <w14:srgbClr w14:val="000000">
                      <w14:alpha w14:val="100000"/>
                    </w14:srgbClr>
                  </w14:solidFill>
                </w14:textFill>
              </w:rPr>
              <w:t>|</w:t>
            </w:r>
            <w:r w:rsidRPr="001C6AE3">
              <w:rPr>
                <w:rFonts w:hint="eastAsia"/>
                <w:color w:val="000000"/>
                <w:spacing w:val="-11"/>
                <w:w w:val="15"/>
                <w:shd w:val="solid" w:color="000000" w:fill="000000"/>
                <w:fitText w:val="54" w:id="-1505503995"/>
                <w14:textFill>
                  <w14:solidFill>
                    <w14:srgbClr w14:val="000000">
                      <w14:alpha w14:val="100000"/>
                    </w14:srgbClr>
                  </w14:solidFill>
                </w14:textFill>
              </w:rPr>
              <w:t xml:space="preserve">　</w:t>
            </w:r>
            <w:r>
              <w:rPr>
                <w:szCs w:val="20"/>
                <w:vertAlign w:val="superscript"/>
              </w:rPr>
              <w:t>3</w:t>
            </w:r>
          </w:p>
        </w:tc>
        <w:tc>
          <w:tcPr>
            <w:tcW w:w="637" w:type="pct"/>
            <w:shd w:val="clear" w:color="auto" w:fill="auto"/>
          </w:tcPr>
          <w:p w14:paraId="4BD1A77C" w14:textId="37DEBB77" w:rsidR="009F369E" w:rsidRPr="0023395B" w:rsidRDefault="009F369E" w:rsidP="009F369E">
            <w:pPr>
              <w:pStyle w:val="TableText0"/>
              <w:jc w:val="right"/>
            </w:pPr>
            <w:r w:rsidRPr="0023395B">
              <w:t>-$</w:t>
            </w:r>
            <w:r w:rsidRPr="001C6AE3">
              <w:rPr>
                <w:rFonts w:hint="eastAsia"/>
                <w:color w:val="000000"/>
                <w:w w:val="15"/>
                <w:shd w:val="solid" w:color="000000" w:fill="000000"/>
                <w:fitText w:val="33" w:id="-1505503994"/>
                <w14:textFill>
                  <w14:solidFill>
                    <w14:srgbClr w14:val="000000">
                      <w14:alpha w14:val="100000"/>
                    </w14:srgbClr>
                  </w14:solidFill>
                </w14:textFill>
              </w:rPr>
              <w:t xml:space="preserve">　</w:t>
            </w:r>
            <w:r w:rsidRPr="001C6AE3">
              <w:rPr>
                <w:color w:val="000000"/>
                <w:w w:val="15"/>
                <w:shd w:val="solid" w:color="000000" w:fill="000000"/>
                <w:fitText w:val="33" w:id="-1505503994"/>
                <w14:textFill>
                  <w14:solidFill>
                    <w14:srgbClr w14:val="000000">
                      <w14:alpha w14:val="100000"/>
                    </w14:srgbClr>
                  </w14:solidFill>
                </w14:textFill>
              </w:rPr>
              <w:t>|</w:t>
            </w:r>
            <w:r w:rsidRPr="001C6AE3">
              <w:rPr>
                <w:rFonts w:hint="eastAsia"/>
                <w:color w:val="000000"/>
                <w:spacing w:val="-32"/>
                <w:w w:val="15"/>
                <w:shd w:val="solid" w:color="000000" w:fill="000000"/>
                <w:fitText w:val="33" w:id="-1505503994"/>
                <w14:textFill>
                  <w14:solidFill>
                    <w14:srgbClr w14:val="000000">
                      <w14:alpha w14:val="100000"/>
                    </w14:srgbClr>
                  </w14:solidFill>
                </w14:textFill>
              </w:rPr>
              <w:t xml:space="preserve">　</w:t>
            </w:r>
            <w:r>
              <w:rPr>
                <w:szCs w:val="20"/>
                <w:vertAlign w:val="superscript"/>
              </w:rPr>
              <w:t>3</w:t>
            </w:r>
          </w:p>
        </w:tc>
        <w:tc>
          <w:tcPr>
            <w:tcW w:w="781" w:type="pct"/>
            <w:shd w:val="clear" w:color="auto" w:fill="auto"/>
          </w:tcPr>
          <w:p w14:paraId="45132606" w14:textId="10E8FF4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02E92589" w14:textId="77777777" w:rsidTr="004C2ECC">
        <w:tc>
          <w:tcPr>
            <w:tcW w:w="1066" w:type="pct"/>
            <w:shd w:val="clear" w:color="auto" w:fill="auto"/>
          </w:tcPr>
          <w:p w14:paraId="33DC7965" w14:textId="77777777" w:rsidR="009F369E" w:rsidRPr="0023395B" w:rsidRDefault="009F369E" w:rsidP="009F369E">
            <w:pPr>
              <w:pStyle w:val="TableText0"/>
            </w:pPr>
            <w:r w:rsidRPr="0023395B">
              <w:t>Net cost to PBS/RPBS</w:t>
            </w:r>
          </w:p>
        </w:tc>
        <w:tc>
          <w:tcPr>
            <w:tcW w:w="629" w:type="pct"/>
            <w:shd w:val="clear" w:color="auto" w:fill="auto"/>
          </w:tcPr>
          <w:p w14:paraId="2C29D5E2" w14:textId="2518A934"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5BFF0FCC" w14:textId="79985A4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630DF700" w14:textId="271FEFB0"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29C99870" w14:textId="43E8CD70"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shd w:val="clear" w:color="auto" w:fill="auto"/>
          </w:tcPr>
          <w:p w14:paraId="35E9C792" w14:textId="6C043AA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shd w:val="clear" w:color="auto" w:fill="auto"/>
          </w:tcPr>
          <w:p w14:paraId="6499FF6F" w14:textId="5B0E4FC1"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26942AB7" w14:textId="77777777" w:rsidTr="004C2ECC">
        <w:tc>
          <w:tcPr>
            <w:tcW w:w="1066" w:type="pct"/>
            <w:shd w:val="clear" w:color="auto" w:fill="auto"/>
            <w:vAlign w:val="center"/>
          </w:tcPr>
          <w:p w14:paraId="4551B4F0" w14:textId="77777777" w:rsidR="009F369E" w:rsidRPr="0023395B" w:rsidRDefault="009F369E" w:rsidP="009F369E">
            <w:pPr>
              <w:pStyle w:val="TableText0"/>
            </w:pPr>
            <w:r w:rsidRPr="0023395B">
              <w:t>Net cost to MBS</w:t>
            </w:r>
          </w:p>
        </w:tc>
        <w:tc>
          <w:tcPr>
            <w:tcW w:w="629" w:type="pct"/>
            <w:shd w:val="clear" w:color="auto" w:fill="auto"/>
          </w:tcPr>
          <w:p w14:paraId="6A972F8F" w14:textId="3BA49826"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45085FA9" w14:textId="6800418C"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6D4AA0A5" w14:textId="53E44ACD"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29" w:type="pct"/>
            <w:shd w:val="clear" w:color="auto" w:fill="auto"/>
          </w:tcPr>
          <w:p w14:paraId="6301DA5E" w14:textId="09A5BC0D"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637" w:type="pct"/>
            <w:shd w:val="clear" w:color="auto" w:fill="auto"/>
          </w:tcPr>
          <w:p w14:paraId="59232EE0" w14:textId="1D20965D"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c>
          <w:tcPr>
            <w:tcW w:w="781" w:type="pct"/>
            <w:shd w:val="clear" w:color="auto" w:fill="auto"/>
          </w:tcPr>
          <w:p w14:paraId="35CA2257" w14:textId="09DADC1E"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r w:rsidR="009F369E" w:rsidRPr="0023395B" w14:paraId="324BBE46" w14:textId="77777777" w:rsidTr="004C2ECC">
        <w:tc>
          <w:tcPr>
            <w:tcW w:w="1066" w:type="pct"/>
            <w:shd w:val="clear" w:color="auto" w:fill="auto"/>
            <w:vAlign w:val="center"/>
          </w:tcPr>
          <w:p w14:paraId="1D37706B" w14:textId="77777777" w:rsidR="009F369E" w:rsidRPr="0023395B" w:rsidRDefault="009F369E" w:rsidP="009F369E">
            <w:pPr>
              <w:pStyle w:val="TableText0"/>
            </w:pPr>
            <w:r w:rsidRPr="0023395B">
              <w:t>Net cost to health budget</w:t>
            </w:r>
          </w:p>
        </w:tc>
        <w:tc>
          <w:tcPr>
            <w:tcW w:w="629" w:type="pct"/>
            <w:shd w:val="clear" w:color="auto" w:fill="auto"/>
          </w:tcPr>
          <w:p w14:paraId="72E08CB7" w14:textId="62B194E7"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shd w:val="clear" w:color="auto" w:fill="auto"/>
          </w:tcPr>
          <w:p w14:paraId="2B832C23" w14:textId="697FC18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shd w:val="clear" w:color="auto" w:fill="auto"/>
          </w:tcPr>
          <w:p w14:paraId="624104AB" w14:textId="09C96E26"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29" w:type="pct"/>
            <w:shd w:val="clear" w:color="auto" w:fill="auto"/>
          </w:tcPr>
          <w:p w14:paraId="735CF8AC" w14:textId="6C98D2FE"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637" w:type="pct"/>
            <w:shd w:val="clear" w:color="auto" w:fill="auto"/>
          </w:tcPr>
          <w:p w14:paraId="50BCD58B" w14:textId="11D552EB"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c>
          <w:tcPr>
            <w:tcW w:w="781" w:type="pct"/>
            <w:shd w:val="clear" w:color="auto" w:fill="auto"/>
          </w:tcPr>
          <w:p w14:paraId="77592775" w14:textId="372B3D15"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r w:rsidRPr="0023395B">
              <w:t xml:space="preserve"> </w:t>
            </w:r>
          </w:p>
        </w:tc>
      </w:tr>
      <w:tr w:rsidR="009F369E" w:rsidRPr="0023395B" w14:paraId="614452B9" w14:textId="77777777" w:rsidTr="004C2ECC">
        <w:tc>
          <w:tcPr>
            <w:tcW w:w="4219" w:type="pct"/>
            <w:gridSpan w:val="6"/>
            <w:shd w:val="clear" w:color="auto" w:fill="auto"/>
            <w:vAlign w:val="center"/>
          </w:tcPr>
          <w:p w14:paraId="1ECF4631" w14:textId="77777777" w:rsidR="009F369E" w:rsidRPr="0023395B" w:rsidRDefault="009F369E" w:rsidP="009F369E">
            <w:pPr>
              <w:pStyle w:val="TableText0"/>
            </w:pPr>
            <w:r w:rsidRPr="0023395B">
              <w:t>Net cost to health budget over 6 years</w:t>
            </w:r>
          </w:p>
        </w:tc>
        <w:tc>
          <w:tcPr>
            <w:tcW w:w="781" w:type="pct"/>
            <w:shd w:val="clear" w:color="auto" w:fill="auto"/>
          </w:tcPr>
          <w:p w14:paraId="10C49993" w14:textId="39AA576F" w:rsidR="009F369E" w:rsidRPr="0023395B" w:rsidRDefault="009F369E" w:rsidP="009F369E">
            <w:pPr>
              <w:pStyle w:val="TableText0"/>
              <w:jc w:val="right"/>
            </w:pPr>
            <w:r w:rsidRPr="0023395B">
              <w:t>$</w:t>
            </w:r>
            <w:r w:rsidRPr="001C6AE3">
              <w:rPr>
                <w:color w:val="000000"/>
                <w:shd w:val="solid" w:color="000000" w:fill="000000"/>
                <w14:textFill>
                  <w14:solidFill>
                    <w14:srgbClr w14:val="000000">
                      <w14:alpha w14:val="100000"/>
                    </w14:srgbClr>
                  </w14:solidFill>
                </w14:textFill>
              </w:rPr>
              <w:t>|</w:t>
            </w:r>
            <w:r>
              <w:rPr>
                <w:szCs w:val="20"/>
                <w:vertAlign w:val="superscript"/>
              </w:rPr>
              <w:t>3</w:t>
            </w:r>
          </w:p>
        </w:tc>
      </w:tr>
    </w:tbl>
    <w:p w14:paraId="15267780" w14:textId="77777777" w:rsidR="00125333" w:rsidRPr="0023395B" w:rsidRDefault="00125333" w:rsidP="00125333">
      <w:pPr>
        <w:pStyle w:val="TableFigureFooter"/>
        <w:keepNext/>
        <w:jc w:val="left"/>
      </w:pPr>
      <w:r w:rsidRPr="0023395B">
        <w:t>MBS = Medical Benefits Scheme; PBS = Pharmaceutical Benefits Scheme; RPBS = Repatriation Pharmaceutical Benefits Scheme.</w:t>
      </w:r>
    </w:p>
    <w:p w14:paraId="0FF7EE71" w14:textId="3AA468E0" w:rsidR="0050103B" w:rsidRDefault="00125333" w:rsidP="00BD5070">
      <w:pPr>
        <w:pStyle w:val="TableFigureFooter"/>
        <w:keepNext/>
        <w:spacing w:after="0"/>
      </w:pPr>
      <w:r w:rsidRPr="0023395B">
        <w:t>Source: Compiled by Secretariat.</w:t>
      </w:r>
    </w:p>
    <w:p w14:paraId="3DE4708F" w14:textId="77777777" w:rsidR="0050103B" w:rsidRPr="009A6D58" w:rsidRDefault="0050103B" w:rsidP="0050103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27ABFC9" w14:textId="528E9266" w:rsidR="0050103B" w:rsidRPr="00BD5070" w:rsidRDefault="00EF2092" w:rsidP="0050103B">
      <w:pPr>
        <w:ind w:right="147"/>
        <w:rPr>
          <w:rFonts w:ascii="Arial Narrow" w:hAnsi="Arial Narrow" w:cs="Arial"/>
          <w:i/>
          <w:sz w:val="18"/>
          <w:szCs w:val="18"/>
        </w:rPr>
      </w:pPr>
      <w:r>
        <w:rPr>
          <w:rFonts w:ascii="Arial Narrow" w:hAnsi="Arial Narrow" w:cs="Arial"/>
          <w:i/>
          <w:sz w:val="18"/>
          <w:szCs w:val="18"/>
          <w:vertAlign w:val="superscript"/>
        </w:rPr>
        <w:t>1</w:t>
      </w:r>
      <w:r w:rsidR="0050103B" w:rsidRPr="00BD5070">
        <w:rPr>
          <w:rFonts w:ascii="Arial Narrow" w:hAnsi="Arial Narrow" w:cs="Arial"/>
          <w:i/>
          <w:sz w:val="18"/>
          <w:szCs w:val="18"/>
        </w:rPr>
        <w:t>&lt; 500</w:t>
      </w:r>
    </w:p>
    <w:p w14:paraId="4A1C574A" w14:textId="3D882451" w:rsidR="0050103B" w:rsidRPr="00BD5070" w:rsidRDefault="00EF2092" w:rsidP="0050103B">
      <w:pPr>
        <w:ind w:right="147"/>
        <w:rPr>
          <w:rFonts w:ascii="Arial Narrow" w:hAnsi="Arial Narrow" w:cs="Arial"/>
          <w:i/>
          <w:sz w:val="18"/>
          <w:szCs w:val="18"/>
        </w:rPr>
      </w:pPr>
      <w:r>
        <w:rPr>
          <w:rFonts w:ascii="Arial Narrow" w:hAnsi="Arial Narrow" w:cs="Arial"/>
          <w:i/>
          <w:sz w:val="18"/>
          <w:szCs w:val="18"/>
          <w:vertAlign w:val="superscript"/>
        </w:rPr>
        <w:t>2</w:t>
      </w:r>
      <w:r w:rsidR="0050103B" w:rsidRPr="00BD5070">
        <w:rPr>
          <w:rFonts w:ascii="Arial Narrow" w:hAnsi="Arial Narrow" w:cs="Arial"/>
          <w:i/>
          <w:sz w:val="18"/>
          <w:szCs w:val="18"/>
        </w:rPr>
        <w:t>500 to &lt; 5,000</w:t>
      </w:r>
    </w:p>
    <w:p w14:paraId="25F2A1E4" w14:textId="2AE602E1" w:rsidR="0050103B" w:rsidRPr="00BD5070" w:rsidRDefault="00EF2092" w:rsidP="00BD5070">
      <w:pPr>
        <w:ind w:right="147"/>
        <w:rPr>
          <w:rFonts w:ascii="Arial Narrow" w:hAnsi="Arial Narrow" w:cs="Arial"/>
          <w:i/>
          <w:sz w:val="18"/>
          <w:szCs w:val="18"/>
        </w:rPr>
      </w:pPr>
      <w:r>
        <w:rPr>
          <w:rFonts w:ascii="Arial Narrow" w:hAnsi="Arial Narrow" w:cs="Arial"/>
          <w:i/>
          <w:sz w:val="18"/>
          <w:szCs w:val="18"/>
          <w:vertAlign w:val="superscript"/>
        </w:rPr>
        <w:t>3</w:t>
      </w:r>
      <w:r w:rsidR="0050103B" w:rsidRPr="00BD5070">
        <w:rPr>
          <w:rFonts w:ascii="Arial Narrow" w:hAnsi="Arial Narrow" w:cs="Arial"/>
          <w:i/>
          <w:sz w:val="18"/>
          <w:szCs w:val="18"/>
        </w:rPr>
        <w:t>$0 to &lt; $10 million</w:t>
      </w:r>
    </w:p>
    <w:p w14:paraId="7E36518B" w14:textId="2315DA3C" w:rsidR="00EF2092" w:rsidRDefault="00EF2092" w:rsidP="009F369E">
      <w:pPr>
        <w:spacing w:after="120"/>
        <w:ind w:right="147"/>
        <w:rPr>
          <w:rFonts w:ascii="Arial" w:hAnsi="Arial" w:cs="Arial"/>
          <w:color w:val="333333"/>
          <w:sz w:val="21"/>
          <w:szCs w:val="21"/>
        </w:rPr>
      </w:pPr>
      <w:r>
        <w:rPr>
          <w:rFonts w:ascii="Arial Narrow" w:hAnsi="Arial Narrow" w:cs="Arial"/>
          <w:i/>
          <w:sz w:val="18"/>
          <w:szCs w:val="18"/>
          <w:vertAlign w:val="superscript"/>
        </w:rPr>
        <w:t>4</w:t>
      </w:r>
      <w:r w:rsidRPr="00BD5070">
        <w:rPr>
          <w:rFonts w:ascii="Arial Narrow" w:hAnsi="Arial Narrow" w:cs="Arial"/>
          <w:i/>
          <w:sz w:val="18"/>
          <w:szCs w:val="18"/>
        </w:rPr>
        <w:t>$20 million to &lt; $30 million</w:t>
      </w:r>
    </w:p>
    <w:p w14:paraId="337CE4B7" w14:textId="75CD0D81" w:rsidR="00773649" w:rsidRPr="0023395B" w:rsidRDefault="00125333" w:rsidP="00773649">
      <w:pPr>
        <w:pStyle w:val="3Bodytext"/>
        <w:rPr>
          <w:i/>
        </w:rPr>
      </w:pPr>
      <w:r w:rsidRPr="0023395B">
        <w:t>T</w:t>
      </w:r>
      <w:r w:rsidR="00773649" w:rsidRPr="0023395B">
        <w:t xml:space="preserve">he </w:t>
      </w:r>
      <w:r w:rsidRPr="0023395B">
        <w:t xml:space="preserve">assumed </w:t>
      </w:r>
      <w:r w:rsidR="00773649" w:rsidRPr="0023395B">
        <w:t xml:space="preserve">MBS item utilisation and </w:t>
      </w:r>
      <w:r w:rsidRPr="0023395B">
        <w:t xml:space="preserve">associated fees are provided in </w:t>
      </w:r>
      <w:r w:rsidRPr="0023395B">
        <w:fldChar w:fldCharType="begin"/>
      </w:r>
      <w:r w:rsidRPr="0023395B">
        <w:instrText xml:space="preserve"> REF _Ref93596389 \h </w:instrText>
      </w:r>
      <w:r w:rsidRPr="0023395B">
        <w:fldChar w:fldCharType="separate"/>
      </w:r>
      <w:r w:rsidR="006A2CD9" w:rsidRPr="0023395B">
        <w:t xml:space="preserve">Table </w:t>
      </w:r>
      <w:r w:rsidR="006A2CD9">
        <w:rPr>
          <w:noProof/>
        </w:rPr>
        <w:t>3</w:t>
      </w:r>
      <w:r w:rsidRPr="0023395B">
        <w:fldChar w:fldCharType="end"/>
      </w:r>
      <w:r w:rsidRPr="0023395B">
        <w:t>. The assumptions are unchanged from the November 2021 submission however the resulting MBS cost estimates are higher in the resubmission due to the increased number of patients assumed in the resubmission</w:t>
      </w:r>
      <w:r w:rsidR="00F93A76" w:rsidRPr="0023395B">
        <w:t xml:space="preserve"> (</w:t>
      </w:r>
      <w:r w:rsidR="00F93A76" w:rsidRPr="0023395B">
        <w:fldChar w:fldCharType="begin"/>
      </w:r>
      <w:r w:rsidR="00F93A76" w:rsidRPr="0023395B">
        <w:instrText xml:space="preserve"> REF _Ref92831986 \h </w:instrText>
      </w:r>
      <w:r w:rsidR="00F93A76" w:rsidRPr="0023395B">
        <w:fldChar w:fldCharType="separate"/>
      </w:r>
      <w:r w:rsidR="006A2CD9" w:rsidRPr="0023395B">
        <w:t xml:space="preserve">Table </w:t>
      </w:r>
      <w:r w:rsidR="006A2CD9">
        <w:rPr>
          <w:noProof/>
        </w:rPr>
        <w:t>2</w:t>
      </w:r>
      <w:r w:rsidR="00F93A76" w:rsidRPr="0023395B">
        <w:fldChar w:fldCharType="end"/>
      </w:r>
      <w:r w:rsidR="00F93A76" w:rsidRPr="0023395B">
        <w:t>)</w:t>
      </w:r>
      <w:r w:rsidR="00773649" w:rsidRPr="0023395B">
        <w:t>.</w:t>
      </w:r>
    </w:p>
    <w:p w14:paraId="31730299" w14:textId="51C78E17" w:rsidR="00773649" w:rsidRPr="0023395B" w:rsidRDefault="00773649" w:rsidP="00773649">
      <w:pPr>
        <w:pStyle w:val="TableFigureHeading"/>
      </w:pPr>
      <w:bookmarkStart w:id="10" w:name="_Ref93596389"/>
      <w:r w:rsidRPr="0023395B">
        <w:lastRenderedPageBreak/>
        <w:t xml:space="preserve">Table </w:t>
      </w:r>
      <w:r w:rsidR="002A2C2E">
        <w:fldChar w:fldCharType="begin"/>
      </w:r>
      <w:r w:rsidR="002A2C2E">
        <w:instrText xml:space="preserve"> SEQ Table \* ARABIC </w:instrText>
      </w:r>
      <w:r w:rsidR="002A2C2E">
        <w:fldChar w:fldCharType="separate"/>
      </w:r>
      <w:r w:rsidR="006A2CD9">
        <w:rPr>
          <w:noProof/>
        </w:rPr>
        <w:t>3</w:t>
      </w:r>
      <w:r w:rsidR="002A2C2E">
        <w:rPr>
          <w:noProof/>
        </w:rPr>
        <w:fldChar w:fldCharType="end"/>
      </w:r>
      <w:bookmarkEnd w:id="10"/>
      <w:r w:rsidRPr="0023395B">
        <w:t xml:space="preserve">: </w:t>
      </w:r>
      <w:r w:rsidRPr="0023395B">
        <w:rPr>
          <w:rStyle w:val="CommentReference"/>
          <w:sz w:val="20"/>
          <w:szCs w:val="22"/>
        </w:rPr>
        <w:t xml:space="preserve">MBS </w:t>
      </w:r>
      <w:r w:rsidRPr="0023395B">
        <w:t>item utilisation assumptions</w:t>
      </w:r>
    </w:p>
    <w:tbl>
      <w:tblPr>
        <w:tblStyle w:val="TableGrid"/>
        <w:tblW w:w="0" w:type="auto"/>
        <w:tblLook w:val="04A0" w:firstRow="1" w:lastRow="0" w:firstColumn="1" w:lastColumn="0" w:noHBand="0" w:noVBand="1"/>
      </w:tblPr>
      <w:tblGrid>
        <w:gridCol w:w="704"/>
        <w:gridCol w:w="5387"/>
        <w:gridCol w:w="1640"/>
        <w:gridCol w:w="1285"/>
      </w:tblGrid>
      <w:tr w:rsidR="00F87BDC" w:rsidRPr="0023395B" w14:paraId="762948D7" w14:textId="77777777" w:rsidTr="00F87BDC">
        <w:tc>
          <w:tcPr>
            <w:tcW w:w="704" w:type="dxa"/>
            <w:shd w:val="clear" w:color="auto" w:fill="auto"/>
          </w:tcPr>
          <w:p w14:paraId="24378013" w14:textId="77777777" w:rsidR="00F87BDC" w:rsidRPr="0023395B" w:rsidRDefault="00F87BDC" w:rsidP="00F87BDC">
            <w:pPr>
              <w:keepNext/>
              <w:jc w:val="left"/>
              <w:rPr>
                <w:rFonts w:ascii="Arial Narrow" w:hAnsi="Arial Narrow"/>
                <w:b/>
                <w:sz w:val="20"/>
                <w:szCs w:val="20"/>
              </w:rPr>
            </w:pPr>
            <w:r w:rsidRPr="0023395B">
              <w:rPr>
                <w:rFonts w:ascii="Arial Narrow" w:hAnsi="Arial Narrow"/>
                <w:b/>
                <w:sz w:val="20"/>
                <w:szCs w:val="20"/>
              </w:rPr>
              <w:t xml:space="preserve">MBS item </w:t>
            </w:r>
          </w:p>
        </w:tc>
        <w:tc>
          <w:tcPr>
            <w:tcW w:w="5387" w:type="dxa"/>
            <w:shd w:val="clear" w:color="auto" w:fill="auto"/>
          </w:tcPr>
          <w:p w14:paraId="0039203D" w14:textId="2A3A7774" w:rsidR="00F87BDC" w:rsidRPr="0023395B" w:rsidRDefault="00F87BDC" w:rsidP="00F87BDC">
            <w:pPr>
              <w:keepNext/>
              <w:jc w:val="left"/>
              <w:rPr>
                <w:rFonts w:ascii="Arial Narrow" w:hAnsi="Arial Narrow"/>
                <w:b/>
                <w:sz w:val="20"/>
                <w:szCs w:val="20"/>
              </w:rPr>
            </w:pPr>
            <w:r w:rsidRPr="0023395B">
              <w:rPr>
                <w:rFonts w:ascii="Arial Narrow" w:hAnsi="Arial Narrow"/>
                <w:b/>
                <w:sz w:val="20"/>
                <w:szCs w:val="20"/>
              </w:rPr>
              <w:t>MBS item descriptor</w:t>
            </w:r>
          </w:p>
        </w:tc>
        <w:tc>
          <w:tcPr>
            <w:tcW w:w="1640" w:type="dxa"/>
            <w:shd w:val="clear" w:color="auto" w:fill="auto"/>
          </w:tcPr>
          <w:p w14:paraId="2A9674A4" w14:textId="1326B926" w:rsidR="00F87BDC" w:rsidRPr="0023395B" w:rsidRDefault="00F87BDC" w:rsidP="00F87BDC">
            <w:pPr>
              <w:keepNext/>
              <w:jc w:val="left"/>
              <w:rPr>
                <w:rFonts w:ascii="Arial Narrow" w:hAnsi="Arial Narrow"/>
                <w:b/>
                <w:sz w:val="20"/>
                <w:szCs w:val="20"/>
              </w:rPr>
            </w:pPr>
            <w:r w:rsidRPr="0023395B">
              <w:rPr>
                <w:rFonts w:ascii="Arial Narrow" w:hAnsi="Arial Narrow"/>
                <w:b/>
                <w:sz w:val="20"/>
                <w:szCs w:val="20"/>
              </w:rPr>
              <w:t xml:space="preserve">Services per patient per </w:t>
            </w:r>
            <w:proofErr w:type="spellStart"/>
            <w:r w:rsidRPr="0023395B">
              <w:rPr>
                <w:rFonts w:ascii="Arial Narrow" w:hAnsi="Arial Narrow"/>
                <w:b/>
                <w:sz w:val="20"/>
                <w:szCs w:val="20"/>
              </w:rPr>
              <w:t>yr</w:t>
            </w:r>
            <w:proofErr w:type="spellEnd"/>
          </w:p>
        </w:tc>
        <w:tc>
          <w:tcPr>
            <w:tcW w:w="0" w:type="auto"/>
            <w:shd w:val="clear" w:color="auto" w:fill="auto"/>
          </w:tcPr>
          <w:p w14:paraId="69057F0F" w14:textId="77777777" w:rsidR="00F87BDC" w:rsidRPr="0023395B" w:rsidRDefault="00F87BDC" w:rsidP="00F87BDC">
            <w:pPr>
              <w:keepNext/>
              <w:jc w:val="left"/>
              <w:rPr>
                <w:rFonts w:ascii="Arial Narrow" w:hAnsi="Arial Narrow"/>
                <w:b/>
                <w:sz w:val="20"/>
                <w:szCs w:val="20"/>
              </w:rPr>
            </w:pPr>
            <w:r w:rsidRPr="0023395B">
              <w:rPr>
                <w:rFonts w:ascii="Arial Narrow" w:hAnsi="Arial Narrow"/>
                <w:b/>
                <w:sz w:val="20"/>
                <w:szCs w:val="20"/>
              </w:rPr>
              <w:t>Scheduled fee</w:t>
            </w:r>
          </w:p>
        </w:tc>
      </w:tr>
      <w:tr w:rsidR="00F87BDC" w:rsidRPr="0023395B" w14:paraId="31EB1CDB" w14:textId="77777777" w:rsidTr="00F87BDC">
        <w:tc>
          <w:tcPr>
            <w:tcW w:w="704" w:type="dxa"/>
          </w:tcPr>
          <w:p w14:paraId="28DC5405"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105</w:t>
            </w:r>
          </w:p>
        </w:tc>
        <w:tc>
          <w:tcPr>
            <w:tcW w:w="5387" w:type="dxa"/>
          </w:tcPr>
          <w:p w14:paraId="27901DA8"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Professional attendance by a specialist</w:t>
            </w:r>
          </w:p>
        </w:tc>
        <w:tc>
          <w:tcPr>
            <w:tcW w:w="1640" w:type="dxa"/>
          </w:tcPr>
          <w:p w14:paraId="5ECE87B4"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3.00</w:t>
            </w:r>
          </w:p>
        </w:tc>
        <w:tc>
          <w:tcPr>
            <w:tcW w:w="0" w:type="auto"/>
          </w:tcPr>
          <w:p w14:paraId="3438DDC8"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$45.00</w:t>
            </w:r>
          </w:p>
        </w:tc>
      </w:tr>
      <w:tr w:rsidR="00F87BDC" w:rsidRPr="0023395B" w14:paraId="16A5ECBF" w14:textId="77777777" w:rsidTr="00F87BDC">
        <w:tc>
          <w:tcPr>
            <w:tcW w:w="704" w:type="dxa"/>
          </w:tcPr>
          <w:p w14:paraId="23BEC98A"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82200</w:t>
            </w:r>
          </w:p>
        </w:tc>
        <w:tc>
          <w:tcPr>
            <w:tcW w:w="5387" w:type="dxa"/>
          </w:tcPr>
          <w:p w14:paraId="69466DA6"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Professional attendance by a participating nurse practitioner</w:t>
            </w:r>
          </w:p>
        </w:tc>
        <w:tc>
          <w:tcPr>
            <w:tcW w:w="1640" w:type="dxa"/>
          </w:tcPr>
          <w:p w14:paraId="4DE97430"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3.00</w:t>
            </w:r>
          </w:p>
        </w:tc>
        <w:tc>
          <w:tcPr>
            <w:tcW w:w="0" w:type="auto"/>
          </w:tcPr>
          <w:p w14:paraId="101B2B15"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$9.90</w:t>
            </w:r>
          </w:p>
        </w:tc>
      </w:tr>
      <w:tr w:rsidR="00F87BDC" w:rsidRPr="0023395B" w14:paraId="6A13B010" w14:textId="77777777" w:rsidTr="00F87BDC">
        <w:tc>
          <w:tcPr>
            <w:tcW w:w="704" w:type="dxa"/>
          </w:tcPr>
          <w:p w14:paraId="767814B4" w14:textId="77777777" w:rsidR="00F87BDC" w:rsidRPr="0023395B" w:rsidRDefault="00F87BDC" w:rsidP="00F87BDC">
            <w:pPr>
              <w:keepNext/>
              <w:rPr>
                <w:rFonts w:ascii="Arial Narrow" w:hAnsi="Arial Narrow"/>
                <w:sz w:val="20"/>
                <w:szCs w:val="20"/>
              </w:rPr>
            </w:pPr>
            <w:r w:rsidRPr="0023395B">
              <w:rPr>
                <w:rFonts w:ascii="Arial Narrow" w:hAnsi="Arial Narrow"/>
                <w:sz w:val="20"/>
                <w:szCs w:val="20"/>
              </w:rPr>
              <w:t>66695</w:t>
            </w:r>
          </w:p>
        </w:tc>
        <w:tc>
          <w:tcPr>
            <w:tcW w:w="5387" w:type="dxa"/>
          </w:tcPr>
          <w:p w14:paraId="77BF3BDE" w14:textId="77777777" w:rsidR="00F87BDC" w:rsidRPr="0023395B" w:rsidRDefault="00F87BDC" w:rsidP="00F87BDC">
            <w:pPr>
              <w:keepNext/>
              <w:rPr>
                <w:rFonts w:ascii="Arial Narrow" w:hAnsi="Arial Narrow"/>
                <w:sz w:val="20"/>
                <w:szCs w:val="20"/>
              </w:rPr>
            </w:pPr>
            <w:r w:rsidRPr="0023395B">
              <w:rPr>
                <w:rFonts w:ascii="Arial Narrow" w:hAnsi="Arial Narrow"/>
                <w:sz w:val="20"/>
                <w:szCs w:val="20"/>
              </w:rPr>
              <w:t>Quantitation in blood or urine of hormones and hormone binding protein</w:t>
            </w:r>
          </w:p>
        </w:tc>
        <w:tc>
          <w:tcPr>
            <w:tcW w:w="1640" w:type="dxa"/>
          </w:tcPr>
          <w:p w14:paraId="7E68A4DD" w14:textId="77777777" w:rsidR="00F87BDC" w:rsidRPr="0023395B" w:rsidRDefault="00F87BDC" w:rsidP="00F87BDC">
            <w:pPr>
              <w:keepNext/>
              <w:rPr>
                <w:rFonts w:ascii="Arial Narrow" w:hAnsi="Arial Narrow"/>
                <w:sz w:val="20"/>
                <w:szCs w:val="20"/>
              </w:rPr>
            </w:pPr>
            <w:r w:rsidRPr="0023395B">
              <w:rPr>
                <w:rFonts w:ascii="Arial Narrow" w:hAnsi="Arial Narrow"/>
                <w:sz w:val="20"/>
                <w:szCs w:val="20"/>
              </w:rPr>
              <w:t>1.00</w:t>
            </w:r>
          </w:p>
        </w:tc>
        <w:tc>
          <w:tcPr>
            <w:tcW w:w="0" w:type="auto"/>
          </w:tcPr>
          <w:p w14:paraId="0F899DCF" w14:textId="77777777" w:rsidR="00F87BDC" w:rsidRPr="0023395B" w:rsidRDefault="00F87BDC" w:rsidP="00F87BDC">
            <w:pPr>
              <w:keepNext/>
              <w:rPr>
                <w:rFonts w:ascii="Arial Narrow" w:hAnsi="Arial Narrow"/>
                <w:sz w:val="20"/>
                <w:szCs w:val="20"/>
              </w:rPr>
            </w:pPr>
            <w:r w:rsidRPr="0023395B">
              <w:rPr>
                <w:rFonts w:ascii="Arial Narrow" w:hAnsi="Arial Narrow"/>
                <w:sz w:val="20"/>
                <w:szCs w:val="20"/>
              </w:rPr>
              <w:t>$30.50</w:t>
            </w:r>
          </w:p>
        </w:tc>
      </w:tr>
      <w:tr w:rsidR="00F87BDC" w:rsidRPr="0023395B" w14:paraId="199A69D6" w14:textId="77777777" w:rsidTr="00F87BDC">
        <w:tc>
          <w:tcPr>
            <w:tcW w:w="704" w:type="dxa"/>
          </w:tcPr>
          <w:p w14:paraId="105651F9"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58300</w:t>
            </w:r>
          </w:p>
        </w:tc>
        <w:tc>
          <w:tcPr>
            <w:tcW w:w="5387" w:type="dxa"/>
          </w:tcPr>
          <w:p w14:paraId="5A93701B"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Bone age study</w:t>
            </w:r>
          </w:p>
        </w:tc>
        <w:tc>
          <w:tcPr>
            <w:tcW w:w="1640" w:type="dxa"/>
          </w:tcPr>
          <w:p w14:paraId="6540B3EB"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0.75</w:t>
            </w:r>
          </w:p>
        </w:tc>
        <w:tc>
          <w:tcPr>
            <w:tcW w:w="0" w:type="auto"/>
          </w:tcPr>
          <w:p w14:paraId="7E431EBA" w14:textId="77777777" w:rsidR="00F87BDC" w:rsidRPr="0023395B" w:rsidRDefault="00F87BDC" w:rsidP="00125333">
            <w:pPr>
              <w:keepNext/>
              <w:rPr>
                <w:rFonts w:ascii="Arial Narrow" w:hAnsi="Arial Narrow"/>
                <w:sz w:val="20"/>
                <w:szCs w:val="20"/>
              </w:rPr>
            </w:pPr>
            <w:r w:rsidRPr="0023395B">
              <w:rPr>
                <w:rFonts w:ascii="Arial Narrow" w:hAnsi="Arial Narrow"/>
                <w:sz w:val="20"/>
                <w:szCs w:val="20"/>
              </w:rPr>
              <w:t>$40.70</w:t>
            </w:r>
          </w:p>
        </w:tc>
      </w:tr>
    </w:tbl>
    <w:p w14:paraId="50111896" w14:textId="184A3448" w:rsidR="00773649" w:rsidRPr="0023395B" w:rsidRDefault="00773649" w:rsidP="009F369E">
      <w:pPr>
        <w:pStyle w:val="TableFigureFooter"/>
      </w:pPr>
      <w:r w:rsidRPr="0023395B">
        <w:t xml:space="preserve">Source: </w:t>
      </w:r>
      <w:r w:rsidR="00125333" w:rsidRPr="0023395B">
        <w:t xml:space="preserve">Net Changes – MBS sheet in </w:t>
      </w:r>
      <w:proofErr w:type="spellStart"/>
      <w:r w:rsidR="00125333" w:rsidRPr="0023395B">
        <w:t>Increlex</w:t>
      </w:r>
      <w:proofErr w:type="spellEnd"/>
      <w:r w:rsidR="00125333" w:rsidRPr="0023395B">
        <w:t xml:space="preserve"> (</w:t>
      </w:r>
      <w:proofErr w:type="spellStart"/>
      <w:r w:rsidR="00125333" w:rsidRPr="0023395B">
        <w:t>mecasermin</w:t>
      </w:r>
      <w:proofErr w:type="spellEnd"/>
      <w:r w:rsidR="00125333" w:rsidRPr="0023395B">
        <w:t>) Financial Implications model.</w:t>
      </w:r>
      <w:r w:rsidRPr="0023395B">
        <w:t xml:space="preserve"> </w:t>
      </w:r>
    </w:p>
    <w:p w14:paraId="186FFB3C" w14:textId="77777777" w:rsidR="00D337A6" w:rsidRPr="0023395B" w:rsidRDefault="00D337A6" w:rsidP="00D337A6">
      <w:pPr>
        <w:pStyle w:val="4-SubsectionHeading"/>
      </w:pPr>
      <w:bookmarkStart w:id="11" w:name="_Toc22898861"/>
      <w:bookmarkStart w:id="12" w:name="_Toc62047629"/>
      <w:r w:rsidRPr="0023395B">
        <w:t>Financial Management – Risk Sharing Arrangements</w:t>
      </w:r>
      <w:bookmarkEnd w:id="11"/>
      <w:bookmarkEnd w:id="12"/>
    </w:p>
    <w:p w14:paraId="6353F26A" w14:textId="3593CADD" w:rsidR="00D337A6" w:rsidRPr="0023395B" w:rsidRDefault="00AE3776" w:rsidP="00275C01">
      <w:pPr>
        <w:pStyle w:val="3Bodytext"/>
      </w:pPr>
      <w:bookmarkStart w:id="13" w:name="_Ref93652071"/>
      <w:r w:rsidRPr="0023395B">
        <w:t xml:space="preserve">The resubmission (p19) proposed annual caps on PBS expenditure and stated that the sponsor would rebate </w:t>
      </w:r>
      <w:proofErr w:type="gramStart"/>
      <w:r w:rsidR="001C6AE3" w:rsidRPr="002A2C2E">
        <w:rPr>
          <w:color w:val="000000"/>
          <w:w w:val="15"/>
          <w:shd w:val="solid" w:color="000000" w:fill="000000"/>
          <w:fitText w:val="-20" w:id="-1505503993"/>
          <w14:textFill>
            <w14:solidFill>
              <w14:srgbClr w14:val="000000">
                <w14:alpha w14:val="100000"/>
              </w14:srgbClr>
            </w14:solidFill>
          </w14:textFill>
        </w:rPr>
        <w:t xml:space="preserve">|  </w:t>
      </w:r>
      <w:r w:rsidR="001C6AE3" w:rsidRPr="002A2C2E">
        <w:rPr>
          <w:color w:val="000000"/>
          <w:spacing w:val="-69"/>
          <w:w w:val="15"/>
          <w:shd w:val="solid" w:color="000000" w:fill="000000"/>
          <w:fitText w:val="-20" w:id="-1505503993"/>
          <w14:textFill>
            <w14:solidFill>
              <w14:srgbClr w14:val="000000">
                <w14:alpha w14:val="100000"/>
              </w14:srgbClr>
            </w14:solidFill>
          </w14:textFill>
        </w:rPr>
        <w:t>|</w:t>
      </w:r>
      <w:proofErr w:type="gramEnd"/>
      <w:r w:rsidRPr="0023395B">
        <w:t xml:space="preserve">% of the overall expenditure above the capped amount. </w:t>
      </w:r>
      <w:bookmarkEnd w:id="13"/>
      <w:r w:rsidR="002D692D" w:rsidRPr="0023395B">
        <w:t xml:space="preserve">The </w:t>
      </w:r>
      <w:r w:rsidR="001F0F2D" w:rsidRPr="0023395B">
        <w:t>PBAC considered that adjustment to the estimates was required (see paragraph 4.</w:t>
      </w:r>
      <w:r w:rsidR="007F74A9" w:rsidRPr="0023395B">
        <w:t>9</w:t>
      </w:r>
      <w:r w:rsidR="001F0F2D" w:rsidRPr="0023395B">
        <w:t>).</w:t>
      </w:r>
    </w:p>
    <w:p w14:paraId="108E152B" w14:textId="77777777" w:rsidR="002073EF" w:rsidRPr="0023395B" w:rsidRDefault="002073EF" w:rsidP="002073EF">
      <w:pPr>
        <w:ind w:firstLine="709"/>
        <w:rPr>
          <w:rFonts w:asciiTheme="minorHAnsi" w:hAnsiTheme="minorHAnsi"/>
          <w:i/>
        </w:rPr>
      </w:pPr>
      <w:r w:rsidRPr="0023395B">
        <w:rPr>
          <w:rFonts w:asciiTheme="minorHAnsi" w:hAnsiTheme="minorHAnsi"/>
          <w:i/>
        </w:rPr>
        <w:t>For more detail on PBAC’s view, see section 5 PBAC outcome.</w:t>
      </w:r>
    </w:p>
    <w:p w14:paraId="1DFED87F" w14:textId="77777777" w:rsidR="002073EF" w:rsidRPr="0023395B" w:rsidRDefault="002073EF" w:rsidP="007750A2">
      <w:pPr>
        <w:pStyle w:val="Heading1"/>
        <w:keepNext/>
        <w:keepLines/>
        <w:numPr>
          <w:ilvl w:val="0"/>
          <w:numId w:val="1"/>
        </w:numPr>
        <w:spacing w:before="240"/>
        <w:ind w:left="709" w:hanging="709"/>
        <w:rPr>
          <w:sz w:val="32"/>
          <w:szCs w:val="32"/>
        </w:rPr>
      </w:pPr>
      <w:bookmarkStart w:id="14" w:name="_Hlk76381249"/>
      <w:bookmarkStart w:id="15" w:name="_Hlk76377955"/>
      <w:r w:rsidRPr="0023395B">
        <w:rPr>
          <w:sz w:val="32"/>
          <w:szCs w:val="32"/>
        </w:rPr>
        <w:t>PBAC Outcome</w:t>
      </w:r>
    </w:p>
    <w:p w14:paraId="65C1BA50" w14:textId="11560F1B" w:rsidR="009304CD" w:rsidRPr="0023395B" w:rsidRDefault="002073EF" w:rsidP="00C6593C">
      <w:pPr>
        <w:pStyle w:val="3Bodytext"/>
        <w:rPr>
          <w:rFonts w:cs="Arial"/>
          <w:snapToGrid w:val="0"/>
        </w:rPr>
      </w:pPr>
      <w:r w:rsidRPr="0023395B">
        <w:rPr>
          <w:rFonts w:cs="Arial"/>
          <w:snapToGrid w:val="0"/>
        </w:rPr>
        <w:t xml:space="preserve">The PBAC recommended the listing of </w:t>
      </w:r>
      <w:proofErr w:type="spellStart"/>
      <w:r w:rsidR="00013265" w:rsidRPr="0023395B">
        <w:rPr>
          <w:rFonts w:cs="Arial"/>
          <w:snapToGrid w:val="0"/>
        </w:rPr>
        <w:t>mecasermin</w:t>
      </w:r>
      <w:proofErr w:type="spellEnd"/>
      <w:r w:rsidR="009304CD" w:rsidRPr="0023395B">
        <w:t xml:space="preserve"> </w:t>
      </w:r>
      <w:r w:rsidR="00684047" w:rsidRPr="0023395B">
        <w:t>on the basis that it be available on</w:t>
      </w:r>
      <w:r w:rsidR="009304CD" w:rsidRPr="0023395B">
        <w:t xml:space="preserve"> a Section 100 Growth Hormone (GH) Program listing for the long-term treatment of growth failure in children and adolescents from 2 to 18 years with severe primary insulin-like growth factor 1 deficiency (Primary IGFD). </w:t>
      </w:r>
      <w:r w:rsidR="00741A4B" w:rsidRPr="0023395B">
        <w:rPr>
          <w:rFonts w:cs="Arial"/>
          <w:snapToGrid w:val="0"/>
        </w:rPr>
        <w:t xml:space="preserve">The PBAC was satisfied that </w:t>
      </w:r>
      <w:proofErr w:type="spellStart"/>
      <w:r w:rsidR="00741A4B" w:rsidRPr="0023395B">
        <w:rPr>
          <w:rFonts w:cs="Arial"/>
          <w:snapToGrid w:val="0"/>
        </w:rPr>
        <w:t>mecasermin</w:t>
      </w:r>
      <w:proofErr w:type="spellEnd"/>
      <w:r w:rsidR="00741A4B" w:rsidRPr="0023395B">
        <w:rPr>
          <w:rFonts w:cs="Arial"/>
          <w:snapToGrid w:val="0"/>
        </w:rPr>
        <w:t xml:space="preserve"> provides, for some patients, a significant improvement in efficacy</w:t>
      </w:r>
      <w:r w:rsidR="00FE5222" w:rsidRPr="0023395B">
        <w:rPr>
          <w:rFonts w:cs="Arial"/>
          <w:snapToGrid w:val="0"/>
        </w:rPr>
        <w:t xml:space="preserve">, </w:t>
      </w:r>
      <w:r w:rsidR="00621983" w:rsidRPr="0023395B">
        <w:rPr>
          <w:szCs w:val="20"/>
        </w:rPr>
        <w:t>based on</w:t>
      </w:r>
      <w:r w:rsidR="00FE5222" w:rsidRPr="0023395B">
        <w:rPr>
          <w:szCs w:val="20"/>
        </w:rPr>
        <w:t xml:space="preserve"> </w:t>
      </w:r>
      <w:r w:rsidR="00FE5222" w:rsidRPr="0023395B">
        <w:t>improved height outcomes,</w:t>
      </w:r>
      <w:r w:rsidR="00741A4B" w:rsidRPr="0023395B">
        <w:rPr>
          <w:rFonts w:cs="Arial"/>
          <w:snapToGrid w:val="0"/>
        </w:rPr>
        <w:t xml:space="preserve"> over the nominated comparator, no treatment. </w:t>
      </w:r>
      <w:r w:rsidR="00E40D66" w:rsidRPr="0023395B">
        <w:t xml:space="preserve">The PBAC considered that the expert advice provided by the </w:t>
      </w:r>
      <w:r w:rsidR="009715C5" w:rsidRPr="0023395B">
        <w:rPr>
          <w:rFonts w:cs="Calibri"/>
          <w:bCs/>
        </w:rPr>
        <w:t>Australasian Paediatric Endocrine Group (</w:t>
      </w:r>
      <w:r w:rsidR="009715C5" w:rsidRPr="0023395B">
        <w:t xml:space="preserve">APEG) </w:t>
      </w:r>
      <w:r w:rsidR="00E40D66" w:rsidRPr="0023395B">
        <w:t xml:space="preserve">had resolved </w:t>
      </w:r>
      <w:proofErr w:type="gramStart"/>
      <w:r w:rsidR="00E40D66" w:rsidRPr="0023395B">
        <w:t>the majority of</w:t>
      </w:r>
      <w:proofErr w:type="gramEnd"/>
      <w:r w:rsidR="00E40D66" w:rsidRPr="0023395B">
        <w:t xml:space="preserve"> concerns raised at the November 2021 PBAC meeting, and the remaining </w:t>
      </w:r>
      <w:r w:rsidR="00593FEA" w:rsidRPr="0023395B">
        <w:t>concerns</w:t>
      </w:r>
      <w:r w:rsidR="00E40D66" w:rsidRPr="0023395B">
        <w:t xml:space="preserve"> </w:t>
      </w:r>
      <w:r w:rsidR="002A65DE" w:rsidRPr="0023395B">
        <w:t>c</w:t>
      </w:r>
      <w:r w:rsidR="00672C52" w:rsidRPr="0023395B">
        <w:t>ould be addressed with an appropriate risk sharing arrangement</w:t>
      </w:r>
      <w:r w:rsidR="00E40D66" w:rsidRPr="0023395B">
        <w:t>.</w:t>
      </w:r>
      <w:r w:rsidR="00C6593C" w:rsidRPr="0023395B">
        <w:t xml:space="preserve"> The PBAC noted that additional communication with</w:t>
      </w:r>
      <w:r w:rsidR="00C6593C" w:rsidRPr="0023395B">
        <w:rPr>
          <w:rFonts w:ascii="Calibri" w:eastAsia="Times New Roman" w:hAnsi="Calibri" w:cstheme="minorHAnsi"/>
          <w:szCs w:val="24"/>
        </w:rPr>
        <w:t xml:space="preserve"> APEG will be required to finalise the restrictions.</w:t>
      </w:r>
    </w:p>
    <w:p w14:paraId="19F86C51" w14:textId="0C68645E" w:rsidR="009715C5" w:rsidRPr="0023395B" w:rsidRDefault="009715C5" w:rsidP="009715C5">
      <w:pPr>
        <w:pStyle w:val="3Bodytext"/>
        <w:widowControl w:val="0"/>
        <w:rPr>
          <w:rFonts w:cs="Arial"/>
          <w:snapToGrid w:val="0"/>
        </w:rPr>
      </w:pPr>
      <w:r w:rsidRPr="0023395B">
        <w:rPr>
          <w:rFonts w:ascii="Calibri" w:eastAsia="Times New Roman" w:hAnsi="Calibri" w:cs="Arial"/>
          <w:snapToGrid w:val="0"/>
          <w:szCs w:val="24"/>
        </w:rPr>
        <w:t xml:space="preserve">The PBAC considered that </w:t>
      </w:r>
      <w:proofErr w:type="spellStart"/>
      <w:r w:rsidRPr="0023395B">
        <w:rPr>
          <w:rFonts w:ascii="Calibri" w:eastAsia="Times New Roman" w:hAnsi="Calibri" w:cs="Arial"/>
          <w:snapToGrid w:val="0"/>
          <w:szCs w:val="24"/>
        </w:rPr>
        <w:t>mecasermin</w:t>
      </w:r>
      <w:proofErr w:type="spellEnd"/>
      <w:r w:rsidRPr="0023395B">
        <w:rPr>
          <w:rFonts w:ascii="Calibri" w:eastAsia="Times New Roman" w:hAnsi="Calibri" w:cs="Arial"/>
          <w:snapToGrid w:val="0"/>
          <w:szCs w:val="24"/>
        </w:rPr>
        <w:t xml:space="preserve"> would address a</w:t>
      </w:r>
      <w:r w:rsidR="00400B24" w:rsidRPr="0023395B">
        <w:rPr>
          <w:rFonts w:ascii="Calibri" w:eastAsia="Times New Roman" w:hAnsi="Calibri" w:cs="Arial"/>
          <w:snapToGrid w:val="0"/>
          <w:szCs w:val="24"/>
        </w:rPr>
        <w:t>n</w:t>
      </w:r>
      <w:r w:rsidRPr="0023395B">
        <w:rPr>
          <w:rFonts w:ascii="Calibri" w:eastAsia="Times New Roman" w:hAnsi="Calibri" w:cs="Arial"/>
          <w:snapToGrid w:val="0"/>
          <w:szCs w:val="24"/>
        </w:rPr>
        <w:t xml:space="preserve"> unmet clinical need, as there are no other </w:t>
      </w:r>
      <w:r w:rsidRPr="0023395B">
        <w:rPr>
          <w:rFonts w:cs="Arial"/>
          <w:snapToGrid w:val="0"/>
        </w:rPr>
        <w:t>reimbursed or TGA registered options for this patient population.</w:t>
      </w:r>
    </w:p>
    <w:p w14:paraId="787EE509" w14:textId="76211C23" w:rsidR="00711448" w:rsidRPr="0023395B" w:rsidRDefault="00942CF6" w:rsidP="002073EF">
      <w:pPr>
        <w:widowControl w:val="0"/>
        <w:numPr>
          <w:ilvl w:val="1"/>
          <w:numId w:val="1"/>
        </w:numPr>
        <w:spacing w:after="120"/>
        <w:rPr>
          <w:rFonts w:asciiTheme="minorHAnsi" w:hAnsiTheme="minorHAnsi" w:cs="Arial"/>
          <w:snapToGrid w:val="0"/>
        </w:rPr>
      </w:pPr>
      <w:r w:rsidRPr="0023395B">
        <w:rPr>
          <w:rFonts w:asciiTheme="minorHAnsi" w:hAnsiTheme="minorHAnsi" w:cs="Arial"/>
          <w:snapToGrid w:val="0"/>
        </w:rPr>
        <w:t xml:space="preserve">The </w:t>
      </w:r>
      <w:r w:rsidR="00711448" w:rsidRPr="0023395B">
        <w:rPr>
          <w:rFonts w:asciiTheme="minorHAnsi" w:hAnsiTheme="minorHAnsi" w:cs="Arial"/>
          <w:snapToGrid w:val="0"/>
        </w:rPr>
        <w:t xml:space="preserve">PBAC </w:t>
      </w:r>
      <w:r w:rsidRPr="0023395B">
        <w:rPr>
          <w:rFonts w:asciiTheme="minorHAnsi" w:hAnsiTheme="minorHAnsi" w:cs="Arial"/>
          <w:snapToGrid w:val="0"/>
        </w:rPr>
        <w:t>considered</w:t>
      </w:r>
      <w:r w:rsidR="00711448" w:rsidRPr="0023395B">
        <w:rPr>
          <w:rFonts w:asciiTheme="minorHAnsi" w:hAnsiTheme="minorHAnsi" w:cs="Arial"/>
          <w:snapToGrid w:val="0"/>
        </w:rPr>
        <w:t xml:space="preserve"> that the advice from APEG had addressed the PBAC’s previous concern that the patient population had been inadequately defined</w:t>
      </w:r>
      <w:r w:rsidR="00C34256" w:rsidRPr="0023395B">
        <w:rPr>
          <w:rFonts w:asciiTheme="minorHAnsi" w:hAnsiTheme="minorHAnsi" w:cs="Arial"/>
          <w:snapToGrid w:val="0"/>
        </w:rPr>
        <w:t xml:space="preserve"> in the proposed PBS criteria</w:t>
      </w:r>
      <w:r w:rsidR="00711448" w:rsidRPr="0023395B">
        <w:rPr>
          <w:rFonts w:asciiTheme="minorHAnsi" w:hAnsiTheme="minorHAnsi" w:cs="Arial"/>
          <w:snapToGrid w:val="0"/>
        </w:rPr>
        <w:t xml:space="preserve">. The PBAC provided the following additional comments about the </w:t>
      </w:r>
      <w:r w:rsidRPr="0023395B">
        <w:rPr>
          <w:rFonts w:asciiTheme="minorHAnsi" w:hAnsiTheme="minorHAnsi" w:cs="Arial"/>
          <w:snapToGrid w:val="0"/>
        </w:rPr>
        <w:t xml:space="preserve">requested listing and </w:t>
      </w:r>
      <w:r w:rsidR="00711448" w:rsidRPr="0023395B">
        <w:rPr>
          <w:rFonts w:asciiTheme="minorHAnsi" w:hAnsiTheme="minorHAnsi" w:cs="Arial"/>
          <w:snapToGrid w:val="0"/>
        </w:rPr>
        <w:t>restriction:</w:t>
      </w:r>
    </w:p>
    <w:p w14:paraId="7A377B74" w14:textId="3808DD2B" w:rsidR="00942CF6" w:rsidRPr="0023395B" w:rsidRDefault="00942CF6" w:rsidP="00942CF6">
      <w:pPr>
        <w:widowControl w:val="0"/>
        <w:numPr>
          <w:ilvl w:val="1"/>
          <w:numId w:val="39"/>
        </w:numPr>
        <w:ind w:left="1440"/>
        <w:rPr>
          <w:rFonts w:cs="Arial"/>
          <w:snapToGrid w:val="0"/>
        </w:rPr>
      </w:pPr>
      <w:r w:rsidRPr="0023395B">
        <w:t xml:space="preserve">The PBAC noted the advice from APEG that supported listing of </w:t>
      </w:r>
      <w:proofErr w:type="spellStart"/>
      <w:r w:rsidRPr="0023395B">
        <w:t>mecasermin</w:t>
      </w:r>
      <w:proofErr w:type="spellEnd"/>
      <w:r w:rsidRPr="0023395B">
        <w:t xml:space="preserve"> with PBS arrangements as for somatropin, including listing of </w:t>
      </w:r>
      <w:proofErr w:type="spellStart"/>
      <w:r w:rsidRPr="0023395B">
        <w:t>mecasermin</w:t>
      </w:r>
      <w:proofErr w:type="spellEnd"/>
      <w:r w:rsidRPr="0023395B">
        <w:t xml:space="preserve"> through the Section 100 Growth Hormone program and that prescribing should be restricted to paediatric endocrinologists or to a paediatrician in consultation with a paediatric endocrinologist.</w:t>
      </w:r>
    </w:p>
    <w:p w14:paraId="12FD8CA7" w14:textId="2D8E38F4" w:rsidR="0024067B" w:rsidRPr="0023395B" w:rsidRDefault="0024067B" w:rsidP="0024067B">
      <w:pPr>
        <w:widowControl w:val="0"/>
        <w:numPr>
          <w:ilvl w:val="1"/>
          <w:numId w:val="39"/>
        </w:numPr>
        <w:ind w:left="1440"/>
        <w:rPr>
          <w:rFonts w:cs="Arial"/>
          <w:snapToGrid w:val="0"/>
        </w:rPr>
      </w:pPr>
      <w:r w:rsidRPr="0023395B">
        <w:rPr>
          <w:rFonts w:cs="Arial"/>
          <w:snapToGrid w:val="0"/>
        </w:rPr>
        <w:t>The PBAC had previously noted that confirmation of the diagnosis of severe insulin</w:t>
      </w:r>
      <w:r w:rsidRPr="0023395B">
        <w:rPr>
          <w:rFonts w:cs="Arial"/>
          <w:snapToGrid w:val="0"/>
        </w:rPr>
        <w:noBreakHyphen/>
        <w:t xml:space="preserve">like growth factor 1 deficiency may include confirmation of mutation in the growth hormone/IGF signalling pathway. The PBAC considered that this information should not be considered mandatory (see paragraph 3.5). </w:t>
      </w:r>
    </w:p>
    <w:p w14:paraId="0A220469" w14:textId="5D8BBD75" w:rsidR="00711448" w:rsidRPr="0023395B" w:rsidRDefault="00711448" w:rsidP="009715C5">
      <w:pPr>
        <w:widowControl w:val="0"/>
        <w:numPr>
          <w:ilvl w:val="1"/>
          <w:numId w:val="39"/>
        </w:numPr>
        <w:ind w:left="1440"/>
        <w:rPr>
          <w:rFonts w:cs="Arial"/>
          <w:snapToGrid w:val="0"/>
        </w:rPr>
      </w:pPr>
      <w:r w:rsidRPr="0023395B">
        <w:rPr>
          <w:rFonts w:cs="Arial"/>
          <w:snapToGrid w:val="0"/>
        </w:rPr>
        <w:lastRenderedPageBreak/>
        <w:t xml:space="preserve">The PBAC had previously considered that a precise definition of growth hormone sufficiency was required. The APEG recommended to use a threshold defined as random or stimulated growth hormone level of &gt; 6.6 ug/L. The </w:t>
      </w:r>
      <w:r w:rsidR="00535E84" w:rsidRPr="0023395B">
        <w:rPr>
          <w:rFonts w:cs="Arial"/>
          <w:snapToGrid w:val="0"/>
        </w:rPr>
        <w:t xml:space="preserve">PBAC considered </w:t>
      </w:r>
      <w:r w:rsidR="000B627B" w:rsidRPr="0023395B">
        <w:rPr>
          <w:rFonts w:cs="Arial"/>
          <w:snapToGrid w:val="0"/>
        </w:rPr>
        <w:t>that the APEG threshold</w:t>
      </w:r>
      <w:r w:rsidR="00535E84" w:rsidRPr="0023395B">
        <w:rPr>
          <w:rFonts w:cs="Arial"/>
          <w:snapToGrid w:val="0"/>
        </w:rPr>
        <w:t xml:space="preserve"> was </w:t>
      </w:r>
      <w:r w:rsidR="000B627B" w:rsidRPr="0023395B">
        <w:rPr>
          <w:rFonts w:cs="Arial"/>
          <w:snapToGrid w:val="0"/>
        </w:rPr>
        <w:t xml:space="preserve">most </w:t>
      </w:r>
      <w:r w:rsidR="00535E84" w:rsidRPr="0023395B">
        <w:rPr>
          <w:rFonts w:cs="Arial"/>
          <w:snapToGrid w:val="0"/>
        </w:rPr>
        <w:t>appropriate</w:t>
      </w:r>
      <w:r w:rsidR="00865DA3" w:rsidRPr="0023395B">
        <w:rPr>
          <w:rFonts w:cs="Arial"/>
          <w:snapToGrid w:val="0"/>
        </w:rPr>
        <w:t xml:space="preserve"> </w:t>
      </w:r>
      <w:r w:rsidR="000B627B" w:rsidRPr="0023395B">
        <w:rPr>
          <w:rFonts w:cs="Arial"/>
          <w:snapToGrid w:val="0"/>
        </w:rPr>
        <w:t xml:space="preserve">for defining the eligible patient population </w:t>
      </w:r>
      <w:r w:rsidR="00865DA3" w:rsidRPr="0023395B">
        <w:rPr>
          <w:rFonts w:cs="Arial"/>
          <w:snapToGrid w:val="0"/>
        </w:rPr>
        <w:t xml:space="preserve">(see paragraph </w:t>
      </w:r>
      <w:r w:rsidR="0024067B" w:rsidRPr="0023395B">
        <w:rPr>
          <w:rFonts w:cs="Arial"/>
          <w:snapToGrid w:val="0"/>
        </w:rPr>
        <w:t>3</w:t>
      </w:r>
      <w:r w:rsidR="000B627B" w:rsidRPr="0023395B">
        <w:rPr>
          <w:rFonts w:cs="Arial"/>
          <w:snapToGrid w:val="0"/>
        </w:rPr>
        <w:t>.6</w:t>
      </w:r>
      <w:r w:rsidR="00865DA3" w:rsidRPr="0023395B">
        <w:rPr>
          <w:rFonts w:cs="Arial"/>
          <w:snapToGrid w:val="0"/>
        </w:rPr>
        <w:t>)</w:t>
      </w:r>
      <w:r w:rsidR="00535E84" w:rsidRPr="0023395B">
        <w:rPr>
          <w:rFonts w:cs="Arial"/>
          <w:snapToGrid w:val="0"/>
        </w:rPr>
        <w:t>.</w:t>
      </w:r>
      <w:r w:rsidR="000B627B" w:rsidRPr="0023395B">
        <w:rPr>
          <w:rFonts w:cs="Arial"/>
          <w:snapToGrid w:val="0"/>
        </w:rPr>
        <w:t xml:space="preserve"> </w:t>
      </w:r>
    </w:p>
    <w:p w14:paraId="19B45DFF" w14:textId="53699FCB" w:rsidR="004A2074" w:rsidRPr="0023395B" w:rsidRDefault="004A2074" w:rsidP="00210491">
      <w:pPr>
        <w:widowControl w:val="0"/>
        <w:numPr>
          <w:ilvl w:val="1"/>
          <w:numId w:val="39"/>
        </w:numPr>
        <w:ind w:left="1440"/>
        <w:rPr>
          <w:rFonts w:cs="Arial"/>
          <w:snapToGrid w:val="0"/>
        </w:rPr>
      </w:pPr>
      <w:r w:rsidRPr="0023395B">
        <w:rPr>
          <w:rFonts w:asciiTheme="minorHAnsi" w:eastAsiaTheme="minorHAnsi" w:hAnsiTheme="minorHAnsi" w:cstheme="minorBidi"/>
          <w:szCs w:val="22"/>
        </w:rPr>
        <w:t xml:space="preserve">The PBAC noted that patients should not be treated if the </w:t>
      </w:r>
      <w:r w:rsidRPr="0023395B">
        <w:t xml:space="preserve">epiphyses are fused, because </w:t>
      </w:r>
      <w:proofErr w:type="spellStart"/>
      <w:r w:rsidRPr="0023395B">
        <w:t>mecasermin</w:t>
      </w:r>
      <w:proofErr w:type="spellEnd"/>
      <w:r w:rsidRPr="0023395B">
        <w:t xml:space="preserve"> would not improve growth in these patients.</w:t>
      </w:r>
    </w:p>
    <w:p w14:paraId="4BA32DD5" w14:textId="0DB279A7" w:rsidR="00210491" w:rsidRPr="0023395B" w:rsidRDefault="00210491" w:rsidP="00210491">
      <w:pPr>
        <w:widowControl w:val="0"/>
        <w:numPr>
          <w:ilvl w:val="1"/>
          <w:numId w:val="39"/>
        </w:numPr>
        <w:ind w:left="1440"/>
        <w:rPr>
          <w:rFonts w:cs="Arial"/>
          <w:snapToGrid w:val="0"/>
        </w:rPr>
      </w:pPr>
      <w:r w:rsidRPr="0023395B">
        <w:rPr>
          <w:rFonts w:cs="Arial"/>
          <w:snapToGrid w:val="0"/>
        </w:rPr>
        <w:t>The PBAC considered that minor outstanding issues with the restriction should be resolved by discussion with APEG, in relation to diagnostic criteria and continuation rules.</w:t>
      </w:r>
    </w:p>
    <w:p w14:paraId="12F1B810" w14:textId="54F02112" w:rsidR="008E0C19" w:rsidRPr="0023395B" w:rsidRDefault="008E0C19" w:rsidP="00545337">
      <w:pPr>
        <w:widowControl w:val="0"/>
        <w:numPr>
          <w:ilvl w:val="1"/>
          <w:numId w:val="39"/>
        </w:numPr>
        <w:spacing w:after="120"/>
        <w:ind w:left="1440"/>
        <w:rPr>
          <w:rFonts w:cs="Arial"/>
          <w:snapToGrid w:val="0"/>
        </w:rPr>
      </w:pPr>
      <w:r w:rsidRPr="0023395B">
        <w:t xml:space="preserve">The PBAC noted that additional work will be required to finalise the restrictions before listing can proceed. Changes will be required to the Growth Hormone Program legislation to incorporate </w:t>
      </w:r>
      <w:proofErr w:type="spellStart"/>
      <w:r w:rsidRPr="0023395B">
        <w:t>mecasermin</w:t>
      </w:r>
      <w:proofErr w:type="spellEnd"/>
      <w:r w:rsidRPr="0023395B">
        <w:t xml:space="preserve">, and corresponding amendments may be required to the Services Australia system to accommodate </w:t>
      </w:r>
      <w:proofErr w:type="spellStart"/>
      <w:r w:rsidRPr="0023395B">
        <w:t>mecasermin</w:t>
      </w:r>
      <w:proofErr w:type="spellEnd"/>
      <w:r w:rsidRPr="0023395B">
        <w:t>.</w:t>
      </w:r>
    </w:p>
    <w:p w14:paraId="2E5F9ECF" w14:textId="1B319B23" w:rsidR="001B646E" w:rsidRPr="0023395B" w:rsidRDefault="00865DA3" w:rsidP="00210491">
      <w:pPr>
        <w:pStyle w:val="3Bodytext"/>
        <w:widowControl w:val="0"/>
        <w:rPr>
          <w:rFonts w:ascii="Calibri" w:eastAsia="Times New Roman" w:hAnsi="Calibri" w:cs="Times New Roman"/>
          <w:szCs w:val="24"/>
        </w:rPr>
      </w:pPr>
      <w:r w:rsidRPr="0023395B">
        <w:rPr>
          <w:rFonts w:ascii="Calibri" w:eastAsia="Times New Roman" w:hAnsi="Calibri" w:cs="Times New Roman"/>
          <w:szCs w:val="24"/>
        </w:rPr>
        <w:t>The PBAC noted the request from APEG to consider a mechanism for special consideration</w:t>
      </w:r>
      <w:r w:rsidR="0024067B" w:rsidRPr="0023395B">
        <w:rPr>
          <w:rFonts w:ascii="Calibri" w:eastAsia="Times New Roman" w:hAnsi="Calibri" w:cs="Times New Roman"/>
          <w:szCs w:val="24"/>
        </w:rPr>
        <w:t xml:space="preserve"> (paragraph 3.8)</w:t>
      </w:r>
      <w:r w:rsidRPr="0023395B">
        <w:rPr>
          <w:rFonts w:ascii="Calibri" w:eastAsia="Times New Roman" w:hAnsi="Calibri" w:cs="Times New Roman"/>
          <w:szCs w:val="24"/>
        </w:rPr>
        <w:t xml:space="preserve">. The PBAC </w:t>
      </w:r>
      <w:r w:rsidR="001B646E" w:rsidRPr="0023395B">
        <w:rPr>
          <w:rFonts w:ascii="Calibri" w:eastAsia="Times New Roman" w:hAnsi="Calibri" w:cs="Times New Roman"/>
          <w:szCs w:val="24"/>
        </w:rPr>
        <w:t xml:space="preserve">did not support the proposal for special consideration </w:t>
      </w:r>
      <w:proofErr w:type="gramStart"/>
      <w:r w:rsidR="001B646E" w:rsidRPr="0023395B">
        <w:rPr>
          <w:rFonts w:ascii="Calibri" w:eastAsia="Times New Roman" w:hAnsi="Calibri" w:cs="Times New Roman"/>
          <w:szCs w:val="24"/>
        </w:rPr>
        <w:t>arrangements, and</w:t>
      </w:r>
      <w:proofErr w:type="gramEnd"/>
      <w:r w:rsidR="001B646E" w:rsidRPr="0023395B">
        <w:rPr>
          <w:rFonts w:ascii="Calibri" w:eastAsia="Times New Roman" w:hAnsi="Calibri" w:cs="Times New Roman"/>
          <w:szCs w:val="24"/>
        </w:rPr>
        <w:t xml:space="preserve"> considered that normal processes should be followed by prescribers with respect to assessment of patient eligibility for </w:t>
      </w:r>
      <w:proofErr w:type="spellStart"/>
      <w:r w:rsidR="001B646E" w:rsidRPr="0023395B">
        <w:rPr>
          <w:rFonts w:ascii="Calibri" w:eastAsia="Times New Roman" w:hAnsi="Calibri" w:cs="Times New Roman"/>
          <w:szCs w:val="24"/>
        </w:rPr>
        <w:t>mecasermin</w:t>
      </w:r>
      <w:proofErr w:type="spellEnd"/>
      <w:r w:rsidR="001B646E" w:rsidRPr="0023395B">
        <w:rPr>
          <w:rFonts w:ascii="Calibri" w:eastAsia="Times New Roman" w:hAnsi="Calibri" w:cs="Times New Roman"/>
          <w:szCs w:val="24"/>
        </w:rPr>
        <w:t>.</w:t>
      </w:r>
    </w:p>
    <w:p w14:paraId="463935C3" w14:textId="59196142" w:rsidR="00F4124E" w:rsidRPr="0023395B" w:rsidRDefault="00210491" w:rsidP="00F4124E">
      <w:pPr>
        <w:pStyle w:val="3Bodytext"/>
      </w:pPr>
      <w:proofErr w:type="gramStart"/>
      <w:r w:rsidRPr="0023395B">
        <w:t>With regard to</w:t>
      </w:r>
      <w:proofErr w:type="gramEnd"/>
      <w:r w:rsidRPr="0023395B">
        <w:t xml:space="preserve"> utilisation estimates, the PBAC noted that t</w:t>
      </w:r>
      <w:r w:rsidR="00F4124E" w:rsidRPr="0023395B">
        <w:t xml:space="preserve">he resubmission </w:t>
      </w:r>
      <w:r w:rsidRPr="0023395B">
        <w:t xml:space="preserve">had </w:t>
      </w:r>
      <w:r w:rsidR="00F4124E" w:rsidRPr="0023395B">
        <w:t>assumed that 12 scripts would be dispensed per patient per year, which was higher than the assumption in the November 2021 submission (9.823, based on the utilisation observed in EU-IGFD Registry). The PBAC considered this was not justified, given that the resubmission also claimed to apply the utilisation observed in the EU-IGFD Registry.</w:t>
      </w:r>
      <w:r w:rsidRPr="0023395B">
        <w:t xml:space="preserve"> The PBAC considered that the financial estimates should be revised </w:t>
      </w:r>
      <w:r w:rsidR="00942CF6" w:rsidRPr="0023395B">
        <w:t>as described in paragraph 4.</w:t>
      </w:r>
      <w:r w:rsidR="00B61513" w:rsidRPr="0023395B">
        <w:t>9</w:t>
      </w:r>
      <w:r w:rsidRPr="0023395B">
        <w:t>.</w:t>
      </w:r>
    </w:p>
    <w:p w14:paraId="5E89F80A" w14:textId="02198410" w:rsidR="00F4124E" w:rsidRPr="0023395B" w:rsidRDefault="008D42E0" w:rsidP="00E337FD">
      <w:pPr>
        <w:pStyle w:val="3Bodytext"/>
        <w:widowControl w:val="0"/>
      </w:pPr>
      <w:r w:rsidRPr="0023395B">
        <w:t>The PBAC considered that the expert advice from APEG provided greater certainty with respect to the proposed PBS population (see paragraph</w:t>
      </w:r>
      <w:r w:rsidR="00E337FD" w:rsidRPr="0023395B">
        <w:t>s</w:t>
      </w:r>
      <w:r w:rsidRPr="0023395B">
        <w:t xml:space="preserve"> </w:t>
      </w:r>
      <w:r w:rsidR="00E337FD" w:rsidRPr="0023395B">
        <w:t>3.2 to 3.7</w:t>
      </w:r>
      <w:r w:rsidRPr="0023395B">
        <w:t>)</w:t>
      </w:r>
      <w:r w:rsidR="00B61513" w:rsidRPr="0023395B">
        <w:t xml:space="preserve"> and that the cost-effectiveness of </w:t>
      </w:r>
      <w:proofErr w:type="spellStart"/>
      <w:r w:rsidR="00B61513" w:rsidRPr="0023395B">
        <w:rPr>
          <w:rFonts w:cs="Arial"/>
          <w:snapToGrid w:val="0"/>
        </w:rPr>
        <w:t>mecasermin</w:t>
      </w:r>
      <w:proofErr w:type="spellEnd"/>
      <w:r w:rsidR="00B61513" w:rsidRPr="0023395B">
        <w:rPr>
          <w:rFonts w:cs="Arial"/>
          <w:snapToGrid w:val="0"/>
        </w:rPr>
        <w:t xml:space="preserve"> would be acceptable at the proposed price with the additional amendments to the restriction and an appropriate risk sharing arrangement</w:t>
      </w:r>
      <w:r w:rsidRPr="0023395B">
        <w:t xml:space="preserve">. </w:t>
      </w:r>
      <w:r w:rsidR="00E337FD" w:rsidRPr="0023395B">
        <w:t xml:space="preserve">The PBAC advised </w:t>
      </w:r>
      <w:r w:rsidR="00CD3F75" w:rsidRPr="0023395B">
        <w:rPr>
          <w:rFonts w:cs="Arial"/>
          <w:snapToGrid w:val="0"/>
        </w:rPr>
        <w:t xml:space="preserve">that </w:t>
      </w:r>
      <w:r w:rsidR="00E337FD" w:rsidRPr="0023395B">
        <w:rPr>
          <w:rFonts w:cs="Arial"/>
          <w:snapToGrid w:val="0"/>
        </w:rPr>
        <w:t xml:space="preserve">a </w:t>
      </w:r>
      <w:r w:rsidR="00CD3F75" w:rsidRPr="0023395B">
        <w:rPr>
          <w:rFonts w:cs="Arial"/>
          <w:snapToGrid w:val="0"/>
        </w:rPr>
        <w:t xml:space="preserve">risk sharing arrangement with </w:t>
      </w:r>
      <w:proofErr w:type="gramStart"/>
      <w:r w:rsidR="001C6AE3" w:rsidRPr="002A2C2E">
        <w:rPr>
          <w:rFonts w:cs="Arial"/>
          <w:snapToGrid w:val="0"/>
          <w:color w:val="000000"/>
          <w:w w:val="15"/>
          <w:shd w:val="solid" w:color="000000" w:fill="000000"/>
          <w:fitText w:val="-20" w:id="-1505503992"/>
          <w14:textFill>
            <w14:solidFill>
              <w14:srgbClr w14:val="000000">
                <w14:alpha w14:val="100000"/>
              </w14:srgbClr>
            </w14:solidFill>
          </w14:textFill>
        </w:rPr>
        <w:t xml:space="preserve">|  </w:t>
      </w:r>
      <w:r w:rsidR="001C6AE3" w:rsidRPr="002A2C2E">
        <w:rPr>
          <w:rFonts w:cs="Arial"/>
          <w:snapToGrid w:val="0"/>
          <w:color w:val="000000"/>
          <w:spacing w:val="-69"/>
          <w:w w:val="15"/>
          <w:shd w:val="solid" w:color="000000" w:fill="000000"/>
          <w:fitText w:val="-20" w:id="-1505503992"/>
          <w14:textFill>
            <w14:solidFill>
              <w14:srgbClr w14:val="000000">
                <w14:alpha w14:val="100000"/>
              </w14:srgbClr>
            </w14:solidFill>
          </w14:textFill>
        </w:rPr>
        <w:t>|</w:t>
      </w:r>
      <w:proofErr w:type="gramEnd"/>
      <w:r w:rsidR="00CD3F75" w:rsidRPr="0023395B">
        <w:rPr>
          <w:rFonts w:cs="Arial"/>
          <w:snapToGrid w:val="0"/>
        </w:rPr>
        <w:t>% rebate above annual cap thresholds should be implemented</w:t>
      </w:r>
      <w:r w:rsidR="00E337FD" w:rsidRPr="0023395B">
        <w:rPr>
          <w:rFonts w:cs="Arial"/>
          <w:snapToGrid w:val="0"/>
        </w:rPr>
        <w:t xml:space="preserve"> in order to </w:t>
      </w:r>
      <w:r w:rsidR="00CD3F75" w:rsidRPr="0023395B">
        <w:rPr>
          <w:rFonts w:cs="Arial"/>
          <w:snapToGrid w:val="0"/>
        </w:rPr>
        <w:t xml:space="preserve">address its </w:t>
      </w:r>
      <w:r w:rsidR="00672C52" w:rsidRPr="0023395B">
        <w:rPr>
          <w:rFonts w:cs="Arial"/>
          <w:snapToGrid w:val="0"/>
        </w:rPr>
        <w:t>previous concern</w:t>
      </w:r>
      <w:r w:rsidR="00E337FD" w:rsidRPr="0023395B">
        <w:rPr>
          <w:rFonts w:cs="Arial"/>
          <w:snapToGrid w:val="0"/>
        </w:rPr>
        <w:t>s</w:t>
      </w:r>
      <w:r w:rsidR="00672C52" w:rsidRPr="0023395B">
        <w:rPr>
          <w:rFonts w:cs="Arial"/>
          <w:snapToGrid w:val="0"/>
        </w:rPr>
        <w:t xml:space="preserve"> about financial uncertainty</w:t>
      </w:r>
      <w:r w:rsidR="00CD3F75" w:rsidRPr="0023395B">
        <w:rPr>
          <w:rFonts w:cs="Arial"/>
          <w:snapToGrid w:val="0"/>
        </w:rPr>
        <w:t>.</w:t>
      </w:r>
    </w:p>
    <w:p w14:paraId="395E46BA" w14:textId="4B18FA44" w:rsidR="002073EF" w:rsidRPr="0023395B" w:rsidRDefault="002073EF" w:rsidP="00295273">
      <w:pPr>
        <w:widowControl w:val="0"/>
        <w:numPr>
          <w:ilvl w:val="1"/>
          <w:numId w:val="1"/>
        </w:numPr>
        <w:spacing w:after="120"/>
        <w:rPr>
          <w:rFonts w:asciiTheme="minorHAnsi" w:hAnsiTheme="minorHAnsi" w:cs="Arial"/>
          <w:bCs/>
          <w:snapToGrid w:val="0"/>
        </w:rPr>
      </w:pPr>
      <w:r w:rsidRPr="0023395B">
        <w:rPr>
          <w:rFonts w:asciiTheme="minorHAnsi" w:hAnsiTheme="minorHAnsi" w:cs="Arial"/>
          <w:bCs/>
          <w:snapToGrid w:val="0"/>
        </w:rPr>
        <w:t xml:space="preserve">The PBAC recommended that </w:t>
      </w:r>
      <w:proofErr w:type="spellStart"/>
      <w:r w:rsidR="00EF3F28" w:rsidRPr="0023395B">
        <w:rPr>
          <w:rFonts w:asciiTheme="minorHAnsi" w:hAnsiTheme="minorHAnsi" w:cs="Arial"/>
          <w:bCs/>
          <w:snapToGrid w:val="0"/>
        </w:rPr>
        <w:t>mecasermin</w:t>
      </w:r>
      <w:proofErr w:type="spellEnd"/>
      <w:r w:rsidRPr="0023395B">
        <w:rPr>
          <w:rFonts w:asciiTheme="minorHAnsi" w:hAnsiTheme="minorHAnsi" w:cs="Arial"/>
          <w:bCs/>
          <w:snapToGrid w:val="0"/>
        </w:rPr>
        <w:t xml:space="preserve"> should </w:t>
      </w:r>
      <w:r w:rsidR="00EF3F28" w:rsidRPr="0023395B">
        <w:rPr>
          <w:rFonts w:asciiTheme="minorHAnsi" w:hAnsiTheme="minorHAnsi" w:cs="Arial"/>
          <w:bCs/>
          <w:snapToGrid w:val="0"/>
        </w:rPr>
        <w:t xml:space="preserve">not </w:t>
      </w:r>
      <w:r w:rsidRPr="0023395B">
        <w:rPr>
          <w:rFonts w:asciiTheme="minorHAnsi" w:hAnsiTheme="minorHAnsi" w:cs="Arial"/>
          <w:bCs/>
          <w:snapToGrid w:val="0"/>
        </w:rPr>
        <w:t xml:space="preserve">be treated as interchangeable </w:t>
      </w:r>
      <w:r w:rsidR="00EF3F28" w:rsidRPr="0023395B">
        <w:rPr>
          <w:rFonts w:asciiTheme="minorHAnsi" w:hAnsiTheme="minorHAnsi" w:cs="Arial"/>
          <w:bCs/>
          <w:snapToGrid w:val="0"/>
        </w:rPr>
        <w:t>with any other drugs</w:t>
      </w:r>
      <w:r w:rsidRPr="0023395B">
        <w:rPr>
          <w:rFonts w:asciiTheme="minorHAnsi" w:hAnsiTheme="minorHAnsi" w:cs="Arial"/>
          <w:bCs/>
          <w:snapToGrid w:val="0"/>
        </w:rPr>
        <w:t>.</w:t>
      </w:r>
    </w:p>
    <w:p w14:paraId="09CF59E0" w14:textId="25AC83D4" w:rsidR="002073EF" w:rsidRPr="0023395B" w:rsidRDefault="002073EF" w:rsidP="002073EF">
      <w:pPr>
        <w:widowControl w:val="0"/>
        <w:numPr>
          <w:ilvl w:val="1"/>
          <w:numId w:val="1"/>
        </w:numPr>
        <w:spacing w:after="120"/>
        <w:rPr>
          <w:rFonts w:asciiTheme="minorHAnsi" w:hAnsiTheme="minorHAnsi" w:cs="Arial"/>
          <w:bCs/>
          <w:snapToGrid w:val="0"/>
        </w:rPr>
      </w:pPr>
      <w:r w:rsidRPr="0023395B">
        <w:rPr>
          <w:rFonts w:asciiTheme="minorHAnsi" w:hAnsiTheme="minorHAnsi" w:cs="Arial"/>
          <w:bCs/>
          <w:snapToGrid w:val="0"/>
        </w:rPr>
        <w:t xml:space="preserve">The PBAC advised that </w:t>
      </w:r>
      <w:proofErr w:type="spellStart"/>
      <w:r w:rsidR="00C0337A" w:rsidRPr="0023395B">
        <w:rPr>
          <w:rFonts w:asciiTheme="minorHAnsi" w:hAnsiTheme="minorHAnsi" w:cs="Arial"/>
          <w:bCs/>
          <w:snapToGrid w:val="0"/>
        </w:rPr>
        <w:t>mecasermin</w:t>
      </w:r>
      <w:proofErr w:type="spellEnd"/>
      <w:r w:rsidR="00790008" w:rsidRPr="0023395B">
        <w:rPr>
          <w:rFonts w:asciiTheme="minorHAnsi" w:hAnsiTheme="minorHAnsi" w:cs="Arial"/>
          <w:bCs/>
          <w:snapToGrid w:val="0"/>
        </w:rPr>
        <w:t xml:space="preserve"> </w:t>
      </w:r>
      <w:r w:rsidRPr="0023395B">
        <w:rPr>
          <w:rFonts w:asciiTheme="minorHAnsi" w:hAnsiTheme="minorHAnsi" w:cs="Arial"/>
          <w:bCs/>
          <w:snapToGrid w:val="0"/>
        </w:rPr>
        <w:t xml:space="preserve">is not suitable for prescribing by nurse practitioners. </w:t>
      </w:r>
    </w:p>
    <w:p w14:paraId="5C133FF0" w14:textId="77777777" w:rsidR="00AD00A0" w:rsidRPr="0023395B" w:rsidRDefault="002073EF" w:rsidP="00AD00A0">
      <w:pPr>
        <w:widowControl w:val="0"/>
        <w:numPr>
          <w:ilvl w:val="1"/>
          <w:numId w:val="1"/>
        </w:numPr>
        <w:spacing w:after="120"/>
        <w:rPr>
          <w:rFonts w:asciiTheme="minorHAnsi" w:hAnsiTheme="minorHAnsi" w:cs="Arial"/>
          <w:bCs/>
          <w:snapToGrid w:val="0"/>
        </w:rPr>
      </w:pPr>
      <w:r w:rsidRPr="0023395B">
        <w:rPr>
          <w:rFonts w:asciiTheme="minorHAnsi" w:hAnsiTheme="minorHAnsi" w:cs="Arial"/>
          <w:bCs/>
          <w:snapToGrid w:val="0"/>
        </w:rPr>
        <w:t xml:space="preserve">The PBAC recommended that the Early Supply Rule should not apply. </w:t>
      </w:r>
    </w:p>
    <w:p w14:paraId="34B6B21F" w14:textId="2E8736F8" w:rsidR="002073EF" w:rsidRPr="0023395B" w:rsidRDefault="00AD00A0" w:rsidP="00AD00A0">
      <w:pPr>
        <w:widowControl w:val="0"/>
        <w:numPr>
          <w:ilvl w:val="1"/>
          <w:numId w:val="1"/>
        </w:numPr>
        <w:spacing w:after="120"/>
        <w:rPr>
          <w:rFonts w:asciiTheme="minorHAnsi" w:hAnsiTheme="minorHAnsi" w:cs="Arial"/>
          <w:bCs/>
          <w:snapToGrid w:val="0"/>
        </w:rPr>
      </w:pPr>
      <w:r w:rsidRPr="0023395B">
        <w:rPr>
          <w:rFonts w:asciiTheme="minorHAnsi" w:hAnsiTheme="minorHAnsi" w:cstheme="minorHAnsi"/>
        </w:rPr>
        <w:lastRenderedPageBreak/>
        <w:t>T</w:t>
      </w:r>
      <w:r w:rsidR="002073EF" w:rsidRPr="0023395B">
        <w:rPr>
          <w:rFonts w:asciiTheme="minorHAnsi" w:hAnsiTheme="minorHAnsi" w:cstheme="minorHAnsi"/>
        </w:rPr>
        <w:t xml:space="preserve">he PBAC found that the criteria prescribed by the </w:t>
      </w:r>
      <w:r w:rsidR="002073EF" w:rsidRPr="0023395B">
        <w:rPr>
          <w:rFonts w:asciiTheme="minorHAnsi" w:hAnsiTheme="minorHAnsi" w:cstheme="minorHAnsi"/>
          <w:i/>
        </w:rPr>
        <w:t>National Health (Pharmaceuticals and Vaccines – Cost Recovery) Regulations 2009</w:t>
      </w:r>
      <w:r w:rsidR="002073EF" w:rsidRPr="0023395B">
        <w:rPr>
          <w:rFonts w:asciiTheme="minorHAnsi" w:hAnsiTheme="minorHAnsi" w:cstheme="minorHAnsi"/>
        </w:rPr>
        <w:t xml:space="preserve"> for Pricing Pathway A were not met. </w:t>
      </w:r>
      <w:proofErr w:type="gramStart"/>
      <w:r w:rsidR="002073EF" w:rsidRPr="0023395B">
        <w:rPr>
          <w:rFonts w:asciiTheme="minorHAnsi" w:hAnsiTheme="minorHAnsi" w:cstheme="minorHAnsi"/>
        </w:rPr>
        <w:t>Specifically</w:t>
      </w:r>
      <w:proofErr w:type="gramEnd"/>
      <w:r w:rsidR="002073EF" w:rsidRPr="0023395B">
        <w:rPr>
          <w:rFonts w:asciiTheme="minorHAnsi" w:hAnsiTheme="minorHAnsi" w:cstheme="minorHAnsi"/>
        </w:rPr>
        <w:t xml:space="preserve"> the PBAC found that in the circumstances of its recommendation for </w:t>
      </w:r>
      <w:proofErr w:type="spellStart"/>
      <w:r w:rsidR="008E0C19" w:rsidRPr="0023395B">
        <w:rPr>
          <w:rFonts w:asciiTheme="minorHAnsi" w:hAnsiTheme="minorHAnsi" w:cstheme="minorHAnsi"/>
        </w:rPr>
        <w:t>mecasermin</w:t>
      </w:r>
      <w:proofErr w:type="spellEnd"/>
      <w:r w:rsidR="002073EF" w:rsidRPr="0023395B">
        <w:rPr>
          <w:rFonts w:asciiTheme="minorHAnsi" w:hAnsiTheme="minorHAnsi" w:cstheme="minorHAnsi"/>
        </w:rPr>
        <w:t>:</w:t>
      </w:r>
    </w:p>
    <w:p w14:paraId="357195A9" w14:textId="69D476A4" w:rsidR="007A5FD4" w:rsidRPr="0023395B" w:rsidRDefault="002073EF" w:rsidP="007A5FD4">
      <w:pPr>
        <w:pStyle w:val="ListParagraph"/>
        <w:widowControl w:val="0"/>
        <w:numPr>
          <w:ilvl w:val="1"/>
          <w:numId w:val="37"/>
        </w:numPr>
        <w:jc w:val="both"/>
        <w:rPr>
          <w:rFonts w:cstheme="minorHAnsi"/>
        </w:rPr>
      </w:pPr>
      <w:r w:rsidRPr="0023395B">
        <w:rPr>
          <w:rFonts w:cstheme="minorHAnsi"/>
        </w:rPr>
        <w:t xml:space="preserve">The treatment is </w:t>
      </w:r>
      <w:r w:rsidR="007A5FD4" w:rsidRPr="0023395B">
        <w:rPr>
          <w:rFonts w:cstheme="minorHAnsi"/>
        </w:rPr>
        <w:t xml:space="preserve">not </w:t>
      </w:r>
      <w:r w:rsidRPr="0023395B">
        <w:rPr>
          <w:rFonts w:cstheme="minorHAnsi"/>
        </w:rPr>
        <w:t>expected to provide a substantial and clinically relevant improvement in efficacy, over alternative therapies</w:t>
      </w:r>
      <w:r w:rsidR="007A5FD4" w:rsidRPr="0023395B">
        <w:rPr>
          <w:rFonts w:cstheme="minorHAnsi"/>
        </w:rPr>
        <w:t xml:space="preserve">. The PBAC considered </w:t>
      </w:r>
      <w:proofErr w:type="gramStart"/>
      <w:r w:rsidR="007A5FD4" w:rsidRPr="0023395B">
        <w:rPr>
          <w:rFonts w:cstheme="minorHAnsi"/>
        </w:rPr>
        <w:t>this criteria</w:t>
      </w:r>
      <w:proofErr w:type="gramEnd"/>
      <w:r w:rsidR="007A5FD4" w:rsidRPr="0023395B">
        <w:rPr>
          <w:rFonts w:cstheme="minorHAnsi"/>
        </w:rPr>
        <w:t xml:space="preserve"> was not met as the available evidence showed a clinically relevant but modest improvement in height outcomes;</w:t>
      </w:r>
    </w:p>
    <w:p w14:paraId="1ADFAA9B" w14:textId="2C43C8D2" w:rsidR="002073EF" w:rsidRPr="0023395B" w:rsidRDefault="002073EF" w:rsidP="00B622E7">
      <w:pPr>
        <w:widowControl w:val="0"/>
        <w:numPr>
          <w:ilvl w:val="1"/>
          <w:numId w:val="37"/>
        </w:numPr>
        <w:spacing w:after="120"/>
        <w:rPr>
          <w:rFonts w:asciiTheme="minorHAnsi" w:hAnsiTheme="minorHAnsi" w:cstheme="minorHAnsi"/>
        </w:rPr>
      </w:pPr>
      <w:r w:rsidRPr="0023395B">
        <w:rPr>
          <w:rFonts w:asciiTheme="minorHAnsi" w:hAnsiTheme="minorHAnsi" w:cstheme="minorHAnsi"/>
        </w:rPr>
        <w:t>The treatment is expected to address a high and urgent unmet clinical need</w:t>
      </w:r>
      <w:r w:rsidR="007A5FD4" w:rsidRPr="0023395B">
        <w:rPr>
          <w:rFonts w:asciiTheme="minorHAnsi" w:hAnsiTheme="minorHAnsi" w:cstheme="minorHAnsi"/>
        </w:rPr>
        <w:t xml:space="preserve">. </w:t>
      </w:r>
    </w:p>
    <w:p w14:paraId="5CA14266" w14:textId="65E8F205" w:rsidR="002073EF" w:rsidRPr="0023395B" w:rsidRDefault="002073EF" w:rsidP="002073EF">
      <w:pPr>
        <w:widowControl w:val="0"/>
        <w:numPr>
          <w:ilvl w:val="1"/>
          <w:numId w:val="37"/>
        </w:numPr>
        <w:spacing w:after="120"/>
        <w:rPr>
          <w:rFonts w:asciiTheme="minorHAnsi" w:hAnsiTheme="minorHAnsi" w:cstheme="minorHAnsi"/>
        </w:rPr>
      </w:pPr>
      <w:r w:rsidRPr="0023395B">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r w:rsidR="00AD00A0" w:rsidRPr="0023395B">
        <w:rPr>
          <w:rFonts w:asciiTheme="minorHAnsi" w:hAnsiTheme="minorHAnsi" w:cstheme="minorHAnsi"/>
        </w:rPr>
        <w:t>.</w:t>
      </w:r>
    </w:p>
    <w:p w14:paraId="2014B04F" w14:textId="5A72E134" w:rsidR="00790008" w:rsidRPr="0023395B" w:rsidRDefault="002073EF" w:rsidP="002073EF">
      <w:pPr>
        <w:widowControl w:val="0"/>
        <w:numPr>
          <w:ilvl w:val="1"/>
          <w:numId w:val="1"/>
        </w:numPr>
        <w:spacing w:after="120"/>
        <w:rPr>
          <w:rFonts w:asciiTheme="minorHAnsi" w:hAnsiTheme="minorHAnsi" w:cs="Arial"/>
          <w:bCs/>
          <w:snapToGrid w:val="0"/>
        </w:rPr>
      </w:pPr>
      <w:r w:rsidRPr="0023395B">
        <w:rPr>
          <w:rFonts w:asciiTheme="minorHAnsi" w:hAnsiTheme="minorHAnsi" w:cs="Arial"/>
          <w:bCs/>
          <w:snapToGrid w:val="0"/>
        </w:rPr>
        <w:t>The PBAC noted that this submission is not eligible for an Independent Review</w:t>
      </w:r>
      <w:r w:rsidR="00790008" w:rsidRPr="0023395B">
        <w:rPr>
          <w:rFonts w:asciiTheme="minorHAnsi" w:hAnsiTheme="minorHAnsi" w:cs="Arial"/>
          <w:bCs/>
          <w:snapToGrid w:val="0"/>
        </w:rPr>
        <w:t xml:space="preserve"> as it received a positive recommendation.</w:t>
      </w:r>
    </w:p>
    <w:p w14:paraId="325202A2" w14:textId="77777777" w:rsidR="002073EF" w:rsidRPr="0023395B" w:rsidRDefault="002073EF" w:rsidP="002073EF">
      <w:pPr>
        <w:spacing w:before="240"/>
        <w:rPr>
          <w:rFonts w:asciiTheme="minorHAnsi" w:hAnsiTheme="minorHAnsi" w:cs="Arial"/>
          <w:b/>
          <w:bCs/>
          <w:snapToGrid w:val="0"/>
        </w:rPr>
      </w:pPr>
      <w:r w:rsidRPr="0023395B">
        <w:rPr>
          <w:rFonts w:asciiTheme="minorHAnsi" w:hAnsiTheme="minorHAnsi" w:cs="Arial"/>
          <w:b/>
          <w:bCs/>
          <w:snapToGrid w:val="0"/>
        </w:rPr>
        <w:t>Outcome:</w:t>
      </w:r>
    </w:p>
    <w:p w14:paraId="0F3BBC6C" w14:textId="5C1D4BD0" w:rsidR="002073EF" w:rsidRPr="0023395B" w:rsidRDefault="002073EF" w:rsidP="002073EF">
      <w:pPr>
        <w:rPr>
          <w:rFonts w:asciiTheme="minorHAnsi" w:hAnsiTheme="minorHAnsi" w:cs="Arial"/>
          <w:bCs/>
          <w:snapToGrid w:val="0"/>
        </w:rPr>
      </w:pPr>
      <w:r w:rsidRPr="0023395B">
        <w:rPr>
          <w:rFonts w:asciiTheme="minorHAnsi" w:hAnsiTheme="minorHAnsi" w:cs="Arial"/>
          <w:bCs/>
          <w:snapToGrid w:val="0"/>
        </w:rPr>
        <w:t xml:space="preserve">Recommended </w:t>
      </w:r>
    </w:p>
    <w:bookmarkEnd w:id="14"/>
    <w:p w14:paraId="2E060026" w14:textId="55F74B96" w:rsidR="002073EF" w:rsidRPr="0023395B" w:rsidRDefault="002073EF" w:rsidP="007B3AA5">
      <w:pPr>
        <w:pStyle w:val="Heading1"/>
        <w:keepNext/>
        <w:keepLines/>
        <w:numPr>
          <w:ilvl w:val="0"/>
          <w:numId w:val="1"/>
        </w:numPr>
        <w:spacing w:before="240"/>
        <w:ind w:left="709" w:hanging="709"/>
        <w:rPr>
          <w:sz w:val="32"/>
          <w:szCs w:val="32"/>
        </w:rPr>
      </w:pPr>
      <w:r w:rsidRPr="0023395B">
        <w:rPr>
          <w:sz w:val="32"/>
          <w:szCs w:val="32"/>
        </w:rPr>
        <w:t>Recommended listing</w:t>
      </w:r>
    </w:p>
    <w:p w14:paraId="40B31C34" w14:textId="494824FA" w:rsidR="002073EF" w:rsidRPr="0023395B" w:rsidRDefault="008B49EE" w:rsidP="007B3AA5">
      <w:pPr>
        <w:keepNext/>
        <w:widowControl w:val="0"/>
        <w:numPr>
          <w:ilvl w:val="1"/>
          <w:numId w:val="1"/>
        </w:numPr>
        <w:spacing w:after="120"/>
        <w:contextualSpacing/>
        <w:rPr>
          <w:rFonts w:asciiTheme="minorHAnsi" w:hAnsiTheme="minorHAnsi" w:cs="Arial"/>
          <w:bCs/>
          <w:snapToGrid w:val="0"/>
        </w:rPr>
      </w:pPr>
      <w:r w:rsidRPr="0023395B">
        <w:rPr>
          <w:rFonts w:asciiTheme="minorHAnsi" w:hAnsiTheme="minorHAnsi" w:cs="Arial"/>
          <w:bCs/>
          <w:snapToGrid w:val="0"/>
        </w:rPr>
        <w:t>To be finalised. Add new medicinal product as follows (indicative only)</w:t>
      </w:r>
      <w:r w:rsidR="002073EF" w:rsidRPr="0023395B">
        <w:rPr>
          <w:rFonts w:asciiTheme="minorHAnsi" w:hAnsiTheme="minorHAnsi" w:cs="Arial"/>
          <w:bCs/>
          <w:snapToGrid w:val="0"/>
        </w:rPr>
        <w:t>:</w:t>
      </w:r>
    </w:p>
    <w:p w14:paraId="15238CCB" w14:textId="3C673A27" w:rsidR="008B49EE" w:rsidRPr="0023395B" w:rsidRDefault="008B49EE" w:rsidP="008B49EE"/>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19"/>
        <w:gridCol w:w="849"/>
        <w:gridCol w:w="850"/>
        <w:gridCol w:w="852"/>
        <w:gridCol w:w="2639"/>
        <w:gridCol w:w="7"/>
      </w:tblGrid>
      <w:tr w:rsidR="006A2CD9" w:rsidRPr="006A2CD9" w14:paraId="68C1FB13" w14:textId="77777777" w:rsidTr="008B49EE">
        <w:trPr>
          <w:gridAfter w:val="1"/>
          <w:wAfter w:w="4" w:type="pct"/>
          <w:cantSplit/>
          <w:trHeight w:val="471"/>
        </w:trPr>
        <w:tc>
          <w:tcPr>
            <w:tcW w:w="2207" w:type="pct"/>
            <w:gridSpan w:val="2"/>
            <w:tcBorders>
              <w:top w:val="single" w:sz="4" w:space="0" w:color="auto"/>
              <w:left w:val="single" w:sz="4" w:space="0" w:color="auto"/>
              <w:bottom w:val="single" w:sz="4" w:space="0" w:color="auto"/>
              <w:right w:val="single" w:sz="4" w:space="0" w:color="auto"/>
            </w:tcBorders>
            <w:hideMark/>
          </w:tcPr>
          <w:p w14:paraId="65A8BF78" w14:textId="77777777" w:rsidR="008B49EE" w:rsidRPr="006A2CD9" w:rsidRDefault="008B49EE">
            <w:pPr>
              <w:keepNext/>
              <w:ind w:left="-57"/>
              <w:rPr>
                <w:rFonts w:ascii="Arial Narrow" w:hAnsi="Arial Narrow"/>
                <w:b/>
                <w:bCs/>
                <w:sz w:val="20"/>
                <w:szCs w:val="20"/>
              </w:rPr>
            </w:pPr>
            <w:r w:rsidRPr="006A2CD9">
              <w:rPr>
                <w:rFonts w:ascii="Arial Narrow" w:hAnsi="Arial Narrow"/>
                <w:b/>
                <w:bCs/>
                <w:sz w:val="20"/>
                <w:szCs w:val="20"/>
              </w:rPr>
              <w:t>MEDICINAL PRODUCT</w:t>
            </w:r>
          </w:p>
          <w:p w14:paraId="15C63BA8" w14:textId="77777777" w:rsidR="008B49EE" w:rsidRPr="006A2CD9" w:rsidRDefault="008B49EE">
            <w:pPr>
              <w:keepNext/>
              <w:ind w:left="-57"/>
              <w:rPr>
                <w:rFonts w:ascii="Arial Narrow" w:hAnsi="Arial Narrow"/>
                <w:b/>
                <w:sz w:val="20"/>
                <w:szCs w:val="20"/>
              </w:rPr>
            </w:pPr>
            <w:r w:rsidRPr="006A2CD9">
              <w:rPr>
                <w:rFonts w:ascii="Arial Narrow" w:hAnsi="Arial Narrow"/>
                <w:b/>
                <w:bCs/>
                <w:sz w:val="20"/>
                <w:szCs w:val="20"/>
              </w:rPr>
              <w:t>medicinal product pack</w:t>
            </w:r>
          </w:p>
        </w:tc>
        <w:tc>
          <w:tcPr>
            <w:tcW w:w="456" w:type="pct"/>
            <w:tcBorders>
              <w:top w:val="single" w:sz="4" w:space="0" w:color="auto"/>
              <w:left w:val="single" w:sz="4" w:space="0" w:color="auto"/>
              <w:bottom w:val="single" w:sz="4" w:space="0" w:color="auto"/>
              <w:right w:val="single" w:sz="4" w:space="0" w:color="auto"/>
            </w:tcBorders>
            <w:hideMark/>
          </w:tcPr>
          <w:p w14:paraId="70EB666F" w14:textId="77777777" w:rsidR="008B49EE" w:rsidRPr="006A2CD9" w:rsidRDefault="008B49EE">
            <w:pPr>
              <w:keepNext/>
              <w:ind w:left="-108"/>
              <w:jc w:val="center"/>
              <w:rPr>
                <w:rFonts w:ascii="Arial Narrow" w:hAnsi="Arial Narrow"/>
                <w:b/>
                <w:sz w:val="20"/>
                <w:szCs w:val="20"/>
              </w:rPr>
            </w:pPr>
            <w:r w:rsidRPr="006A2CD9">
              <w:rPr>
                <w:rFonts w:ascii="Arial Narrow" w:hAnsi="Arial Narrow"/>
                <w:b/>
                <w:sz w:val="20"/>
                <w:szCs w:val="20"/>
              </w:rPr>
              <w:t>Max. qty packs</w:t>
            </w:r>
          </w:p>
        </w:tc>
        <w:tc>
          <w:tcPr>
            <w:tcW w:w="457" w:type="pct"/>
            <w:tcBorders>
              <w:top w:val="single" w:sz="4" w:space="0" w:color="auto"/>
              <w:left w:val="single" w:sz="4" w:space="0" w:color="auto"/>
              <w:bottom w:val="single" w:sz="4" w:space="0" w:color="auto"/>
              <w:right w:val="single" w:sz="4" w:space="0" w:color="auto"/>
            </w:tcBorders>
            <w:hideMark/>
          </w:tcPr>
          <w:p w14:paraId="11C59854" w14:textId="77777777" w:rsidR="008B49EE" w:rsidRPr="006A2CD9" w:rsidRDefault="008B49EE">
            <w:pPr>
              <w:keepNext/>
              <w:ind w:left="-108"/>
              <w:jc w:val="center"/>
              <w:rPr>
                <w:rFonts w:ascii="Arial Narrow" w:hAnsi="Arial Narrow"/>
                <w:b/>
                <w:sz w:val="20"/>
                <w:szCs w:val="20"/>
              </w:rPr>
            </w:pPr>
            <w:r w:rsidRPr="006A2CD9">
              <w:rPr>
                <w:rFonts w:ascii="Arial Narrow" w:hAnsi="Arial Narrow"/>
                <w:b/>
                <w:sz w:val="20"/>
                <w:szCs w:val="20"/>
              </w:rPr>
              <w:t>Max. qty units</w:t>
            </w:r>
          </w:p>
        </w:tc>
        <w:tc>
          <w:tcPr>
            <w:tcW w:w="458" w:type="pct"/>
            <w:tcBorders>
              <w:top w:val="single" w:sz="4" w:space="0" w:color="auto"/>
              <w:left w:val="single" w:sz="4" w:space="0" w:color="auto"/>
              <w:bottom w:val="single" w:sz="4" w:space="0" w:color="auto"/>
              <w:right w:val="single" w:sz="4" w:space="0" w:color="auto"/>
            </w:tcBorders>
            <w:hideMark/>
          </w:tcPr>
          <w:p w14:paraId="6471867C" w14:textId="77777777" w:rsidR="008B49EE" w:rsidRPr="006A2CD9" w:rsidRDefault="008B49EE">
            <w:pPr>
              <w:keepNext/>
              <w:ind w:left="-108"/>
              <w:jc w:val="center"/>
              <w:rPr>
                <w:rFonts w:ascii="Arial Narrow" w:hAnsi="Arial Narrow"/>
                <w:b/>
                <w:sz w:val="20"/>
                <w:szCs w:val="20"/>
              </w:rPr>
            </w:pPr>
            <w:proofErr w:type="gramStart"/>
            <w:r w:rsidRPr="006A2CD9">
              <w:rPr>
                <w:rFonts w:ascii="Arial Narrow" w:hAnsi="Arial Narrow"/>
                <w:b/>
                <w:sz w:val="20"/>
                <w:szCs w:val="20"/>
              </w:rPr>
              <w:t>№.of</w:t>
            </w:r>
            <w:proofErr w:type="gramEnd"/>
          </w:p>
          <w:p w14:paraId="7241372F" w14:textId="77777777" w:rsidR="008B49EE" w:rsidRPr="006A2CD9" w:rsidRDefault="008B49EE">
            <w:pPr>
              <w:keepNext/>
              <w:ind w:left="-108"/>
              <w:jc w:val="center"/>
              <w:rPr>
                <w:rFonts w:ascii="Arial Narrow" w:hAnsi="Arial Narrow"/>
                <w:b/>
                <w:sz w:val="20"/>
                <w:szCs w:val="20"/>
              </w:rPr>
            </w:pPr>
            <w:proofErr w:type="spellStart"/>
            <w:r w:rsidRPr="006A2CD9">
              <w:rPr>
                <w:rFonts w:ascii="Arial Narrow" w:hAnsi="Arial Narrow"/>
                <w:b/>
                <w:sz w:val="20"/>
                <w:szCs w:val="20"/>
              </w:rPr>
              <w:t>Rpts</w:t>
            </w:r>
            <w:proofErr w:type="spellEnd"/>
          </w:p>
        </w:tc>
        <w:tc>
          <w:tcPr>
            <w:tcW w:w="1418" w:type="pct"/>
            <w:tcBorders>
              <w:top w:val="single" w:sz="4" w:space="0" w:color="auto"/>
              <w:left w:val="single" w:sz="4" w:space="0" w:color="auto"/>
              <w:bottom w:val="single" w:sz="4" w:space="0" w:color="auto"/>
              <w:right w:val="single" w:sz="4" w:space="0" w:color="auto"/>
            </w:tcBorders>
            <w:hideMark/>
          </w:tcPr>
          <w:p w14:paraId="4C3001CD" w14:textId="77777777" w:rsidR="008B49EE" w:rsidRPr="006A2CD9" w:rsidRDefault="008B49EE">
            <w:pPr>
              <w:keepNext/>
              <w:rPr>
                <w:rFonts w:ascii="Arial Narrow" w:hAnsi="Arial Narrow"/>
                <w:b/>
                <w:sz w:val="20"/>
                <w:szCs w:val="20"/>
              </w:rPr>
            </w:pPr>
            <w:r w:rsidRPr="006A2CD9">
              <w:rPr>
                <w:rFonts w:ascii="Arial Narrow" w:hAnsi="Arial Narrow"/>
                <w:b/>
                <w:sz w:val="20"/>
                <w:szCs w:val="20"/>
              </w:rPr>
              <w:t>Available brands</w:t>
            </w:r>
          </w:p>
        </w:tc>
      </w:tr>
      <w:tr w:rsidR="006A2CD9" w:rsidRPr="006A2CD9" w14:paraId="01A67386" w14:textId="77777777" w:rsidTr="008B49EE">
        <w:trPr>
          <w:cantSplit/>
          <w:trHeight w:val="224"/>
        </w:trPr>
        <w:tc>
          <w:tcPr>
            <w:tcW w:w="5000" w:type="pct"/>
            <w:gridSpan w:val="7"/>
            <w:tcBorders>
              <w:top w:val="single" w:sz="4" w:space="0" w:color="auto"/>
              <w:left w:val="single" w:sz="4" w:space="0" w:color="auto"/>
              <w:bottom w:val="single" w:sz="4" w:space="0" w:color="auto"/>
              <w:right w:val="single" w:sz="4" w:space="0" w:color="auto"/>
            </w:tcBorders>
            <w:hideMark/>
          </w:tcPr>
          <w:p w14:paraId="74C9ED6D" w14:textId="77777777" w:rsidR="008B49EE" w:rsidRPr="006A2CD9" w:rsidRDefault="008B49EE">
            <w:pPr>
              <w:keepNext/>
              <w:ind w:left="-57"/>
              <w:rPr>
                <w:rFonts w:ascii="Arial Narrow" w:hAnsi="Arial Narrow"/>
                <w:sz w:val="20"/>
                <w:szCs w:val="20"/>
              </w:rPr>
            </w:pPr>
            <w:r w:rsidRPr="006A2CD9">
              <w:rPr>
                <w:rFonts w:ascii="Arial Narrow" w:hAnsi="Arial Narrow"/>
                <w:sz w:val="20"/>
                <w:szCs w:val="20"/>
              </w:rPr>
              <w:t xml:space="preserve">MECASERMIN </w:t>
            </w:r>
          </w:p>
        </w:tc>
      </w:tr>
      <w:tr w:rsidR="006A2CD9" w:rsidRPr="006A2CD9" w14:paraId="56EDC974" w14:textId="77777777" w:rsidTr="008B49EE">
        <w:trPr>
          <w:gridAfter w:val="1"/>
          <w:wAfter w:w="4" w:type="pct"/>
          <w:cantSplit/>
          <w:trHeight w:val="197"/>
        </w:trPr>
        <w:tc>
          <w:tcPr>
            <w:tcW w:w="2207" w:type="pct"/>
            <w:gridSpan w:val="2"/>
            <w:tcBorders>
              <w:top w:val="single" w:sz="4" w:space="0" w:color="auto"/>
              <w:left w:val="single" w:sz="4" w:space="0" w:color="auto"/>
              <w:bottom w:val="single" w:sz="4" w:space="0" w:color="auto"/>
              <w:right w:val="single" w:sz="4" w:space="0" w:color="auto"/>
            </w:tcBorders>
            <w:hideMark/>
          </w:tcPr>
          <w:p w14:paraId="69AA9825" w14:textId="77777777" w:rsidR="008B49EE" w:rsidRPr="006A2CD9" w:rsidRDefault="008B49EE">
            <w:pPr>
              <w:keepNext/>
              <w:ind w:left="-57"/>
              <w:rPr>
                <w:rFonts w:ascii="Arial Narrow" w:hAnsi="Arial Narrow"/>
                <w:sz w:val="20"/>
                <w:szCs w:val="20"/>
              </w:rPr>
            </w:pPr>
            <w:proofErr w:type="spellStart"/>
            <w:r w:rsidRPr="006A2CD9">
              <w:rPr>
                <w:rFonts w:ascii="Arial Narrow" w:hAnsi="Arial Narrow"/>
                <w:sz w:val="20"/>
                <w:szCs w:val="20"/>
              </w:rPr>
              <w:t>mecasermin</w:t>
            </w:r>
            <w:proofErr w:type="spellEnd"/>
            <w:r w:rsidRPr="006A2CD9">
              <w:rPr>
                <w:rFonts w:ascii="Arial Narrow" w:hAnsi="Arial Narrow"/>
                <w:sz w:val="20"/>
                <w:szCs w:val="20"/>
              </w:rPr>
              <w:t xml:space="preserve"> solution for injection 40 mg in 4 mL vial, 1 </w:t>
            </w:r>
          </w:p>
        </w:tc>
        <w:tc>
          <w:tcPr>
            <w:tcW w:w="456" w:type="pct"/>
            <w:tcBorders>
              <w:top w:val="single" w:sz="4" w:space="0" w:color="auto"/>
              <w:left w:val="single" w:sz="4" w:space="0" w:color="auto"/>
              <w:bottom w:val="single" w:sz="4" w:space="0" w:color="auto"/>
              <w:right w:val="single" w:sz="4" w:space="0" w:color="auto"/>
            </w:tcBorders>
            <w:hideMark/>
          </w:tcPr>
          <w:p w14:paraId="509BB3AF" w14:textId="67B0F2ED" w:rsidR="008B49EE" w:rsidRPr="006A2CD9" w:rsidRDefault="00E358D7">
            <w:pPr>
              <w:keepNext/>
              <w:jc w:val="center"/>
              <w:rPr>
                <w:rFonts w:ascii="Arial Narrow" w:hAnsi="Arial Narrow"/>
                <w:sz w:val="20"/>
                <w:szCs w:val="20"/>
              </w:rPr>
            </w:pPr>
            <w:r w:rsidRPr="006A2CD9">
              <w:rPr>
                <w:rFonts w:ascii="Arial Narrow" w:hAnsi="Arial Narrow"/>
                <w:sz w:val="20"/>
                <w:szCs w:val="20"/>
              </w:rPr>
              <w:t>1</w:t>
            </w:r>
          </w:p>
        </w:tc>
        <w:tc>
          <w:tcPr>
            <w:tcW w:w="457" w:type="pct"/>
            <w:tcBorders>
              <w:top w:val="single" w:sz="4" w:space="0" w:color="auto"/>
              <w:left w:val="single" w:sz="4" w:space="0" w:color="auto"/>
              <w:bottom w:val="single" w:sz="4" w:space="0" w:color="auto"/>
              <w:right w:val="single" w:sz="4" w:space="0" w:color="auto"/>
            </w:tcBorders>
            <w:hideMark/>
          </w:tcPr>
          <w:p w14:paraId="004929A1" w14:textId="5495433A" w:rsidR="008B49EE" w:rsidRPr="006A2CD9" w:rsidRDefault="00E358D7">
            <w:pPr>
              <w:keepNext/>
              <w:jc w:val="center"/>
              <w:rPr>
                <w:rFonts w:ascii="Arial Narrow" w:hAnsi="Arial Narrow"/>
                <w:sz w:val="20"/>
                <w:szCs w:val="20"/>
              </w:rPr>
            </w:pPr>
            <w:r w:rsidRPr="006A2CD9">
              <w:rPr>
                <w:rFonts w:ascii="Arial Narrow" w:hAnsi="Arial Narrow"/>
                <w:sz w:val="20"/>
                <w:szCs w:val="20"/>
              </w:rPr>
              <w:t>1</w:t>
            </w:r>
          </w:p>
        </w:tc>
        <w:tc>
          <w:tcPr>
            <w:tcW w:w="458" w:type="pct"/>
            <w:tcBorders>
              <w:top w:val="single" w:sz="4" w:space="0" w:color="auto"/>
              <w:left w:val="single" w:sz="4" w:space="0" w:color="auto"/>
              <w:bottom w:val="single" w:sz="4" w:space="0" w:color="auto"/>
              <w:right w:val="single" w:sz="4" w:space="0" w:color="auto"/>
            </w:tcBorders>
            <w:hideMark/>
          </w:tcPr>
          <w:p w14:paraId="11CEABEE" w14:textId="77777777" w:rsidR="008B49EE" w:rsidRPr="006A2CD9" w:rsidRDefault="008B49EE">
            <w:pPr>
              <w:keepNext/>
              <w:jc w:val="center"/>
              <w:rPr>
                <w:rFonts w:ascii="Arial Narrow" w:hAnsi="Arial Narrow"/>
                <w:sz w:val="20"/>
                <w:szCs w:val="20"/>
              </w:rPr>
            </w:pPr>
            <w:r w:rsidRPr="006A2CD9">
              <w:rPr>
                <w:rFonts w:ascii="Arial Narrow" w:hAnsi="Arial Narrow"/>
                <w:sz w:val="20"/>
                <w:szCs w:val="20"/>
              </w:rPr>
              <w:t>5</w:t>
            </w:r>
          </w:p>
        </w:tc>
        <w:tc>
          <w:tcPr>
            <w:tcW w:w="1418" w:type="pct"/>
            <w:tcBorders>
              <w:top w:val="single" w:sz="4" w:space="0" w:color="auto"/>
              <w:left w:val="single" w:sz="4" w:space="0" w:color="auto"/>
              <w:bottom w:val="single" w:sz="4" w:space="0" w:color="auto"/>
              <w:right w:val="single" w:sz="4" w:space="0" w:color="auto"/>
            </w:tcBorders>
            <w:hideMark/>
          </w:tcPr>
          <w:p w14:paraId="30D0D7A6" w14:textId="5F4B6AE4" w:rsidR="008B49EE" w:rsidRPr="006A2CD9" w:rsidRDefault="008B49EE" w:rsidP="008B49EE">
            <w:pPr>
              <w:keepNext/>
              <w:jc w:val="left"/>
              <w:rPr>
                <w:rFonts w:ascii="Arial Narrow" w:hAnsi="Arial Narrow"/>
                <w:sz w:val="20"/>
                <w:szCs w:val="20"/>
              </w:rPr>
            </w:pPr>
            <w:r w:rsidRPr="006A2CD9">
              <w:rPr>
                <w:rFonts w:ascii="Arial Narrow" w:hAnsi="Arial Narrow"/>
                <w:sz w:val="20"/>
                <w:szCs w:val="20"/>
              </w:rPr>
              <w:t xml:space="preserve"> </w:t>
            </w:r>
            <w:proofErr w:type="spellStart"/>
            <w:r w:rsidRPr="006A2CD9">
              <w:rPr>
                <w:rFonts w:ascii="Arial Narrow" w:hAnsi="Arial Narrow"/>
                <w:sz w:val="20"/>
                <w:szCs w:val="20"/>
              </w:rPr>
              <w:t>Increlex</w:t>
            </w:r>
            <w:proofErr w:type="spellEnd"/>
            <w:r w:rsidRPr="006A2CD9">
              <w:rPr>
                <w:rFonts w:ascii="Arial Narrow" w:hAnsi="Arial Narrow"/>
                <w:sz w:val="20"/>
                <w:szCs w:val="20"/>
              </w:rPr>
              <w:t xml:space="preserve"> </w:t>
            </w:r>
          </w:p>
        </w:tc>
      </w:tr>
      <w:tr w:rsidR="006A2CD9" w:rsidRPr="006A2CD9" w14:paraId="399FB0FB" w14:textId="77777777" w:rsidTr="008B49EE">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565249" w14:textId="77777777" w:rsidR="008B49EE" w:rsidRPr="006A2CD9" w:rsidRDefault="008B49EE">
            <w:pPr>
              <w:keepNext/>
              <w:rPr>
                <w:rFonts w:ascii="Arial Narrow" w:hAnsi="Arial Narrow"/>
                <w:sz w:val="20"/>
                <w:szCs w:val="20"/>
                <w:highlight w:val="yellow"/>
              </w:rPr>
            </w:pPr>
          </w:p>
        </w:tc>
      </w:tr>
      <w:tr w:rsidR="006A2CD9" w:rsidRPr="006A2CD9" w14:paraId="6E60D736" w14:textId="77777777" w:rsidTr="008B49EE">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556DC4" w14:textId="77777777" w:rsidR="008B49EE" w:rsidRPr="006A2CD9" w:rsidRDefault="008B49EE">
            <w:pPr>
              <w:keepNext/>
              <w:rPr>
                <w:rFonts w:ascii="Arial Narrow" w:hAnsi="Arial Narrow"/>
                <w:b/>
                <w:sz w:val="20"/>
                <w:szCs w:val="20"/>
              </w:rPr>
            </w:pPr>
            <w:r w:rsidRPr="006A2CD9">
              <w:rPr>
                <w:rFonts w:ascii="Arial Narrow" w:hAnsi="Arial Narrow"/>
                <w:b/>
                <w:sz w:val="20"/>
                <w:szCs w:val="20"/>
              </w:rPr>
              <w:t>Restriction summary / Treatment of Concept: [New 1]</w:t>
            </w:r>
          </w:p>
        </w:tc>
      </w:tr>
      <w:tr w:rsidR="006A2CD9" w:rsidRPr="006A2CD9" w14:paraId="3862AD08" w14:textId="77777777" w:rsidTr="008B49EE">
        <w:tc>
          <w:tcPr>
            <w:tcW w:w="53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1B210B" w14:textId="5992E05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CF6BAE" w14:textId="77777777" w:rsidR="008B49EE" w:rsidRPr="006A2CD9" w:rsidRDefault="008B49EE">
            <w:pPr>
              <w:keepNext/>
              <w:rPr>
                <w:rFonts w:ascii="Arial Narrow" w:hAnsi="Arial Narrow"/>
                <w:iCs/>
                <w:sz w:val="20"/>
                <w:szCs w:val="20"/>
              </w:rPr>
            </w:pPr>
            <w:r w:rsidRPr="006A2CD9">
              <w:rPr>
                <w:rFonts w:ascii="Arial Narrow" w:hAnsi="Arial Narrow"/>
                <w:b/>
                <w:sz w:val="20"/>
                <w:szCs w:val="20"/>
              </w:rPr>
              <w:t xml:space="preserve">Category / Program:   </w:t>
            </w:r>
            <w:r w:rsidRPr="006A2CD9">
              <w:rPr>
                <w:rFonts w:ascii="Arial Narrow" w:hAnsi="Arial Narrow"/>
                <w:bCs/>
                <w:sz w:val="20"/>
                <w:szCs w:val="20"/>
              </w:rPr>
              <w:t>Section 100 Growth Hormone Program</w:t>
            </w:r>
            <w:r w:rsidRPr="006A2CD9">
              <w:rPr>
                <w:rFonts w:ascii="Arial Narrow" w:hAnsi="Arial Narrow"/>
                <w:b/>
                <w:sz w:val="20"/>
                <w:szCs w:val="20"/>
              </w:rPr>
              <w:t xml:space="preserve"> </w:t>
            </w:r>
          </w:p>
        </w:tc>
      </w:tr>
      <w:tr w:rsidR="006A2CD9" w:rsidRPr="006A2CD9" w14:paraId="14D2ABE9" w14:textId="77777777" w:rsidTr="008B49E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4D5F0" w14:textId="77777777" w:rsidR="008B49EE" w:rsidRPr="006A2CD9" w:rsidRDefault="008B49EE">
            <w:pPr>
              <w:jc w:val="left"/>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E01D59" w14:textId="77777777" w:rsidR="008B49EE" w:rsidRPr="006A2CD9" w:rsidRDefault="008B49EE">
            <w:pPr>
              <w:keepNext/>
              <w:rPr>
                <w:rFonts w:ascii="Arial Narrow" w:hAnsi="Arial Narrow"/>
                <w:b/>
                <w:sz w:val="20"/>
                <w:szCs w:val="20"/>
              </w:rPr>
            </w:pPr>
            <w:r w:rsidRPr="006A2CD9">
              <w:rPr>
                <w:rFonts w:ascii="Arial Narrow" w:hAnsi="Arial Narrow"/>
                <w:b/>
                <w:sz w:val="20"/>
                <w:szCs w:val="20"/>
              </w:rPr>
              <w:t xml:space="preserve">Prescriber type:   </w:t>
            </w:r>
            <w:r w:rsidRPr="006A2CD9">
              <w:rPr>
                <w:rFonts w:ascii="Arial Narrow" w:hAnsi="Arial Narrow"/>
                <w:sz w:val="20"/>
                <w:szCs w:val="20"/>
              </w:rPr>
              <w:fldChar w:fldCharType="begin">
                <w:ffData>
                  <w:name w:val=""/>
                  <w:enabled/>
                  <w:calcOnExit w:val="0"/>
                  <w:checkBox>
                    <w:sizeAuto/>
                    <w:default w:val="1"/>
                  </w:checkBox>
                </w:ffData>
              </w:fldChar>
            </w:r>
            <w:r w:rsidRPr="006A2CD9">
              <w:rPr>
                <w:rFonts w:ascii="Arial Narrow" w:hAnsi="Arial Narrow"/>
                <w:sz w:val="20"/>
                <w:szCs w:val="20"/>
              </w:rPr>
              <w:instrText xml:space="preserve"> FORMCHECKBOX </w:instrText>
            </w:r>
            <w:r w:rsidR="002A2C2E">
              <w:rPr>
                <w:rFonts w:ascii="Arial Narrow" w:hAnsi="Arial Narrow"/>
                <w:sz w:val="20"/>
                <w:szCs w:val="20"/>
              </w:rPr>
            </w:r>
            <w:r w:rsidR="002A2C2E">
              <w:rPr>
                <w:rFonts w:ascii="Arial Narrow" w:hAnsi="Arial Narrow"/>
                <w:sz w:val="20"/>
                <w:szCs w:val="20"/>
              </w:rPr>
              <w:fldChar w:fldCharType="separate"/>
            </w:r>
            <w:r w:rsidRPr="006A2CD9">
              <w:rPr>
                <w:rFonts w:ascii="Arial Narrow" w:hAnsi="Arial Narrow"/>
                <w:sz w:val="20"/>
                <w:szCs w:val="20"/>
              </w:rPr>
              <w:fldChar w:fldCharType="end"/>
            </w:r>
            <w:r w:rsidRPr="006A2CD9">
              <w:rPr>
                <w:rFonts w:ascii="Arial Narrow" w:hAnsi="Arial Narrow"/>
                <w:sz w:val="20"/>
                <w:szCs w:val="20"/>
              </w:rPr>
              <w:t xml:space="preserve"> Medical Practitioners    </w:t>
            </w:r>
          </w:p>
        </w:tc>
      </w:tr>
      <w:tr w:rsidR="006A2CD9" w:rsidRPr="006A2CD9" w14:paraId="4675C592" w14:textId="77777777" w:rsidTr="008B49EE">
        <w:tc>
          <w:tcPr>
            <w:tcW w:w="0" w:type="auto"/>
            <w:vMerge/>
            <w:tcBorders>
              <w:top w:val="single" w:sz="4" w:space="0" w:color="auto"/>
              <w:left w:val="single" w:sz="4" w:space="0" w:color="auto"/>
              <w:bottom w:val="single" w:sz="4" w:space="0" w:color="auto"/>
              <w:right w:val="single" w:sz="4" w:space="0" w:color="auto"/>
            </w:tcBorders>
            <w:vAlign w:val="center"/>
            <w:hideMark/>
          </w:tcPr>
          <w:p w14:paraId="7119D58B" w14:textId="77777777" w:rsidR="008B49EE" w:rsidRPr="006A2CD9" w:rsidRDefault="008B49EE">
            <w:pPr>
              <w:jc w:val="left"/>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2235C7" w14:textId="77777777" w:rsidR="008B49EE" w:rsidRPr="006A2CD9" w:rsidRDefault="008B49EE">
            <w:pPr>
              <w:keepNext/>
              <w:rPr>
                <w:rFonts w:ascii="Arial Narrow" w:eastAsia="Calibri" w:hAnsi="Arial Narrow"/>
                <w:sz w:val="20"/>
                <w:szCs w:val="20"/>
              </w:rPr>
            </w:pPr>
            <w:r w:rsidRPr="006A2CD9">
              <w:rPr>
                <w:rFonts w:ascii="Arial Narrow" w:hAnsi="Arial Narrow"/>
                <w:b/>
                <w:sz w:val="20"/>
                <w:szCs w:val="20"/>
              </w:rPr>
              <w:t>Restriction type:</w:t>
            </w:r>
            <w:r w:rsidRPr="006A2CD9">
              <w:rPr>
                <w:rFonts w:ascii="Arial Narrow" w:eastAsia="Calibri" w:hAnsi="Arial Narrow"/>
                <w:sz w:val="20"/>
                <w:szCs w:val="20"/>
              </w:rPr>
              <w:t xml:space="preserve"> </w:t>
            </w:r>
            <w:r w:rsidRPr="006A2CD9">
              <w:rPr>
                <w:rFonts w:ascii="Arial Narrow" w:eastAsia="Calibri" w:hAnsi="Arial Narrow"/>
                <w:sz w:val="20"/>
                <w:szCs w:val="20"/>
              </w:rPr>
              <w:fldChar w:fldCharType="begin">
                <w:ffData>
                  <w:name w:val="Check3"/>
                  <w:enabled/>
                  <w:calcOnExit w:val="0"/>
                  <w:checkBox>
                    <w:sizeAuto/>
                    <w:default w:val="1"/>
                  </w:checkBox>
                </w:ffData>
              </w:fldChar>
            </w:r>
            <w:r w:rsidRPr="006A2CD9">
              <w:rPr>
                <w:rFonts w:ascii="Arial Narrow" w:eastAsia="Calibri" w:hAnsi="Arial Narrow"/>
                <w:sz w:val="20"/>
                <w:szCs w:val="20"/>
              </w:rPr>
              <w:instrText xml:space="preserve"> FORMCHECKBOX </w:instrText>
            </w:r>
            <w:r w:rsidR="002A2C2E">
              <w:rPr>
                <w:rFonts w:ascii="Arial Narrow" w:eastAsia="Calibri" w:hAnsi="Arial Narrow"/>
                <w:sz w:val="20"/>
                <w:szCs w:val="20"/>
              </w:rPr>
            </w:r>
            <w:r w:rsidR="002A2C2E">
              <w:rPr>
                <w:rFonts w:ascii="Arial Narrow" w:eastAsia="Calibri" w:hAnsi="Arial Narrow"/>
                <w:sz w:val="20"/>
                <w:szCs w:val="20"/>
              </w:rPr>
              <w:fldChar w:fldCharType="separate"/>
            </w:r>
            <w:r w:rsidRPr="006A2CD9">
              <w:rPr>
                <w:rFonts w:ascii="Arial Narrow" w:eastAsia="Calibri" w:hAnsi="Arial Narrow"/>
                <w:sz w:val="20"/>
                <w:szCs w:val="20"/>
              </w:rPr>
              <w:fldChar w:fldCharType="end"/>
            </w:r>
            <w:r w:rsidRPr="006A2CD9">
              <w:rPr>
                <w:rFonts w:ascii="Arial Narrow" w:eastAsia="Calibri" w:hAnsi="Arial Narrow"/>
                <w:sz w:val="20"/>
                <w:szCs w:val="20"/>
              </w:rPr>
              <w:t xml:space="preserve"> Authority Required (In-writing only via post/HPOS upload)</w:t>
            </w:r>
          </w:p>
        </w:tc>
      </w:tr>
      <w:tr w:rsidR="006A2CD9" w:rsidRPr="006A2CD9" w14:paraId="155E0235"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9474F" w14:textId="77777777" w:rsidR="008B49EE" w:rsidRPr="006A2CD9" w:rsidRDefault="008B49EE">
            <w:pPr>
              <w:keepNext/>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A1704C" w14:textId="77777777" w:rsidR="008B49EE" w:rsidRPr="006A2CD9" w:rsidRDefault="008B49EE">
            <w:pPr>
              <w:keepNext/>
              <w:rPr>
                <w:rFonts w:ascii="Arial Narrow" w:hAnsi="Arial Narrow"/>
                <w:b/>
                <w:sz w:val="20"/>
                <w:szCs w:val="20"/>
              </w:rPr>
            </w:pPr>
          </w:p>
        </w:tc>
      </w:tr>
      <w:tr w:rsidR="006A2CD9" w:rsidRPr="006A2CD9" w14:paraId="0A1282A6" w14:textId="77777777" w:rsidTr="008B49EE">
        <w:trPr>
          <w:trHeight w:val="35"/>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614089" w14:textId="30E32753"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5C7BF"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u w:val="single"/>
              </w:rPr>
              <w:t>NOTE</w:t>
            </w:r>
            <w:r w:rsidRPr="006A2CD9">
              <w:rPr>
                <w:rFonts w:ascii="Arial Narrow" w:hAnsi="Arial Narrow"/>
                <w:b/>
                <w:bCs/>
                <w:sz w:val="20"/>
                <w:szCs w:val="20"/>
              </w:rPr>
              <w:t>:</w:t>
            </w:r>
          </w:p>
          <w:p w14:paraId="13FCCD85"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Any queries concerning the arrangements to prescribe may be directed to Services Australia on 1800 700 270 (hours of operation 8 a.m. to 5 p.m. Monday to Friday).</w:t>
            </w:r>
          </w:p>
          <w:p w14:paraId="646526C7"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178D9ABB"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2E75A3C5"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Or mailed to:</w:t>
            </w:r>
          </w:p>
          <w:p w14:paraId="72187A01"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Services Australia</w:t>
            </w:r>
          </w:p>
          <w:p w14:paraId="300D7678"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Complex Drugs</w:t>
            </w:r>
          </w:p>
          <w:p w14:paraId="0F86A80C" w14:textId="77777777" w:rsidR="008B49EE" w:rsidRPr="006A2CD9" w:rsidRDefault="008B49EE">
            <w:pPr>
              <w:ind w:right="57"/>
              <w:rPr>
                <w:rFonts w:ascii="Arial Narrow" w:hAnsi="Arial Narrow"/>
                <w:bCs/>
                <w:sz w:val="20"/>
                <w:szCs w:val="20"/>
              </w:rPr>
            </w:pPr>
            <w:r w:rsidRPr="006A2CD9">
              <w:rPr>
                <w:rFonts w:ascii="Arial Narrow" w:hAnsi="Arial Narrow"/>
                <w:bCs/>
                <w:sz w:val="20"/>
                <w:szCs w:val="20"/>
              </w:rPr>
              <w:t>Reply Paid 9826</w:t>
            </w:r>
          </w:p>
          <w:p w14:paraId="3BE98EA7" w14:textId="77777777" w:rsidR="008B49EE" w:rsidRPr="006A2CD9" w:rsidRDefault="008B49EE">
            <w:pPr>
              <w:ind w:right="57"/>
              <w:rPr>
                <w:rFonts w:ascii="Arial Narrow" w:hAnsi="Arial Narrow"/>
                <w:b/>
                <w:bCs/>
                <w:sz w:val="20"/>
                <w:szCs w:val="20"/>
                <w:u w:val="single"/>
              </w:rPr>
            </w:pPr>
            <w:r w:rsidRPr="006A2CD9">
              <w:rPr>
                <w:rFonts w:ascii="Arial Narrow" w:hAnsi="Arial Narrow"/>
                <w:bCs/>
                <w:sz w:val="20"/>
                <w:szCs w:val="20"/>
              </w:rPr>
              <w:t>HOBART TAS 7001</w:t>
            </w:r>
          </w:p>
        </w:tc>
      </w:tr>
      <w:tr w:rsidR="006A2CD9" w:rsidRPr="006A2CD9" w14:paraId="7306D065" w14:textId="77777777" w:rsidTr="008B49EE">
        <w:trPr>
          <w:trHeight w:val="35"/>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5E953C" w14:textId="1568784B"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8FDCFD" w14:textId="77777777" w:rsidR="008B49EE" w:rsidRPr="006A2CD9" w:rsidRDefault="008B49EE">
            <w:pPr>
              <w:ind w:right="57"/>
              <w:rPr>
                <w:rFonts w:ascii="Arial Narrow" w:hAnsi="Arial Narrow"/>
                <w:b/>
                <w:bCs/>
                <w:sz w:val="20"/>
                <w:szCs w:val="20"/>
                <w:u w:val="single"/>
              </w:rPr>
            </w:pPr>
            <w:r w:rsidRPr="006A2CD9">
              <w:rPr>
                <w:rFonts w:ascii="Arial Narrow" w:hAnsi="Arial Narrow"/>
                <w:b/>
                <w:bCs/>
                <w:sz w:val="20"/>
                <w:szCs w:val="20"/>
                <w:u w:val="single"/>
              </w:rPr>
              <w:t>NOTE:</w:t>
            </w:r>
          </w:p>
          <w:p w14:paraId="3A1DBD9D" w14:textId="77777777" w:rsidR="008B49EE" w:rsidRPr="006A2CD9" w:rsidRDefault="008B49EE">
            <w:pPr>
              <w:ind w:right="57"/>
              <w:rPr>
                <w:rFonts w:ascii="Arial Narrow" w:hAnsi="Arial Narrow"/>
                <w:sz w:val="20"/>
                <w:szCs w:val="20"/>
              </w:rPr>
            </w:pPr>
            <w:r w:rsidRPr="006A2CD9">
              <w:rPr>
                <w:rFonts w:ascii="Arial Narrow" w:hAnsi="Arial Narrow"/>
                <w:sz w:val="20"/>
                <w:szCs w:val="20"/>
              </w:rPr>
              <w:lastRenderedPageBreak/>
              <w:t>Transitioning from non-PBS to PBS-subsidised supply -– ‘Grandfather’ arrangements:</w:t>
            </w:r>
          </w:p>
          <w:p w14:paraId="21FFF280" w14:textId="77777777" w:rsidR="008B49EE" w:rsidRPr="006A2CD9" w:rsidRDefault="008B49EE">
            <w:pPr>
              <w:ind w:right="57"/>
              <w:rPr>
                <w:rFonts w:ascii="Arial Narrow" w:hAnsi="Arial Narrow"/>
                <w:sz w:val="20"/>
                <w:szCs w:val="20"/>
                <w:u w:val="single"/>
              </w:rPr>
            </w:pPr>
            <w:r w:rsidRPr="006A2CD9">
              <w:rPr>
                <w:rFonts w:ascii="Arial Narrow" w:hAnsi="Arial Narrow"/>
                <w:sz w:val="20"/>
                <w:szCs w:val="20"/>
              </w:rPr>
              <w:t>Apply under the ‘Initial treatment’ listing once only.  Interpret the eligibility criteria in the context of when the patient initiated non-PBS supply.</w:t>
            </w:r>
            <w:r w:rsidRPr="006A2CD9">
              <w:rPr>
                <w:rFonts w:ascii="Arial Narrow" w:hAnsi="Arial Narrow"/>
                <w:sz w:val="20"/>
                <w:szCs w:val="20"/>
                <w:u w:val="single"/>
              </w:rPr>
              <w:t xml:space="preserve"> </w:t>
            </w:r>
          </w:p>
        </w:tc>
      </w:tr>
      <w:tr w:rsidR="006A2CD9" w:rsidRPr="006A2CD9" w14:paraId="7E51E350" w14:textId="77777777" w:rsidTr="008B49EE">
        <w:trPr>
          <w:trHeight w:val="35"/>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759FDC"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82ADCA" w14:textId="77777777" w:rsidR="008B49EE" w:rsidRPr="006A2CD9" w:rsidRDefault="008B49EE">
            <w:pPr>
              <w:ind w:right="57"/>
              <w:rPr>
                <w:rFonts w:ascii="Arial Narrow" w:hAnsi="Arial Narrow"/>
                <w:b/>
                <w:bCs/>
                <w:sz w:val="20"/>
                <w:szCs w:val="20"/>
                <w:u w:val="single"/>
              </w:rPr>
            </w:pPr>
          </w:p>
        </w:tc>
      </w:tr>
      <w:tr w:rsidR="006A2CD9" w:rsidRPr="006A2CD9" w14:paraId="2CC4BFAD"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237F3" w14:textId="63DB8041"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94ABC" w14:textId="77777777" w:rsidR="008B49EE" w:rsidRPr="006A2CD9" w:rsidRDefault="008B49EE">
            <w:pPr>
              <w:rPr>
                <w:rFonts w:ascii="Arial Narrow" w:hAnsi="Arial Narrow"/>
                <w:sz w:val="20"/>
                <w:szCs w:val="20"/>
              </w:rPr>
            </w:pPr>
            <w:r w:rsidRPr="006A2CD9">
              <w:rPr>
                <w:rFonts w:ascii="Arial Narrow" w:hAnsi="Arial Narrow"/>
                <w:b/>
                <w:bCs/>
                <w:sz w:val="20"/>
                <w:szCs w:val="20"/>
              </w:rPr>
              <w:t>Indication:</w:t>
            </w:r>
            <w:r w:rsidRPr="006A2CD9">
              <w:rPr>
                <w:rFonts w:ascii="Arial Narrow" w:hAnsi="Arial Narrow"/>
                <w:sz w:val="20"/>
                <w:szCs w:val="20"/>
              </w:rPr>
              <w:t xml:space="preserve"> Severe growth failure with primary insulin-like growth factor-1 deficiency</w:t>
            </w:r>
          </w:p>
        </w:tc>
      </w:tr>
      <w:tr w:rsidR="006A2CD9" w:rsidRPr="006A2CD9" w14:paraId="0F40EECB"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A1E3A"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64A66" w14:textId="77777777" w:rsidR="008B49EE" w:rsidRPr="006A2CD9" w:rsidRDefault="008B49EE">
            <w:pPr>
              <w:rPr>
                <w:rFonts w:ascii="Arial Narrow" w:hAnsi="Arial Narrow"/>
                <w:b/>
                <w:bCs/>
                <w:sz w:val="20"/>
                <w:szCs w:val="20"/>
              </w:rPr>
            </w:pPr>
          </w:p>
        </w:tc>
      </w:tr>
      <w:tr w:rsidR="006A2CD9" w:rsidRPr="006A2CD9" w14:paraId="6613D04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59D04"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56FED" w14:textId="77777777" w:rsidR="008B49EE" w:rsidRPr="006A2CD9" w:rsidRDefault="008B49EE">
            <w:pPr>
              <w:rPr>
                <w:rFonts w:ascii="Arial Narrow" w:hAnsi="Arial Narrow"/>
                <w:sz w:val="20"/>
                <w:szCs w:val="20"/>
              </w:rPr>
            </w:pPr>
            <w:r w:rsidRPr="006A2CD9">
              <w:rPr>
                <w:rFonts w:ascii="Arial Narrow" w:hAnsi="Arial Narrow"/>
                <w:b/>
                <w:bCs/>
                <w:sz w:val="20"/>
                <w:szCs w:val="20"/>
              </w:rPr>
              <w:t>Treatment Phase:</w:t>
            </w:r>
            <w:r w:rsidRPr="006A2CD9">
              <w:rPr>
                <w:rFonts w:ascii="Arial Narrow" w:hAnsi="Arial Narrow"/>
                <w:sz w:val="20"/>
                <w:szCs w:val="20"/>
              </w:rPr>
              <w:t xml:space="preserve"> Initial treatment</w:t>
            </w:r>
          </w:p>
        </w:tc>
      </w:tr>
      <w:tr w:rsidR="006A2CD9" w:rsidRPr="006A2CD9" w14:paraId="2F36250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942CE"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F48F9C" w14:textId="77777777" w:rsidR="008B49EE" w:rsidRPr="006A2CD9" w:rsidRDefault="008B49EE">
            <w:pPr>
              <w:rPr>
                <w:rFonts w:ascii="Arial Narrow" w:hAnsi="Arial Narrow"/>
                <w:b/>
                <w:bCs/>
                <w:sz w:val="20"/>
                <w:szCs w:val="20"/>
              </w:rPr>
            </w:pPr>
          </w:p>
        </w:tc>
      </w:tr>
      <w:tr w:rsidR="006A2CD9" w:rsidRPr="006A2CD9" w14:paraId="4814103F"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7FAE0"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A04216" w14:textId="77777777" w:rsidR="008B49EE" w:rsidRPr="006A2CD9" w:rsidRDefault="008B49EE">
            <w:pPr>
              <w:rPr>
                <w:rFonts w:ascii="Arial Narrow" w:hAnsi="Arial Narrow"/>
                <w:sz w:val="20"/>
                <w:szCs w:val="20"/>
              </w:rPr>
            </w:pPr>
            <w:r w:rsidRPr="006A2CD9">
              <w:rPr>
                <w:rFonts w:ascii="Arial Narrow" w:hAnsi="Arial Narrow"/>
                <w:b/>
                <w:bCs/>
                <w:sz w:val="20"/>
                <w:szCs w:val="20"/>
              </w:rPr>
              <w:t xml:space="preserve">Clinical criteria: </w:t>
            </w:r>
          </w:p>
        </w:tc>
      </w:tr>
      <w:tr w:rsidR="006A2CD9" w:rsidRPr="006A2CD9" w14:paraId="01FE1897"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C01AF3" w14:textId="76D4217D"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D6C2DB" w14:textId="77777777" w:rsidR="008B49EE" w:rsidRPr="006A2CD9" w:rsidRDefault="008B49EE">
            <w:pPr>
              <w:ind w:right="57"/>
              <w:rPr>
                <w:rFonts w:ascii="Arial Narrow" w:hAnsi="Arial Narrow"/>
                <w:sz w:val="20"/>
                <w:szCs w:val="20"/>
              </w:rPr>
            </w:pPr>
            <w:r w:rsidRPr="006A2CD9">
              <w:rPr>
                <w:rFonts w:ascii="Arial Narrow" w:hAnsi="Arial Narrow" w:cs="Arial Narrow"/>
                <w:iCs/>
                <w:sz w:val="20"/>
                <w:szCs w:val="20"/>
              </w:rPr>
              <w:t>The condition must be caused by severe primary insulin-like growth factor-1 deficiency (IGFD), with IGFD deficiency for the purpose of PBS-subsidy defined as a basal IGF-1 level (measured any time prior to initiating treatment with this drug) below the 2.5</w:t>
            </w:r>
            <w:r w:rsidRPr="006A2CD9">
              <w:rPr>
                <w:rFonts w:ascii="Arial Narrow" w:hAnsi="Arial Narrow" w:cs="Arial Narrow"/>
                <w:iCs/>
                <w:sz w:val="20"/>
                <w:szCs w:val="20"/>
                <w:vertAlign w:val="superscript"/>
              </w:rPr>
              <w:t>th</w:t>
            </w:r>
            <w:r w:rsidRPr="006A2CD9">
              <w:rPr>
                <w:rFonts w:ascii="Arial Narrow" w:hAnsi="Arial Narrow" w:cs="Arial Narrow"/>
                <w:iCs/>
                <w:sz w:val="20"/>
                <w:szCs w:val="20"/>
              </w:rPr>
              <w:t xml:space="preserve"> percentile adjusted for each of: (</w:t>
            </w:r>
            <w:proofErr w:type="spellStart"/>
            <w:r w:rsidRPr="006A2CD9">
              <w:rPr>
                <w:rFonts w:ascii="Arial Narrow" w:hAnsi="Arial Narrow" w:cs="Arial Narrow"/>
                <w:iCs/>
                <w:sz w:val="20"/>
                <w:szCs w:val="20"/>
              </w:rPr>
              <w:t>i</w:t>
            </w:r>
            <w:proofErr w:type="spellEnd"/>
            <w:r w:rsidRPr="006A2CD9">
              <w:rPr>
                <w:rFonts w:ascii="Arial Narrow" w:hAnsi="Arial Narrow" w:cs="Arial Narrow"/>
                <w:iCs/>
                <w:sz w:val="20"/>
                <w:szCs w:val="20"/>
              </w:rPr>
              <w:t xml:space="preserve">) age, (ii) gender </w:t>
            </w:r>
          </w:p>
        </w:tc>
      </w:tr>
      <w:tr w:rsidR="006A2CD9" w:rsidRPr="006A2CD9" w14:paraId="54742AE9"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0201D8"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D7CA9"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55E9714F"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9F2129"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7E6AD"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Clinical criteria:</w:t>
            </w:r>
          </w:p>
        </w:tc>
      </w:tr>
      <w:tr w:rsidR="006A2CD9" w:rsidRPr="006A2CD9" w14:paraId="351B7A63"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ACC447" w14:textId="4315BD7C"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2DD2B"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condition must have resulted in the patient experiencing short stature, with short stature for the purpose of PBS-subsidy defined as the patient’s height (measured any time prior to initiating treatment with this drug) being at least 3 standard deviations below the norm, adjusted for each of: (</w:t>
            </w:r>
            <w:proofErr w:type="spellStart"/>
            <w:r w:rsidRPr="006A2CD9">
              <w:rPr>
                <w:rFonts w:ascii="Arial Narrow" w:hAnsi="Arial Narrow"/>
                <w:sz w:val="20"/>
                <w:szCs w:val="20"/>
              </w:rPr>
              <w:t>i</w:t>
            </w:r>
            <w:proofErr w:type="spellEnd"/>
            <w:r w:rsidRPr="006A2CD9">
              <w:rPr>
                <w:rFonts w:ascii="Arial Narrow" w:hAnsi="Arial Narrow"/>
                <w:sz w:val="20"/>
                <w:szCs w:val="20"/>
              </w:rPr>
              <w:t xml:space="preserve">) age, (ii) gender </w:t>
            </w:r>
          </w:p>
        </w:tc>
      </w:tr>
      <w:tr w:rsidR="006A2CD9" w:rsidRPr="006A2CD9" w14:paraId="55384B6B"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2F18B"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694993"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2089824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B2187E"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284B3"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Clinical criteria:</w:t>
            </w:r>
          </w:p>
        </w:tc>
      </w:tr>
      <w:tr w:rsidR="006A2CD9" w:rsidRPr="006A2CD9" w14:paraId="3BE4FD35"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586B16" w14:textId="3413084D"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0FDCA" w14:textId="7D080487" w:rsidR="008B49EE" w:rsidRPr="006A2CD9" w:rsidRDefault="008B49EE" w:rsidP="00487FBB">
            <w:pPr>
              <w:ind w:right="57"/>
              <w:rPr>
                <w:rFonts w:ascii="Arial Narrow" w:hAnsi="Arial Narrow"/>
                <w:sz w:val="20"/>
                <w:szCs w:val="20"/>
              </w:rPr>
            </w:pPr>
            <w:r w:rsidRPr="006A2CD9">
              <w:rPr>
                <w:rFonts w:ascii="Arial Narrow" w:hAnsi="Arial Narrow"/>
                <w:sz w:val="20"/>
                <w:szCs w:val="20"/>
              </w:rPr>
              <w:t xml:space="preserve">The condition must have resulted in the patient experiencing slow growth, with slow growth for the purpose of PBS-subsidy defined as a baseline height velocity on 2000 </w:t>
            </w:r>
            <w:proofErr w:type="spellStart"/>
            <w:r w:rsidRPr="006A2CD9">
              <w:rPr>
                <w:rFonts w:ascii="Arial Narrow" w:hAnsi="Arial Narrow"/>
                <w:sz w:val="20"/>
                <w:szCs w:val="20"/>
              </w:rPr>
              <w:t>Centers</w:t>
            </w:r>
            <w:proofErr w:type="spellEnd"/>
            <w:r w:rsidRPr="006A2CD9">
              <w:rPr>
                <w:rFonts w:ascii="Arial Narrow" w:hAnsi="Arial Narrow"/>
                <w:sz w:val="20"/>
                <w:szCs w:val="20"/>
              </w:rPr>
              <w:t xml:space="preserve"> for Disease Control growth charts (measured any time prior to initiating treatment with this drug) less than the 25</w:t>
            </w:r>
            <w:r w:rsidRPr="006A2CD9">
              <w:rPr>
                <w:rFonts w:ascii="Arial Narrow" w:hAnsi="Arial Narrow"/>
                <w:sz w:val="20"/>
                <w:szCs w:val="20"/>
                <w:vertAlign w:val="superscript"/>
              </w:rPr>
              <w:t>th</w:t>
            </w:r>
            <w:r w:rsidRPr="006A2CD9">
              <w:rPr>
                <w:rFonts w:ascii="Arial Narrow" w:hAnsi="Arial Narrow"/>
                <w:sz w:val="20"/>
                <w:szCs w:val="20"/>
              </w:rPr>
              <w:t xml:space="preserve"> percentile for bone age, based on 2 measurements over 12 months</w:t>
            </w:r>
          </w:p>
        </w:tc>
      </w:tr>
      <w:tr w:rsidR="006A2CD9" w:rsidRPr="006A2CD9" w14:paraId="7E3BDEE7"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2B763"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D248B3"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rPr>
              <w:t>AND</w:t>
            </w:r>
          </w:p>
        </w:tc>
      </w:tr>
      <w:tr w:rsidR="006A2CD9" w:rsidRPr="006A2CD9" w14:paraId="2091CF1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E348FD"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740286"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rPr>
              <w:t>Clinical criteria:</w:t>
            </w:r>
          </w:p>
        </w:tc>
      </w:tr>
      <w:tr w:rsidR="006A2CD9" w:rsidRPr="006A2CD9" w14:paraId="655E9A67"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C3258A" w14:textId="59324C09"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83D3BC" w14:textId="0D6342DC" w:rsidR="001869DE" w:rsidRPr="006A2CD9" w:rsidRDefault="001869DE" w:rsidP="00C936EE">
            <w:pPr>
              <w:ind w:right="57"/>
              <w:rPr>
                <w:rFonts w:ascii="Arial Narrow" w:hAnsi="Arial Narrow"/>
                <w:sz w:val="20"/>
                <w:szCs w:val="20"/>
              </w:rPr>
            </w:pPr>
            <w:r w:rsidRPr="006A2CD9">
              <w:rPr>
                <w:rFonts w:ascii="Arial Narrow" w:hAnsi="Arial Narrow"/>
                <w:sz w:val="20"/>
                <w:szCs w:val="20"/>
              </w:rPr>
              <w:t>The condition must not be caused by growth hormone deficiency</w:t>
            </w:r>
            <w:r w:rsidRPr="006A2CD9">
              <w:rPr>
                <w:rFonts w:ascii="Arial Narrow" w:hAnsi="Arial Narrow"/>
                <w:snapToGrid w:val="0"/>
                <w:sz w:val="20"/>
                <w:szCs w:val="20"/>
              </w:rPr>
              <w:t>.</w:t>
            </w:r>
          </w:p>
        </w:tc>
      </w:tr>
      <w:tr w:rsidR="006A2CD9" w:rsidRPr="006A2CD9" w14:paraId="679CA2AA"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5649B7"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56EBAF"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153C744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194AF7"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5DE590"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Clinical criteria:</w:t>
            </w:r>
          </w:p>
        </w:tc>
      </w:tr>
      <w:tr w:rsidR="006A2CD9" w:rsidRPr="006A2CD9" w14:paraId="3F549B6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636D0" w14:textId="799BDBD8"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B1B409" w14:textId="77777777" w:rsidR="008B49EE" w:rsidRPr="006A2CD9" w:rsidRDefault="008B49EE">
            <w:pPr>
              <w:ind w:right="57"/>
              <w:rPr>
                <w:rFonts w:ascii="Arial Narrow" w:hAnsi="Arial Narrow"/>
                <w:sz w:val="20"/>
                <w:szCs w:val="20"/>
              </w:rPr>
            </w:pPr>
            <w:r w:rsidRPr="006A2CD9">
              <w:rPr>
                <w:rFonts w:ascii="Arial Narrow" w:hAnsi="Arial Narrow"/>
                <w:sz w:val="20"/>
                <w:szCs w:val="20"/>
              </w:rPr>
              <w:t>Patient must have a bone age of less than 13.5 years (females); or</w:t>
            </w:r>
          </w:p>
        </w:tc>
      </w:tr>
      <w:tr w:rsidR="006A2CD9" w:rsidRPr="006A2CD9" w14:paraId="40F3EAB4"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D9B779" w14:textId="6B4DE0DB"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6071A0" w14:textId="77777777" w:rsidR="008B49EE" w:rsidRPr="006A2CD9" w:rsidRDefault="008B49EE">
            <w:pPr>
              <w:ind w:right="57"/>
              <w:rPr>
                <w:rFonts w:ascii="Arial Narrow" w:hAnsi="Arial Narrow"/>
                <w:sz w:val="20"/>
                <w:szCs w:val="20"/>
              </w:rPr>
            </w:pPr>
            <w:r w:rsidRPr="006A2CD9">
              <w:rPr>
                <w:rFonts w:ascii="Arial Narrow" w:hAnsi="Arial Narrow"/>
                <w:sz w:val="20"/>
                <w:szCs w:val="20"/>
              </w:rPr>
              <w:t>Patient must have a bone age of less than 15.5 years (males)</w:t>
            </w:r>
          </w:p>
        </w:tc>
      </w:tr>
      <w:tr w:rsidR="006A2CD9" w:rsidRPr="006A2CD9" w14:paraId="4F0752C9"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FE496"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714F99"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rPr>
              <w:t>AND</w:t>
            </w:r>
          </w:p>
        </w:tc>
      </w:tr>
      <w:tr w:rsidR="006A2CD9" w:rsidRPr="006A2CD9" w14:paraId="5F494472"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FFB751"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289782"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rPr>
              <w:t>Clinical criteria:</w:t>
            </w:r>
          </w:p>
        </w:tc>
      </w:tr>
      <w:tr w:rsidR="006A2CD9" w:rsidRPr="006A2CD9" w14:paraId="398714FA"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D3AAC0" w14:textId="24C769B2"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A395B"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condition must not be caused by secondary causes of IGFD – prior to initiating treatment with this drug, the treating physician has at least excluded each of the following: (</w:t>
            </w:r>
            <w:proofErr w:type="spellStart"/>
            <w:r w:rsidRPr="006A2CD9">
              <w:rPr>
                <w:rFonts w:ascii="Arial Narrow" w:hAnsi="Arial Narrow"/>
                <w:sz w:val="20"/>
                <w:szCs w:val="20"/>
              </w:rPr>
              <w:t>i</w:t>
            </w:r>
            <w:proofErr w:type="spellEnd"/>
            <w:r w:rsidRPr="006A2CD9">
              <w:rPr>
                <w:rFonts w:ascii="Arial Narrow" w:hAnsi="Arial Narrow"/>
                <w:sz w:val="20"/>
                <w:szCs w:val="20"/>
              </w:rPr>
              <w:t>) malnutrition, (ii) hypopituitarism, (iii) hypothyroidism, (iv) medication side-effects</w:t>
            </w:r>
          </w:p>
        </w:tc>
      </w:tr>
      <w:tr w:rsidR="006A2CD9" w:rsidRPr="006A2CD9" w14:paraId="044DF6D4"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3C8826"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3FDEAA"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41C60C16"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2D90A"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D2D0D"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Clinical criteria:</w:t>
            </w:r>
          </w:p>
        </w:tc>
      </w:tr>
      <w:tr w:rsidR="006A2CD9" w:rsidRPr="006A2CD9" w14:paraId="40B9F279"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A82F4" w14:textId="112E8D29"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0EB81D"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treatment must not be in a patient with known epiphyseal closure/growth plate fusion (</w:t>
            </w:r>
            <w:proofErr w:type="gramStart"/>
            <w:r w:rsidRPr="006A2CD9">
              <w:rPr>
                <w:rFonts w:ascii="Arial Narrow" w:hAnsi="Arial Narrow"/>
                <w:sz w:val="20"/>
                <w:szCs w:val="20"/>
              </w:rPr>
              <w:t>i.e.</w:t>
            </w:r>
            <w:proofErr w:type="gramEnd"/>
            <w:r w:rsidRPr="006A2CD9">
              <w:rPr>
                <w:rFonts w:ascii="Arial Narrow" w:hAnsi="Arial Narrow"/>
                <w:sz w:val="20"/>
                <w:szCs w:val="20"/>
              </w:rPr>
              <w:t xml:space="preserve"> the patient is known to have ceased growing)</w:t>
            </w:r>
          </w:p>
        </w:tc>
      </w:tr>
      <w:tr w:rsidR="006A2CD9" w:rsidRPr="006A2CD9" w14:paraId="62F27ECA"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7DFCD"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19F21" w14:textId="77777777" w:rsidR="008B49EE" w:rsidRPr="006A2CD9" w:rsidRDefault="008B49EE">
            <w:pPr>
              <w:ind w:right="57"/>
              <w:rPr>
                <w:rFonts w:ascii="Arial Narrow" w:hAnsi="Arial Narrow"/>
                <w:sz w:val="20"/>
                <w:szCs w:val="20"/>
              </w:rPr>
            </w:pPr>
          </w:p>
        </w:tc>
      </w:tr>
      <w:tr w:rsidR="006A2CD9" w:rsidRPr="006A2CD9" w14:paraId="2B709A5A"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F7085E"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08B0BA"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Treatment criteria:</w:t>
            </w:r>
          </w:p>
        </w:tc>
      </w:tr>
      <w:tr w:rsidR="006A2CD9" w:rsidRPr="006A2CD9" w14:paraId="2A5A99E6"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DE2CD0" w14:textId="41EA19EA"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69F14A" w14:textId="0029A330" w:rsidR="008B49EE" w:rsidRPr="006A2CD9" w:rsidRDefault="008B49EE" w:rsidP="00C936EE">
            <w:pPr>
              <w:ind w:right="57"/>
              <w:rPr>
                <w:rFonts w:ascii="Arial Narrow" w:hAnsi="Arial Narrow"/>
                <w:sz w:val="20"/>
                <w:szCs w:val="20"/>
              </w:rPr>
            </w:pPr>
            <w:r w:rsidRPr="006A2CD9">
              <w:rPr>
                <w:rFonts w:ascii="Arial Narrow" w:hAnsi="Arial Narrow"/>
                <w:sz w:val="20"/>
                <w:szCs w:val="20"/>
              </w:rPr>
              <w:t xml:space="preserve">Must be treated by a paediatric endocrinologist; the authority application must be completed </w:t>
            </w:r>
            <w:proofErr w:type="gramStart"/>
            <w:r w:rsidRPr="006A2CD9">
              <w:rPr>
                <w:rFonts w:ascii="Arial Narrow" w:hAnsi="Arial Narrow"/>
                <w:sz w:val="20"/>
                <w:szCs w:val="20"/>
              </w:rPr>
              <w:t>by  this</w:t>
            </w:r>
            <w:proofErr w:type="gramEnd"/>
            <w:r w:rsidRPr="006A2CD9">
              <w:rPr>
                <w:rFonts w:ascii="Arial Narrow" w:hAnsi="Arial Narrow"/>
                <w:sz w:val="20"/>
                <w:szCs w:val="20"/>
              </w:rPr>
              <w:t xml:space="preserve"> physician type; or</w:t>
            </w:r>
          </w:p>
        </w:tc>
      </w:tr>
      <w:tr w:rsidR="006A2CD9" w:rsidRPr="006A2CD9" w14:paraId="6E016E7E"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CEC353" w14:textId="4CF0EC71"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283EE3" w14:textId="77777777" w:rsidR="008B49EE" w:rsidRPr="006A2CD9" w:rsidRDefault="008B49EE">
            <w:pPr>
              <w:autoSpaceDE w:val="0"/>
              <w:autoSpaceDN w:val="0"/>
              <w:adjustRightInd w:val="0"/>
              <w:ind w:right="57"/>
              <w:rPr>
                <w:rFonts w:ascii="Arial Narrow" w:hAnsi="Arial Narrow" w:cs="Arial Narrow"/>
                <w:iCs/>
                <w:sz w:val="20"/>
                <w:szCs w:val="20"/>
              </w:rPr>
            </w:pPr>
            <w:r w:rsidRPr="006A2CD9">
              <w:rPr>
                <w:rFonts w:ascii="Arial Narrow" w:hAnsi="Arial Narrow"/>
                <w:sz w:val="20"/>
                <w:szCs w:val="20"/>
              </w:rPr>
              <w:t xml:space="preserve">Must be treated by a paediatrician who has consulted the above mentioned specialist type; the authority </w:t>
            </w:r>
            <w:proofErr w:type="gramStart"/>
            <w:r w:rsidRPr="006A2CD9">
              <w:rPr>
                <w:rFonts w:ascii="Arial Narrow" w:hAnsi="Arial Narrow"/>
                <w:sz w:val="20"/>
                <w:szCs w:val="20"/>
              </w:rPr>
              <w:t>application  must</w:t>
            </w:r>
            <w:proofErr w:type="gramEnd"/>
            <w:r w:rsidRPr="006A2CD9">
              <w:rPr>
                <w:rFonts w:ascii="Arial Narrow" w:hAnsi="Arial Narrow"/>
                <w:sz w:val="20"/>
                <w:szCs w:val="20"/>
              </w:rPr>
              <w:t xml:space="preserve"> be completed by this paediatrician.</w:t>
            </w:r>
          </w:p>
        </w:tc>
      </w:tr>
      <w:tr w:rsidR="006A2CD9" w:rsidRPr="006A2CD9" w14:paraId="276B7C7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8C46B"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942566" w14:textId="77777777" w:rsidR="008B49EE" w:rsidRPr="006A2CD9" w:rsidRDefault="008B49EE">
            <w:pPr>
              <w:autoSpaceDE w:val="0"/>
              <w:autoSpaceDN w:val="0"/>
              <w:adjustRightInd w:val="0"/>
              <w:ind w:right="57"/>
              <w:rPr>
                <w:rFonts w:ascii="Arial Narrow" w:hAnsi="Arial Narrow"/>
                <w:sz w:val="20"/>
                <w:szCs w:val="20"/>
              </w:rPr>
            </w:pPr>
          </w:p>
        </w:tc>
      </w:tr>
      <w:tr w:rsidR="006A2CD9" w:rsidRPr="006A2CD9" w14:paraId="4042F79B"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1D257"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3F44E6"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Population criteria:</w:t>
            </w:r>
          </w:p>
        </w:tc>
      </w:tr>
      <w:tr w:rsidR="006A2CD9" w:rsidRPr="006A2CD9" w14:paraId="43189944"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1DD28" w14:textId="51AB7B00"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2E3E4C" w14:textId="12D318D4" w:rsidR="008B49EE" w:rsidRPr="006A2CD9" w:rsidRDefault="008B49EE" w:rsidP="001869DE">
            <w:pPr>
              <w:ind w:right="57"/>
              <w:rPr>
                <w:rFonts w:ascii="Arial Narrow" w:hAnsi="Arial Narrow"/>
                <w:sz w:val="20"/>
                <w:szCs w:val="20"/>
              </w:rPr>
            </w:pPr>
            <w:r w:rsidRPr="006A2CD9">
              <w:rPr>
                <w:rFonts w:ascii="Arial Narrow" w:hAnsi="Arial Narrow"/>
                <w:sz w:val="20"/>
                <w:szCs w:val="20"/>
              </w:rPr>
              <w:t>Patient must be aged from 2 years up until their 1</w:t>
            </w:r>
            <w:r w:rsidR="001869DE" w:rsidRPr="006A2CD9">
              <w:rPr>
                <w:rFonts w:ascii="Arial Narrow" w:hAnsi="Arial Narrow"/>
                <w:sz w:val="20"/>
                <w:szCs w:val="20"/>
              </w:rPr>
              <w:t>9</w:t>
            </w:r>
            <w:r w:rsidRPr="006A2CD9">
              <w:rPr>
                <w:rFonts w:ascii="Arial Narrow" w:hAnsi="Arial Narrow"/>
                <w:sz w:val="20"/>
                <w:szCs w:val="20"/>
                <w:vertAlign w:val="superscript"/>
              </w:rPr>
              <w:t>th</w:t>
            </w:r>
            <w:r w:rsidRPr="006A2CD9">
              <w:rPr>
                <w:rFonts w:ascii="Arial Narrow" w:hAnsi="Arial Narrow"/>
                <w:sz w:val="20"/>
                <w:szCs w:val="20"/>
              </w:rPr>
              <w:t xml:space="preserve"> birthday </w:t>
            </w:r>
          </w:p>
        </w:tc>
      </w:tr>
      <w:tr w:rsidR="006A2CD9" w:rsidRPr="006A2CD9" w14:paraId="3CC1FAF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C8D44"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841FBA" w14:textId="77777777" w:rsidR="008B49EE" w:rsidRPr="006A2CD9" w:rsidRDefault="008B49EE">
            <w:pPr>
              <w:ind w:right="57"/>
              <w:rPr>
                <w:rFonts w:ascii="Arial Narrow" w:hAnsi="Arial Narrow"/>
                <w:sz w:val="20"/>
                <w:szCs w:val="20"/>
              </w:rPr>
            </w:pPr>
          </w:p>
        </w:tc>
      </w:tr>
      <w:tr w:rsidR="006A2CD9" w:rsidRPr="006A2CD9" w14:paraId="110C697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0A3DF3" w14:textId="72EB9949"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F76339" w14:textId="77777777" w:rsidR="008B49EE" w:rsidRPr="006A2CD9" w:rsidRDefault="008B49EE">
            <w:pPr>
              <w:ind w:right="57"/>
              <w:rPr>
                <w:rFonts w:ascii="Arial Narrow" w:hAnsi="Arial Narrow" w:cs="Arial Narrow"/>
                <w:b/>
                <w:iCs/>
                <w:sz w:val="20"/>
                <w:szCs w:val="20"/>
              </w:rPr>
            </w:pPr>
            <w:r w:rsidRPr="006A2CD9">
              <w:rPr>
                <w:rFonts w:ascii="Arial Narrow" w:hAnsi="Arial Narrow" w:cs="Arial Narrow"/>
                <w:b/>
                <w:iCs/>
                <w:sz w:val="20"/>
                <w:szCs w:val="20"/>
              </w:rPr>
              <w:t>Prescribing Instructions:</w:t>
            </w:r>
          </w:p>
          <w:p w14:paraId="47A67AA4"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authority application must be made in writing and must include:</w:t>
            </w:r>
          </w:p>
          <w:p w14:paraId="58BBC5DC" w14:textId="77777777" w:rsidR="008B49EE" w:rsidRPr="006A2CD9" w:rsidRDefault="008B49EE">
            <w:pPr>
              <w:ind w:right="57"/>
              <w:rPr>
                <w:rFonts w:ascii="Arial Narrow" w:hAnsi="Arial Narrow"/>
                <w:sz w:val="20"/>
                <w:szCs w:val="20"/>
              </w:rPr>
            </w:pPr>
            <w:r w:rsidRPr="006A2CD9">
              <w:rPr>
                <w:rFonts w:ascii="Arial Narrow" w:hAnsi="Arial Narrow"/>
                <w:sz w:val="20"/>
                <w:szCs w:val="20"/>
              </w:rPr>
              <w:t>(1) a completed authority prescription form; and</w:t>
            </w:r>
          </w:p>
          <w:p w14:paraId="36A2726C" w14:textId="77777777" w:rsidR="008B49EE" w:rsidRPr="006A2CD9" w:rsidRDefault="008B49EE" w:rsidP="00E358D7">
            <w:pPr>
              <w:ind w:right="57"/>
              <w:jc w:val="left"/>
              <w:rPr>
                <w:rFonts w:ascii="Arial Narrow" w:hAnsi="Arial Narrow"/>
                <w:sz w:val="20"/>
                <w:szCs w:val="20"/>
              </w:rPr>
            </w:pPr>
            <w:r w:rsidRPr="006A2CD9">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6A2CD9" w:rsidRPr="006A2CD9" w14:paraId="6E88649E"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F36FA" w14:textId="53647C21"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D0930" w14:textId="77777777" w:rsidR="008B49EE" w:rsidRPr="006A2CD9" w:rsidRDefault="008B49EE">
            <w:pPr>
              <w:ind w:right="57"/>
              <w:rPr>
                <w:rFonts w:ascii="Arial Narrow" w:hAnsi="Arial Narrow"/>
                <w:b/>
                <w:bCs/>
                <w:sz w:val="20"/>
                <w:szCs w:val="20"/>
              </w:rPr>
            </w:pPr>
            <w:r w:rsidRPr="006A2CD9">
              <w:rPr>
                <w:rFonts w:ascii="Arial Narrow" w:hAnsi="Arial Narrow"/>
                <w:b/>
                <w:bCs/>
                <w:sz w:val="20"/>
                <w:szCs w:val="20"/>
              </w:rPr>
              <w:t>Prescribing Instructions:</w:t>
            </w:r>
          </w:p>
          <w:p w14:paraId="57C62D5C" w14:textId="77777777" w:rsidR="008B49EE" w:rsidRPr="006A2CD9" w:rsidRDefault="008B49EE">
            <w:pPr>
              <w:ind w:right="57"/>
              <w:rPr>
                <w:rFonts w:ascii="Arial Narrow" w:hAnsi="Arial Narrow"/>
                <w:sz w:val="20"/>
                <w:szCs w:val="20"/>
                <w:u w:val="single"/>
              </w:rPr>
            </w:pPr>
            <w:r w:rsidRPr="006A2CD9">
              <w:rPr>
                <w:rFonts w:ascii="Arial Narrow" w:hAnsi="Arial Narrow"/>
                <w:sz w:val="20"/>
                <w:szCs w:val="20"/>
                <w:u w:val="single"/>
              </w:rPr>
              <w:t>Maximum quantity/amount of drug selection:</w:t>
            </w:r>
          </w:p>
          <w:p w14:paraId="68C701BA" w14:textId="77777777" w:rsidR="008B49EE" w:rsidRPr="006A2CD9" w:rsidRDefault="008B49EE">
            <w:pPr>
              <w:ind w:right="57"/>
              <w:rPr>
                <w:rFonts w:ascii="Arial Narrow" w:hAnsi="Arial Narrow"/>
                <w:sz w:val="20"/>
                <w:szCs w:val="20"/>
              </w:rPr>
            </w:pPr>
            <w:r w:rsidRPr="006A2CD9">
              <w:rPr>
                <w:rFonts w:ascii="Arial Narrow" w:hAnsi="Arial Narrow"/>
                <w:sz w:val="20"/>
                <w:szCs w:val="20"/>
              </w:rPr>
              <w:t>At the time of the authority application, state the following:</w:t>
            </w:r>
          </w:p>
          <w:p w14:paraId="359A3E92" w14:textId="77777777" w:rsidR="008B49EE" w:rsidRPr="006A2CD9" w:rsidRDefault="008B49EE">
            <w:pPr>
              <w:ind w:right="57"/>
              <w:rPr>
                <w:rFonts w:ascii="Arial Narrow" w:hAnsi="Arial Narrow"/>
                <w:sz w:val="20"/>
                <w:szCs w:val="20"/>
              </w:rPr>
            </w:pPr>
            <w:r w:rsidRPr="006A2CD9">
              <w:rPr>
                <w:rFonts w:ascii="Arial Narrow" w:hAnsi="Arial Narrow"/>
                <w:sz w:val="20"/>
                <w:szCs w:val="20"/>
              </w:rPr>
              <w:t>(</w:t>
            </w:r>
            <w:proofErr w:type="spellStart"/>
            <w:r w:rsidRPr="006A2CD9">
              <w:rPr>
                <w:rFonts w:ascii="Arial Narrow" w:hAnsi="Arial Narrow"/>
                <w:sz w:val="20"/>
                <w:szCs w:val="20"/>
              </w:rPr>
              <w:t>i</w:t>
            </w:r>
            <w:proofErr w:type="spellEnd"/>
            <w:r w:rsidRPr="006A2CD9">
              <w:rPr>
                <w:rFonts w:ascii="Arial Narrow" w:hAnsi="Arial Narrow"/>
                <w:sz w:val="20"/>
                <w:szCs w:val="20"/>
              </w:rPr>
              <w:t xml:space="preserve">) the patient’s weight in </w:t>
            </w:r>
            <w:proofErr w:type="gramStart"/>
            <w:r w:rsidRPr="006A2CD9">
              <w:rPr>
                <w:rFonts w:ascii="Arial Narrow" w:hAnsi="Arial Narrow"/>
                <w:sz w:val="20"/>
                <w:szCs w:val="20"/>
              </w:rPr>
              <w:t>kg;</w:t>
            </w:r>
            <w:proofErr w:type="gramEnd"/>
          </w:p>
          <w:p w14:paraId="795F467F" w14:textId="7902448A" w:rsidR="008B49EE" w:rsidRPr="006A2CD9" w:rsidRDefault="008B49EE">
            <w:pPr>
              <w:ind w:right="57"/>
              <w:rPr>
                <w:rFonts w:ascii="Arial Narrow" w:hAnsi="Arial Narrow"/>
                <w:sz w:val="20"/>
                <w:szCs w:val="20"/>
              </w:rPr>
            </w:pPr>
            <w:r w:rsidRPr="006A2CD9">
              <w:rPr>
                <w:rFonts w:ascii="Arial Narrow" w:hAnsi="Arial Narrow"/>
                <w:sz w:val="20"/>
                <w:szCs w:val="20"/>
              </w:rPr>
              <w:t>(ii) the prescribed dose (between 0.04 to 0.12 mg/kg</w:t>
            </w:r>
            <w:r w:rsidR="00D304EA" w:rsidRPr="006A2CD9">
              <w:rPr>
                <w:rFonts w:ascii="Arial Narrow" w:hAnsi="Arial Narrow"/>
                <w:sz w:val="20"/>
                <w:szCs w:val="20"/>
              </w:rPr>
              <w:t xml:space="preserve"> twice daily</w:t>
            </w:r>
            <w:proofErr w:type="gramStart"/>
            <w:r w:rsidRPr="006A2CD9">
              <w:rPr>
                <w:rFonts w:ascii="Arial Narrow" w:hAnsi="Arial Narrow"/>
                <w:sz w:val="20"/>
                <w:szCs w:val="20"/>
              </w:rPr>
              <w:t>);</w:t>
            </w:r>
            <w:proofErr w:type="gramEnd"/>
            <w:r w:rsidRPr="006A2CD9">
              <w:rPr>
                <w:rFonts w:ascii="Arial Narrow" w:hAnsi="Arial Narrow"/>
                <w:sz w:val="20"/>
                <w:szCs w:val="20"/>
              </w:rPr>
              <w:t xml:space="preserve"> </w:t>
            </w:r>
          </w:p>
          <w:p w14:paraId="57205FB6" w14:textId="77777777" w:rsidR="008B49EE" w:rsidRPr="006A2CD9" w:rsidRDefault="008B49EE">
            <w:pPr>
              <w:ind w:right="57"/>
              <w:rPr>
                <w:rFonts w:ascii="Arial Narrow" w:hAnsi="Arial Narrow"/>
                <w:sz w:val="20"/>
                <w:szCs w:val="20"/>
              </w:rPr>
            </w:pPr>
            <w:r w:rsidRPr="006A2CD9">
              <w:rPr>
                <w:rFonts w:ascii="Arial Narrow" w:hAnsi="Arial Narrow"/>
                <w:sz w:val="20"/>
                <w:szCs w:val="20"/>
              </w:rPr>
              <w:t xml:space="preserve">(iii) the number of vials rounded to the nearest whole number, to provide sufficient drug quantity for 30 days </w:t>
            </w:r>
            <w:proofErr w:type="gramStart"/>
            <w:r w:rsidRPr="006A2CD9">
              <w:rPr>
                <w:rFonts w:ascii="Arial Narrow" w:hAnsi="Arial Narrow"/>
                <w:sz w:val="20"/>
                <w:szCs w:val="20"/>
              </w:rPr>
              <w:t>of  treatment</w:t>
            </w:r>
            <w:proofErr w:type="gramEnd"/>
            <w:r w:rsidRPr="006A2CD9">
              <w:rPr>
                <w:rFonts w:ascii="Arial Narrow" w:hAnsi="Arial Narrow"/>
                <w:sz w:val="20"/>
                <w:szCs w:val="20"/>
              </w:rPr>
              <w:t xml:space="preserve"> per dispensing.</w:t>
            </w:r>
          </w:p>
          <w:p w14:paraId="1004A069" w14:textId="77777777" w:rsidR="008B49EE" w:rsidRPr="006A2CD9" w:rsidRDefault="008B49EE">
            <w:pPr>
              <w:ind w:right="57"/>
              <w:rPr>
                <w:rFonts w:ascii="Arial Narrow" w:hAnsi="Arial Narrow"/>
                <w:sz w:val="20"/>
                <w:szCs w:val="20"/>
              </w:rPr>
            </w:pPr>
          </w:p>
          <w:p w14:paraId="1C8AA713" w14:textId="77777777" w:rsidR="008B49EE" w:rsidRPr="006A2CD9" w:rsidRDefault="008B49EE">
            <w:pPr>
              <w:ind w:right="57"/>
              <w:rPr>
                <w:rFonts w:ascii="Arial Narrow" w:hAnsi="Arial Narrow"/>
                <w:sz w:val="20"/>
                <w:szCs w:val="20"/>
              </w:rPr>
            </w:pPr>
            <w:r w:rsidRPr="006A2CD9">
              <w:rPr>
                <w:rFonts w:ascii="Arial Narrow" w:hAnsi="Arial Narrow"/>
                <w:sz w:val="20"/>
                <w:szCs w:val="20"/>
              </w:rPr>
              <w:t>Seek an increase in the maximum quantity stated in the listing.</w:t>
            </w:r>
          </w:p>
          <w:p w14:paraId="0E384FF5" w14:textId="77777777" w:rsidR="008B49EE" w:rsidRPr="006A2CD9" w:rsidRDefault="008B49EE">
            <w:pPr>
              <w:ind w:right="57"/>
              <w:rPr>
                <w:rFonts w:ascii="Arial Narrow" w:hAnsi="Arial Narrow"/>
                <w:sz w:val="20"/>
                <w:szCs w:val="20"/>
              </w:rPr>
            </w:pPr>
          </w:p>
          <w:p w14:paraId="21602B7E"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PBS authority application administrator will approve a maximum quantity of vials in line with the following formula (based on the upper dose range of 0.12 mg/kg dosed twice daily, one vial containing 40 mg of drug and target supply duration of 30 days per dispensing</w:t>
            </w:r>
            <w:proofErr w:type="gramStart"/>
            <w:r w:rsidRPr="006A2CD9">
              <w:rPr>
                <w:rFonts w:ascii="Arial Narrow" w:hAnsi="Arial Narrow"/>
                <w:sz w:val="20"/>
                <w:szCs w:val="20"/>
              </w:rPr>
              <w:t>);</w:t>
            </w:r>
            <w:proofErr w:type="gramEnd"/>
          </w:p>
          <w:p w14:paraId="0171512D" w14:textId="77777777" w:rsidR="008B49EE" w:rsidRPr="006A2CD9" w:rsidRDefault="008B49EE">
            <w:pPr>
              <w:ind w:right="57"/>
              <w:rPr>
                <w:rFonts w:ascii="Arial Narrow" w:hAnsi="Arial Narrow"/>
                <w:sz w:val="20"/>
                <w:szCs w:val="20"/>
              </w:rPr>
            </w:pPr>
          </w:p>
          <w:p w14:paraId="7343DB00" w14:textId="77777777" w:rsidR="008B49EE" w:rsidRPr="006A2CD9" w:rsidRDefault="008B49EE">
            <w:pPr>
              <w:ind w:right="57"/>
              <w:rPr>
                <w:rFonts w:ascii="Arial Narrow" w:hAnsi="Arial Narrow"/>
                <w:sz w:val="20"/>
                <w:szCs w:val="20"/>
              </w:rPr>
            </w:pPr>
            <w:r w:rsidRPr="006A2CD9">
              <w:rPr>
                <w:rFonts w:ascii="Arial Narrow" w:hAnsi="Arial Narrow"/>
                <w:sz w:val="20"/>
                <w:szCs w:val="20"/>
              </w:rPr>
              <w:t>Number of vials equals 7.2 multiplied by weight (kg) divided by 40</w:t>
            </w:r>
          </w:p>
          <w:p w14:paraId="0D357CED" w14:textId="77777777" w:rsidR="008B49EE" w:rsidRPr="006A2CD9" w:rsidRDefault="008B49EE">
            <w:pPr>
              <w:ind w:right="57"/>
              <w:rPr>
                <w:rFonts w:ascii="Arial Narrow" w:hAnsi="Arial Narrow"/>
                <w:sz w:val="20"/>
                <w:szCs w:val="20"/>
              </w:rPr>
            </w:pPr>
          </w:p>
          <w:p w14:paraId="58063ABB" w14:textId="77777777" w:rsidR="008B49EE" w:rsidRPr="006A2CD9" w:rsidRDefault="008B49EE">
            <w:pPr>
              <w:ind w:right="57"/>
              <w:rPr>
                <w:rFonts w:ascii="Arial Narrow" w:hAnsi="Arial Narrow"/>
                <w:sz w:val="20"/>
                <w:szCs w:val="20"/>
              </w:rPr>
            </w:pPr>
            <w:r w:rsidRPr="006A2CD9">
              <w:rPr>
                <w:rFonts w:ascii="Arial Narrow" w:hAnsi="Arial Narrow"/>
                <w:sz w:val="20"/>
                <w:szCs w:val="20"/>
              </w:rPr>
              <w:t>For ease in reference, this equates to:</w:t>
            </w:r>
          </w:p>
          <w:p w14:paraId="0207FF57" w14:textId="77777777" w:rsidR="008B49EE" w:rsidRPr="006A2CD9" w:rsidRDefault="008B49EE">
            <w:pPr>
              <w:ind w:right="57"/>
              <w:rPr>
                <w:rFonts w:ascii="Arial Narrow" w:hAnsi="Arial Narrow"/>
                <w:sz w:val="20"/>
                <w:szCs w:val="20"/>
              </w:rPr>
            </w:pPr>
          </w:p>
          <w:p w14:paraId="07DB5333" w14:textId="77777777" w:rsidR="008B49EE" w:rsidRPr="006A2CD9" w:rsidRDefault="008B49EE">
            <w:pPr>
              <w:ind w:right="57"/>
              <w:rPr>
                <w:rFonts w:ascii="Arial Narrow" w:hAnsi="Arial Narrow"/>
                <w:sz w:val="20"/>
                <w:szCs w:val="20"/>
              </w:rPr>
            </w:pPr>
            <w:r w:rsidRPr="006A2CD9">
              <w:rPr>
                <w:rFonts w:ascii="Arial Narrow" w:hAnsi="Arial Narrow"/>
                <w:sz w:val="20"/>
                <w:szCs w:val="20"/>
              </w:rPr>
              <w:t>Below 16 kg: up to 3 vials</w:t>
            </w:r>
          </w:p>
          <w:p w14:paraId="04136D8D" w14:textId="12418095" w:rsidR="008B49EE" w:rsidRPr="006A2CD9" w:rsidRDefault="008B49EE">
            <w:pPr>
              <w:ind w:right="57"/>
              <w:rPr>
                <w:rFonts w:ascii="Arial Narrow" w:hAnsi="Arial Narrow"/>
                <w:sz w:val="20"/>
                <w:szCs w:val="20"/>
              </w:rPr>
            </w:pPr>
            <w:r w:rsidRPr="006A2CD9">
              <w:rPr>
                <w:rFonts w:ascii="Arial Narrow" w:hAnsi="Arial Narrow"/>
                <w:sz w:val="20"/>
                <w:szCs w:val="20"/>
              </w:rPr>
              <w:t>16 to 22 kg: up to 4 vials</w:t>
            </w:r>
          </w:p>
          <w:p w14:paraId="75EE7CF6" w14:textId="0B7DB097" w:rsidR="001869DE" w:rsidRPr="006A2CD9" w:rsidRDefault="001869DE">
            <w:pPr>
              <w:ind w:right="57"/>
              <w:rPr>
                <w:rFonts w:ascii="Arial Narrow" w:hAnsi="Arial Narrow"/>
                <w:sz w:val="20"/>
                <w:szCs w:val="20"/>
              </w:rPr>
            </w:pPr>
            <w:r w:rsidRPr="006A2CD9">
              <w:rPr>
                <w:rFonts w:ascii="Arial Narrow" w:hAnsi="Arial Narrow"/>
                <w:sz w:val="20"/>
                <w:szCs w:val="20"/>
              </w:rPr>
              <w:t>22 to 27 kg: up to 5 vials</w:t>
            </w:r>
          </w:p>
          <w:p w14:paraId="6FEC5616" w14:textId="4BD39301" w:rsidR="00C936EE" w:rsidRPr="006A2CD9" w:rsidRDefault="00C936EE">
            <w:pPr>
              <w:ind w:right="57"/>
              <w:rPr>
                <w:rFonts w:ascii="Arial Narrow" w:hAnsi="Arial Narrow"/>
                <w:sz w:val="20"/>
                <w:szCs w:val="20"/>
              </w:rPr>
            </w:pPr>
            <w:r w:rsidRPr="006A2CD9">
              <w:rPr>
                <w:rFonts w:ascii="Arial Narrow" w:hAnsi="Arial Narrow"/>
                <w:sz w:val="20"/>
                <w:szCs w:val="20"/>
              </w:rPr>
              <w:t>27 to 33 kg: up to 6 vials</w:t>
            </w:r>
          </w:p>
          <w:p w14:paraId="0EBB7DE9" w14:textId="0C383C44" w:rsidR="00C936EE" w:rsidRPr="006A2CD9" w:rsidRDefault="00C936EE">
            <w:pPr>
              <w:ind w:right="57"/>
              <w:rPr>
                <w:rFonts w:ascii="Arial Narrow" w:hAnsi="Arial Narrow"/>
                <w:sz w:val="20"/>
                <w:szCs w:val="20"/>
              </w:rPr>
            </w:pPr>
            <w:r w:rsidRPr="006A2CD9">
              <w:rPr>
                <w:rFonts w:ascii="Arial Narrow" w:hAnsi="Arial Narrow"/>
                <w:sz w:val="20"/>
                <w:szCs w:val="20"/>
              </w:rPr>
              <w:t>33 to 38 kg: up to 7 vials</w:t>
            </w:r>
          </w:p>
          <w:p w14:paraId="31E25D86" w14:textId="6895F610" w:rsidR="00C936EE" w:rsidRPr="006A2CD9" w:rsidRDefault="00C936EE">
            <w:pPr>
              <w:ind w:right="57"/>
              <w:rPr>
                <w:rFonts w:ascii="Arial Narrow" w:hAnsi="Arial Narrow"/>
                <w:sz w:val="20"/>
                <w:szCs w:val="20"/>
              </w:rPr>
            </w:pPr>
            <w:r w:rsidRPr="006A2CD9">
              <w:rPr>
                <w:rFonts w:ascii="Arial Narrow" w:hAnsi="Arial Narrow"/>
                <w:sz w:val="20"/>
                <w:szCs w:val="20"/>
              </w:rPr>
              <w:t>38 to 44 kg: up to 8 vials</w:t>
            </w:r>
          </w:p>
          <w:p w14:paraId="5BDB8BBC" w14:textId="77777777" w:rsidR="00C936EE" w:rsidRPr="006A2CD9" w:rsidRDefault="00C936EE">
            <w:pPr>
              <w:ind w:right="57"/>
              <w:rPr>
                <w:rFonts w:ascii="Arial Narrow" w:hAnsi="Arial Narrow"/>
                <w:sz w:val="20"/>
                <w:szCs w:val="20"/>
              </w:rPr>
            </w:pPr>
          </w:p>
          <w:p w14:paraId="3EB9874D" w14:textId="149301F7" w:rsidR="008B49EE" w:rsidRPr="006A2CD9" w:rsidRDefault="008B49EE">
            <w:pPr>
              <w:ind w:right="57"/>
              <w:rPr>
                <w:rFonts w:ascii="Arial Narrow" w:hAnsi="Arial Narrow"/>
                <w:sz w:val="20"/>
                <w:szCs w:val="20"/>
              </w:rPr>
            </w:pPr>
            <w:r w:rsidRPr="006A2CD9">
              <w:rPr>
                <w:rFonts w:ascii="Arial Narrow" w:hAnsi="Arial Narrow"/>
                <w:sz w:val="20"/>
                <w:szCs w:val="20"/>
              </w:rPr>
              <w:t xml:space="preserve">Beyond </w:t>
            </w:r>
            <w:r w:rsidR="00C936EE" w:rsidRPr="006A2CD9">
              <w:rPr>
                <w:rFonts w:ascii="Arial Narrow" w:hAnsi="Arial Narrow"/>
                <w:sz w:val="20"/>
                <w:szCs w:val="20"/>
              </w:rPr>
              <w:t xml:space="preserve">44 </w:t>
            </w:r>
            <w:r w:rsidRPr="006A2CD9">
              <w:rPr>
                <w:rFonts w:ascii="Arial Narrow" w:hAnsi="Arial Narrow"/>
                <w:sz w:val="20"/>
                <w:szCs w:val="20"/>
              </w:rPr>
              <w:t>kg: refer to above formula</w:t>
            </w:r>
          </w:p>
        </w:tc>
      </w:tr>
      <w:tr w:rsidR="006A2CD9" w:rsidRPr="006A2CD9" w14:paraId="276FF213"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41EA25" w14:textId="50FAEC82"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06C61" w14:textId="77777777" w:rsidR="008B49EE" w:rsidRPr="006A2CD9" w:rsidRDefault="008B49EE">
            <w:pPr>
              <w:ind w:right="57"/>
              <w:rPr>
                <w:rFonts w:ascii="Arial Narrow" w:hAnsi="Arial Narrow" w:cs="Arial Narrow"/>
                <w:b/>
                <w:iCs/>
                <w:sz w:val="20"/>
                <w:szCs w:val="20"/>
              </w:rPr>
            </w:pPr>
            <w:r w:rsidRPr="006A2CD9">
              <w:rPr>
                <w:rFonts w:ascii="Arial Narrow" w:hAnsi="Arial Narrow" w:cs="Arial Narrow"/>
                <w:b/>
                <w:iCs/>
                <w:sz w:val="20"/>
                <w:szCs w:val="20"/>
              </w:rPr>
              <w:t>Prescribing Instructions:</w:t>
            </w:r>
          </w:p>
          <w:p w14:paraId="110A7E0A" w14:textId="77777777" w:rsidR="008B49EE" w:rsidRPr="006A2CD9" w:rsidRDefault="008B49EE">
            <w:pPr>
              <w:ind w:right="57"/>
              <w:rPr>
                <w:rFonts w:ascii="Arial Narrow" w:hAnsi="Arial Narrow" w:cs="Arial Narrow"/>
                <w:bCs/>
                <w:iCs/>
                <w:sz w:val="20"/>
                <w:szCs w:val="20"/>
                <w:u w:val="single"/>
              </w:rPr>
            </w:pPr>
            <w:r w:rsidRPr="006A2CD9">
              <w:rPr>
                <w:rFonts w:ascii="Arial Narrow" w:hAnsi="Arial Narrow" w:cs="Arial Narrow"/>
                <w:bCs/>
                <w:iCs/>
                <w:sz w:val="20"/>
                <w:szCs w:val="20"/>
                <w:u w:val="single"/>
              </w:rPr>
              <w:t>Evidence to be provided in support of this authority application</w:t>
            </w:r>
          </w:p>
          <w:p w14:paraId="5A91ECF8" w14:textId="77777777" w:rsidR="008B49EE" w:rsidRPr="006A2CD9" w:rsidRDefault="008B49EE">
            <w:pPr>
              <w:ind w:right="57"/>
              <w:rPr>
                <w:rFonts w:ascii="Arial Narrow" w:hAnsi="Arial Narrow" w:cs="Arial Narrow"/>
                <w:bCs/>
                <w:iCs/>
                <w:sz w:val="20"/>
                <w:szCs w:val="20"/>
                <w:u w:val="single"/>
              </w:rPr>
            </w:pPr>
          </w:p>
          <w:p w14:paraId="2B3CCDCC" w14:textId="77777777" w:rsidR="008B49EE" w:rsidRPr="006A2CD9" w:rsidRDefault="008B49EE">
            <w:pPr>
              <w:ind w:right="57"/>
              <w:rPr>
                <w:rFonts w:ascii="Arial Narrow" w:hAnsi="Arial Narrow" w:cs="Arial Narrow"/>
                <w:iCs/>
                <w:sz w:val="20"/>
                <w:szCs w:val="20"/>
              </w:rPr>
            </w:pPr>
            <w:r w:rsidRPr="006A2CD9">
              <w:rPr>
                <w:rFonts w:ascii="Arial Narrow" w:hAnsi="Arial Narrow" w:cs="Arial Narrow"/>
                <w:iCs/>
                <w:sz w:val="20"/>
                <w:szCs w:val="20"/>
              </w:rPr>
              <w:t>(1) Insulin-like growth factor-1 deficiency:</w:t>
            </w:r>
          </w:p>
          <w:p w14:paraId="56AFCD92" w14:textId="77777777" w:rsidR="008B49EE" w:rsidRPr="006A2CD9" w:rsidRDefault="008B49EE">
            <w:pPr>
              <w:ind w:right="57"/>
              <w:rPr>
                <w:rFonts w:ascii="Arial Narrow" w:hAnsi="Arial Narrow" w:cs="Arial Narrow"/>
                <w:bCs/>
                <w:iCs/>
                <w:sz w:val="20"/>
                <w:szCs w:val="20"/>
              </w:rPr>
            </w:pPr>
            <w:r w:rsidRPr="006A2CD9">
              <w:rPr>
                <w:rFonts w:ascii="Arial Narrow" w:hAnsi="Arial Narrow" w:cs="Arial Narrow"/>
                <w:bCs/>
                <w:iCs/>
                <w:sz w:val="20"/>
                <w:szCs w:val="20"/>
              </w:rPr>
              <w:t>State each of: (a) the patient’s most recent basal IGF-1 level measured in ng/mL, (b) the measurement date in dd/mm/</w:t>
            </w:r>
            <w:proofErr w:type="spellStart"/>
            <w:r w:rsidRPr="006A2CD9">
              <w:rPr>
                <w:rFonts w:ascii="Arial Narrow" w:hAnsi="Arial Narrow" w:cs="Arial Narrow"/>
                <w:bCs/>
                <w:iCs/>
                <w:sz w:val="20"/>
                <w:szCs w:val="20"/>
              </w:rPr>
              <w:t>yy</w:t>
            </w:r>
            <w:proofErr w:type="spellEnd"/>
            <w:r w:rsidRPr="006A2CD9">
              <w:rPr>
                <w:rFonts w:ascii="Arial Narrow" w:hAnsi="Arial Narrow" w:cs="Arial Narrow"/>
                <w:bCs/>
                <w:iCs/>
                <w:sz w:val="20"/>
                <w:szCs w:val="20"/>
              </w:rPr>
              <w:t xml:space="preserve"> format, (c) the name of the pathology result provider.</w:t>
            </w:r>
          </w:p>
          <w:p w14:paraId="316E384D" w14:textId="77777777" w:rsidR="008B49EE" w:rsidRPr="006A2CD9" w:rsidRDefault="008B49EE">
            <w:pPr>
              <w:ind w:right="57"/>
              <w:rPr>
                <w:rFonts w:ascii="Arial Narrow" w:hAnsi="Arial Narrow" w:cs="Arial Narrow"/>
                <w:bCs/>
                <w:iCs/>
                <w:sz w:val="20"/>
                <w:szCs w:val="20"/>
              </w:rPr>
            </w:pPr>
          </w:p>
          <w:p w14:paraId="6C72A8C7" w14:textId="77777777" w:rsidR="008B49EE" w:rsidRPr="006A2CD9" w:rsidRDefault="008B49EE">
            <w:pPr>
              <w:ind w:right="57"/>
              <w:rPr>
                <w:rFonts w:ascii="Arial Narrow" w:hAnsi="Arial Narrow" w:cs="Arial Narrow"/>
                <w:bCs/>
                <w:iCs/>
                <w:sz w:val="20"/>
                <w:szCs w:val="20"/>
              </w:rPr>
            </w:pPr>
            <w:r w:rsidRPr="006A2CD9">
              <w:rPr>
                <w:rFonts w:ascii="Arial Narrow" w:hAnsi="Arial Narrow" w:cs="Arial Narrow"/>
                <w:bCs/>
                <w:iCs/>
                <w:sz w:val="20"/>
                <w:szCs w:val="20"/>
              </w:rPr>
              <w:t>(2) Short stature:</w:t>
            </w:r>
          </w:p>
          <w:p w14:paraId="05C1CD16" w14:textId="77777777" w:rsidR="008B49EE" w:rsidRPr="006A2CD9" w:rsidRDefault="008B49EE">
            <w:pPr>
              <w:ind w:right="57"/>
              <w:rPr>
                <w:rFonts w:ascii="Arial Narrow" w:hAnsi="Arial Narrow" w:cs="Arial Narrow"/>
                <w:bCs/>
                <w:iCs/>
                <w:sz w:val="20"/>
                <w:szCs w:val="20"/>
              </w:rPr>
            </w:pPr>
            <w:r w:rsidRPr="006A2CD9">
              <w:rPr>
                <w:rFonts w:ascii="Arial Narrow" w:hAnsi="Arial Narrow" w:cs="Arial Narrow"/>
                <w:bCs/>
                <w:iCs/>
                <w:sz w:val="20"/>
                <w:szCs w:val="20"/>
              </w:rPr>
              <w:t>State the patient’s height in centimetres at time of this authority application.</w:t>
            </w:r>
          </w:p>
          <w:p w14:paraId="76E582F4" w14:textId="77777777" w:rsidR="008B49EE" w:rsidRPr="006A2CD9" w:rsidRDefault="008B49EE">
            <w:pPr>
              <w:ind w:right="57"/>
              <w:rPr>
                <w:rFonts w:ascii="Arial Narrow" w:hAnsi="Arial Narrow" w:cs="Arial Narrow"/>
                <w:bCs/>
                <w:iCs/>
                <w:sz w:val="20"/>
                <w:szCs w:val="20"/>
              </w:rPr>
            </w:pPr>
          </w:p>
          <w:p w14:paraId="5DDDD329" w14:textId="77777777" w:rsidR="008B49EE" w:rsidRPr="006A2CD9" w:rsidRDefault="008B49EE">
            <w:pPr>
              <w:ind w:right="57"/>
              <w:rPr>
                <w:rFonts w:ascii="Arial Narrow" w:hAnsi="Arial Narrow" w:cs="Arial Narrow"/>
                <w:bCs/>
                <w:iCs/>
                <w:sz w:val="20"/>
                <w:szCs w:val="20"/>
              </w:rPr>
            </w:pPr>
            <w:r w:rsidRPr="006A2CD9">
              <w:rPr>
                <w:rFonts w:ascii="Arial Narrow" w:hAnsi="Arial Narrow" w:cs="Arial Narrow"/>
                <w:bCs/>
                <w:iCs/>
                <w:sz w:val="20"/>
                <w:szCs w:val="20"/>
              </w:rPr>
              <w:t>(3) Normal growth hormone levels:</w:t>
            </w:r>
          </w:p>
          <w:p w14:paraId="21FAA3F0" w14:textId="4E5DB5A3" w:rsidR="008B49EE" w:rsidRPr="006A2CD9" w:rsidRDefault="008B49EE" w:rsidP="00AC6DC0">
            <w:pPr>
              <w:ind w:right="57"/>
              <w:rPr>
                <w:rFonts w:ascii="Arial Narrow" w:hAnsi="Arial Narrow"/>
                <w:b/>
                <w:bCs/>
                <w:sz w:val="20"/>
                <w:szCs w:val="20"/>
              </w:rPr>
            </w:pPr>
            <w:r w:rsidRPr="006A2CD9">
              <w:rPr>
                <w:rFonts w:ascii="Arial Narrow" w:hAnsi="Arial Narrow" w:cs="Arial Narrow"/>
                <w:bCs/>
                <w:iCs/>
                <w:sz w:val="20"/>
                <w:szCs w:val="20"/>
              </w:rPr>
              <w:t>State the patient’s most recent growth hormone level measurement in mcg/L - this figure must be greater than 6.6</w:t>
            </w:r>
            <w:r w:rsidR="00AC6DC0" w:rsidRPr="006A2CD9">
              <w:rPr>
                <w:rFonts w:ascii="Arial Narrow" w:hAnsi="Arial Narrow" w:cs="Arial Narrow"/>
                <w:bCs/>
                <w:iCs/>
                <w:sz w:val="20"/>
                <w:szCs w:val="20"/>
              </w:rPr>
              <w:t> </w:t>
            </w:r>
            <w:r w:rsidRPr="006A2CD9">
              <w:rPr>
                <w:rFonts w:ascii="Arial Narrow" w:hAnsi="Arial Narrow" w:cs="Arial Narrow"/>
                <w:bCs/>
                <w:iCs/>
                <w:sz w:val="20"/>
                <w:szCs w:val="20"/>
              </w:rPr>
              <w:t>mcg/L.</w:t>
            </w:r>
          </w:p>
        </w:tc>
      </w:tr>
      <w:tr w:rsidR="006A2CD9" w:rsidRPr="006A2CD9" w14:paraId="2591441D"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4F2E5E" w14:textId="45500DFE" w:rsidR="008B49EE" w:rsidRPr="006A2CD9" w:rsidRDefault="008B49EE">
            <w:pPr>
              <w:ind w:right="57"/>
              <w:jc w:val="center"/>
              <w:rPr>
                <w:rFonts w:ascii="Arial Narrow" w:hAnsi="Arial Narrow"/>
                <w:bCs/>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2D3C6" w14:textId="77777777" w:rsidR="008B49EE" w:rsidRPr="006A2CD9" w:rsidRDefault="008B49EE">
            <w:pPr>
              <w:ind w:right="57"/>
              <w:rPr>
                <w:rFonts w:ascii="Arial Narrow" w:hAnsi="Arial Narrow"/>
                <w:b/>
                <w:sz w:val="20"/>
                <w:szCs w:val="20"/>
              </w:rPr>
            </w:pPr>
            <w:r w:rsidRPr="006A2CD9">
              <w:rPr>
                <w:rFonts w:ascii="Arial Narrow" w:hAnsi="Arial Narrow"/>
                <w:b/>
                <w:sz w:val="20"/>
                <w:szCs w:val="20"/>
                <w:u w:val="single"/>
              </w:rPr>
              <w:t>NOTE</w:t>
            </w:r>
            <w:r w:rsidRPr="006A2CD9">
              <w:rPr>
                <w:rFonts w:ascii="Arial Narrow" w:hAnsi="Arial Narrow"/>
                <w:b/>
                <w:sz w:val="20"/>
                <w:szCs w:val="20"/>
              </w:rPr>
              <w:t>:</w:t>
            </w:r>
          </w:p>
          <w:p w14:paraId="5B72FDB6" w14:textId="61927735" w:rsidR="008B49EE" w:rsidRPr="006A2CD9" w:rsidRDefault="008B49EE">
            <w:pPr>
              <w:ind w:right="57"/>
              <w:rPr>
                <w:rFonts w:ascii="Arial Narrow" w:hAnsi="Arial Narrow"/>
                <w:bCs/>
                <w:sz w:val="20"/>
                <w:szCs w:val="20"/>
              </w:rPr>
            </w:pPr>
            <w:r w:rsidRPr="006A2CD9">
              <w:rPr>
                <w:rFonts w:ascii="Arial Narrow" w:hAnsi="Arial Narrow"/>
                <w:bCs/>
                <w:sz w:val="20"/>
                <w:szCs w:val="20"/>
              </w:rPr>
              <w:t xml:space="preserve">The </w:t>
            </w:r>
            <w:proofErr w:type="spellStart"/>
            <w:r w:rsidRPr="006A2CD9">
              <w:rPr>
                <w:rFonts w:ascii="Arial Narrow" w:hAnsi="Arial Narrow"/>
                <w:bCs/>
                <w:sz w:val="20"/>
                <w:szCs w:val="20"/>
              </w:rPr>
              <w:t>Centers</w:t>
            </w:r>
            <w:proofErr w:type="spellEnd"/>
            <w:r w:rsidRPr="006A2CD9">
              <w:rPr>
                <w:rFonts w:ascii="Arial Narrow" w:hAnsi="Arial Narrow"/>
                <w:bCs/>
                <w:sz w:val="20"/>
                <w:szCs w:val="20"/>
              </w:rPr>
              <w:t xml:space="preserve"> </w:t>
            </w:r>
            <w:r w:rsidR="00FC4CED" w:rsidRPr="006A2CD9">
              <w:rPr>
                <w:rFonts w:ascii="Arial Narrow" w:hAnsi="Arial Narrow"/>
                <w:bCs/>
                <w:sz w:val="20"/>
                <w:szCs w:val="20"/>
              </w:rPr>
              <w:t>for</w:t>
            </w:r>
            <w:r w:rsidRPr="006A2CD9">
              <w:rPr>
                <w:rFonts w:ascii="Arial Narrow" w:hAnsi="Arial Narrow"/>
                <w:bCs/>
                <w:sz w:val="20"/>
                <w:szCs w:val="20"/>
              </w:rPr>
              <w:t xml:space="preserve"> Disease Control and Prevention (US) publishes Clinical Growth Charts which this restriction refers to. </w:t>
            </w:r>
            <w:r w:rsidR="00FC4CED" w:rsidRPr="006A2CD9">
              <w:rPr>
                <w:rFonts w:ascii="Arial Narrow" w:hAnsi="Arial Narrow"/>
                <w:bCs/>
                <w:sz w:val="20"/>
                <w:szCs w:val="20"/>
              </w:rPr>
              <w:t>The relevant growth charts can be found here</w:t>
            </w:r>
            <w:r w:rsidRPr="006A2CD9">
              <w:rPr>
                <w:rFonts w:ascii="Arial Narrow" w:hAnsi="Arial Narrow"/>
                <w:bCs/>
                <w:sz w:val="20"/>
                <w:szCs w:val="20"/>
              </w:rPr>
              <w:t>:</w:t>
            </w:r>
          </w:p>
          <w:p w14:paraId="657C2474" w14:textId="77777777" w:rsidR="008B49EE" w:rsidRPr="006A2CD9" w:rsidRDefault="008B49EE">
            <w:pPr>
              <w:ind w:right="57"/>
              <w:rPr>
                <w:rFonts w:ascii="Arial Narrow" w:hAnsi="Arial Narrow"/>
                <w:bCs/>
                <w:sz w:val="20"/>
                <w:szCs w:val="20"/>
              </w:rPr>
            </w:pPr>
          </w:p>
          <w:p w14:paraId="668F6136" w14:textId="2317CF00" w:rsidR="008B49EE" w:rsidRPr="006A2CD9" w:rsidRDefault="00FC4CED" w:rsidP="00FC4CED">
            <w:pPr>
              <w:ind w:right="57"/>
              <w:rPr>
                <w:rFonts w:ascii="Arial Narrow" w:hAnsi="Arial Narrow"/>
                <w:bCs/>
                <w:sz w:val="20"/>
                <w:szCs w:val="20"/>
              </w:rPr>
            </w:pPr>
            <w:r w:rsidRPr="006A2CD9">
              <w:rPr>
                <w:rFonts w:ascii="Arial Narrow" w:hAnsi="Arial Narrow"/>
                <w:bCs/>
                <w:sz w:val="20"/>
                <w:szCs w:val="20"/>
              </w:rPr>
              <w:t>&lt;Specific citation to be added&gt;</w:t>
            </w:r>
          </w:p>
        </w:tc>
      </w:tr>
      <w:tr w:rsidR="006A2CD9" w:rsidRPr="006A2CD9" w14:paraId="7DE4167B" w14:textId="77777777" w:rsidTr="008B49EE">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E6F223" w14:textId="77777777" w:rsidR="008B49EE" w:rsidRPr="006A2CD9" w:rsidRDefault="008B49EE">
            <w:pPr>
              <w:ind w:right="57"/>
              <w:rPr>
                <w:rFonts w:ascii="Arial Narrow" w:hAnsi="Arial Narrow"/>
                <w:bCs/>
                <w:sz w:val="20"/>
                <w:szCs w:val="20"/>
              </w:rPr>
            </w:pPr>
          </w:p>
        </w:tc>
      </w:tr>
      <w:tr w:rsidR="006A2CD9" w:rsidRPr="006A2CD9" w14:paraId="46DC4B3A" w14:textId="77777777" w:rsidTr="008B49EE">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3F70EF" w14:textId="77777777" w:rsidR="008B49EE" w:rsidRPr="006A2CD9" w:rsidRDefault="008B49EE">
            <w:pPr>
              <w:keepNext/>
              <w:ind w:right="57"/>
              <w:rPr>
                <w:rFonts w:ascii="Arial Narrow" w:hAnsi="Arial Narrow"/>
                <w:b/>
                <w:bCs/>
                <w:sz w:val="20"/>
                <w:szCs w:val="20"/>
              </w:rPr>
            </w:pPr>
            <w:r w:rsidRPr="006A2CD9">
              <w:rPr>
                <w:rFonts w:ascii="Arial Narrow" w:hAnsi="Arial Narrow"/>
                <w:b/>
                <w:bCs/>
                <w:sz w:val="20"/>
                <w:szCs w:val="20"/>
              </w:rPr>
              <w:lastRenderedPageBreak/>
              <w:t>Restriction summary / Treatment of Concept: [New 2]</w:t>
            </w:r>
          </w:p>
        </w:tc>
      </w:tr>
      <w:tr w:rsidR="006A2CD9" w:rsidRPr="006A2CD9" w14:paraId="6A054726"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3ED813" w14:textId="7777777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F408DF" w14:textId="77777777" w:rsidR="008B49EE" w:rsidRPr="006A2CD9" w:rsidRDefault="008B49EE">
            <w:pPr>
              <w:keepNext/>
              <w:ind w:right="57"/>
              <w:rPr>
                <w:rFonts w:ascii="Arial Narrow" w:hAnsi="Arial Narrow"/>
                <w:b/>
                <w:bCs/>
                <w:sz w:val="20"/>
                <w:szCs w:val="20"/>
              </w:rPr>
            </w:pPr>
          </w:p>
        </w:tc>
      </w:tr>
      <w:tr w:rsidR="006A2CD9" w:rsidRPr="006A2CD9" w14:paraId="28A16308"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76B79" w14:textId="2B35B02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32E5A9" w14:textId="77777777" w:rsidR="008B49EE" w:rsidRPr="006A2CD9" w:rsidRDefault="008B49EE">
            <w:pPr>
              <w:keepNext/>
              <w:ind w:right="57"/>
              <w:rPr>
                <w:rFonts w:ascii="Arial Narrow" w:hAnsi="Arial Narrow"/>
                <w:b/>
                <w:bCs/>
                <w:sz w:val="20"/>
                <w:szCs w:val="20"/>
              </w:rPr>
            </w:pPr>
            <w:r w:rsidRPr="006A2CD9">
              <w:rPr>
                <w:rFonts w:ascii="Arial Narrow" w:hAnsi="Arial Narrow"/>
                <w:b/>
                <w:bCs/>
                <w:sz w:val="20"/>
                <w:szCs w:val="20"/>
              </w:rPr>
              <w:t>Indication:</w:t>
            </w:r>
            <w:r w:rsidRPr="006A2CD9">
              <w:rPr>
                <w:rFonts w:ascii="Arial Narrow" w:hAnsi="Arial Narrow"/>
                <w:sz w:val="20"/>
                <w:szCs w:val="20"/>
              </w:rPr>
              <w:t xml:space="preserve"> Severe growth failure with primary insulin-like growth factor-1 deficiency</w:t>
            </w:r>
          </w:p>
        </w:tc>
      </w:tr>
      <w:tr w:rsidR="006A2CD9" w:rsidRPr="006A2CD9" w14:paraId="017AFFC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60ED31" w14:textId="7777777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784EFC" w14:textId="77777777" w:rsidR="008B49EE" w:rsidRPr="006A2CD9" w:rsidRDefault="008B49EE">
            <w:pPr>
              <w:keepNext/>
              <w:ind w:right="57"/>
              <w:rPr>
                <w:rFonts w:ascii="Arial Narrow" w:hAnsi="Arial Narrow"/>
                <w:b/>
                <w:bCs/>
                <w:sz w:val="20"/>
                <w:szCs w:val="20"/>
              </w:rPr>
            </w:pPr>
          </w:p>
        </w:tc>
      </w:tr>
      <w:tr w:rsidR="006A2CD9" w:rsidRPr="006A2CD9" w14:paraId="4A821174"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B2394C" w14:textId="7777777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4CFC90" w14:textId="77777777" w:rsidR="008B49EE" w:rsidRPr="006A2CD9" w:rsidRDefault="008B49EE">
            <w:pPr>
              <w:keepNext/>
              <w:ind w:right="57"/>
              <w:rPr>
                <w:rFonts w:ascii="Arial Narrow" w:hAnsi="Arial Narrow"/>
                <w:sz w:val="20"/>
                <w:szCs w:val="20"/>
              </w:rPr>
            </w:pPr>
            <w:r w:rsidRPr="006A2CD9">
              <w:rPr>
                <w:rFonts w:ascii="Arial Narrow" w:hAnsi="Arial Narrow"/>
                <w:b/>
                <w:bCs/>
                <w:sz w:val="20"/>
                <w:szCs w:val="20"/>
              </w:rPr>
              <w:t>Treatment Phase:</w:t>
            </w:r>
            <w:r w:rsidRPr="006A2CD9">
              <w:rPr>
                <w:rFonts w:ascii="Arial Narrow" w:hAnsi="Arial Narrow"/>
                <w:sz w:val="20"/>
                <w:szCs w:val="20"/>
              </w:rPr>
              <w:t xml:space="preserve"> Continuing treatment</w:t>
            </w:r>
          </w:p>
        </w:tc>
      </w:tr>
      <w:tr w:rsidR="006A2CD9" w:rsidRPr="006A2CD9" w14:paraId="5A00056C"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E4739E" w14:textId="77777777" w:rsidR="008B49EE" w:rsidRPr="006A2CD9" w:rsidRDefault="008B49EE">
            <w:pPr>
              <w:keepNext/>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34647E" w14:textId="77777777" w:rsidR="008B49EE" w:rsidRPr="006A2CD9" w:rsidRDefault="008B49EE">
            <w:pPr>
              <w:keepNext/>
              <w:ind w:right="57"/>
              <w:rPr>
                <w:rFonts w:ascii="Arial Narrow" w:hAnsi="Arial Narrow"/>
                <w:b/>
                <w:bCs/>
                <w:sz w:val="20"/>
                <w:szCs w:val="20"/>
              </w:rPr>
            </w:pPr>
          </w:p>
        </w:tc>
      </w:tr>
      <w:tr w:rsidR="006A2CD9" w:rsidRPr="006A2CD9" w14:paraId="1E3C9618"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DCDD4B" w14:textId="45B38AB4"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227704"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 xml:space="preserve">Clinical criteria: </w:t>
            </w:r>
          </w:p>
        </w:tc>
      </w:tr>
      <w:tr w:rsidR="006A2CD9" w:rsidRPr="006A2CD9" w14:paraId="580F0992"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6CEB1" w14:textId="13DD009F"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442A14" w14:textId="77777777" w:rsidR="008B49EE" w:rsidRPr="006A2CD9" w:rsidRDefault="008B49EE">
            <w:pPr>
              <w:ind w:right="57"/>
              <w:rPr>
                <w:rFonts w:ascii="Arial Narrow" w:hAnsi="Arial Narrow"/>
                <w:sz w:val="20"/>
                <w:szCs w:val="20"/>
              </w:rPr>
            </w:pPr>
            <w:r w:rsidRPr="006A2CD9">
              <w:rPr>
                <w:rFonts w:ascii="Arial Narrow" w:hAnsi="Arial Narrow"/>
                <w:sz w:val="20"/>
                <w:szCs w:val="20"/>
              </w:rPr>
              <w:t>Patient must have previously received PBS-subsidised treatment with this drug for this condition</w:t>
            </w:r>
          </w:p>
        </w:tc>
      </w:tr>
      <w:tr w:rsidR="006A2CD9" w:rsidRPr="006A2CD9" w14:paraId="73258BAD"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EF0ABE"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7BF9A9" w14:textId="77777777" w:rsidR="008B49EE" w:rsidRPr="006A2CD9" w:rsidRDefault="008B49EE">
            <w:pPr>
              <w:ind w:right="57"/>
              <w:rPr>
                <w:rFonts w:ascii="Arial Narrow" w:hAnsi="Arial Narrow" w:cs="Arial Narrow"/>
                <w:iCs/>
                <w:sz w:val="20"/>
                <w:szCs w:val="20"/>
              </w:rPr>
            </w:pPr>
            <w:r w:rsidRPr="006A2CD9">
              <w:rPr>
                <w:rFonts w:ascii="Arial Narrow" w:hAnsi="Arial Narrow"/>
                <w:b/>
                <w:bCs/>
                <w:sz w:val="20"/>
                <w:szCs w:val="20"/>
              </w:rPr>
              <w:t>AND</w:t>
            </w:r>
          </w:p>
        </w:tc>
      </w:tr>
      <w:tr w:rsidR="006A2CD9" w:rsidRPr="006A2CD9" w14:paraId="2364D99D"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6C7066"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0B8F9" w14:textId="77777777" w:rsidR="008B49EE" w:rsidRPr="006A2CD9" w:rsidRDefault="008B49EE">
            <w:pPr>
              <w:ind w:right="57"/>
              <w:rPr>
                <w:rFonts w:ascii="Arial Narrow" w:hAnsi="Arial Narrow" w:cs="Arial Narrow"/>
                <w:iCs/>
                <w:sz w:val="20"/>
                <w:szCs w:val="20"/>
              </w:rPr>
            </w:pPr>
            <w:r w:rsidRPr="006A2CD9">
              <w:rPr>
                <w:rFonts w:ascii="Arial Narrow" w:hAnsi="Arial Narrow"/>
                <w:b/>
                <w:bCs/>
                <w:sz w:val="20"/>
                <w:szCs w:val="20"/>
              </w:rPr>
              <w:t>Clinical criteria:</w:t>
            </w:r>
          </w:p>
        </w:tc>
      </w:tr>
      <w:tr w:rsidR="006A2CD9" w:rsidRPr="006A2CD9" w14:paraId="2528857E"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FD2C81" w14:textId="206D9673"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A15437" w14:textId="66C7EE96" w:rsidR="008B49EE" w:rsidRPr="006A2CD9" w:rsidRDefault="008B49EE">
            <w:pPr>
              <w:ind w:right="57"/>
              <w:rPr>
                <w:rFonts w:ascii="Arial Narrow" w:hAnsi="Arial Narrow" w:cs="Arial Narrow"/>
                <w:iCs/>
                <w:sz w:val="20"/>
                <w:szCs w:val="20"/>
              </w:rPr>
            </w:pPr>
            <w:r w:rsidRPr="006A2CD9">
              <w:rPr>
                <w:rFonts w:ascii="Arial Narrow" w:hAnsi="Arial Narrow"/>
                <w:sz w:val="20"/>
                <w:szCs w:val="20"/>
              </w:rPr>
              <w:t xml:space="preserve">Patient must have a bone age </w:t>
            </w:r>
            <w:r w:rsidR="00F03720" w:rsidRPr="006A2CD9">
              <w:rPr>
                <w:rFonts w:ascii="Arial Narrow" w:hAnsi="Arial Narrow"/>
                <w:sz w:val="20"/>
                <w:szCs w:val="20"/>
              </w:rPr>
              <w:t xml:space="preserve">of </w:t>
            </w:r>
            <w:r w:rsidRPr="006A2CD9">
              <w:rPr>
                <w:rFonts w:ascii="Arial Narrow" w:hAnsi="Arial Narrow"/>
                <w:sz w:val="20"/>
                <w:szCs w:val="20"/>
              </w:rPr>
              <w:t>less than 13.5 years (females); or</w:t>
            </w:r>
          </w:p>
        </w:tc>
      </w:tr>
      <w:tr w:rsidR="006A2CD9" w:rsidRPr="006A2CD9" w14:paraId="3AAE366D"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95FF81" w14:textId="27318695"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7B6D6" w14:textId="77777777" w:rsidR="008B49EE" w:rsidRPr="006A2CD9" w:rsidRDefault="008B49EE">
            <w:pPr>
              <w:ind w:right="57"/>
              <w:rPr>
                <w:rFonts w:ascii="Arial Narrow" w:hAnsi="Arial Narrow"/>
                <w:sz w:val="20"/>
                <w:szCs w:val="20"/>
              </w:rPr>
            </w:pPr>
            <w:r w:rsidRPr="006A2CD9">
              <w:rPr>
                <w:rFonts w:ascii="Arial Narrow" w:hAnsi="Arial Narrow"/>
                <w:sz w:val="20"/>
                <w:szCs w:val="20"/>
              </w:rPr>
              <w:t>Patient must have a bone age of less than 15.5 years (males)</w:t>
            </w:r>
          </w:p>
        </w:tc>
      </w:tr>
      <w:tr w:rsidR="006A2CD9" w:rsidRPr="006A2CD9" w14:paraId="01EB89D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ACD70"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58135C"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693A7CB1" w14:textId="77777777" w:rsidTr="008B49EE">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2BECA"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2E1724"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Clinical criteria:</w:t>
            </w:r>
          </w:p>
        </w:tc>
      </w:tr>
      <w:tr w:rsidR="006A2CD9" w:rsidRPr="006A2CD9" w14:paraId="0700A61D" w14:textId="77777777" w:rsidTr="008B49EE">
        <w:trPr>
          <w:trHeight w:val="482"/>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E907C" w14:textId="7AC320F3"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899407" w14:textId="77777777" w:rsidR="008B49EE" w:rsidRPr="006A2CD9" w:rsidRDefault="008B49EE">
            <w:pPr>
              <w:ind w:right="57"/>
              <w:rPr>
                <w:rFonts w:ascii="Arial Narrow" w:hAnsi="Arial Narrow"/>
                <w:sz w:val="20"/>
                <w:szCs w:val="20"/>
              </w:rPr>
            </w:pPr>
            <w:r w:rsidRPr="006A2CD9">
              <w:rPr>
                <w:rFonts w:ascii="Arial Narrow" w:hAnsi="Arial Narrow"/>
                <w:sz w:val="20"/>
                <w:szCs w:val="20"/>
              </w:rPr>
              <w:t>The treatment must not be in a patient with known epiphyseal closure/growth plate fusion (</w:t>
            </w:r>
            <w:proofErr w:type="gramStart"/>
            <w:r w:rsidRPr="006A2CD9">
              <w:rPr>
                <w:rFonts w:ascii="Arial Narrow" w:hAnsi="Arial Narrow"/>
                <w:sz w:val="20"/>
                <w:szCs w:val="20"/>
              </w:rPr>
              <w:t>i.e.</w:t>
            </w:r>
            <w:proofErr w:type="gramEnd"/>
            <w:r w:rsidRPr="006A2CD9">
              <w:rPr>
                <w:rFonts w:ascii="Arial Narrow" w:hAnsi="Arial Narrow"/>
                <w:sz w:val="20"/>
                <w:szCs w:val="20"/>
              </w:rPr>
              <w:t xml:space="preserve"> the patient is known to have ceased growing)</w:t>
            </w:r>
          </w:p>
        </w:tc>
      </w:tr>
      <w:tr w:rsidR="006A2CD9" w:rsidRPr="006A2CD9" w14:paraId="491543F5" w14:textId="77777777" w:rsidTr="008B49EE">
        <w:trPr>
          <w:trHeight w:val="120"/>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F16AA5"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951A0D" w14:textId="77777777" w:rsidR="008B49EE" w:rsidRPr="006A2CD9" w:rsidRDefault="008B49EE">
            <w:pPr>
              <w:ind w:right="57"/>
              <w:rPr>
                <w:rFonts w:ascii="Arial Narrow" w:hAnsi="Arial Narrow"/>
                <w:sz w:val="20"/>
                <w:szCs w:val="20"/>
              </w:rPr>
            </w:pPr>
            <w:r w:rsidRPr="006A2CD9">
              <w:rPr>
                <w:rFonts w:ascii="Arial Narrow" w:hAnsi="Arial Narrow"/>
                <w:b/>
                <w:bCs/>
                <w:sz w:val="20"/>
                <w:szCs w:val="20"/>
              </w:rPr>
              <w:t>AND</w:t>
            </w:r>
          </w:p>
        </w:tc>
      </w:tr>
      <w:tr w:rsidR="006A2CD9" w:rsidRPr="006A2CD9" w14:paraId="1A9E8304" w14:textId="77777777" w:rsidTr="008B49EE">
        <w:trPr>
          <w:trHeight w:val="120"/>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DCE2AC"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0C410" w14:textId="0DD9B0AC" w:rsidR="008B49EE" w:rsidRPr="006A2CD9" w:rsidRDefault="008B49EE" w:rsidP="005E3A06">
            <w:pPr>
              <w:ind w:right="57"/>
              <w:rPr>
                <w:rFonts w:ascii="Arial Narrow" w:hAnsi="Arial Narrow"/>
                <w:sz w:val="20"/>
                <w:szCs w:val="20"/>
              </w:rPr>
            </w:pPr>
            <w:r w:rsidRPr="006A2CD9">
              <w:rPr>
                <w:rFonts w:ascii="Arial Narrow" w:hAnsi="Arial Narrow"/>
                <w:b/>
                <w:bCs/>
                <w:sz w:val="20"/>
                <w:szCs w:val="20"/>
              </w:rPr>
              <w:t xml:space="preserve">Clinical criteria: </w:t>
            </w:r>
          </w:p>
        </w:tc>
      </w:tr>
      <w:tr w:rsidR="006A2CD9" w:rsidRPr="006A2CD9" w14:paraId="5B6561AE" w14:textId="77777777" w:rsidTr="008B49EE">
        <w:trPr>
          <w:trHeight w:val="120"/>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4E4D4" w14:textId="2AD40A68"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B7195" w14:textId="3AE30E32" w:rsidR="008B49EE" w:rsidRPr="006A2CD9" w:rsidRDefault="008B49EE">
            <w:pPr>
              <w:ind w:right="57"/>
              <w:rPr>
                <w:rFonts w:ascii="Arial Narrow" w:hAnsi="Arial Narrow"/>
                <w:sz w:val="20"/>
                <w:szCs w:val="20"/>
              </w:rPr>
            </w:pPr>
            <w:proofErr w:type="gramStart"/>
            <w:r w:rsidRPr="006A2CD9">
              <w:rPr>
                <w:rFonts w:ascii="Arial Narrow" w:hAnsi="Arial Narrow"/>
                <w:sz w:val="20"/>
                <w:szCs w:val="20"/>
              </w:rPr>
              <w:t>The  condition</w:t>
            </w:r>
            <w:proofErr w:type="gramEnd"/>
            <w:r w:rsidRPr="006A2CD9">
              <w:rPr>
                <w:rFonts w:ascii="Arial Narrow" w:hAnsi="Arial Narrow"/>
                <w:sz w:val="20"/>
                <w:szCs w:val="20"/>
              </w:rPr>
              <w:t xml:space="preserve"> is responsive to this drug treatment as evidenced by each of: (</w:t>
            </w:r>
            <w:proofErr w:type="spellStart"/>
            <w:r w:rsidRPr="006A2CD9">
              <w:rPr>
                <w:rFonts w:ascii="Arial Narrow" w:hAnsi="Arial Narrow"/>
                <w:sz w:val="20"/>
                <w:szCs w:val="20"/>
              </w:rPr>
              <w:t>i</w:t>
            </w:r>
            <w:proofErr w:type="spellEnd"/>
            <w:r w:rsidRPr="006A2CD9">
              <w:rPr>
                <w:rFonts w:ascii="Arial Narrow" w:hAnsi="Arial Narrow"/>
                <w:sz w:val="20"/>
                <w:szCs w:val="20"/>
              </w:rPr>
              <w:t>) patient is showing catch-up for height standard deviation score against Laron syndrome (</w:t>
            </w:r>
            <w:r w:rsidR="006C21CA" w:rsidRPr="006A2CD9">
              <w:rPr>
                <w:rFonts w:ascii="Arial Narrow" w:hAnsi="Arial Narrow"/>
                <w:sz w:val="20"/>
                <w:szCs w:val="20"/>
              </w:rPr>
              <w:t>growth hormone insensitivity syndrome</w:t>
            </w:r>
            <w:r w:rsidRPr="006A2CD9">
              <w:rPr>
                <w:rFonts w:ascii="Arial Narrow" w:hAnsi="Arial Narrow"/>
                <w:sz w:val="20"/>
                <w:szCs w:val="20"/>
              </w:rPr>
              <w:t xml:space="preserve">) growth charts, (ii) patient has a growth velocity of greater than 2 cm per year (extrapolated for time on treatment) at the time of this continuing authority application. </w:t>
            </w:r>
          </w:p>
          <w:p w14:paraId="70612F6D" w14:textId="77777777" w:rsidR="008B49EE" w:rsidRPr="006A2CD9" w:rsidRDefault="008B49EE">
            <w:pPr>
              <w:ind w:right="57"/>
              <w:rPr>
                <w:rFonts w:ascii="Arial Narrow" w:hAnsi="Arial Narrow"/>
                <w:sz w:val="20"/>
                <w:szCs w:val="20"/>
              </w:rPr>
            </w:pPr>
            <w:r w:rsidRPr="006A2CD9">
              <w:rPr>
                <w:rFonts w:ascii="Arial Narrow" w:hAnsi="Arial Narrow"/>
                <w:sz w:val="20"/>
                <w:szCs w:val="20"/>
              </w:rPr>
              <w:t xml:space="preserve">or </w:t>
            </w:r>
          </w:p>
        </w:tc>
      </w:tr>
      <w:tr w:rsidR="006A2CD9" w:rsidRPr="006A2CD9" w14:paraId="1CADAC58" w14:textId="77777777" w:rsidTr="008B49EE">
        <w:trPr>
          <w:trHeight w:val="120"/>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613E6E" w14:textId="23A002A3"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A4E338" w14:textId="77777777" w:rsidR="008B49EE" w:rsidRPr="006A2CD9" w:rsidRDefault="008B49EE">
            <w:pPr>
              <w:ind w:right="57"/>
              <w:rPr>
                <w:rFonts w:ascii="Arial Narrow" w:hAnsi="Arial Narrow"/>
                <w:sz w:val="20"/>
                <w:szCs w:val="20"/>
              </w:rPr>
            </w:pPr>
            <w:r w:rsidRPr="006A2CD9">
              <w:rPr>
                <w:rFonts w:ascii="Arial Narrow" w:hAnsi="Arial Narrow"/>
                <w:sz w:val="20"/>
                <w:szCs w:val="20"/>
              </w:rPr>
              <w:t xml:space="preserve">The condition is yet to respond to this drug treatment only for the reason of suspected sub-optimal dosing </w:t>
            </w:r>
          </w:p>
        </w:tc>
      </w:tr>
      <w:tr w:rsidR="006A2CD9" w:rsidRPr="006A2CD9" w14:paraId="1FAE8598"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96D02"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97B2AD" w14:textId="77777777" w:rsidR="008B49EE" w:rsidRPr="006A2CD9" w:rsidRDefault="008B49EE">
            <w:pPr>
              <w:rPr>
                <w:rFonts w:ascii="Arial Narrow" w:hAnsi="Arial Narrow"/>
                <w:b/>
                <w:bCs/>
                <w:sz w:val="20"/>
                <w:szCs w:val="20"/>
              </w:rPr>
            </w:pPr>
          </w:p>
        </w:tc>
      </w:tr>
      <w:tr w:rsidR="006A2CD9" w:rsidRPr="006A2CD9" w14:paraId="75DA579B"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47DD88"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A5E8F" w14:textId="77777777" w:rsidR="008B49EE" w:rsidRPr="006A2CD9" w:rsidRDefault="008B49EE">
            <w:pPr>
              <w:rPr>
                <w:rFonts w:ascii="Arial Narrow" w:hAnsi="Arial Narrow"/>
                <w:sz w:val="20"/>
                <w:szCs w:val="20"/>
              </w:rPr>
            </w:pPr>
            <w:r w:rsidRPr="006A2CD9">
              <w:rPr>
                <w:rFonts w:ascii="Arial Narrow" w:hAnsi="Arial Narrow"/>
                <w:b/>
                <w:bCs/>
                <w:sz w:val="20"/>
                <w:szCs w:val="20"/>
              </w:rPr>
              <w:t>Treatment criteria:</w:t>
            </w:r>
          </w:p>
        </w:tc>
      </w:tr>
      <w:tr w:rsidR="006A2CD9" w:rsidRPr="006A2CD9" w14:paraId="6E7E3444"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5FD656" w14:textId="4C91EC4C"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E72FC" w14:textId="77777777" w:rsidR="008B49EE" w:rsidRPr="006A2CD9" w:rsidRDefault="008B49EE">
            <w:pPr>
              <w:rPr>
                <w:rFonts w:ascii="Arial Narrow" w:hAnsi="Arial Narrow"/>
                <w:sz w:val="20"/>
                <w:szCs w:val="20"/>
              </w:rPr>
            </w:pPr>
            <w:r w:rsidRPr="006A2CD9">
              <w:rPr>
                <w:rFonts w:ascii="Arial Narrow" w:hAnsi="Arial Narrow"/>
                <w:sz w:val="20"/>
                <w:szCs w:val="20"/>
              </w:rPr>
              <w:t>Must be treated by a paediatric endocrinologist; the authority application must be completed by this physician type; or</w:t>
            </w:r>
          </w:p>
        </w:tc>
      </w:tr>
      <w:tr w:rsidR="006A2CD9" w:rsidRPr="006A2CD9" w14:paraId="432115B8"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A80551" w14:textId="15230B95"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0F4EE" w14:textId="77777777" w:rsidR="008B49EE" w:rsidRPr="006A2CD9" w:rsidRDefault="008B49EE">
            <w:pPr>
              <w:rPr>
                <w:rFonts w:ascii="Arial Narrow" w:hAnsi="Arial Narrow"/>
                <w:sz w:val="20"/>
                <w:szCs w:val="20"/>
              </w:rPr>
            </w:pPr>
            <w:r w:rsidRPr="006A2CD9">
              <w:rPr>
                <w:rFonts w:ascii="Arial Narrow" w:hAnsi="Arial Narrow"/>
                <w:sz w:val="20"/>
                <w:szCs w:val="20"/>
              </w:rPr>
              <w:t xml:space="preserve">Must be treated by a paediatrician who has consulted the </w:t>
            </w:r>
            <w:proofErr w:type="gramStart"/>
            <w:r w:rsidRPr="006A2CD9">
              <w:rPr>
                <w:rFonts w:ascii="Arial Narrow" w:hAnsi="Arial Narrow"/>
                <w:sz w:val="20"/>
                <w:szCs w:val="20"/>
              </w:rPr>
              <w:t>above mentioned</w:t>
            </w:r>
            <w:proofErr w:type="gramEnd"/>
            <w:r w:rsidRPr="006A2CD9">
              <w:rPr>
                <w:rFonts w:ascii="Arial Narrow" w:hAnsi="Arial Narrow"/>
                <w:sz w:val="20"/>
                <w:szCs w:val="20"/>
              </w:rPr>
              <w:t xml:space="preserve"> specialist type; the authority application must be completed by this paediatrician.</w:t>
            </w:r>
          </w:p>
        </w:tc>
      </w:tr>
      <w:tr w:rsidR="006A2CD9" w:rsidRPr="006A2CD9" w14:paraId="2ED87AD2"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B03B7"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A7572" w14:textId="77777777" w:rsidR="008B49EE" w:rsidRPr="006A2CD9" w:rsidRDefault="008B49EE">
            <w:pPr>
              <w:rPr>
                <w:rFonts w:ascii="Arial Narrow" w:hAnsi="Arial Narrow"/>
                <w:b/>
                <w:bCs/>
                <w:sz w:val="20"/>
                <w:szCs w:val="20"/>
              </w:rPr>
            </w:pPr>
          </w:p>
        </w:tc>
      </w:tr>
      <w:tr w:rsidR="006A2CD9" w:rsidRPr="006A2CD9" w14:paraId="3AB56176"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EC8D0D"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EBFF7E" w14:textId="77777777" w:rsidR="008B49EE" w:rsidRPr="006A2CD9" w:rsidRDefault="008B49EE">
            <w:pPr>
              <w:rPr>
                <w:rFonts w:ascii="Arial Narrow" w:hAnsi="Arial Narrow"/>
                <w:b/>
                <w:bCs/>
                <w:sz w:val="20"/>
                <w:szCs w:val="20"/>
              </w:rPr>
            </w:pPr>
            <w:r w:rsidRPr="006A2CD9">
              <w:rPr>
                <w:rFonts w:ascii="Arial Narrow" w:hAnsi="Arial Narrow"/>
                <w:b/>
                <w:bCs/>
                <w:sz w:val="20"/>
                <w:szCs w:val="20"/>
              </w:rPr>
              <w:t>Population criteria:</w:t>
            </w:r>
          </w:p>
        </w:tc>
      </w:tr>
      <w:tr w:rsidR="006A2CD9" w:rsidRPr="006A2CD9" w14:paraId="025DA460"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68B9CB" w14:textId="7C802326"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AC76FD" w14:textId="00AC2128" w:rsidR="008B49EE" w:rsidRPr="006A2CD9" w:rsidRDefault="008B49EE" w:rsidP="00F03720">
            <w:pPr>
              <w:rPr>
                <w:rFonts w:ascii="Arial Narrow" w:hAnsi="Arial Narrow"/>
                <w:sz w:val="20"/>
                <w:szCs w:val="20"/>
              </w:rPr>
            </w:pPr>
            <w:r w:rsidRPr="006A2CD9">
              <w:rPr>
                <w:rFonts w:ascii="Arial Narrow" w:hAnsi="Arial Narrow"/>
                <w:sz w:val="20"/>
                <w:szCs w:val="20"/>
              </w:rPr>
              <w:t>Patient must be aged from 2 years up until their 1</w:t>
            </w:r>
            <w:r w:rsidR="00F03720" w:rsidRPr="006A2CD9">
              <w:rPr>
                <w:rFonts w:ascii="Arial Narrow" w:hAnsi="Arial Narrow"/>
                <w:sz w:val="20"/>
                <w:szCs w:val="20"/>
              </w:rPr>
              <w:t>9</w:t>
            </w:r>
            <w:r w:rsidRPr="006A2CD9">
              <w:rPr>
                <w:rFonts w:ascii="Arial Narrow" w:hAnsi="Arial Narrow"/>
                <w:sz w:val="20"/>
                <w:szCs w:val="20"/>
              </w:rPr>
              <w:t xml:space="preserve">th birthday </w:t>
            </w:r>
          </w:p>
        </w:tc>
      </w:tr>
      <w:tr w:rsidR="006A2CD9" w:rsidRPr="006A2CD9" w14:paraId="4D0E7273"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7AFE5"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A3C6CC" w14:textId="77777777" w:rsidR="008B49EE" w:rsidRPr="006A2CD9" w:rsidRDefault="008B49EE">
            <w:pPr>
              <w:rPr>
                <w:rFonts w:ascii="Arial Narrow" w:hAnsi="Arial Narrow"/>
                <w:sz w:val="20"/>
                <w:szCs w:val="20"/>
              </w:rPr>
            </w:pPr>
          </w:p>
        </w:tc>
      </w:tr>
      <w:tr w:rsidR="006A2CD9" w:rsidRPr="006A2CD9" w14:paraId="511AE636"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7E47A7" w14:textId="682DB1C0"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F9CBF" w14:textId="77777777" w:rsidR="008B49EE" w:rsidRPr="006A2CD9" w:rsidRDefault="008B49EE">
            <w:pPr>
              <w:rPr>
                <w:rFonts w:ascii="Arial Narrow" w:hAnsi="Arial Narrow" w:cs="Arial Narrow"/>
                <w:b/>
                <w:iCs/>
                <w:sz w:val="20"/>
                <w:szCs w:val="20"/>
              </w:rPr>
            </w:pPr>
            <w:r w:rsidRPr="006A2CD9">
              <w:rPr>
                <w:rFonts w:ascii="Arial Narrow" w:hAnsi="Arial Narrow" w:cs="Arial Narrow"/>
                <w:b/>
                <w:iCs/>
                <w:sz w:val="20"/>
                <w:szCs w:val="20"/>
              </w:rPr>
              <w:t>Prescribing Instructions:</w:t>
            </w:r>
          </w:p>
          <w:p w14:paraId="0E7D2561" w14:textId="77777777" w:rsidR="008B49EE" w:rsidRPr="006A2CD9" w:rsidRDefault="008B49EE">
            <w:pPr>
              <w:rPr>
                <w:rFonts w:ascii="Arial Narrow" w:hAnsi="Arial Narrow"/>
                <w:sz w:val="20"/>
                <w:szCs w:val="20"/>
              </w:rPr>
            </w:pPr>
            <w:r w:rsidRPr="006A2CD9">
              <w:rPr>
                <w:rFonts w:ascii="Arial Narrow" w:hAnsi="Arial Narrow"/>
                <w:sz w:val="20"/>
                <w:szCs w:val="20"/>
              </w:rPr>
              <w:t>The authority application must be made in writing and must include:</w:t>
            </w:r>
          </w:p>
          <w:p w14:paraId="720FB37B" w14:textId="77777777" w:rsidR="008B49EE" w:rsidRPr="006A2CD9" w:rsidRDefault="008B49EE">
            <w:pPr>
              <w:rPr>
                <w:rFonts w:ascii="Arial Narrow" w:hAnsi="Arial Narrow"/>
                <w:sz w:val="20"/>
                <w:szCs w:val="20"/>
              </w:rPr>
            </w:pPr>
            <w:r w:rsidRPr="006A2CD9">
              <w:rPr>
                <w:rFonts w:ascii="Arial Narrow" w:hAnsi="Arial Narrow"/>
                <w:sz w:val="20"/>
                <w:szCs w:val="20"/>
              </w:rPr>
              <w:t>(1) a completed authority prescription form; and</w:t>
            </w:r>
          </w:p>
          <w:p w14:paraId="5F656D31" w14:textId="77777777" w:rsidR="008B49EE" w:rsidRPr="006A2CD9" w:rsidRDefault="008B49EE">
            <w:pPr>
              <w:jc w:val="left"/>
              <w:rPr>
                <w:rFonts w:ascii="Arial Narrow" w:hAnsi="Arial Narrow"/>
                <w:sz w:val="20"/>
                <w:szCs w:val="20"/>
              </w:rPr>
            </w:pPr>
            <w:r w:rsidRPr="006A2CD9">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6A2CD9" w:rsidRPr="006A2CD9" w14:paraId="0E3A048D"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E97A9" w14:textId="3C0901B8"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0CF368" w14:textId="77777777" w:rsidR="008B49EE" w:rsidRPr="006A2CD9" w:rsidRDefault="008B49EE">
            <w:pPr>
              <w:rPr>
                <w:rFonts w:ascii="Arial Narrow" w:hAnsi="Arial Narrow"/>
                <w:b/>
                <w:bCs/>
                <w:sz w:val="20"/>
                <w:szCs w:val="20"/>
              </w:rPr>
            </w:pPr>
            <w:r w:rsidRPr="006A2CD9">
              <w:rPr>
                <w:rFonts w:ascii="Arial Narrow" w:hAnsi="Arial Narrow"/>
                <w:b/>
                <w:bCs/>
                <w:sz w:val="20"/>
                <w:szCs w:val="20"/>
              </w:rPr>
              <w:t>Prescriber instructions:</w:t>
            </w:r>
          </w:p>
          <w:p w14:paraId="4CE29B6C" w14:textId="77777777" w:rsidR="008B49EE" w:rsidRPr="006A2CD9" w:rsidRDefault="008B49EE">
            <w:pPr>
              <w:rPr>
                <w:rFonts w:ascii="Arial Narrow" w:hAnsi="Arial Narrow"/>
                <w:sz w:val="20"/>
                <w:szCs w:val="20"/>
                <w:u w:val="single"/>
              </w:rPr>
            </w:pPr>
            <w:r w:rsidRPr="006A2CD9">
              <w:rPr>
                <w:rFonts w:ascii="Arial Narrow" w:hAnsi="Arial Narrow"/>
                <w:sz w:val="20"/>
                <w:szCs w:val="20"/>
                <w:u w:val="single"/>
              </w:rPr>
              <w:t>Maximum quantity/amount of drug selection:</w:t>
            </w:r>
          </w:p>
          <w:p w14:paraId="2C715261" w14:textId="77777777" w:rsidR="008B49EE" w:rsidRPr="006A2CD9" w:rsidRDefault="008B49EE">
            <w:pPr>
              <w:rPr>
                <w:rFonts w:ascii="Arial Narrow" w:hAnsi="Arial Narrow"/>
                <w:sz w:val="20"/>
                <w:szCs w:val="20"/>
              </w:rPr>
            </w:pPr>
            <w:r w:rsidRPr="006A2CD9">
              <w:rPr>
                <w:rFonts w:ascii="Arial Narrow" w:hAnsi="Arial Narrow"/>
                <w:sz w:val="20"/>
                <w:szCs w:val="20"/>
              </w:rPr>
              <w:t>At the time of the authority application, state the following:</w:t>
            </w:r>
          </w:p>
          <w:p w14:paraId="12722C68" w14:textId="77777777" w:rsidR="008B49EE" w:rsidRPr="006A2CD9" w:rsidRDefault="008B49EE">
            <w:pPr>
              <w:rPr>
                <w:rFonts w:ascii="Arial Narrow" w:hAnsi="Arial Narrow"/>
                <w:sz w:val="20"/>
                <w:szCs w:val="20"/>
              </w:rPr>
            </w:pPr>
            <w:r w:rsidRPr="006A2CD9">
              <w:rPr>
                <w:rFonts w:ascii="Arial Narrow" w:hAnsi="Arial Narrow"/>
                <w:sz w:val="20"/>
                <w:szCs w:val="20"/>
              </w:rPr>
              <w:t>(</w:t>
            </w:r>
            <w:proofErr w:type="spellStart"/>
            <w:r w:rsidRPr="006A2CD9">
              <w:rPr>
                <w:rFonts w:ascii="Arial Narrow" w:hAnsi="Arial Narrow"/>
                <w:sz w:val="20"/>
                <w:szCs w:val="20"/>
              </w:rPr>
              <w:t>i</w:t>
            </w:r>
            <w:proofErr w:type="spellEnd"/>
            <w:r w:rsidRPr="006A2CD9">
              <w:rPr>
                <w:rFonts w:ascii="Arial Narrow" w:hAnsi="Arial Narrow"/>
                <w:sz w:val="20"/>
                <w:szCs w:val="20"/>
              </w:rPr>
              <w:t xml:space="preserve">) the patient’s weight in </w:t>
            </w:r>
            <w:proofErr w:type="gramStart"/>
            <w:r w:rsidRPr="006A2CD9">
              <w:rPr>
                <w:rFonts w:ascii="Arial Narrow" w:hAnsi="Arial Narrow"/>
                <w:sz w:val="20"/>
                <w:szCs w:val="20"/>
              </w:rPr>
              <w:t>kg;</w:t>
            </w:r>
            <w:proofErr w:type="gramEnd"/>
          </w:p>
          <w:p w14:paraId="411E4B1A" w14:textId="77777777" w:rsidR="008B49EE" w:rsidRPr="006A2CD9" w:rsidRDefault="008B49EE">
            <w:pPr>
              <w:rPr>
                <w:rFonts w:ascii="Arial Narrow" w:hAnsi="Arial Narrow"/>
                <w:sz w:val="20"/>
                <w:szCs w:val="20"/>
              </w:rPr>
            </w:pPr>
            <w:r w:rsidRPr="006A2CD9">
              <w:rPr>
                <w:rFonts w:ascii="Arial Narrow" w:hAnsi="Arial Narrow"/>
                <w:sz w:val="20"/>
                <w:szCs w:val="20"/>
              </w:rPr>
              <w:t>(ii) the prescribed dose (between 0.04 to 0.12 mg/kg administered twice daily</w:t>
            </w:r>
            <w:proofErr w:type="gramStart"/>
            <w:r w:rsidRPr="006A2CD9">
              <w:rPr>
                <w:rFonts w:ascii="Arial Narrow" w:hAnsi="Arial Narrow"/>
                <w:sz w:val="20"/>
                <w:szCs w:val="20"/>
              </w:rPr>
              <w:t>);</w:t>
            </w:r>
            <w:proofErr w:type="gramEnd"/>
            <w:r w:rsidRPr="006A2CD9">
              <w:rPr>
                <w:rFonts w:ascii="Arial Narrow" w:hAnsi="Arial Narrow"/>
                <w:sz w:val="20"/>
                <w:szCs w:val="20"/>
              </w:rPr>
              <w:t xml:space="preserve"> </w:t>
            </w:r>
          </w:p>
          <w:p w14:paraId="4233FC90" w14:textId="77777777" w:rsidR="008B49EE" w:rsidRPr="006A2CD9" w:rsidRDefault="008B49EE">
            <w:pPr>
              <w:rPr>
                <w:rFonts w:ascii="Arial Narrow" w:hAnsi="Arial Narrow"/>
                <w:sz w:val="20"/>
                <w:szCs w:val="20"/>
              </w:rPr>
            </w:pPr>
            <w:r w:rsidRPr="006A2CD9">
              <w:rPr>
                <w:rFonts w:ascii="Arial Narrow" w:hAnsi="Arial Narrow"/>
                <w:sz w:val="20"/>
                <w:szCs w:val="20"/>
              </w:rPr>
              <w:t>(iii) the number of vials rounded to the nearest whole number, to provide sufficient drug quantity for 30 days treatment per dispensing.</w:t>
            </w:r>
          </w:p>
          <w:p w14:paraId="5F6CEB2A" w14:textId="77777777" w:rsidR="008B49EE" w:rsidRPr="006A2CD9" w:rsidRDefault="008B49EE">
            <w:pPr>
              <w:rPr>
                <w:rFonts w:ascii="Arial Narrow" w:hAnsi="Arial Narrow"/>
                <w:sz w:val="20"/>
                <w:szCs w:val="20"/>
              </w:rPr>
            </w:pPr>
          </w:p>
          <w:p w14:paraId="708695B4" w14:textId="77777777" w:rsidR="008B49EE" w:rsidRPr="006A2CD9" w:rsidRDefault="008B49EE">
            <w:pPr>
              <w:rPr>
                <w:rFonts w:ascii="Arial Narrow" w:hAnsi="Arial Narrow"/>
                <w:sz w:val="20"/>
                <w:szCs w:val="20"/>
              </w:rPr>
            </w:pPr>
            <w:r w:rsidRPr="006A2CD9">
              <w:rPr>
                <w:rFonts w:ascii="Arial Narrow" w:hAnsi="Arial Narrow"/>
                <w:sz w:val="20"/>
                <w:szCs w:val="20"/>
              </w:rPr>
              <w:t>Seek an increase in the maximum quantity stated in the listing.</w:t>
            </w:r>
          </w:p>
          <w:p w14:paraId="762A065C" w14:textId="77777777" w:rsidR="008B49EE" w:rsidRPr="006A2CD9" w:rsidRDefault="008B49EE">
            <w:pPr>
              <w:rPr>
                <w:rFonts w:ascii="Arial Narrow" w:hAnsi="Arial Narrow"/>
                <w:sz w:val="20"/>
                <w:szCs w:val="20"/>
              </w:rPr>
            </w:pPr>
          </w:p>
          <w:p w14:paraId="4542EDE2" w14:textId="77777777" w:rsidR="008B49EE" w:rsidRPr="006A2CD9" w:rsidRDefault="008B49EE">
            <w:pPr>
              <w:rPr>
                <w:rFonts w:ascii="Arial Narrow" w:hAnsi="Arial Narrow"/>
                <w:sz w:val="20"/>
                <w:szCs w:val="20"/>
              </w:rPr>
            </w:pPr>
            <w:r w:rsidRPr="006A2CD9">
              <w:rPr>
                <w:rFonts w:ascii="Arial Narrow" w:hAnsi="Arial Narrow"/>
                <w:sz w:val="20"/>
                <w:szCs w:val="20"/>
              </w:rPr>
              <w:t>The PBS authority application administrator will approve a maximum quantity of vials in line with the following formula (based on the upper dose range of 0.12 mg/kg dosed twice daily, one vial containing 40 mg of drug and target supply duration of 30 days per dispensing</w:t>
            </w:r>
            <w:proofErr w:type="gramStart"/>
            <w:r w:rsidRPr="006A2CD9">
              <w:rPr>
                <w:rFonts w:ascii="Arial Narrow" w:hAnsi="Arial Narrow"/>
                <w:sz w:val="20"/>
                <w:szCs w:val="20"/>
              </w:rPr>
              <w:t>);</w:t>
            </w:r>
            <w:proofErr w:type="gramEnd"/>
          </w:p>
          <w:p w14:paraId="33ACD7AF" w14:textId="77777777" w:rsidR="008B49EE" w:rsidRPr="006A2CD9" w:rsidRDefault="008B49EE">
            <w:pPr>
              <w:rPr>
                <w:rFonts w:ascii="Arial Narrow" w:hAnsi="Arial Narrow"/>
                <w:sz w:val="20"/>
                <w:szCs w:val="20"/>
              </w:rPr>
            </w:pPr>
          </w:p>
          <w:p w14:paraId="08DB3396" w14:textId="77777777" w:rsidR="008B49EE" w:rsidRPr="006A2CD9" w:rsidRDefault="008B49EE">
            <w:pPr>
              <w:rPr>
                <w:rFonts w:ascii="Arial Narrow" w:hAnsi="Arial Narrow"/>
                <w:sz w:val="20"/>
                <w:szCs w:val="20"/>
              </w:rPr>
            </w:pPr>
            <w:r w:rsidRPr="006A2CD9">
              <w:rPr>
                <w:rFonts w:ascii="Arial Narrow" w:hAnsi="Arial Narrow"/>
                <w:sz w:val="20"/>
                <w:szCs w:val="20"/>
              </w:rPr>
              <w:t>Number of vials equals 7.2 multiplied by weight (kg) divided by 40</w:t>
            </w:r>
          </w:p>
          <w:p w14:paraId="5C56C141" w14:textId="77777777" w:rsidR="008B49EE" w:rsidRPr="006A2CD9" w:rsidRDefault="008B49EE">
            <w:pPr>
              <w:rPr>
                <w:rFonts w:ascii="Arial Narrow" w:hAnsi="Arial Narrow"/>
                <w:sz w:val="20"/>
                <w:szCs w:val="20"/>
              </w:rPr>
            </w:pPr>
          </w:p>
          <w:p w14:paraId="0740CA8F" w14:textId="77777777" w:rsidR="008B49EE" w:rsidRPr="006A2CD9" w:rsidRDefault="008B49EE">
            <w:pPr>
              <w:rPr>
                <w:rFonts w:ascii="Arial Narrow" w:hAnsi="Arial Narrow"/>
                <w:sz w:val="20"/>
                <w:szCs w:val="20"/>
              </w:rPr>
            </w:pPr>
            <w:r w:rsidRPr="006A2CD9">
              <w:rPr>
                <w:rFonts w:ascii="Arial Narrow" w:hAnsi="Arial Narrow"/>
                <w:sz w:val="20"/>
                <w:szCs w:val="20"/>
              </w:rPr>
              <w:t>For ease in reference, this equates to:</w:t>
            </w:r>
          </w:p>
          <w:p w14:paraId="7A2B8E26" w14:textId="77777777" w:rsidR="006C21CA" w:rsidRPr="006A2CD9" w:rsidRDefault="006C21CA">
            <w:pPr>
              <w:rPr>
                <w:rFonts w:ascii="Arial Narrow" w:hAnsi="Arial Narrow"/>
                <w:sz w:val="20"/>
                <w:szCs w:val="20"/>
              </w:rPr>
            </w:pPr>
          </w:p>
          <w:p w14:paraId="66A57086"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Below 16 kg: up to 3 vials</w:t>
            </w:r>
          </w:p>
          <w:p w14:paraId="73DAC0D5"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16 to 22 kg: up to 4 vials</w:t>
            </w:r>
          </w:p>
          <w:p w14:paraId="2A24AAC2"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22 to 27 kg: up to 5 vials</w:t>
            </w:r>
          </w:p>
          <w:p w14:paraId="5BB7A639"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27 to 33 kg: up to 6 vials</w:t>
            </w:r>
          </w:p>
          <w:p w14:paraId="2F70B911"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33 to 38 kg: up to 7 vials</w:t>
            </w:r>
          </w:p>
          <w:p w14:paraId="12788B48" w14:textId="77777777" w:rsidR="006C21CA" w:rsidRPr="006A2CD9" w:rsidRDefault="006C21CA" w:rsidP="006C21CA">
            <w:pPr>
              <w:ind w:right="57"/>
              <w:rPr>
                <w:rFonts w:ascii="Arial Narrow" w:hAnsi="Arial Narrow"/>
                <w:sz w:val="20"/>
                <w:szCs w:val="20"/>
              </w:rPr>
            </w:pPr>
            <w:r w:rsidRPr="006A2CD9">
              <w:rPr>
                <w:rFonts w:ascii="Arial Narrow" w:hAnsi="Arial Narrow"/>
                <w:sz w:val="20"/>
                <w:szCs w:val="20"/>
              </w:rPr>
              <w:t>38 to 44 kg: up to 8 vials</w:t>
            </w:r>
          </w:p>
          <w:p w14:paraId="35841549" w14:textId="77777777" w:rsidR="006C21CA" w:rsidRPr="006A2CD9" w:rsidRDefault="006C21CA" w:rsidP="006C21CA">
            <w:pPr>
              <w:ind w:right="57"/>
              <w:rPr>
                <w:rFonts w:ascii="Arial Narrow" w:hAnsi="Arial Narrow"/>
                <w:sz w:val="20"/>
                <w:szCs w:val="20"/>
              </w:rPr>
            </w:pPr>
          </w:p>
          <w:p w14:paraId="32DF2066" w14:textId="33579BF5" w:rsidR="006C21CA" w:rsidRPr="006A2CD9" w:rsidRDefault="006C21CA" w:rsidP="006C21CA">
            <w:pPr>
              <w:ind w:right="57"/>
              <w:rPr>
                <w:rFonts w:ascii="Arial Narrow" w:hAnsi="Arial Narrow"/>
                <w:sz w:val="20"/>
                <w:szCs w:val="20"/>
              </w:rPr>
            </w:pPr>
            <w:r w:rsidRPr="006A2CD9">
              <w:rPr>
                <w:rFonts w:ascii="Arial Narrow" w:hAnsi="Arial Narrow"/>
                <w:sz w:val="20"/>
                <w:szCs w:val="20"/>
              </w:rPr>
              <w:t>Beyond 44 kg: refer to above formula</w:t>
            </w:r>
          </w:p>
          <w:p w14:paraId="7B62894B" w14:textId="09DB8657" w:rsidR="006C21CA" w:rsidRPr="006A2CD9" w:rsidRDefault="006C21CA">
            <w:pPr>
              <w:rPr>
                <w:rFonts w:ascii="Arial Narrow" w:hAnsi="Arial Narrow"/>
                <w:sz w:val="20"/>
                <w:szCs w:val="20"/>
              </w:rPr>
            </w:pPr>
          </w:p>
        </w:tc>
      </w:tr>
      <w:tr w:rsidR="006A2CD9" w:rsidRPr="006A2CD9" w14:paraId="22A14F6B"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D43E7" w14:textId="77777777"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B2D4F9" w14:textId="77777777" w:rsidR="008B49EE" w:rsidRPr="006A2CD9" w:rsidRDefault="008B49EE">
            <w:pPr>
              <w:jc w:val="left"/>
              <w:rPr>
                <w:rFonts w:ascii="Arial Narrow" w:hAnsi="Arial Narrow" w:cs="Arial Narrow"/>
                <w:b/>
                <w:iCs/>
                <w:sz w:val="20"/>
                <w:szCs w:val="20"/>
              </w:rPr>
            </w:pPr>
          </w:p>
        </w:tc>
      </w:tr>
      <w:tr w:rsidR="006A2CD9" w:rsidRPr="006A2CD9" w14:paraId="62FA4927" w14:textId="77777777" w:rsidTr="008B49EE">
        <w:trPr>
          <w:trHeight w:val="248"/>
        </w:trPr>
        <w:tc>
          <w:tcPr>
            <w:tcW w:w="5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D9B616" w14:textId="4093CA0F" w:rsidR="008B49EE" w:rsidRPr="006A2CD9" w:rsidRDefault="008B49EE">
            <w:pPr>
              <w:jc w:val="center"/>
              <w:rPr>
                <w:rFonts w:ascii="Arial Narrow" w:hAnsi="Arial Narrow"/>
                <w:sz w:val="20"/>
                <w:szCs w:val="20"/>
              </w:rPr>
            </w:pPr>
          </w:p>
        </w:tc>
        <w:tc>
          <w:tcPr>
            <w:tcW w:w="4469"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2B6699" w14:textId="77777777" w:rsidR="008B49EE" w:rsidRPr="006A2CD9" w:rsidRDefault="008B49EE">
            <w:pPr>
              <w:jc w:val="left"/>
              <w:rPr>
                <w:rFonts w:ascii="Arial Narrow" w:hAnsi="Arial Narrow" w:cs="Arial Narrow"/>
                <w:b/>
                <w:iCs/>
                <w:sz w:val="20"/>
                <w:szCs w:val="20"/>
              </w:rPr>
            </w:pPr>
            <w:r w:rsidRPr="006A2CD9">
              <w:rPr>
                <w:rFonts w:ascii="Arial Narrow" w:hAnsi="Arial Narrow" w:cs="Arial Narrow"/>
                <w:b/>
                <w:iCs/>
                <w:sz w:val="20"/>
                <w:szCs w:val="20"/>
              </w:rPr>
              <w:t>NOTE:</w:t>
            </w:r>
          </w:p>
          <w:p w14:paraId="440BD81E" w14:textId="77777777" w:rsidR="008B49EE" w:rsidRPr="006A2CD9" w:rsidRDefault="008B49EE">
            <w:pPr>
              <w:jc w:val="left"/>
              <w:rPr>
                <w:rFonts w:ascii="Arial Narrow" w:hAnsi="Arial Narrow" w:cs="Arial Narrow"/>
                <w:bCs/>
                <w:iCs/>
                <w:sz w:val="20"/>
                <w:szCs w:val="20"/>
              </w:rPr>
            </w:pPr>
            <w:r w:rsidRPr="006A2CD9">
              <w:rPr>
                <w:rFonts w:ascii="Arial Narrow" w:hAnsi="Arial Narrow" w:cs="Arial Narrow"/>
                <w:bCs/>
                <w:iCs/>
                <w:sz w:val="20"/>
                <w:szCs w:val="20"/>
              </w:rPr>
              <w:t xml:space="preserve">Laron syndrome growth charts are those appearing in the following publication: </w:t>
            </w:r>
          </w:p>
          <w:p w14:paraId="156EDD41" w14:textId="77777777" w:rsidR="008B49EE" w:rsidRPr="006A2CD9" w:rsidRDefault="008B49EE">
            <w:pPr>
              <w:jc w:val="left"/>
              <w:rPr>
                <w:rFonts w:ascii="Arial Narrow" w:hAnsi="Arial Narrow" w:cs="Arial Narrow"/>
                <w:bCs/>
                <w:iCs/>
                <w:sz w:val="20"/>
                <w:szCs w:val="20"/>
              </w:rPr>
            </w:pPr>
            <w:r w:rsidRPr="006A2CD9">
              <w:rPr>
                <w:rFonts w:ascii="Arial Narrow" w:hAnsi="Arial Narrow" w:cs="Arial Narrow"/>
                <w:bCs/>
                <w:iCs/>
                <w:sz w:val="20"/>
                <w:szCs w:val="20"/>
              </w:rPr>
              <w:t xml:space="preserve">Growth Curves for Laron syndrome, </w:t>
            </w:r>
            <w:r w:rsidRPr="006A2CD9">
              <w:rPr>
                <w:rFonts w:ascii="Arial Narrow" w:hAnsi="Arial Narrow" w:cs="Arial Narrow"/>
                <w:bCs/>
                <w:i/>
                <w:sz w:val="20"/>
                <w:szCs w:val="20"/>
              </w:rPr>
              <w:t>Archives of Disease in Childhood</w:t>
            </w:r>
            <w:r w:rsidRPr="006A2CD9">
              <w:rPr>
                <w:rFonts w:ascii="Arial Narrow" w:hAnsi="Arial Narrow" w:cs="Arial Narrow"/>
                <w:bCs/>
                <w:iCs/>
                <w:sz w:val="20"/>
                <w:szCs w:val="20"/>
              </w:rPr>
              <w:t xml:space="preserve"> 1993; 68: 768-770</w:t>
            </w:r>
          </w:p>
          <w:p w14:paraId="592ABEBC" w14:textId="77777777" w:rsidR="008B49EE" w:rsidRPr="006A2CD9" w:rsidRDefault="008B49EE">
            <w:pPr>
              <w:jc w:val="left"/>
              <w:rPr>
                <w:rFonts w:ascii="Arial Narrow" w:hAnsi="Arial Narrow" w:cs="Arial Narrow"/>
                <w:bCs/>
                <w:iCs/>
                <w:sz w:val="20"/>
                <w:szCs w:val="20"/>
              </w:rPr>
            </w:pPr>
          </w:p>
          <w:p w14:paraId="57E40E02" w14:textId="77777777" w:rsidR="008B49EE" w:rsidRPr="006A2CD9" w:rsidRDefault="008B49EE">
            <w:pPr>
              <w:jc w:val="left"/>
              <w:rPr>
                <w:rFonts w:ascii="Arial Narrow" w:hAnsi="Arial Narrow" w:cs="Arial Narrow"/>
                <w:bCs/>
                <w:iCs/>
                <w:sz w:val="20"/>
                <w:szCs w:val="20"/>
              </w:rPr>
            </w:pPr>
            <w:r w:rsidRPr="006A2CD9">
              <w:rPr>
                <w:rFonts w:ascii="Arial Narrow" w:hAnsi="Arial Narrow" w:cs="Arial Narrow"/>
                <w:bCs/>
                <w:iCs/>
                <w:sz w:val="20"/>
                <w:szCs w:val="20"/>
              </w:rPr>
              <w:t>Document growth improvements in the patient’s medical records.</w:t>
            </w:r>
          </w:p>
        </w:tc>
      </w:tr>
    </w:tbl>
    <w:p w14:paraId="4503F91F" w14:textId="3EC13E5B" w:rsidR="008B49EE" w:rsidRPr="0023395B" w:rsidRDefault="008B49EE" w:rsidP="00572228">
      <w:pPr>
        <w:pStyle w:val="CommentText"/>
      </w:pPr>
    </w:p>
    <w:p w14:paraId="5D534F57" w14:textId="3A33C4BE" w:rsidR="008B49EE" w:rsidRDefault="00572228" w:rsidP="006A2CD9">
      <w:pPr>
        <w:pStyle w:val="3Bodytext"/>
        <w:numPr>
          <w:ilvl w:val="0"/>
          <w:numId w:val="0"/>
        </w:numPr>
        <w:rPr>
          <w:b/>
          <w:i/>
        </w:rPr>
      </w:pPr>
      <w:r w:rsidRPr="0023395B">
        <w:rPr>
          <w:b/>
          <w:i/>
        </w:rPr>
        <w:t xml:space="preserve">These restrictions are subject to further review. </w:t>
      </w:r>
      <w:bookmarkEnd w:id="15"/>
    </w:p>
    <w:p w14:paraId="005F4FDB" w14:textId="77777777" w:rsidR="006E5C96" w:rsidRPr="00BD5070" w:rsidRDefault="006E5C96" w:rsidP="00BD5070">
      <w:pPr>
        <w:pStyle w:val="Heading1"/>
        <w:keepNext/>
        <w:keepLines/>
        <w:numPr>
          <w:ilvl w:val="0"/>
          <w:numId w:val="1"/>
        </w:numPr>
        <w:spacing w:before="240"/>
        <w:ind w:left="709" w:hanging="709"/>
      </w:pPr>
      <w:bookmarkStart w:id="16" w:name="_Hlk102658826"/>
      <w:r w:rsidRPr="00BD5070">
        <w:rPr>
          <w:sz w:val="32"/>
          <w:szCs w:val="32"/>
        </w:rPr>
        <w:t>Context for Decision</w:t>
      </w:r>
    </w:p>
    <w:p w14:paraId="63873D5A" w14:textId="77777777" w:rsidR="006E5C96" w:rsidRDefault="006E5C96" w:rsidP="006E5C96">
      <w:pPr>
        <w:spacing w:after="120"/>
        <w:ind w:left="720"/>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64999C2" w14:textId="77777777" w:rsidR="006E5C96" w:rsidRPr="00BD5070" w:rsidRDefault="006E5C96" w:rsidP="00BD5070">
      <w:pPr>
        <w:pStyle w:val="Heading1"/>
        <w:keepNext/>
        <w:keepLines/>
        <w:numPr>
          <w:ilvl w:val="0"/>
          <w:numId w:val="1"/>
        </w:numPr>
        <w:spacing w:before="240"/>
        <w:ind w:left="709" w:hanging="709"/>
      </w:pPr>
      <w:bookmarkStart w:id="17" w:name="_Hlk102733998"/>
      <w:r w:rsidRPr="00BD5070">
        <w:rPr>
          <w:sz w:val="32"/>
          <w:szCs w:val="32"/>
        </w:rPr>
        <w:t>Sponsor’s Comment</w:t>
      </w:r>
    </w:p>
    <w:p w14:paraId="6F0F8B95" w14:textId="390EFBBE" w:rsidR="006E5C96" w:rsidRPr="0023395B" w:rsidRDefault="00625FD2" w:rsidP="00BD5070">
      <w:pPr>
        <w:spacing w:after="120"/>
        <w:ind w:left="709"/>
      </w:pPr>
      <w:r w:rsidRPr="00BD5070">
        <w:rPr>
          <w:rFonts w:asciiTheme="minorHAnsi" w:hAnsiTheme="minorHAnsi"/>
          <w:bCs/>
          <w:lang w:val="en-GB"/>
        </w:rPr>
        <w:t xml:space="preserve">Ipsen has been pleased to work </w:t>
      </w:r>
      <w:r w:rsidR="00CF77B5" w:rsidRPr="00BD5070">
        <w:rPr>
          <w:rFonts w:asciiTheme="minorHAnsi" w:hAnsiTheme="minorHAnsi"/>
          <w:bCs/>
          <w:lang w:val="en-GB"/>
        </w:rPr>
        <w:t xml:space="preserve">with </w:t>
      </w:r>
      <w:r w:rsidRPr="00BD5070">
        <w:rPr>
          <w:rFonts w:asciiTheme="minorHAnsi" w:hAnsiTheme="minorHAnsi"/>
          <w:bCs/>
          <w:lang w:val="en-GB"/>
        </w:rPr>
        <w:t>the PBAC to ensure patients with SPIGFD have access to treatment with mecasermin for this rare condition.</w:t>
      </w:r>
      <w:bookmarkEnd w:id="16"/>
      <w:bookmarkEnd w:id="17"/>
    </w:p>
    <w:sectPr w:rsidR="006E5C96" w:rsidRPr="0023395B" w:rsidSect="00C27B58">
      <w:headerReference w:type="even" r:id="rId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1E1D" w14:textId="77777777" w:rsidR="00DE289A" w:rsidRDefault="00DE289A">
      <w:r>
        <w:separator/>
      </w:r>
    </w:p>
    <w:p w14:paraId="360D2D0E" w14:textId="77777777" w:rsidR="00DE289A" w:rsidRDefault="00DE289A"/>
  </w:endnote>
  <w:endnote w:type="continuationSeparator" w:id="0">
    <w:p w14:paraId="64A899F1" w14:textId="77777777" w:rsidR="00DE289A" w:rsidRDefault="00DE289A">
      <w:r>
        <w:continuationSeparator/>
      </w:r>
    </w:p>
    <w:p w14:paraId="33269755" w14:textId="77777777" w:rsidR="00DE289A" w:rsidRDefault="00DE289A"/>
  </w:endnote>
  <w:endnote w:type="continuationNotice" w:id="1">
    <w:p w14:paraId="0B82FF6E" w14:textId="77777777" w:rsidR="00DE289A" w:rsidRDefault="00DE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E289A" w14:paraId="4075D3FE" w14:textId="77777777" w:rsidTr="005A3173">
      <w:trPr>
        <w:trHeight w:val="151"/>
      </w:trPr>
      <w:tc>
        <w:tcPr>
          <w:tcW w:w="2250" w:type="pct"/>
          <w:tcBorders>
            <w:top w:val="nil"/>
            <w:left w:val="nil"/>
            <w:bottom w:val="single" w:sz="4" w:space="0" w:color="4F81BD"/>
            <w:right w:val="nil"/>
          </w:tcBorders>
        </w:tcPr>
        <w:p w14:paraId="096D0DDE" w14:textId="77777777" w:rsidR="00DE289A" w:rsidRPr="005A3173" w:rsidRDefault="00DE289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DE289A" w:rsidRPr="005A3173" w:rsidRDefault="00DE289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E289A" w:rsidRPr="005A3173" w:rsidRDefault="00DE289A" w:rsidP="005A3173">
          <w:pPr>
            <w:pStyle w:val="Header"/>
            <w:spacing w:line="276" w:lineRule="auto"/>
            <w:rPr>
              <w:rFonts w:eastAsia="MS Gothic"/>
              <w:b/>
              <w:bCs/>
              <w:color w:val="4F81BD"/>
            </w:rPr>
          </w:pPr>
        </w:p>
      </w:tc>
    </w:tr>
    <w:tr w:rsidR="00DE289A" w14:paraId="32EF4DB8" w14:textId="77777777" w:rsidTr="005A3173">
      <w:trPr>
        <w:trHeight w:val="150"/>
      </w:trPr>
      <w:tc>
        <w:tcPr>
          <w:tcW w:w="2250" w:type="pct"/>
          <w:tcBorders>
            <w:top w:val="single" w:sz="4" w:space="0" w:color="4F81BD"/>
            <w:left w:val="nil"/>
            <w:bottom w:val="nil"/>
            <w:right w:val="nil"/>
          </w:tcBorders>
        </w:tcPr>
        <w:p w14:paraId="03528A4C" w14:textId="77777777" w:rsidR="00DE289A" w:rsidRPr="005A3173" w:rsidRDefault="00DE289A" w:rsidP="005A3173">
          <w:pPr>
            <w:pStyle w:val="Header"/>
            <w:spacing w:line="276" w:lineRule="auto"/>
            <w:rPr>
              <w:rFonts w:eastAsia="MS Gothic"/>
              <w:b/>
              <w:bCs/>
              <w:color w:val="4F81BD"/>
            </w:rPr>
          </w:pPr>
        </w:p>
      </w:tc>
      <w:tc>
        <w:tcPr>
          <w:tcW w:w="0" w:type="auto"/>
          <w:vMerge/>
          <w:vAlign w:val="center"/>
          <w:hideMark/>
        </w:tcPr>
        <w:p w14:paraId="109042FB" w14:textId="77777777" w:rsidR="00DE289A" w:rsidRPr="005A3173" w:rsidRDefault="00DE289A" w:rsidP="005A3173">
          <w:pPr>
            <w:rPr>
              <w:color w:val="365F91"/>
              <w:sz w:val="22"/>
              <w:szCs w:val="22"/>
            </w:rPr>
          </w:pPr>
        </w:p>
      </w:tc>
      <w:tc>
        <w:tcPr>
          <w:tcW w:w="2250" w:type="pct"/>
          <w:tcBorders>
            <w:top w:val="single" w:sz="4" w:space="0" w:color="4F81BD"/>
            <w:left w:val="nil"/>
            <w:bottom w:val="nil"/>
            <w:right w:val="nil"/>
          </w:tcBorders>
        </w:tcPr>
        <w:p w14:paraId="09664199" w14:textId="77777777" w:rsidR="00DE289A" w:rsidRPr="005A3173" w:rsidRDefault="00DE289A" w:rsidP="005A3173">
          <w:pPr>
            <w:pStyle w:val="Header"/>
            <w:spacing w:line="276" w:lineRule="auto"/>
            <w:rPr>
              <w:rFonts w:eastAsia="MS Gothic"/>
              <w:b/>
              <w:bCs/>
              <w:color w:val="4F81BD"/>
            </w:rPr>
          </w:pPr>
        </w:p>
      </w:tc>
    </w:tr>
  </w:tbl>
  <w:p w14:paraId="21855C18" w14:textId="77777777" w:rsidR="00DE289A" w:rsidRDefault="00DE289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DE289A" w:rsidRDefault="00DE289A">
    <w:pPr>
      <w:pStyle w:val="Footer"/>
    </w:pPr>
  </w:p>
  <w:p w14:paraId="48FFA445" w14:textId="77777777" w:rsidR="00DE289A" w:rsidRDefault="00DE28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65F1" w14:textId="77777777" w:rsidR="00DE289A" w:rsidRDefault="00DE289A" w:rsidP="00363654">
    <w:pPr>
      <w:pStyle w:val="Footer"/>
      <w:jc w:val="center"/>
    </w:pPr>
  </w:p>
  <w:p w14:paraId="7339A11E" w14:textId="0FBC911A" w:rsidR="00DE289A" w:rsidRDefault="002A2C2E" w:rsidP="00363654">
    <w:pPr>
      <w:pStyle w:val="Footer"/>
      <w:jc w:val="center"/>
    </w:pPr>
    <w:sdt>
      <w:sdtPr>
        <w:id w:val="571927165"/>
        <w:docPartObj>
          <w:docPartGallery w:val="Page Numbers (Bottom of Page)"/>
          <w:docPartUnique/>
        </w:docPartObj>
      </w:sdtPr>
      <w:sdtEndPr>
        <w:rPr>
          <w:noProof/>
        </w:rPr>
      </w:sdtEndPr>
      <w:sdtContent>
        <w:r w:rsidR="00DE289A" w:rsidRPr="00121CD9">
          <w:rPr>
            <w:b/>
          </w:rPr>
          <w:fldChar w:fldCharType="begin"/>
        </w:r>
        <w:r w:rsidR="00DE289A" w:rsidRPr="00121CD9">
          <w:rPr>
            <w:b/>
          </w:rPr>
          <w:instrText xml:space="preserve"> PAGE   \* MERGEFORMAT </w:instrText>
        </w:r>
        <w:r w:rsidR="00DE289A" w:rsidRPr="00121CD9">
          <w:rPr>
            <w:b/>
          </w:rPr>
          <w:fldChar w:fldCharType="separate"/>
        </w:r>
        <w:r w:rsidR="00DE289A">
          <w:rPr>
            <w:b/>
            <w:noProof/>
          </w:rPr>
          <w:t>17</w:t>
        </w:r>
        <w:r w:rsidR="00DE289A" w:rsidRPr="00121CD9">
          <w:rPr>
            <w:b/>
            <w:noProof/>
          </w:rPr>
          <w:fldChar w:fldCharType="end"/>
        </w:r>
      </w:sdtContent>
    </w:sdt>
  </w:p>
  <w:p w14:paraId="628950DA" w14:textId="5E3D46A3" w:rsidR="00DE289A" w:rsidRDefault="00DE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07D4C" w14:textId="77777777" w:rsidR="00DE289A" w:rsidRDefault="00DE289A">
      <w:r>
        <w:separator/>
      </w:r>
    </w:p>
    <w:p w14:paraId="234378BF" w14:textId="77777777" w:rsidR="00DE289A" w:rsidRDefault="00DE289A"/>
  </w:footnote>
  <w:footnote w:type="continuationSeparator" w:id="0">
    <w:p w14:paraId="22D9D2DD" w14:textId="77777777" w:rsidR="00DE289A" w:rsidRDefault="00DE289A">
      <w:r>
        <w:continuationSeparator/>
      </w:r>
    </w:p>
    <w:p w14:paraId="197B383C" w14:textId="77777777" w:rsidR="00DE289A" w:rsidRDefault="00DE289A"/>
  </w:footnote>
  <w:footnote w:type="continuationNotice" w:id="1">
    <w:p w14:paraId="70FE7E6E" w14:textId="77777777" w:rsidR="00DE289A" w:rsidRDefault="00DE289A"/>
  </w:footnote>
  <w:footnote w:id="2">
    <w:p w14:paraId="0694D3E9" w14:textId="2F386175" w:rsidR="00DE289A" w:rsidRDefault="00DE289A">
      <w:pPr>
        <w:pStyle w:val="FootnoteText"/>
      </w:pPr>
      <w:r>
        <w:rPr>
          <w:rStyle w:val="FootnoteReference"/>
        </w:rPr>
        <w:footnoteRef/>
      </w:r>
      <w:r>
        <w:t xml:space="preserve"> July 2021 PBAC meeting – Consideration of the report of the Drug Utilisation Sub-Committee, see </w:t>
      </w:r>
      <w:hyperlink r:id="rId1" w:history="1">
        <w:r w:rsidRPr="007A2F41">
          <w:rPr>
            <w:rStyle w:val="Hyperlink"/>
          </w:rPr>
          <w:t>https://www.pbs.gov.au/industry/listing/elements/pbac-meetings/pbac-outcomes/2021-07/consideration-of-dusc-report-07-2021.pdf</w:t>
        </w:r>
      </w:hyperlink>
      <w:r>
        <w:t xml:space="preserve">, accessed 11 January 2022. </w:t>
      </w:r>
    </w:p>
  </w:footnote>
  <w:footnote w:id="3">
    <w:p w14:paraId="070523DC" w14:textId="2BFE2C2C" w:rsidR="00DE289A" w:rsidRDefault="00DE289A">
      <w:pPr>
        <w:pStyle w:val="FootnoteText"/>
      </w:pPr>
      <w:r>
        <w:rPr>
          <w:rStyle w:val="FootnoteReference"/>
        </w:rPr>
        <w:footnoteRef/>
      </w:r>
      <w:r>
        <w:t xml:space="preserve"> </w:t>
      </w:r>
      <w:r w:rsidRPr="00F2041A">
        <w:t>Clinical Growth Charts</w:t>
      </w:r>
      <w:r>
        <w:t xml:space="preserve">, available from </w:t>
      </w:r>
      <w:r w:rsidRPr="00F2041A">
        <w:t>https://www.cdc.gov/growthcharts/clinical_charts.htm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E289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E289A" w:rsidRPr="00A06225" w:rsidRDefault="00DE289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DE289A" w:rsidRPr="00A06225" w:rsidRDefault="00DE289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E289A" w:rsidRPr="00A06225" w:rsidRDefault="00DE289A">
          <w:pPr>
            <w:pStyle w:val="Header"/>
            <w:spacing w:line="276" w:lineRule="auto"/>
            <w:rPr>
              <w:rFonts w:ascii="Cambria" w:eastAsia="MS Gothic" w:hAnsi="Cambria"/>
              <w:b/>
              <w:bCs/>
              <w:color w:val="4F81BD"/>
            </w:rPr>
          </w:pPr>
        </w:p>
      </w:tc>
    </w:tr>
    <w:tr w:rsidR="00DE289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E289A" w:rsidRPr="00A06225" w:rsidRDefault="00DE289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DE289A" w:rsidRPr="00A06225" w:rsidRDefault="00DE289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E289A" w:rsidRPr="00A06225" w:rsidRDefault="00DE289A">
          <w:pPr>
            <w:pStyle w:val="Header"/>
            <w:spacing w:line="276" w:lineRule="auto"/>
            <w:rPr>
              <w:rFonts w:ascii="Cambria" w:eastAsia="MS Gothic" w:hAnsi="Cambria"/>
              <w:b/>
              <w:bCs/>
              <w:color w:val="4F81BD"/>
            </w:rPr>
          </w:pPr>
        </w:p>
      </w:tc>
    </w:tr>
  </w:tbl>
  <w:p w14:paraId="7DCC695F" w14:textId="77777777" w:rsidR="00DE289A" w:rsidRDefault="00DE289A">
    <w:pPr>
      <w:pStyle w:val="Header"/>
    </w:pPr>
  </w:p>
  <w:p w14:paraId="25F34A60" w14:textId="77777777" w:rsidR="00DE289A" w:rsidRDefault="00DE28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646" w14:textId="0EDC810B" w:rsidR="00DE289A" w:rsidRPr="00056684" w:rsidRDefault="00DE289A" w:rsidP="00545738">
    <w:pPr>
      <w:pStyle w:val="Header"/>
      <w:ind w:left="360"/>
      <w:rPr>
        <w:rFonts w:asciiTheme="minorHAnsi" w:hAnsiTheme="minorHAnsi" w:cs="Arial"/>
        <w:i/>
        <w:color w:val="808080"/>
      </w:rPr>
    </w:pPr>
    <w:r>
      <w:rPr>
        <w:rFonts w:asciiTheme="minorHAnsi" w:hAnsiTheme="minorHAnsi" w:cs="Arial"/>
        <w:i/>
        <w:color w:val="808080"/>
      </w:rPr>
      <w:t>Public Summary Document</w:t>
    </w:r>
    <w:r w:rsidRPr="00056684">
      <w:rPr>
        <w:rFonts w:asciiTheme="minorHAnsi" w:hAnsiTheme="minorHAnsi" w:cs="Arial"/>
        <w:i/>
        <w:color w:val="808080"/>
      </w:rPr>
      <w:t xml:space="preserve"> – </w:t>
    </w:r>
    <w:r>
      <w:rPr>
        <w:rFonts w:asciiTheme="minorHAnsi" w:hAnsiTheme="minorHAnsi" w:cs="Arial"/>
        <w:i/>
        <w:color w:val="808080"/>
      </w:rPr>
      <w:t>March 2022</w:t>
    </w:r>
    <w:r w:rsidRPr="00056684">
      <w:rPr>
        <w:rFonts w:asciiTheme="minorHAnsi" w:hAnsiTheme="minorHAnsi" w:cs="Arial"/>
        <w:i/>
        <w:color w:val="808080"/>
      </w:rPr>
      <w:t xml:space="preserve"> PBAC Meeting</w:t>
    </w:r>
  </w:p>
  <w:p w14:paraId="62E60462" w14:textId="77777777" w:rsidR="00DE289A" w:rsidRPr="00545738" w:rsidRDefault="00DE289A" w:rsidP="00545738">
    <w:pPr>
      <w:pStyle w:val="NoSpacing"/>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380A4D14"/>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946FE4"/>
    <w:multiLevelType w:val="hybridMultilevel"/>
    <w:tmpl w:val="49D2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70A60"/>
    <w:multiLevelType w:val="hybridMultilevel"/>
    <w:tmpl w:val="5B42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62F75D0"/>
    <w:multiLevelType w:val="hybridMultilevel"/>
    <w:tmpl w:val="1264E624"/>
    <w:lvl w:ilvl="0" w:tplc="C840CA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C6097C"/>
    <w:multiLevelType w:val="hybridMultilevel"/>
    <w:tmpl w:val="13E6B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C7B36"/>
    <w:multiLevelType w:val="hybridMultilevel"/>
    <w:tmpl w:val="AC5AA1B6"/>
    <w:lvl w:ilvl="0" w:tplc="5E4030B8">
      <w:start w:val="1"/>
      <w:numFmt w:val="lowerLetter"/>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146F09C3"/>
    <w:multiLevelType w:val="multilevel"/>
    <w:tmpl w:val="3C8C4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71374D"/>
    <w:multiLevelType w:val="hybridMultilevel"/>
    <w:tmpl w:val="1672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006CEA"/>
    <w:multiLevelType w:val="hybridMultilevel"/>
    <w:tmpl w:val="A60EFCD2"/>
    <w:lvl w:ilvl="0" w:tplc="0C090001">
      <w:start w:val="1"/>
      <w:numFmt w:val="bullet"/>
      <w:lvlText w:val=""/>
      <w:lvlJc w:val="left"/>
      <w:pPr>
        <w:ind w:left="1080" w:hanging="720"/>
      </w:pPr>
      <w:rPr>
        <w:rFonts w:ascii="Symbol" w:hAnsi="Symbol" w:hint="default"/>
      </w:rPr>
    </w:lvl>
    <w:lvl w:ilvl="1" w:tplc="9EC8FA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0D205EB"/>
    <w:multiLevelType w:val="hybridMultilevel"/>
    <w:tmpl w:val="68482244"/>
    <w:lvl w:ilvl="0" w:tplc="E38E859A">
      <w:start w:val="1"/>
      <w:numFmt w:val="bullet"/>
      <w:lvlText w:val="•"/>
      <w:lvlJc w:val="left"/>
      <w:pPr>
        <w:tabs>
          <w:tab w:val="num" w:pos="720"/>
        </w:tabs>
        <w:ind w:left="720" w:hanging="360"/>
      </w:pPr>
      <w:rPr>
        <w:rFonts w:ascii="Arial" w:hAnsi="Arial" w:hint="default"/>
      </w:rPr>
    </w:lvl>
    <w:lvl w:ilvl="1" w:tplc="E7D0B7FE" w:tentative="1">
      <w:start w:val="1"/>
      <w:numFmt w:val="bullet"/>
      <w:lvlText w:val="•"/>
      <w:lvlJc w:val="left"/>
      <w:pPr>
        <w:tabs>
          <w:tab w:val="num" w:pos="1440"/>
        </w:tabs>
        <w:ind w:left="1440" w:hanging="360"/>
      </w:pPr>
      <w:rPr>
        <w:rFonts w:ascii="Arial" w:hAnsi="Arial" w:hint="default"/>
      </w:rPr>
    </w:lvl>
    <w:lvl w:ilvl="2" w:tplc="13585A2C" w:tentative="1">
      <w:start w:val="1"/>
      <w:numFmt w:val="bullet"/>
      <w:lvlText w:val="•"/>
      <w:lvlJc w:val="left"/>
      <w:pPr>
        <w:tabs>
          <w:tab w:val="num" w:pos="2160"/>
        </w:tabs>
        <w:ind w:left="2160" w:hanging="360"/>
      </w:pPr>
      <w:rPr>
        <w:rFonts w:ascii="Arial" w:hAnsi="Arial" w:hint="default"/>
      </w:rPr>
    </w:lvl>
    <w:lvl w:ilvl="3" w:tplc="DA3CE984" w:tentative="1">
      <w:start w:val="1"/>
      <w:numFmt w:val="bullet"/>
      <w:lvlText w:val="•"/>
      <w:lvlJc w:val="left"/>
      <w:pPr>
        <w:tabs>
          <w:tab w:val="num" w:pos="2880"/>
        </w:tabs>
        <w:ind w:left="2880" w:hanging="360"/>
      </w:pPr>
      <w:rPr>
        <w:rFonts w:ascii="Arial" w:hAnsi="Arial" w:hint="default"/>
      </w:rPr>
    </w:lvl>
    <w:lvl w:ilvl="4" w:tplc="FAAADBE8" w:tentative="1">
      <w:start w:val="1"/>
      <w:numFmt w:val="bullet"/>
      <w:lvlText w:val="•"/>
      <w:lvlJc w:val="left"/>
      <w:pPr>
        <w:tabs>
          <w:tab w:val="num" w:pos="3600"/>
        </w:tabs>
        <w:ind w:left="3600" w:hanging="360"/>
      </w:pPr>
      <w:rPr>
        <w:rFonts w:ascii="Arial" w:hAnsi="Arial" w:hint="default"/>
      </w:rPr>
    </w:lvl>
    <w:lvl w:ilvl="5" w:tplc="11A094F0" w:tentative="1">
      <w:start w:val="1"/>
      <w:numFmt w:val="bullet"/>
      <w:lvlText w:val="•"/>
      <w:lvlJc w:val="left"/>
      <w:pPr>
        <w:tabs>
          <w:tab w:val="num" w:pos="4320"/>
        </w:tabs>
        <w:ind w:left="4320" w:hanging="360"/>
      </w:pPr>
      <w:rPr>
        <w:rFonts w:ascii="Arial" w:hAnsi="Arial" w:hint="default"/>
      </w:rPr>
    </w:lvl>
    <w:lvl w:ilvl="6" w:tplc="4F76B852" w:tentative="1">
      <w:start w:val="1"/>
      <w:numFmt w:val="bullet"/>
      <w:lvlText w:val="•"/>
      <w:lvlJc w:val="left"/>
      <w:pPr>
        <w:tabs>
          <w:tab w:val="num" w:pos="5040"/>
        </w:tabs>
        <w:ind w:left="5040" w:hanging="360"/>
      </w:pPr>
      <w:rPr>
        <w:rFonts w:ascii="Arial" w:hAnsi="Arial" w:hint="default"/>
      </w:rPr>
    </w:lvl>
    <w:lvl w:ilvl="7" w:tplc="C0680B9E" w:tentative="1">
      <w:start w:val="1"/>
      <w:numFmt w:val="bullet"/>
      <w:lvlText w:val="•"/>
      <w:lvlJc w:val="left"/>
      <w:pPr>
        <w:tabs>
          <w:tab w:val="num" w:pos="5760"/>
        </w:tabs>
        <w:ind w:left="5760" w:hanging="360"/>
      </w:pPr>
      <w:rPr>
        <w:rFonts w:ascii="Arial" w:hAnsi="Arial" w:hint="default"/>
      </w:rPr>
    </w:lvl>
    <w:lvl w:ilvl="8" w:tplc="1BF61F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E65351"/>
    <w:multiLevelType w:val="hybridMultilevel"/>
    <w:tmpl w:val="6ACA4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D869B9"/>
    <w:multiLevelType w:val="hybridMultilevel"/>
    <w:tmpl w:val="59EAB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5072DA"/>
    <w:multiLevelType w:val="hybridMultilevel"/>
    <w:tmpl w:val="D78C9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1CF5CD7"/>
    <w:multiLevelType w:val="multilevel"/>
    <w:tmpl w:val="00AACCFE"/>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84D033C"/>
    <w:multiLevelType w:val="multilevel"/>
    <w:tmpl w:val="1EE24EDE"/>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710FD7"/>
    <w:multiLevelType w:val="hybridMultilevel"/>
    <w:tmpl w:val="DD56A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F840E5"/>
    <w:multiLevelType w:val="hybridMultilevel"/>
    <w:tmpl w:val="BE4ACFD4"/>
    <w:lvl w:ilvl="0" w:tplc="5A7A4E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0"/>
  </w:num>
  <w:num w:numId="3">
    <w:abstractNumId w:val="24"/>
  </w:num>
  <w:num w:numId="4">
    <w:abstractNumId w:val="31"/>
  </w:num>
  <w:num w:numId="5">
    <w:abstractNumId w:val="28"/>
  </w:num>
  <w:num w:numId="6">
    <w:abstractNumId w:val="19"/>
  </w:num>
  <w:num w:numId="7">
    <w:abstractNumId w:val="16"/>
  </w:num>
  <w:num w:numId="8">
    <w:abstractNumId w:val="1"/>
  </w:num>
  <w:num w:numId="9">
    <w:abstractNumId w:val="30"/>
  </w:num>
  <w:num w:numId="10">
    <w:abstractNumId w:val="26"/>
  </w:num>
  <w:num w:numId="11">
    <w:abstractNumId w:val="14"/>
  </w:num>
  <w:num w:numId="12">
    <w:abstractNumId w:val="10"/>
  </w:num>
  <w:num w:numId="13">
    <w:abstractNumId w:val="5"/>
  </w:num>
  <w:num w:numId="14">
    <w:abstractNumId w:val="15"/>
  </w:num>
  <w:num w:numId="15">
    <w:abstractNumId w:val="23"/>
  </w:num>
  <w:num w:numId="16">
    <w:abstractNumId w:val="18"/>
  </w:num>
  <w:num w:numId="17">
    <w:abstractNumId w:val="3"/>
  </w:num>
  <w:num w:numId="18">
    <w:abstractNumId w:val="32"/>
  </w:num>
  <w:num w:numId="19">
    <w:abstractNumId w:val="7"/>
  </w:num>
  <w:num w:numId="20">
    <w:abstractNumId w:val="33"/>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6"/>
  </w:num>
  <w:num w:numId="32">
    <w:abstractNumId w:val="2"/>
  </w:num>
  <w:num w:numId="33">
    <w:abstractNumId w:val="12"/>
  </w:num>
  <w:num w:numId="34">
    <w:abstractNumId w:val="13"/>
  </w:num>
  <w:num w:numId="35">
    <w:abstractNumId w:val="11"/>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0"/>
  </w:num>
  <w:num w:numId="39">
    <w:abstractNumId w:val="29"/>
  </w:num>
  <w:num w:numId="40">
    <w:abstractNumId w:val="30"/>
  </w:num>
  <w:num w:numId="41">
    <w:abstractNumId w:val="30"/>
  </w:num>
  <w:num w:numId="42">
    <w:abstractNumId w:val="17"/>
  </w:num>
  <w:num w:numId="43">
    <w:abstractNumId w:val="8"/>
  </w:num>
  <w:num w:numId="44">
    <w:abstractNumId w:val="3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6B0"/>
    <w:rsid w:val="00003963"/>
    <w:rsid w:val="00003AAD"/>
    <w:rsid w:val="00006782"/>
    <w:rsid w:val="00006A38"/>
    <w:rsid w:val="0001179A"/>
    <w:rsid w:val="00011A59"/>
    <w:rsid w:val="000124D8"/>
    <w:rsid w:val="000127B6"/>
    <w:rsid w:val="00013265"/>
    <w:rsid w:val="00014D69"/>
    <w:rsid w:val="00016A41"/>
    <w:rsid w:val="00017CF7"/>
    <w:rsid w:val="000214D1"/>
    <w:rsid w:val="00023D19"/>
    <w:rsid w:val="0002464A"/>
    <w:rsid w:val="00025A04"/>
    <w:rsid w:val="00025ABA"/>
    <w:rsid w:val="00025F33"/>
    <w:rsid w:val="0002693D"/>
    <w:rsid w:val="0003050E"/>
    <w:rsid w:val="0003106B"/>
    <w:rsid w:val="00031FF0"/>
    <w:rsid w:val="00034716"/>
    <w:rsid w:val="00034905"/>
    <w:rsid w:val="00040A30"/>
    <w:rsid w:val="000421A1"/>
    <w:rsid w:val="0004240E"/>
    <w:rsid w:val="00042A17"/>
    <w:rsid w:val="00044EC4"/>
    <w:rsid w:val="00045E26"/>
    <w:rsid w:val="00046903"/>
    <w:rsid w:val="00050E4D"/>
    <w:rsid w:val="000514B5"/>
    <w:rsid w:val="0005322E"/>
    <w:rsid w:val="000532A4"/>
    <w:rsid w:val="00054E2B"/>
    <w:rsid w:val="00056295"/>
    <w:rsid w:val="00060E64"/>
    <w:rsid w:val="000621AB"/>
    <w:rsid w:val="00062356"/>
    <w:rsid w:val="00062E88"/>
    <w:rsid w:val="000654FA"/>
    <w:rsid w:val="00066193"/>
    <w:rsid w:val="00066755"/>
    <w:rsid w:val="0007029D"/>
    <w:rsid w:val="00071A5B"/>
    <w:rsid w:val="00072730"/>
    <w:rsid w:val="000729B5"/>
    <w:rsid w:val="0007337F"/>
    <w:rsid w:val="00074320"/>
    <w:rsid w:val="000763D5"/>
    <w:rsid w:val="00076C38"/>
    <w:rsid w:val="00077143"/>
    <w:rsid w:val="00077DF7"/>
    <w:rsid w:val="0008050C"/>
    <w:rsid w:val="00082169"/>
    <w:rsid w:val="000834BE"/>
    <w:rsid w:val="00083F01"/>
    <w:rsid w:val="00084F38"/>
    <w:rsid w:val="00087C4C"/>
    <w:rsid w:val="000918CB"/>
    <w:rsid w:val="00091B06"/>
    <w:rsid w:val="0009504D"/>
    <w:rsid w:val="000951C4"/>
    <w:rsid w:val="00095ADA"/>
    <w:rsid w:val="000969AD"/>
    <w:rsid w:val="000975FB"/>
    <w:rsid w:val="000A02F8"/>
    <w:rsid w:val="000A3AA2"/>
    <w:rsid w:val="000A44B2"/>
    <w:rsid w:val="000A52F6"/>
    <w:rsid w:val="000A58B8"/>
    <w:rsid w:val="000A622C"/>
    <w:rsid w:val="000B44C3"/>
    <w:rsid w:val="000B558D"/>
    <w:rsid w:val="000B5A89"/>
    <w:rsid w:val="000B627B"/>
    <w:rsid w:val="000B65F6"/>
    <w:rsid w:val="000B7767"/>
    <w:rsid w:val="000B7AFA"/>
    <w:rsid w:val="000C1427"/>
    <w:rsid w:val="000C1AFF"/>
    <w:rsid w:val="000C5F95"/>
    <w:rsid w:val="000C64A0"/>
    <w:rsid w:val="000C6996"/>
    <w:rsid w:val="000C7C46"/>
    <w:rsid w:val="000D09E9"/>
    <w:rsid w:val="000D0A55"/>
    <w:rsid w:val="000D113F"/>
    <w:rsid w:val="000D23BA"/>
    <w:rsid w:val="000D4A38"/>
    <w:rsid w:val="000E19B7"/>
    <w:rsid w:val="000E20FC"/>
    <w:rsid w:val="000E3DFB"/>
    <w:rsid w:val="000E5EA1"/>
    <w:rsid w:val="000E681E"/>
    <w:rsid w:val="000E696B"/>
    <w:rsid w:val="000E7E52"/>
    <w:rsid w:val="000E7E90"/>
    <w:rsid w:val="000EE1C7"/>
    <w:rsid w:val="000F0003"/>
    <w:rsid w:val="000F3384"/>
    <w:rsid w:val="000F4E6A"/>
    <w:rsid w:val="000F7354"/>
    <w:rsid w:val="000F76EF"/>
    <w:rsid w:val="00101ABE"/>
    <w:rsid w:val="00102202"/>
    <w:rsid w:val="00102700"/>
    <w:rsid w:val="00102A78"/>
    <w:rsid w:val="00102BCA"/>
    <w:rsid w:val="00103118"/>
    <w:rsid w:val="00103F1B"/>
    <w:rsid w:val="00104227"/>
    <w:rsid w:val="001053D5"/>
    <w:rsid w:val="00107BE2"/>
    <w:rsid w:val="001107BF"/>
    <w:rsid w:val="00111EF3"/>
    <w:rsid w:val="001135B3"/>
    <w:rsid w:val="00113649"/>
    <w:rsid w:val="00113D5C"/>
    <w:rsid w:val="00114358"/>
    <w:rsid w:val="00116B03"/>
    <w:rsid w:val="00120AA6"/>
    <w:rsid w:val="001239DB"/>
    <w:rsid w:val="0012417C"/>
    <w:rsid w:val="00124BF2"/>
    <w:rsid w:val="00125333"/>
    <w:rsid w:val="00125837"/>
    <w:rsid w:val="0012597F"/>
    <w:rsid w:val="00125C2C"/>
    <w:rsid w:val="00126B19"/>
    <w:rsid w:val="00126D3A"/>
    <w:rsid w:val="0012749D"/>
    <w:rsid w:val="001306A5"/>
    <w:rsid w:val="00130918"/>
    <w:rsid w:val="001311AE"/>
    <w:rsid w:val="00131440"/>
    <w:rsid w:val="001336E4"/>
    <w:rsid w:val="001366C2"/>
    <w:rsid w:val="00136C17"/>
    <w:rsid w:val="00136D78"/>
    <w:rsid w:val="00140B74"/>
    <w:rsid w:val="00140D94"/>
    <w:rsid w:val="00142395"/>
    <w:rsid w:val="00142714"/>
    <w:rsid w:val="00144D09"/>
    <w:rsid w:val="001452ED"/>
    <w:rsid w:val="0014774A"/>
    <w:rsid w:val="00147D84"/>
    <w:rsid w:val="00151CBD"/>
    <w:rsid w:val="001533C3"/>
    <w:rsid w:val="001546B4"/>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1A46"/>
    <w:rsid w:val="001830CE"/>
    <w:rsid w:val="001836E3"/>
    <w:rsid w:val="00184659"/>
    <w:rsid w:val="00185E85"/>
    <w:rsid w:val="001860E5"/>
    <w:rsid w:val="0018643B"/>
    <w:rsid w:val="001869DE"/>
    <w:rsid w:val="00194511"/>
    <w:rsid w:val="00196307"/>
    <w:rsid w:val="001977C5"/>
    <w:rsid w:val="00197C70"/>
    <w:rsid w:val="00197F03"/>
    <w:rsid w:val="001A0D10"/>
    <w:rsid w:val="001A1720"/>
    <w:rsid w:val="001A33EA"/>
    <w:rsid w:val="001A4413"/>
    <w:rsid w:val="001A4C4F"/>
    <w:rsid w:val="001A5A2B"/>
    <w:rsid w:val="001A76FB"/>
    <w:rsid w:val="001B017F"/>
    <w:rsid w:val="001B0B79"/>
    <w:rsid w:val="001B2BBC"/>
    <w:rsid w:val="001B2BCD"/>
    <w:rsid w:val="001B3A40"/>
    <w:rsid w:val="001B3E92"/>
    <w:rsid w:val="001B3FFE"/>
    <w:rsid w:val="001B4B21"/>
    <w:rsid w:val="001B5129"/>
    <w:rsid w:val="001B646E"/>
    <w:rsid w:val="001C0B4C"/>
    <w:rsid w:val="001C0EC4"/>
    <w:rsid w:val="001C1195"/>
    <w:rsid w:val="001C12AE"/>
    <w:rsid w:val="001C1E84"/>
    <w:rsid w:val="001C2A0F"/>
    <w:rsid w:val="001C2E42"/>
    <w:rsid w:val="001C6AE3"/>
    <w:rsid w:val="001D1F5F"/>
    <w:rsid w:val="001D660F"/>
    <w:rsid w:val="001D7F4B"/>
    <w:rsid w:val="001E06D2"/>
    <w:rsid w:val="001E17C4"/>
    <w:rsid w:val="001E2D65"/>
    <w:rsid w:val="001E469B"/>
    <w:rsid w:val="001E6958"/>
    <w:rsid w:val="001F005B"/>
    <w:rsid w:val="001F0F26"/>
    <w:rsid w:val="001F0F2D"/>
    <w:rsid w:val="001F1850"/>
    <w:rsid w:val="001F19AD"/>
    <w:rsid w:val="001F1FBF"/>
    <w:rsid w:val="001F2311"/>
    <w:rsid w:val="001F2B80"/>
    <w:rsid w:val="001F2F1C"/>
    <w:rsid w:val="001F3189"/>
    <w:rsid w:val="001F3B88"/>
    <w:rsid w:val="001F4C6D"/>
    <w:rsid w:val="001F6FF9"/>
    <w:rsid w:val="00200BEA"/>
    <w:rsid w:val="00200D6C"/>
    <w:rsid w:val="002011EE"/>
    <w:rsid w:val="00201FB8"/>
    <w:rsid w:val="002030FF"/>
    <w:rsid w:val="00203FAC"/>
    <w:rsid w:val="00207270"/>
    <w:rsid w:val="002073EF"/>
    <w:rsid w:val="00210491"/>
    <w:rsid w:val="002133FB"/>
    <w:rsid w:val="00213CFB"/>
    <w:rsid w:val="0021553C"/>
    <w:rsid w:val="0021557B"/>
    <w:rsid w:val="00216B87"/>
    <w:rsid w:val="002174FD"/>
    <w:rsid w:val="00217BE1"/>
    <w:rsid w:val="002214B9"/>
    <w:rsid w:val="00221F70"/>
    <w:rsid w:val="00222680"/>
    <w:rsid w:val="00223370"/>
    <w:rsid w:val="00227BC5"/>
    <w:rsid w:val="00230F63"/>
    <w:rsid w:val="0023395B"/>
    <w:rsid w:val="00234252"/>
    <w:rsid w:val="0023466E"/>
    <w:rsid w:val="00234A4F"/>
    <w:rsid w:val="002358B9"/>
    <w:rsid w:val="00237AC6"/>
    <w:rsid w:val="0024067B"/>
    <w:rsid w:val="00241835"/>
    <w:rsid w:val="0024220A"/>
    <w:rsid w:val="00242BFD"/>
    <w:rsid w:val="00244139"/>
    <w:rsid w:val="00244490"/>
    <w:rsid w:val="00244BEC"/>
    <w:rsid w:val="00245B9C"/>
    <w:rsid w:val="00247F1C"/>
    <w:rsid w:val="00252587"/>
    <w:rsid w:val="00253499"/>
    <w:rsid w:val="00253C67"/>
    <w:rsid w:val="002551A4"/>
    <w:rsid w:val="002565F5"/>
    <w:rsid w:val="00257664"/>
    <w:rsid w:val="0025791A"/>
    <w:rsid w:val="00260165"/>
    <w:rsid w:val="00265151"/>
    <w:rsid w:val="00265C2C"/>
    <w:rsid w:val="00266509"/>
    <w:rsid w:val="00271BA1"/>
    <w:rsid w:val="0027354D"/>
    <w:rsid w:val="00273AC5"/>
    <w:rsid w:val="002749EE"/>
    <w:rsid w:val="00275C01"/>
    <w:rsid w:val="002762FA"/>
    <w:rsid w:val="00276D33"/>
    <w:rsid w:val="00277505"/>
    <w:rsid w:val="00277873"/>
    <w:rsid w:val="00281419"/>
    <w:rsid w:val="0028158C"/>
    <w:rsid w:val="002823B6"/>
    <w:rsid w:val="0028502E"/>
    <w:rsid w:val="00290C03"/>
    <w:rsid w:val="00290DE2"/>
    <w:rsid w:val="00292E3B"/>
    <w:rsid w:val="002933A8"/>
    <w:rsid w:val="00294274"/>
    <w:rsid w:val="0029458F"/>
    <w:rsid w:val="00295273"/>
    <w:rsid w:val="00297A63"/>
    <w:rsid w:val="002A018F"/>
    <w:rsid w:val="002A0E04"/>
    <w:rsid w:val="002A104C"/>
    <w:rsid w:val="002A1EF7"/>
    <w:rsid w:val="002A2B7B"/>
    <w:rsid w:val="002A2C2E"/>
    <w:rsid w:val="002A494D"/>
    <w:rsid w:val="002A4960"/>
    <w:rsid w:val="002A636A"/>
    <w:rsid w:val="002A65DE"/>
    <w:rsid w:val="002A755F"/>
    <w:rsid w:val="002B0AE0"/>
    <w:rsid w:val="002B0E68"/>
    <w:rsid w:val="002B1AE6"/>
    <w:rsid w:val="002B1D51"/>
    <w:rsid w:val="002B2DE8"/>
    <w:rsid w:val="002B30F8"/>
    <w:rsid w:val="002B388A"/>
    <w:rsid w:val="002B3BFE"/>
    <w:rsid w:val="002B3C1A"/>
    <w:rsid w:val="002B5596"/>
    <w:rsid w:val="002B77D7"/>
    <w:rsid w:val="002C0AF9"/>
    <w:rsid w:val="002C212F"/>
    <w:rsid w:val="002C2F35"/>
    <w:rsid w:val="002C435D"/>
    <w:rsid w:val="002C6AA9"/>
    <w:rsid w:val="002C7485"/>
    <w:rsid w:val="002D118E"/>
    <w:rsid w:val="002D2641"/>
    <w:rsid w:val="002D283A"/>
    <w:rsid w:val="002D4543"/>
    <w:rsid w:val="002D692D"/>
    <w:rsid w:val="002E022A"/>
    <w:rsid w:val="002E3153"/>
    <w:rsid w:val="002E3618"/>
    <w:rsid w:val="002E4A02"/>
    <w:rsid w:val="002E5292"/>
    <w:rsid w:val="002E6E2A"/>
    <w:rsid w:val="002E72CA"/>
    <w:rsid w:val="002E75DD"/>
    <w:rsid w:val="002F1D07"/>
    <w:rsid w:val="002F5C5B"/>
    <w:rsid w:val="002F600D"/>
    <w:rsid w:val="002F6F0F"/>
    <w:rsid w:val="002F7E47"/>
    <w:rsid w:val="00300AD6"/>
    <w:rsid w:val="00300B1B"/>
    <w:rsid w:val="003019D0"/>
    <w:rsid w:val="003019DE"/>
    <w:rsid w:val="003064AF"/>
    <w:rsid w:val="00307DC6"/>
    <w:rsid w:val="00310A8B"/>
    <w:rsid w:val="00310B68"/>
    <w:rsid w:val="00313A2E"/>
    <w:rsid w:val="003160D2"/>
    <w:rsid w:val="00317017"/>
    <w:rsid w:val="003173FC"/>
    <w:rsid w:val="00317C6C"/>
    <w:rsid w:val="00320B80"/>
    <w:rsid w:val="00320CD3"/>
    <w:rsid w:val="003215FF"/>
    <w:rsid w:val="00322667"/>
    <w:rsid w:val="0032607C"/>
    <w:rsid w:val="003267A2"/>
    <w:rsid w:val="00326E79"/>
    <w:rsid w:val="0032737D"/>
    <w:rsid w:val="0032748A"/>
    <w:rsid w:val="003301B1"/>
    <w:rsid w:val="00331189"/>
    <w:rsid w:val="0033263D"/>
    <w:rsid w:val="00334499"/>
    <w:rsid w:val="00334E69"/>
    <w:rsid w:val="0033518A"/>
    <w:rsid w:val="00335535"/>
    <w:rsid w:val="00336685"/>
    <w:rsid w:val="003367EF"/>
    <w:rsid w:val="00341AE4"/>
    <w:rsid w:val="00341D26"/>
    <w:rsid w:val="00343FB7"/>
    <w:rsid w:val="003476EE"/>
    <w:rsid w:val="003541DD"/>
    <w:rsid w:val="00356E5B"/>
    <w:rsid w:val="00360887"/>
    <w:rsid w:val="00361635"/>
    <w:rsid w:val="0036249F"/>
    <w:rsid w:val="00363654"/>
    <w:rsid w:val="00366157"/>
    <w:rsid w:val="00371246"/>
    <w:rsid w:val="003717F6"/>
    <w:rsid w:val="003721CB"/>
    <w:rsid w:val="003736C9"/>
    <w:rsid w:val="00376CA8"/>
    <w:rsid w:val="003771B6"/>
    <w:rsid w:val="003813B4"/>
    <w:rsid w:val="00383B77"/>
    <w:rsid w:val="00384988"/>
    <w:rsid w:val="003872CF"/>
    <w:rsid w:val="003874CB"/>
    <w:rsid w:val="003900DB"/>
    <w:rsid w:val="003915A7"/>
    <w:rsid w:val="003958B5"/>
    <w:rsid w:val="0039782C"/>
    <w:rsid w:val="003A13A6"/>
    <w:rsid w:val="003A2165"/>
    <w:rsid w:val="003A3AF3"/>
    <w:rsid w:val="003A5B4A"/>
    <w:rsid w:val="003A5D95"/>
    <w:rsid w:val="003A6510"/>
    <w:rsid w:val="003A7426"/>
    <w:rsid w:val="003A74E2"/>
    <w:rsid w:val="003B0D3A"/>
    <w:rsid w:val="003B2302"/>
    <w:rsid w:val="003B23C5"/>
    <w:rsid w:val="003B2A75"/>
    <w:rsid w:val="003B49B2"/>
    <w:rsid w:val="003B6124"/>
    <w:rsid w:val="003B7960"/>
    <w:rsid w:val="003C0908"/>
    <w:rsid w:val="003C093A"/>
    <w:rsid w:val="003C1ECF"/>
    <w:rsid w:val="003C2FB5"/>
    <w:rsid w:val="003C3368"/>
    <w:rsid w:val="003C61D2"/>
    <w:rsid w:val="003D24C5"/>
    <w:rsid w:val="003D4594"/>
    <w:rsid w:val="003D4AC4"/>
    <w:rsid w:val="003D5433"/>
    <w:rsid w:val="003D5F4B"/>
    <w:rsid w:val="003D63B7"/>
    <w:rsid w:val="003D74C5"/>
    <w:rsid w:val="003E4374"/>
    <w:rsid w:val="003E468B"/>
    <w:rsid w:val="003E51C9"/>
    <w:rsid w:val="003E62BD"/>
    <w:rsid w:val="003E645F"/>
    <w:rsid w:val="003E658D"/>
    <w:rsid w:val="003F044F"/>
    <w:rsid w:val="003F0C17"/>
    <w:rsid w:val="003F0C3A"/>
    <w:rsid w:val="003F15F0"/>
    <w:rsid w:val="003F2AD9"/>
    <w:rsid w:val="003F3228"/>
    <w:rsid w:val="003F5C8C"/>
    <w:rsid w:val="003F63CE"/>
    <w:rsid w:val="003F775A"/>
    <w:rsid w:val="00400B24"/>
    <w:rsid w:val="00400E55"/>
    <w:rsid w:val="0040128E"/>
    <w:rsid w:val="0040216B"/>
    <w:rsid w:val="004023A2"/>
    <w:rsid w:val="00402AD0"/>
    <w:rsid w:val="004035D6"/>
    <w:rsid w:val="0040590E"/>
    <w:rsid w:val="00406BB0"/>
    <w:rsid w:val="00407CC8"/>
    <w:rsid w:val="00414F0C"/>
    <w:rsid w:val="00420400"/>
    <w:rsid w:val="00423E78"/>
    <w:rsid w:val="00424A1C"/>
    <w:rsid w:val="004252EC"/>
    <w:rsid w:val="00430BE0"/>
    <w:rsid w:val="00430D39"/>
    <w:rsid w:val="004369B8"/>
    <w:rsid w:val="00436E01"/>
    <w:rsid w:val="00442C91"/>
    <w:rsid w:val="00443DEE"/>
    <w:rsid w:val="004459FD"/>
    <w:rsid w:val="004465BD"/>
    <w:rsid w:val="00446938"/>
    <w:rsid w:val="004528FA"/>
    <w:rsid w:val="0045432B"/>
    <w:rsid w:val="00454648"/>
    <w:rsid w:val="00461A44"/>
    <w:rsid w:val="00462D26"/>
    <w:rsid w:val="0046368B"/>
    <w:rsid w:val="0046385A"/>
    <w:rsid w:val="00464039"/>
    <w:rsid w:val="00466ADA"/>
    <w:rsid w:val="004702BB"/>
    <w:rsid w:val="00473BE3"/>
    <w:rsid w:val="0047494B"/>
    <w:rsid w:val="00476245"/>
    <w:rsid w:val="00477A9B"/>
    <w:rsid w:val="00482AE4"/>
    <w:rsid w:val="00483035"/>
    <w:rsid w:val="0048414D"/>
    <w:rsid w:val="00484F55"/>
    <w:rsid w:val="00485940"/>
    <w:rsid w:val="00486C95"/>
    <w:rsid w:val="004877C2"/>
    <w:rsid w:val="00487FBB"/>
    <w:rsid w:val="004904B9"/>
    <w:rsid w:val="004925C1"/>
    <w:rsid w:val="004928E1"/>
    <w:rsid w:val="00492D8D"/>
    <w:rsid w:val="0049319F"/>
    <w:rsid w:val="00494D58"/>
    <w:rsid w:val="00496662"/>
    <w:rsid w:val="004A0A77"/>
    <w:rsid w:val="004A1431"/>
    <w:rsid w:val="004A2074"/>
    <w:rsid w:val="004A2484"/>
    <w:rsid w:val="004A5A85"/>
    <w:rsid w:val="004A71D1"/>
    <w:rsid w:val="004A7C5B"/>
    <w:rsid w:val="004B1845"/>
    <w:rsid w:val="004B2348"/>
    <w:rsid w:val="004B2E01"/>
    <w:rsid w:val="004B2E98"/>
    <w:rsid w:val="004B529F"/>
    <w:rsid w:val="004B5640"/>
    <w:rsid w:val="004B6084"/>
    <w:rsid w:val="004BCF29"/>
    <w:rsid w:val="004C0206"/>
    <w:rsid w:val="004C03D0"/>
    <w:rsid w:val="004C1BD7"/>
    <w:rsid w:val="004C239C"/>
    <w:rsid w:val="004C2ECC"/>
    <w:rsid w:val="004C31FE"/>
    <w:rsid w:val="004C3B20"/>
    <w:rsid w:val="004C524C"/>
    <w:rsid w:val="004C5EDD"/>
    <w:rsid w:val="004C5FFA"/>
    <w:rsid w:val="004C691D"/>
    <w:rsid w:val="004C6C07"/>
    <w:rsid w:val="004C7E15"/>
    <w:rsid w:val="004D1533"/>
    <w:rsid w:val="004D2CD1"/>
    <w:rsid w:val="004D4FF6"/>
    <w:rsid w:val="004D59F1"/>
    <w:rsid w:val="004D5ADD"/>
    <w:rsid w:val="004E3DA4"/>
    <w:rsid w:val="004E52D9"/>
    <w:rsid w:val="004E692D"/>
    <w:rsid w:val="004E7230"/>
    <w:rsid w:val="004E7D87"/>
    <w:rsid w:val="004F2553"/>
    <w:rsid w:val="004F306A"/>
    <w:rsid w:val="0050103B"/>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426F"/>
    <w:rsid w:val="00524BB9"/>
    <w:rsid w:val="005264A7"/>
    <w:rsid w:val="0052689C"/>
    <w:rsid w:val="0052792D"/>
    <w:rsid w:val="005319B2"/>
    <w:rsid w:val="00532402"/>
    <w:rsid w:val="00532C74"/>
    <w:rsid w:val="00533239"/>
    <w:rsid w:val="00534E2E"/>
    <w:rsid w:val="00535133"/>
    <w:rsid w:val="00535E84"/>
    <w:rsid w:val="0054064C"/>
    <w:rsid w:val="00544552"/>
    <w:rsid w:val="00545130"/>
    <w:rsid w:val="00545337"/>
    <w:rsid w:val="00545738"/>
    <w:rsid w:val="00546B36"/>
    <w:rsid w:val="005471C2"/>
    <w:rsid w:val="005507D1"/>
    <w:rsid w:val="00552665"/>
    <w:rsid w:val="0055286A"/>
    <w:rsid w:val="005555C0"/>
    <w:rsid w:val="00555745"/>
    <w:rsid w:val="00557D4F"/>
    <w:rsid w:val="0056122E"/>
    <w:rsid w:val="0056484E"/>
    <w:rsid w:val="00565999"/>
    <w:rsid w:val="00566182"/>
    <w:rsid w:val="005670FA"/>
    <w:rsid w:val="00567D8A"/>
    <w:rsid w:val="00570231"/>
    <w:rsid w:val="00570DA5"/>
    <w:rsid w:val="00572228"/>
    <w:rsid w:val="005758BA"/>
    <w:rsid w:val="00575FDB"/>
    <w:rsid w:val="005764CD"/>
    <w:rsid w:val="00577C4D"/>
    <w:rsid w:val="00580532"/>
    <w:rsid w:val="00581932"/>
    <w:rsid w:val="005834BF"/>
    <w:rsid w:val="005903BB"/>
    <w:rsid w:val="00591FDB"/>
    <w:rsid w:val="00593893"/>
    <w:rsid w:val="00593FEA"/>
    <w:rsid w:val="005963BB"/>
    <w:rsid w:val="005A15D2"/>
    <w:rsid w:val="005A1617"/>
    <w:rsid w:val="005A2402"/>
    <w:rsid w:val="005A3173"/>
    <w:rsid w:val="005A3223"/>
    <w:rsid w:val="005A3DA3"/>
    <w:rsid w:val="005A52C4"/>
    <w:rsid w:val="005A63A1"/>
    <w:rsid w:val="005B0486"/>
    <w:rsid w:val="005B1473"/>
    <w:rsid w:val="005B36FA"/>
    <w:rsid w:val="005C4F73"/>
    <w:rsid w:val="005D03AB"/>
    <w:rsid w:val="005D2F42"/>
    <w:rsid w:val="005D401D"/>
    <w:rsid w:val="005D5017"/>
    <w:rsid w:val="005D5708"/>
    <w:rsid w:val="005D63FA"/>
    <w:rsid w:val="005D73C7"/>
    <w:rsid w:val="005D7FD0"/>
    <w:rsid w:val="005E0C2D"/>
    <w:rsid w:val="005E0D82"/>
    <w:rsid w:val="005E0F59"/>
    <w:rsid w:val="005E1333"/>
    <w:rsid w:val="005E3136"/>
    <w:rsid w:val="005E3A06"/>
    <w:rsid w:val="005E458C"/>
    <w:rsid w:val="005E507D"/>
    <w:rsid w:val="005E53F1"/>
    <w:rsid w:val="005F0AD0"/>
    <w:rsid w:val="005F1A6C"/>
    <w:rsid w:val="005F6B50"/>
    <w:rsid w:val="00601A91"/>
    <w:rsid w:val="00602BA3"/>
    <w:rsid w:val="00605B63"/>
    <w:rsid w:val="00605F9A"/>
    <w:rsid w:val="00606442"/>
    <w:rsid w:val="00606EED"/>
    <w:rsid w:val="00612A95"/>
    <w:rsid w:val="00612E34"/>
    <w:rsid w:val="00614159"/>
    <w:rsid w:val="006158A3"/>
    <w:rsid w:val="00615B56"/>
    <w:rsid w:val="00615B6A"/>
    <w:rsid w:val="00616C5F"/>
    <w:rsid w:val="00616DAC"/>
    <w:rsid w:val="00617725"/>
    <w:rsid w:val="00617C00"/>
    <w:rsid w:val="00621983"/>
    <w:rsid w:val="00622759"/>
    <w:rsid w:val="00625EBE"/>
    <w:rsid w:val="00625FD2"/>
    <w:rsid w:val="006263BF"/>
    <w:rsid w:val="0062748A"/>
    <w:rsid w:val="00630546"/>
    <w:rsid w:val="00630A2C"/>
    <w:rsid w:val="006318F8"/>
    <w:rsid w:val="00632A0C"/>
    <w:rsid w:val="00634A75"/>
    <w:rsid w:val="0063682E"/>
    <w:rsid w:val="00640088"/>
    <w:rsid w:val="00642672"/>
    <w:rsid w:val="00642DA8"/>
    <w:rsid w:val="006436CD"/>
    <w:rsid w:val="00643A01"/>
    <w:rsid w:val="0064766A"/>
    <w:rsid w:val="006500A0"/>
    <w:rsid w:val="00651169"/>
    <w:rsid w:val="00651BBD"/>
    <w:rsid w:val="00653D69"/>
    <w:rsid w:val="006552E6"/>
    <w:rsid w:val="00655794"/>
    <w:rsid w:val="00656F2F"/>
    <w:rsid w:val="006577AA"/>
    <w:rsid w:val="00657C63"/>
    <w:rsid w:val="00661CBC"/>
    <w:rsid w:val="00662B85"/>
    <w:rsid w:val="006670BE"/>
    <w:rsid w:val="00670A76"/>
    <w:rsid w:val="006711AA"/>
    <w:rsid w:val="006718D0"/>
    <w:rsid w:val="00672B57"/>
    <w:rsid w:val="00672C52"/>
    <w:rsid w:val="00673F1F"/>
    <w:rsid w:val="00674F66"/>
    <w:rsid w:val="00675622"/>
    <w:rsid w:val="0067565A"/>
    <w:rsid w:val="00675C02"/>
    <w:rsid w:val="0067642B"/>
    <w:rsid w:val="0067747D"/>
    <w:rsid w:val="006818D5"/>
    <w:rsid w:val="00681CA4"/>
    <w:rsid w:val="0068271C"/>
    <w:rsid w:val="006833F6"/>
    <w:rsid w:val="00684047"/>
    <w:rsid w:val="0069039D"/>
    <w:rsid w:val="006906DB"/>
    <w:rsid w:val="00691900"/>
    <w:rsid w:val="00691E6C"/>
    <w:rsid w:val="00692CB2"/>
    <w:rsid w:val="0069342D"/>
    <w:rsid w:val="00693DFB"/>
    <w:rsid w:val="00694FD5"/>
    <w:rsid w:val="0069501D"/>
    <w:rsid w:val="00696098"/>
    <w:rsid w:val="00696129"/>
    <w:rsid w:val="00697CF2"/>
    <w:rsid w:val="006A0E29"/>
    <w:rsid w:val="006A12A5"/>
    <w:rsid w:val="006A2515"/>
    <w:rsid w:val="006A2CD9"/>
    <w:rsid w:val="006A3873"/>
    <w:rsid w:val="006A5E20"/>
    <w:rsid w:val="006B0D94"/>
    <w:rsid w:val="006B16B6"/>
    <w:rsid w:val="006B485D"/>
    <w:rsid w:val="006B4EF7"/>
    <w:rsid w:val="006B5496"/>
    <w:rsid w:val="006C0C45"/>
    <w:rsid w:val="006C21CA"/>
    <w:rsid w:val="006C334C"/>
    <w:rsid w:val="006C6C10"/>
    <w:rsid w:val="006C708E"/>
    <w:rsid w:val="006D14E7"/>
    <w:rsid w:val="006D4444"/>
    <w:rsid w:val="006D6493"/>
    <w:rsid w:val="006D6EC7"/>
    <w:rsid w:val="006D7E45"/>
    <w:rsid w:val="006E0670"/>
    <w:rsid w:val="006E1143"/>
    <w:rsid w:val="006E1BCD"/>
    <w:rsid w:val="006E2732"/>
    <w:rsid w:val="006E2F3D"/>
    <w:rsid w:val="006E2F81"/>
    <w:rsid w:val="006E59CD"/>
    <w:rsid w:val="006E5C96"/>
    <w:rsid w:val="006F0A71"/>
    <w:rsid w:val="006F1C6B"/>
    <w:rsid w:val="006F40C2"/>
    <w:rsid w:val="006F5125"/>
    <w:rsid w:val="006F6159"/>
    <w:rsid w:val="006F733D"/>
    <w:rsid w:val="00700765"/>
    <w:rsid w:val="00702959"/>
    <w:rsid w:val="00702B6F"/>
    <w:rsid w:val="007030B4"/>
    <w:rsid w:val="00703B86"/>
    <w:rsid w:val="00704069"/>
    <w:rsid w:val="00704D3F"/>
    <w:rsid w:val="00705EA6"/>
    <w:rsid w:val="00706A2F"/>
    <w:rsid w:val="0070718E"/>
    <w:rsid w:val="00707E52"/>
    <w:rsid w:val="00710259"/>
    <w:rsid w:val="0071031F"/>
    <w:rsid w:val="00710737"/>
    <w:rsid w:val="00711448"/>
    <w:rsid w:val="0071340B"/>
    <w:rsid w:val="00713C50"/>
    <w:rsid w:val="0071436D"/>
    <w:rsid w:val="007143AB"/>
    <w:rsid w:val="00715BBB"/>
    <w:rsid w:val="007174BB"/>
    <w:rsid w:val="0072025D"/>
    <w:rsid w:val="00722AD3"/>
    <w:rsid w:val="00723328"/>
    <w:rsid w:val="007237DE"/>
    <w:rsid w:val="0072502E"/>
    <w:rsid w:val="0073137C"/>
    <w:rsid w:val="0073325D"/>
    <w:rsid w:val="007340B9"/>
    <w:rsid w:val="007340C0"/>
    <w:rsid w:val="00735249"/>
    <w:rsid w:val="007353D3"/>
    <w:rsid w:val="007358D9"/>
    <w:rsid w:val="0074156B"/>
    <w:rsid w:val="00741619"/>
    <w:rsid w:val="00741A4B"/>
    <w:rsid w:val="00742885"/>
    <w:rsid w:val="00747092"/>
    <w:rsid w:val="007526E6"/>
    <w:rsid w:val="00752DBF"/>
    <w:rsid w:val="00754DF9"/>
    <w:rsid w:val="007555E8"/>
    <w:rsid w:val="00755CC5"/>
    <w:rsid w:val="00762627"/>
    <w:rsid w:val="00762862"/>
    <w:rsid w:val="00762FF5"/>
    <w:rsid w:val="00763021"/>
    <w:rsid w:val="0076420C"/>
    <w:rsid w:val="00771D07"/>
    <w:rsid w:val="00772649"/>
    <w:rsid w:val="00773649"/>
    <w:rsid w:val="00773BE3"/>
    <w:rsid w:val="007743DD"/>
    <w:rsid w:val="00774E2C"/>
    <w:rsid w:val="0077503C"/>
    <w:rsid w:val="007750A2"/>
    <w:rsid w:val="0077518D"/>
    <w:rsid w:val="007753C2"/>
    <w:rsid w:val="00776068"/>
    <w:rsid w:val="00776C68"/>
    <w:rsid w:val="007838B8"/>
    <w:rsid w:val="00785779"/>
    <w:rsid w:val="007873A4"/>
    <w:rsid w:val="00787FD8"/>
    <w:rsid w:val="00790008"/>
    <w:rsid w:val="007915BA"/>
    <w:rsid w:val="00791844"/>
    <w:rsid w:val="00792408"/>
    <w:rsid w:val="00792584"/>
    <w:rsid w:val="00793CE9"/>
    <w:rsid w:val="0079606C"/>
    <w:rsid w:val="00796667"/>
    <w:rsid w:val="00797068"/>
    <w:rsid w:val="007979BD"/>
    <w:rsid w:val="007A5C88"/>
    <w:rsid w:val="007A5FD4"/>
    <w:rsid w:val="007A6A2F"/>
    <w:rsid w:val="007B024E"/>
    <w:rsid w:val="007B2522"/>
    <w:rsid w:val="007B3AA5"/>
    <w:rsid w:val="007B3BAF"/>
    <w:rsid w:val="007B3DDC"/>
    <w:rsid w:val="007B49C7"/>
    <w:rsid w:val="007B72A6"/>
    <w:rsid w:val="007C06D2"/>
    <w:rsid w:val="007C08E0"/>
    <w:rsid w:val="007C0F57"/>
    <w:rsid w:val="007C40B6"/>
    <w:rsid w:val="007C5975"/>
    <w:rsid w:val="007C729F"/>
    <w:rsid w:val="007D119B"/>
    <w:rsid w:val="007D2F7F"/>
    <w:rsid w:val="007D503D"/>
    <w:rsid w:val="007D59E7"/>
    <w:rsid w:val="007D5F2A"/>
    <w:rsid w:val="007E07AC"/>
    <w:rsid w:val="007E1014"/>
    <w:rsid w:val="007E12F8"/>
    <w:rsid w:val="007E1D28"/>
    <w:rsid w:val="007E490F"/>
    <w:rsid w:val="007F0021"/>
    <w:rsid w:val="007F2641"/>
    <w:rsid w:val="007F73CC"/>
    <w:rsid w:val="007F74A9"/>
    <w:rsid w:val="007F7C36"/>
    <w:rsid w:val="007F7F45"/>
    <w:rsid w:val="0080001F"/>
    <w:rsid w:val="00801958"/>
    <w:rsid w:val="0080225E"/>
    <w:rsid w:val="0080368C"/>
    <w:rsid w:val="008055AF"/>
    <w:rsid w:val="008057CD"/>
    <w:rsid w:val="008066B8"/>
    <w:rsid w:val="00806796"/>
    <w:rsid w:val="00810167"/>
    <w:rsid w:val="008104D0"/>
    <w:rsid w:val="008105F0"/>
    <w:rsid w:val="00811CC0"/>
    <w:rsid w:val="00814A60"/>
    <w:rsid w:val="008151D6"/>
    <w:rsid w:val="00815463"/>
    <w:rsid w:val="00820803"/>
    <w:rsid w:val="00821527"/>
    <w:rsid w:val="00822696"/>
    <w:rsid w:val="00825A6C"/>
    <w:rsid w:val="0082617E"/>
    <w:rsid w:val="008268BB"/>
    <w:rsid w:val="00826F6D"/>
    <w:rsid w:val="008306F3"/>
    <w:rsid w:val="00830E40"/>
    <w:rsid w:val="0083225E"/>
    <w:rsid w:val="00832D9A"/>
    <w:rsid w:val="00835C62"/>
    <w:rsid w:val="008368A1"/>
    <w:rsid w:val="00840EF7"/>
    <w:rsid w:val="00844C0A"/>
    <w:rsid w:val="00846056"/>
    <w:rsid w:val="0084681F"/>
    <w:rsid w:val="00847D08"/>
    <w:rsid w:val="00847EC0"/>
    <w:rsid w:val="00854C8A"/>
    <w:rsid w:val="00855027"/>
    <w:rsid w:val="00855FD6"/>
    <w:rsid w:val="0085659E"/>
    <w:rsid w:val="00856DDD"/>
    <w:rsid w:val="00860233"/>
    <w:rsid w:val="008606F6"/>
    <w:rsid w:val="00862225"/>
    <w:rsid w:val="00863E68"/>
    <w:rsid w:val="008647B5"/>
    <w:rsid w:val="00865DA3"/>
    <w:rsid w:val="00867941"/>
    <w:rsid w:val="00867D64"/>
    <w:rsid w:val="00872E8F"/>
    <w:rsid w:val="00875DCB"/>
    <w:rsid w:val="00876FBF"/>
    <w:rsid w:val="00877151"/>
    <w:rsid w:val="0087755A"/>
    <w:rsid w:val="008778DA"/>
    <w:rsid w:val="0088123C"/>
    <w:rsid w:val="00881459"/>
    <w:rsid w:val="00882085"/>
    <w:rsid w:val="00883188"/>
    <w:rsid w:val="00884A0C"/>
    <w:rsid w:val="008853B6"/>
    <w:rsid w:val="00886ACA"/>
    <w:rsid w:val="00886B01"/>
    <w:rsid w:val="0088751E"/>
    <w:rsid w:val="0089031E"/>
    <w:rsid w:val="0089109A"/>
    <w:rsid w:val="00892047"/>
    <w:rsid w:val="00892744"/>
    <w:rsid w:val="0089300C"/>
    <w:rsid w:val="00893D5C"/>
    <w:rsid w:val="0089460B"/>
    <w:rsid w:val="00897D58"/>
    <w:rsid w:val="00897F22"/>
    <w:rsid w:val="008A0B39"/>
    <w:rsid w:val="008A17A3"/>
    <w:rsid w:val="008A1956"/>
    <w:rsid w:val="008A1E85"/>
    <w:rsid w:val="008A2419"/>
    <w:rsid w:val="008A4937"/>
    <w:rsid w:val="008A50F1"/>
    <w:rsid w:val="008A5403"/>
    <w:rsid w:val="008A59D9"/>
    <w:rsid w:val="008A643E"/>
    <w:rsid w:val="008A6819"/>
    <w:rsid w:val="008B007A"/>
    <w:rsid w:val="008B0B05"/>
    <w:rsid w:val="008B2EC0"/>
    <w:rsid w:val="008B49EE"/>
    <w:rsid w:val="008B6DCF"/>
    <w:rsid w:val="008B76CE"/>
    <w:rsid w:val="008C6E90"/>
    <w:rsid w:val="008D0945"/>
    <w:rsid w:val="008D1409"/>
    <w:rsid w:val="008D15CC"/>
    <w:rsid w:val="008D1729"/>
    <w:rsid w:val="008D1B5C"/>
    <w:rsid w:val="008D371D"/>
    <w:rsid w:val="008D3C82"/>
    <w:rsid w:val="008D3DAF"/>
    <w:rsid w:val="008D401A"/>
    <w:rsid w:val="008D42E0"/>
    <w:rsid w:val="008D447E"/>
    <w:rsid w:val="008D6ACF"/>
    <w:rsid w:val="008D7A41"/>
    <w:rsid w:val="008E0709"/>
    <w:rsid w:val="008E0C19"/>
    <w:rsid w:val="008E1188"/>
    <w:rsid w:val="008E2C72"/>
    <w:rsid w:val="008E3680"/>
    <w:rsid w:val="008E4F87"/>
    <w:rsid w:val="008E5870"/>
    <w:rsid w:val="008E77E4"/>
    <w:rsid w:val="008F0213"/>
    <w:rsid w:val="008F07ED"/>
    <w:rsid w:val="008F11F8"/>
    <w:rsid w:val="008F1434"/>
    <w:rsid w:val="008F2BB9"/>
    <w:rsid w:val="008F3D6A"/>
    <w:rsid w:val="008F4268"/>
    <w:rsid w:val="008F54C3"/>
    <w:rsid w:val="008F7355"/>
    <w:rsid w:val="008F7DF5"/>
    <w:rsid w:val="009023DC"/>
    <w:rsid w:val="009027C5"/>
    <w:rsid w:val="00904413"/>
    <w:rsid w:val="00906699"/>
    <w:rsid w:val="009067B7"/>
    <w:rsid w:val="0090775A"/>
    <w:rsid w:val="00907DFD"/>
    <w:rsid w:val="00913C99"/>
    <w:rsid w:val="0091527B"/>
    <w:rsid w:val="00917D69"/>
    <w:rsid w:val="00920B6D"/>
    <w:rsid w:val="00924D36"/>
    <w:rsid w:val="00926560"/>
    <w:rsid w:val="00926B15"/>
    <w:rsid w:val="00930291"/>
    <w:rsid w:val="009304CD"/>
    <w:rsid w:val="00930937"/>
    <w:rsid w:val="009324A6"/>
    <w:rsid w:val="00933960"/>
    <w:rsid w:val="00933B7D"/>
    <w:rsid w:val="00933E6C"/>
    <w:rsid w:val="00935A6E"/>
    <w:rsid w:val="00936E09"/>
    <w:rsid w:val="00937958"/>
    <w:rsid w:val="009406E5"/>
    <w:rsid w:val="00941602"/>
    <w:rsid w:val="00942160"/>
    <w:rsid w:val="00942CF6"/>
    <w:rsid w:val="00946921"/>
    <w:rsid w:val="00947343"/>
    <w:rsid w:val="0095146F"/>
    <w:rsid w:val="00951991"/>
    <w:rsid w:val="009534C7"/>
    <w:rsid w:val="00957944"/>
    <w:rsid w:val="009602C5"/>
    <w:rsid w:val="00960F26"/>
    <w:rsid w:val="00962223"/>
    <w:rsid w:val="0096252B"/>
    <w:rsid w:val="009625C7"/>
    <w:rsid w:val="0096295F"/>
    <w:rsid w:val="009644D9"/>
    <w:rsid w:val="00964A9F"/>
    <w:rsid w:val="00966D0D"/>
    <w:rsid w:val="00967732"/>
    <w:rsid w:val="0096783C"/>
    <w:rsid w:val="00967D4D"/>
    <w:rsid w:val="00967E3A"/>
    <w:rsid w:val="00970023"/>
    <w:rsid w:val="00970436"/>
    <w:rsid w:val="00970F82"/>
    <w:rsid w:val="009715C5"/>
    <w:rsid w:val="009722B3"/>
    <w:rsid w:val="00973E24"/>
    <w:rsid w:val="00974C21"/>
    <w:rsid w:val="00975948"/>
    <w:rsid w:val="009772FD"/>
    <w:rsid w:val="00977BF3"/>
    <w:rsid w:val="009803E4"/>
    <w:rsid w:val="00980B0E"/>
    <w:rsid w:val="00981340"/>
    <w:rsid w:val="00982B39"/>
    <w:rsid w:val="009836A3"/>
    <w:rsid w:val="00984C58"/>
    <w:rsid w:val="009855A8"/>
    <w:rsid w:val="009857B9"/>
    <w:rsid w:val="00985CBE"/>
    <w:rsid w:val="00985D1A"/>
    <w:rsid w:val="00986F82"/>
    <w:rsid w:val="00987252"/>
    <w:rsid w:val="00987294"/>
    <w:rsid w:val="00990CF8"/>
    <w:rsid w:val="00990CFB"/>
    <w:rsid w:val="009913F4"/>
    <w:rsid w:val="00991782"/>
    <w:rsid w:val="009937F7"/>
    <w:rsid w:val="00994581"/>
    <w:rsid w:val="0099465B"/>
    <w:rsid w:val="00994852"/>
    <w:rsid w:val="009951A1"/>
    <w:rsid w:val="00997A44"/>
    <w:rsid w:val="009A0163"/>
    <w:rsid w:val="009A0CDD"/>
    <w:rsid w:val="009A3168"/>
    <w:rsid w:val="009A4BDF"/>
    <w:rsid w:val="009A5D04"/>
    <w:rsid w:val="009A61CA"/>
    <w:rsid w:val="009B0C64"/>
    <w:rsid w:val="009B0F67"/>
    <w:rsid w:val="009B1B10"/>
    <w:rsid w:val="009B208A"/>
    <w:rsid w:val="009B2756"/>
    <w:rsid w:val="009B3D56"/>
    <w:rsid w:val="009B3F8C"/>
    <w:rsid w:val="009B533B"/>
    <w:rsid w:val="009C010F"/>
    <w:rsid w:val="009C0848"/>
    <w:rsid w:val="009C188B"/>
    <w:rsid w:val="009C4469"/>
    <w:rsid w:val="009C703C"/>
    <w:rsid w:val="009C7B77"/>
    <w:rsid w:val="009D0C29"/>
    <w:rsid w:val="009D206E"/>
    <w:rsid w:val="009D3CAA"/>
    <w:rsid w:val="009D507A"/>
    <w:rsid w:val="009D6532"/>
    <w:rsid w:val="009D71FD"/>
    <w:rsid w:val="009E06F0"/>
    <w:rsid w:val="009E0755"/>
    <w:rsid w:val="009E10AD"/>
    <w:rsid w:val="009E2588"/>
    <w:rsid w:val="009E2E8E"/>
    <w:rsid w:val="009E2FEE"/>
    <w:rsid w:val="009E40E1"/>
    <w:rsid w:val="009F0EFA"/>
    <w:rsid w:val="009F369E"/>
    <w:rsid w:val="009F4E46"/>
    <w:rsid w:val="009F5B65"/>
    <w:rsid w:val="009F5F2E"/>
    <w:rsid w:val="00A01432"/>
    <w:rsid w:val="00A0146B"/>
    <w:rsid w:val="00A05298"/>
    <w:rsid w:val="00A06225"/>
    <w:rsid w:val="00A110D1"/>
    <w:rsid w:val="00A1117F"/>
    <w:rsid w:val="00A12587"/>
    <w:rsid w:val="00A128E6"/>
    <w:rsid w:val="00A144D3"/>
    <w:rsid w:val="00A20748"/>
    <w:rsid w:val="00A20BE0"/>
    <w:rsid w:val="00A21D7D"/>
    <w:rsid w:val="00A22AC3"/>
    <w:rsid w:val="00A2351E"/>
    <w:rsid w:val="00A23F3F"/>
    <w:rsid w:val="00A24067"/>
    <w:rsid w:val="00A24A4B"/>
    <w:rsid w:val="00A26813"/>
    <w:rsid w:val="00A2744D"/>
    <w:rsid w:val="00A30D16"/>
    <w:rsid w:val="00A33EB7"/>
    <w:rsid w:val="00A34E6C"/>
    <w:rsid w:val="00A34FD0"/>
    <w:rsid w:val="00A36398"/>
    <w:rsid w:val="00A37C8D"/>
    <w:rsid w:val="00A4020E"/>
    <w:rsid w:val="00A408E8"/>
    <w:rsid w:val="00A40F3B"/>
    <w:rsid w:val="00A40FB5"/>
    <w:rsid w:val="00A41D42"/>
    <w:rsid w:val="00A42826"/>
    <w:rsid w:val="00A429B3"/>
    <w:rsid w:val="00A430C4"/>
    <w:rsid w:val="00A44EC1"/>
    <w:rsid w:val="00A474AE"/>
    <w:rsid w:val="00A510E4"/>
    <w:rsid w:val="00A51FB9"/>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152"/>
    <w:rsid w:val="00A7612E"/>
    <w:rsid w:val="00A77613"/>
    <w:rsid w:val="00A77B87"/>
    <w:rsid w:val="00A80C67"/>
    <w:rsid w:val="00A81851"/>
    <w:rsid w:val="00A8390C"/>
    <w:rsid w:val="00A866EF"/>
    <w:rsid w:val="00A86AE0"/>
    <w:rsid w:val="00A90EF7"/>
    <w:rsid w:val="00A91362"/>
    <w:rsid w:val="00A9151C"/>
    <w:rsid w:val="00A919C6"/>
    <w:rsid w:val="00A928BD"/>
    <w:rsid w:val="00A94D5E"/>
    <w:rsid w:val="00A97DE9"/>
    <w:rsid w:val="00AA12CD"/>
    <w:rsid w:val="00AA475E"/>
    <w:rsid w:val="00AA4D1C"/>
    <w:rsid w:val="00AA52FD"/>
    <w:rsid w:val="00AA689D"/>
    <w:rsid w:val="00AA7006"/>
    <w:rsid w:val="00AB10D9"/>
    <w:rsid w:val="00AB4684"/>
    <w:rsid w:val="00AB5856"/>
    <w:rsid w:val="00AC081D"/>
    <w:rsid w:val="00AC0C6F"/>
    <w:rsid w:val="00AC1266"/>
    <w:rsid w:val="00AC193C"/>
    <w:rsid w:val="00AC30C1"/>
    <w:rsid w:val="00AC4DE5"/>
    <w:rsid w:val="00AC5206"/>
    <w:rsid w:val="00AC6DC0"/>
    <w:rsid w:val="00AD00A0"/>
    <w:rsid w:val="00AD1995"/>
    <w:rsid w:val="00AD3106"/>
    <w:rsid w:val="00AD4322"/>
    <w:rsid w:val="00AE11A5"/>
    <w:rsid w:val="00AE13E2"/>
    <w:rsid w:val="00AE22D3"/>
    <w:rsid w:val="00AE3776"/>
    <w:rsid w:val="00AE433E"/>
    <w:rsid w:val="00AE487E"/>
    <w:rsid w:val="00AE5A49"/>
    <w:rsid w:val="00AF11D8"/>
    <w:rsid w:val="00AF5867"/>
    <w:rsid w:val="00AF62DF"/>
    <w:rsid w:val="00AF68CC"/>
    <w:rsid w:val="00AF6AAD"/>
    <w:rsid w:val="00AF6AB6"/>
    <w:rsid w:val="00AF70D7"/>
    <w:rsid w:val="00AF7FEF"/>
    <w:rsid w:val="00B00CD0"/>
    <w:rsid w:val="00B00E7F"/>
    <w:rsid w:val="00B01FF4"/>
    <w:rsid w:val="00B0326D"/>
    <w:rsid w:val="00B05EC1"/>
    <w:rsid w:val="00B06037"/>
    <w:rsid w:val="00B06478"/>
    <w:rsid w:val="00B07533"/>
    <w:rsid w:val="00B07CFB"/>
    <w:rsid w:val="00B1059E"/>
    <w:rsid w:val="00B14A36"/>
    <w:rsid w:val="00B15FBC"/>
    <w:rsid w:val="00B16273"/>
    <w:rsid w:val="00B170A5"/>
    <w:rsid w:val="00B1725F"/>
    <w:rsid w:val="00B176C8"/>
    <w:rsid w:val="00B17EE5"/>
    <w:rsid w:val="00B205AA"/>
    <w:rsid w:val="00B22E84"/>
    <w:rsid w:val="00B233AD"/>
    <w:rsid w:val="00B23E25"/>
    <w:rsid w:val="00B25707"/>
    <w:rsid w:val="00B25F75"/>
    <w:rsid w:val="00B26B3F"/>
    <w:rsid w:val="00B27695"/>
    <w:rsid w:val="00B2778F"/>
    <w:rsid w:val="00B31B35"/>
    <w:rsid w:val="00B327E2"/>
    <w:rsid w:val="00B330F1"/>
    <w:rsid w:val="00B332AC"/>
    <w:rsid w:val="00B33635"/>
    <w:rsid w:val="00B34984"/>
    <w:rsid w:val="00B37693"/>
    <w:rsid w:val="00B37A23"/>
    <w:rsid w:val="00B37AFD"/>
    <w:rsid w:val="00B37CF8"/>
    <w:rsid w:val="00B42AF4"/>
    <w:rsid w:val="00B431FD"/>
    <w:rsid w:val="00B43E90"/>
    <w:rsid w:val="00B44308"/>
    <w:rsid w:val="00B45722"/>
    <w:rsid w:val="00B467DC"/>
    <w:rsid w:val="00B46A7F"/>
    <w:rsid w:val="00B52303"/>
    <w:rsid w:val="00B52814"/>
    <w:rsid w:val="00B532F5"/>
    <w:rsid w:val="00B5392A"/>
    <w:rsid w:val="00B539EF"/>
    <w:rsid w:val="00B56118"/>
    <w:rsid w:val="00B566E1"/>
    <w:rsid w:val="00B56AFB"/>
    <w:rsid w:val="00B602F6"/>
    <w:rsid w:val="00B61513"/>
    <w:rsid w:val="00B622E7"/>
    <w:rsid w:val="00B64A96"/>
    <w:rsid w:val="00B6773F"/>
    <w:rsid w:val="00B70EB3"/>
    <w:rsid w:val="00B72906"/>
    <w:rsid w:val="00B74181"/>
    <w:rsid w:val="00B74F48"/>
    <w:rsid w:val="00B7525E"/>
    <w:rsid w:val="00B75433"/>
    <w:rsid w:val="00B760FB"/>
    <w:rsid w:val="00B76765"/>
    <w:rsid w:val="00B767AB"/>
    <w:rsid w:val="00B801BA"/>
    <w:rsid w:val="00B812D6"/>
    <w:rsid w:val="00B84D5C"/>
    <w:rsid w:val="00B85AF6"/>
    <w:rsid w:val="00B955FC"/>
    <w:rsid w:val="00B956ED"/>
    <w:rsid w:val="00BA2DA8"/>
    <w:rsid w:val="00BA347C"/>
    <w:rsid w:val="00BA4C79"/>
    <w:rsid w:val="00BB298A"/>
    <w:rsid w:val="00BB29A6"/>
    <w:rsid w:val="00BB3469"/>
    <w:rsid w:val="00BB5C49"/>
    <w:rsid w:val="00BB6240"/>
    <w:rsid w:val="00BB6285"/>
    <w:rsid w:val="00BB69F5"/>
    <w:rsid w:val="00BB7EC3"/>
    <w:rsid w:val="00BC04B1"/>
    <w:rsid w:val="00BC470E"/>
    <w:rsid w:val="00BC4B9A"/>
    <w:rsid w:val="00BD02C3"/>
    <w:rsid w:val="00BD2419"/>
    <w:rsid w:val="00BD4FAB"/>
    <w:rsid w:val="00BD5070"/>
    <w:rsid w:val="00BD7483"/>
    <w:rsid w:val="00BD784C"/>
    <w:rsid w:val="00BE020A"/>
    <w:rsid w:val="00BE13DF"/>
    <w:rsid w:val="00BE1EF0"/>
    <w:rsid w:val="00BE25D7"/>
    <w:rsid w:val="00BE317F"/>
    <w:rsid w:val="00BF092C"/>
    <w:rsid w:val="00BF27A0"/>
    <w:rsid w:val="00BF3AA0"/>
    <w:rsid w:val="00BF4CB6"/>
    <w:rsid w:val="00BF6B44"/>
    <w:rsid w:val="00BF6CBD"/>
    <w:rsid w:val="00C0063D"/>
    <w:rsid w:val="00C00B3A"/>
    <w:rsid w:val="00C00DA7"/>
    <w:rsid w:val="00C0337A"/>
    <w:rsid w:val="00C034FB"/>
    <w:rsid w:val="00C04374"/>
    <w:rsid w:val="00C04CDE"/>
    <w:rsid w:val="00C068A6"/>
    <w:rsid w:val="00C12768"/>
    <w:rsid w:val="00C12BD4"/>
    <w:rsid w:val="00C12D70"/>
    <w:rsid w:val="00C12EB5"/>
    <w:rsid w:val="00C142AD"/>
    <w:rsid w:val="00C14519"/>
    <w:rsid w:val="00C16219"/>
    <w:rsid w:val="00C16724"/>
    <w:rsid w:val="00C21B09"/>
    <w:rsid w:val="00C25EFF"/>
    <w:rsid w:val="00C2673A"/>
    <w:rsid w:val="00C278CD"/>
    <w:rsid w:val="00C27B58"/>
    <w:rsid w:val="00C27C1C"/>
    <w:rsid w:val="00C33186"/>
    <w:rsid w:val="00C34256"/>
    <w:rsid w:val="00C35996"/>
    <w:rsid w:val="00C36312"/>
    <w:rsid w:val="00C4044E"/>
    <w:rsid w:val="00C424F9"/>
    <w:rsid w:val="00C42BCD"/>
    <w:rsid w:val="00C46C13"/>
    <w:rsid w:val="00C4747E"/>
    <w:rsid w:val="00C5151E"/>
    <w:rsid w:val="00C52256"/>
    <w:rsid w:val="00C5342C"/>
    <w:rsid w:val="00C53B2B"/>
    <w:rsid w:val="00C552BD"/>
    <w:rsid w:val="00C57465"/>
    <w:rsid w:val="00C60272"/>
    <w:rsid w:val="00C603D4"/>
    <w:rsid w:val="00C6256A"/>
    <w:rsid w:val="00C63FDA"/>
    <w:rsid w:val="00C646ED"/>
    <w:rsid w:val="00C64EBC"/>
    <w:rsid w:val="00C6593C"/>
    <w:rsid w:val="00C664D2"/>
    <w:rsid w:val="00C677E1"/>
    <w:rsid w:val="00C710E2"/>
    <w:rsid w:val="00C71C3F"/>
    <w:rsid w:val="00C72D5B"/>
    <w:rsid w:val="00C7409E"/>
    <w:rsid w:val="00C74D6D"/>
    <w:rsid w:val="00C76E76"/>
    <w:rsid w:val="00C77891"/>
    <w:rsid w:val="00C77B74"/>
    <w:rsid w:val="00C82062"/>
    <w:rsid w:val="00C829A9"/>
    <w:rsid w:val="00C87B80"/>
    <w:rsid w:val="00C90330"/>
    <w:rsid w:val="00C91449"/>
    <w:rsid w:val="00C92D10"/>
    <w:rsid w:val="00C92F79"/>
    <w:rsid w:val="00C9326B"/>
    <w:rsid w:val="00C936EE"/>
    <w:rsid w:val="00C95200"/>
    <w:rsid w:val="00C96EC0"/>
    <w:rsid w:val="00CA1249"/>
    <w:rsid w:val="00CA48D9"/>
    <w:rsid w:val="00CA6761"/>
    <w:rsid w:val="00CA68A8"/>
    <w:rsid w:val="00CB1193"/>
    <w:rsid w:val="00CB439A"/>
    <w:rsid w:val="00CB4767"/>
    <w:rsid w:val="00CB493D"/>
    <w:rsid w:val="00CB7EC1"/>
    <w:rsid w:val="00CC0DCD"/>
    <w:rsid w:val="00CC3B97"/>
    <w:rsid w:val="00CD03AD"/>
    <w:rsid w:val="00CD3F75"/>
    <w:rsid w:val="00CD573B"/>
    <w:rsid w:val="00CD6257"/>
    <w:rsid w:val="00CD7C0B"/>
    <w:rsid w:val="00CE10C4"/>
    <w:rsid w:val="00CE2343"/>
    <w:rsid w:val="00CE27B5"/>
    <w:rsid w:val="00CE2BDF"/>
    <w:rsid w:val="00CE31E8"/>
    <w:rsid w:val="00CE3CC3"/>
    <w:rsid w:val="00CE5E00"/>
    <w:rsid w:val="00CE6D24"/>
    <w:rsid w:val="00CE6DAF"/>
    <w:rsid w:val="00CE6EE0"/>
    <w:rsid w:val="00CF410A"/>
    <w:rsid w:val="00CF7528"/>
    <w:rsid w:val="00CF77B5"/>
    <w:rsid w:val="00CF7FDE"/>
    <w:rsid w:val="00D012AF"/>
    <w:rsid w:val="00D03173"/>
    <w:rsid w:val="00D0321E"/>
    <w:rsid w:val="00D04BE5"/>
    <w:rsid w:val="00D05457"/>
    <w:rsid w:val="00D069EB"/>
    <w:rsid w:val="00D07A8A"/>
    <w:rsid w:val="00D10E31"/>
    <w:rsid w:val="00D11199"/>
    <w:rsid w:val="00D1455A"/>
    <w:rsid w:val="00D14A70"/>
    <w:rsid w:val="00D14B25"/>
    <w:rsid w:val="00D207EA"/>
    <w:rsid w:val="00D21F15"/>
    <w:rsid w:val="00D22093"/>
    <w:rsid w:val="00D229FE"/>
    <w:rsid w:val="00D25638"/>
    <w:rsid w:val="00D304EA"/>
    <w:rsid w:val="00D31150"/>
    <w:rsid w:val="00D3138B"/>
    <w:rsid w:val="00D31FCE"/>
    <w:rsid w:val="00D3280C"/>
    <w:rsid w:val="00D337A6"/>
    <w:rsid w:val="00D3406A"/>
    <w:rsid w:val="00D34D24"/>
    <w:rsid w:val="00D40B11"/>
    <w:rsid w:val="00D42864"/>
    <w:rsid w:val="00D429EC"/>
    <w:rsid w:val="00D441F1"/>
    <w:rsid w:val="00D4572C"/>
    <w:rsid w:val="00D469B2"/>
    <w:rsid w:val="00D52B24"/>
    <w:rsid w:val="00D53BA9"/>
    <w:rsid w:val="00D54B09"/>
    <w:rsid w:val="00D61425"/>
    <w:rsid w:val="00D6243E"/>
    <w:rsid w:val="00D62D12"/>
    <w:rsid w:val="00D65658"/>
    <w:rsid w:val="00D67EB2"/>
    <w:rsid w:val="00D70349"/>
    <w:rsid w:val="00D728A6"/>
    <w:rsid w:val="00D72B6F"/>
    <w:rsid w:val="00D741EB"/>
    <w:rsid w:val="00D7679C"/>
    <w:rsid w:val="00D820F3"/>
    <w:rsid w:val="00D82AE0"/>
    <w:rsid w:val="00D83605"/>
    <w:rsid w:val="00D845C8"/>
    <w:rsid w:val="00D84934"/>
    <w:rsid w:val="00D866EB"/>
    <w:rsid w:val="00D87D1A"/>
    <w:rsid w:val="00D906DA"/>
    <w:rsid w:val="00D91271"/>
    <w:rsid w:val="00D919F5"/>
    <w:rsid w:val="00D945F6"/>
    <w:rsid w:val="00D94F03"/>
    <w:rsid w:val="00D9504B"/>
    <w:rsid w:val="00D95051"/>
    <w:rsid w:val="00D95161"/>
    <w:rsid w:val="00D95C23"/>
    <w:rsid w:val="00DA0A82"/>
    <w:rsid w:val="00DA0D14"/>
    <w:rsid w:val="00DA1FC9"/>
    <w:rsid w:val="00DA2CB5"/>
    <w:rsid w:val="00DA383E"/>
    <w:rsid w:val="00DA4918"/>
    <w:rsid w:val="00DA4BAC"/>
    <w:rsid w:val="00DA6D81"/>
    <w:rsid w:val="00DA722E"/>
    <w:rsid w:val="00DA792A"/>
    <w:rsid w:val="00DB0151"/>
    <w:rsid w:val="00DB04D7"/>
    <w:rsid w:val="00DB394E"/>
    <w:rsid w:val="00DB50E1"/>
    <w:rsid w:val="00DB5C87"/>
    <w:rsid w:val="00DC0566"/>
    <w:rsid w:val="00DC05E1"/>
    <w:rsid w:val="00DC1499"/>
    <w:rsid w:val="00DC16CF"/>
    <w:rsid w:val="00DC2C3E"/>
    <w:rsid w:val="00DC3137"/>
    <w:rsid w:val="00DC4491"/>
    <w:rsid w:val="00DC4880"/>
    <w:rsid w:val="00DC5E90"/>
    <w:rsid w:val="00DD0BE9"/>
    <w:rsid w:val="00DD1878"/>
    <w:rsid w:val="00DD26F9"/>
    <w:rsid w:val="00DD42AB"/>
    <w:rsid w:val="00DD561D"/>
    <w:rsid w:val="00DD5D91"/>
    <w:rsid w:val="00DD613C"/>
    <w:rsid w:val="00DE06AF"/>
    <w:rsid w:val="00DE289A"/>
    <w:rsid w:val="00DE6552"/>
    <w:rsid w:val="00DE6D27"/>
    <w:rsid w:val="00DE76EA"/>
    <w:rsid w:val="00DF01F8"/>
    <w:rsid w:val="00DF021D"/>
    <w:rsid w:val="00DF10F4"/>
    <w:rsid w:val="00DF14EE"/>
    <w:rsid w:val="00DF217D"/>
    <w:rsid w:val="00DF26A7"/>
    <w:rsid w:val="00DF3277"/>
    <w:rsid w:val="00DF4726"/>
    <w:rsid w:val="00DF6A31"/>
    <w:rsid w:val="00DF77A1"/>
    <w:rsid w:val="00DF7919"/>
    <w:rsid w:val="00E0166B"/>
    <w:rsid w:val="00E0207E"/>
    <w:rsid w:val="00E02AE6"/>
    <w:rsid w:val="00E03912"/>
    <w:rsid w:val="00E04748"/>
    <w:rsid w:val="00E04885"/>
    <w:rsid w:val="00E06C82"/>
    <w:rsid w:val="00E078D9"/>
    <w:rsid w:val="00E10293"/>
    <w:rsid w:val="00E103A0"/>
    <w:rsid w:val="00E1043F"/>
    <w:rsid w:val="00E11F44"/>
    <w:rsid w:val="00E13E60"/>
    <w:rsid w:val="00E15627"/>
    <w:rsid w:val="00E162B5"/>
    <w:rsid w:val="00E164B3"/>
    <w:rsid w:val="00E16910"/>
    <w:rsid w:val="00E239E2"/>
    <w:rsid w:val="00E24E09"/>
    <w:rsid w:val="00E27234"/>
    <w:rsid w:val="00E27CFC"/>
    <w:rsid w:val="00E337FD"/>
    <w:rsid w:val="00E3495C"/>
    <w:rsid w:val="00E358D7"/>
    <w:rsid w:val="00E40D66"/>
    <w:rsid w:val="00E42BDB"/>
    <w:rsid w:val="00E531F7"/>
    <w:rsid w:val="00E5726D"/>
    <w:rsid w:val="00E57EEB"/>
    <w:rsid w:val="00E62395"/>
    <w:rsid w:val="00E62D94"/>
    <w:rsid w:val="00E62ECC"/>
    <w:rsid w:val="00E63331"/>
    <w:rsid w:val="00E64F37"/>
    <w:rsid w:val="00E65091"/>
    <w:rsid w:val="00E65393"/>
    <w:rsid w:val="00E65E54"/>
    <w:rsid w:val="00E661C7"/>
    <w:rsid w:val="00E73021"/>
    <w:rsid w:val="00E732C4"/>
    <w:rsid w:val="00E74E41"/>
    <w:rsid w:val="00E755BD"/>
    <w:rsid w:val="00E75D7A"/>
    <w:rsid w:val="00E80155"/>
    <w:rsid w:val="00E8134B"/>
    <w:rsid w:val="00E81E0D"/>
    <w:rsid w:val="00E81F28"/>
    <w:rsid w:val="00E848C0"/>
    <w:rsid w:val="00E84BB8"/>
    <w:rsid w:val="00E86737"/>
    <w:rsid w:val="00E86F92"/>
    <w:rsid w:val="00E91B96"/>
    <w:rsid w:val="00E92F2E"/>
    <w:rsid w:val="00E935DA"/>
    <w:rsid w:val="00E93D1E"/>
    <w:rsid w:val="00E941A1"/>
    <w:rsid w:val="00E95CE3"/>
    <w:rsid w:val="00E95E57"/>
    <w:rsid w:val="00E95F9A"/>
    <w:rsid w:val="00EA0856"/>
    <w:rsid w:val="00EA1A1E"/>
    <w:rsid w:val="00EA1DC4"/>
    <w:rsid w:val="00EA252F"/>
    <w:rsid w:val="00EA2825"/>
    <w:rsid w:val="00EA2E38"/>
    <w:rsid w:val="00EA4B29"/>
    <w:rsid w:val="00EA5027"/>
    <w:rsid w:val="00EA64C2"/>
    <w:rsid w:val="00EA6518"/>
    <w:rsid w:val="00EA71A2"/>
    <w:rsid w:val="00EA7466"/>
    <w:rsid w:val="00EA7EDE"/>
    <w:rsid w:val="00EB0B63"/>
    <w:rsid w:val="00EB0C4D"/>
    <w:rsid w:val="00EB1936"/>
    <w:rsid w:val="00EB3545"/>
    <w:rsid w:val="00EB37BE"/>
    <w:rsid w:val="00EB4BAE"/>
    <w:rsid w:val="00EB5088"/>
    <w:rsid w:val="00EB7210"/>
    <w:rsid w:val="00EC052E"/>
    <w:rsid w:val="00EC2726"/>
    <w:rsid w:val="00EC681C"/>
    <w:rsid w:val="00EC7B87"/>
    <w:rsid w:val="00ED1644"/>
    <w:rsid w:val="00ED1F39"/>
    <w:rsid w:val="00ED2593"/>
    <w:rsid w:val="00ED3709"/>
    <w:rsid w:val="00ED4E64"/>
    <w:rsid w:val="00ED522E"/>
    <w:rsid w:val="00ED5947"/>
    <w:rsid w:val="00ED62BC"/>
    <w:rsid w:val="00ED7D55"/>
    <w:rsid w:val="00ED7D9C"/>
    <w:rsid w:val="00EE00A7"/>
    <w:rsid w:val="00EE0CB2"/>
    <w:rsid w:val="00EE31A2"/>
    <w:rsid w:val="00EE381F"/>
    <w:rsid w:val="00EE3E02"/>
    <w:rsid w:val="00EE4329"/>
    <w:rsid w:val="00EE6203"/>
    <w:rsid w:val="00EF0069"/>
    <w:rsid w:val="00EF2092"/>
    <w:rsid w:val="00EF2DDD"/>
    <w:rsid w:val="00EF3F28"/>
    <w:rsid w:val="00EF44A0"/>
    <w:rsid w:val="00EF4580"/>
    <w:rsid w:val="00EF4FED"/>
    <w:rsid w:val="00EF5F45"/>
    <w:rsid w:val="00EF6843"/>
    <w:rsid w:val="00EF6941"/>
    <w:rsid w:val="00EF6FB3"/>
    <w:rsid w:val="00F0068B"/>
    <w:rsid w:val="00F007C6"/>
    <w:rsid w:val="00F0172E"/>
    <w:rsid w:val="00F03720"/>
    <w:rsid w:val="00F050BD"/>
    <w:rsid w:val="00F05657"/>
    <w:rsid w:val="00F05AB0"/>
    <w:rsid w:val="00F1082C"/>
    <w:rsid w:val="00F12C74"/>
    <w:rsid w:val="00F1559A"/>
    <w:rsid w:val="00F17ED6"/>
    <w:rsid w:val="00F2041A"/>
    <w:rsid w:val="00F20676"/>
    <w:rsid w:val="00F209E2"/>
    <w:rsid w:val="00F2231B"/>
    <w:rsid w:val="00F2398F"/>
    <w:rsid w:val="00F24075"/>
    <w:rsid w:val="00F2540D"/>
    <w:rsid w:val="00F25578"/>
    <w:rsid w:val="00F258E5"/>
    <w:rsid w:val="00F25B9C"/>
    <w:rsid w:val="00F2675A"/>
    <w:rsid w:val="00F26CC6"/>
    <w:rsid w:val="00F300BC"/>
    <w:rsid w:val="00F3059E"/>
    <w:rsid w:val="00F305FA"/>
    <w:rsid w:val="00F31FB7"/>
    <w:rsid w:val="00F3263C"/>
    <w:rsid w:val="00F3334E"/>
    <w:rsid w:val="00F33EF1"/>
    <w:rsid w:val="00F3573A"/>
    <w:rsid w:val="00F36CCB"/>
    <w:rsid w:val="00F374E5"/>
    <w:rsid w:val="00F37B93"/>
    <w:rsid w:val="00F37BAD"/>
    <w:rsid w:val="00F37ECA"/>
    <w:rsid w:val="00F40A1C"/>
    <w:rsid w:val="00F4124E"/>
    <w:rsid w:val="00F43AF2"/>
    <w:rsid w:val="00F45216"/>
    <w:rsid w:val="00F5007E"/>
    <w:rsid w:val="00F508F6"/>
    <w:rsid w:val="00F50EC4"/>
    <w:rsid w:val="00F51F94"/>
    <w:rsid w:val="00F52232"/>
    <w:rsid w:val="00F527B1"/>
    <w:rsid w:val="00F52DC2"/>
    <w:rsid w:val="00F550CF"/>
    <w:rsid w:val="00F553D2"/>
    <w:rsid w:val="00F56A2D"/>
    <w:rsid w:val="00F56AA6"/>
    <w:rsid w:val="00F57A6D"/>
    <w:rsid w:val="00F6044B"/>
    <w:rsid w:val="00F62F19"/>
    <w:rsid w:val="00F638CC"/>
    <w:rsid w:val="00F64B81"/>
    <w:rsid w:val="00F64C9E"/>
    <w:rsid w:val="00F64CC1"/>
    <w:rsid w:val="00F6600D"/>
    <w:rsid w:val="00F708B1"/>
    <w:rsid w:val="00F7191B"/>
    <w:rsid w:val="00F72317"/>
    <w:rsid w:val="00F73DC1"/>
    <w:rsid w:val="00F75097"/>
    <w:rsid w:val="00F75BB8"/>
    <w:rsid w:val="00F77714"/>
    <w:rsid w:val="00F80475"/>
    <w:rsid w:val="00F80E6E"/>
    <w:rsid w:val="00F81039"/>
    <w:rsid w:val="00F81390"/>
    <w:rsid w:val="00F81F7A"/>
    <w:rsid w:val="00F8247A"/>
    <w:rsid w:val="00F82E5C"/>
    <w:rsid w:val="00F82FF7"/>
    <w:rsid w:val="00F83F58"/>
    <w:rsid w:val="00F85206"/>
    <w:rsid w:val="00F87BDC"/>
    <w:rsid w:val="00F87CEA"/>
    <w:rsid w:val="00F93A76"/>
    <w:rsid w:val="00F950FA"/>
    <w:rsid w:val="00F9629A"/>
    <w:rsid w:val="00F96EA9"/>
    <w:rsid w:val="00F97EFC"/>
    <w:rsid w:val="00FA0B04"/>
    <w:rsid w:val="00FA0C7C"/>
    <w:rsid w:val="00FA1BDD"/>
    <w:rsid w:val="00FA305C"/>
    <w:rsid w:val="00FA462E"/>
    <w:rsid w:val="00FA4DD5"/>
    <w:rsid w:val="00FA5843"/>
    <w:rsid w:val="00FA5883"/>
    <w:rsid w:val="00FA6055"/>
    <w:rsid w:val="00FB0B39"/>
    <w:rsid w:val="00FB185A"/>
    <w:rsid w:val="00FB23FB"/>
    <w:rsid w:val="00FB322F"/>
    <w:rsid w:val="00FB442F"/>
    <w:rsid w:val="00FC118C"/>
    <w:rsid w:val="00FC1929"/>
    <w:rsid w:val="00FC4CED"/>
    <w:rsid w:val="00FC5B46"/>
    <w:rsid w:val="00FC7161"/>
    <w:rsid w:val="00FD1D4F"/>
    <w:rsid w:val="00FD24BF"/>
    <w:rsid w:val="00FD3B6E"/>
    <w:rsid w:val="00FD4140"/>
    <w:rsid w:val="00FD57EB"/>
    <w:rsid w:val="00FD6AF6"/>
    <w:rsid w:val="00FD6D8E"/>
    <w:rsid w:val="00FD7E5B"/>
    <w:rsid w:val="00FE0663"/>
    <w:rsid w:val="00FE0E94"/>
    <w:rsid w:val="00FE369C"/>
    <w:rsid w:val="00FE3CD9"/>
    <w:rsid w:val="00FE5222"/>
    <w:rsid w:val="00FE672B"/>
    <w:rsid w:val="00FF00BD"/>
    <w:rsid w:val="00FF0B13"/>
    <w:rsid w:val="00FF1ED4"/>
    <w:rsid w:val="00FF2801"/>
    <w:rsid w:val="00FF290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6833F6"/>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6833F6"/>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10"/>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qFormat/>
    <w:rsid w:val="00F8103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F81039"/>
    <w:rPr>
      <w:rFonts w:asciiTheme="minorHAnsi" w:hAnsiTheme="minorHAnsi" w:cs="Arial"/>
      <w:snapToGrid w:val="0"/>
      <w:sz w:val="24"/>
      <w:szCs w:val="24"/>
    </w:rPr>
  </w:style>
  <w:style w:type="paragraph" w:styleId="FootnoteText">
    <w:name w:val="footnote text"/>
    <w:basedOn w:val="Normal"/>
    <w:link w:val="FootnoteTextChar"/>
    <w:semiHidden/>
    <w:unhideWhenUsed/>
    <w:rsid w:val="005507D1"/>
    <w:rPr>
      <w:sz w:val="20"/>
      <w:szCs w:val="20"/>
    </w:rPr>
  </w:style>
  <w:style w:type="character" w:customStyle="1" w:styleId="FootnoteTextChar">
    <w:name w:val="Footnote Text Char"/>
    <w:basedOn w:val="DefaultParagraphFont"/>
    <w:link w:val="FootnoteText"/>
    <w:semiHidden/>
    <w:rsid w:val="005507D1"/>
    <w:rPr>
      <w:rFonts w:ascii="Calibri" w:hAnsi="Calibri"/>
    </w:rPr>
  </w:style>
  <w:style w:type="character" w:styleId="FootnoteReference">
    <w:name w:val="footnote reference"/>
    <w:basedOn w:val="DefaultParagraphFont"/>
    <w:semiHidden/>
    <w:unhideWhenUsed/>
    <w:rsid w:val="005507D1"/>
    <w:rPr>
      <w:vertAlign w:val="superscript"/>
    </w:rPr>
  </w:style>
  <w:style w:type="character" w:customStyle="1" w:styleId="eop">
    <w:name w:val="eop"/>
    <w:basedOn w:val="DefaultParagraphFont"/>
    <w:rsid w:val="00792584"/>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10"/>
    <w:rsid w:val="00C0063D"/>
    <w:rPr>
      <w:rFonts w:ascii="Calibri" w:hAnsi="Calibri"/>
      <w:i/>
      <w:iCs/>
      <w:color w:val="000000" w:themeColor="text1"/>
      <w:sz w:val="18"/>
      <w:szCs w:val="18"/>
    </w:rPr>
  </w:style>
  <w:style w:type="character" w:customStyle="1" w:styleId="null">
    <w:name w:val="null"/>
    <w:basedOn w:val="DefaultParagraphFont"/>
    <w:rsid w:val="009C188B"/>
  </w:style>
  <w:style w:type="paragraph" w:customStyle="1" w:styleId="3-SubsectionHeading">
    <w:name w:val="3-Subsection Heading"/>
    <w:basedOn w:val="Heading2"/>
    <w:next w:val="Normal"/>
    <w:link w:val="3-SubsectionHeadingChar"/>
    <w:qFormat/>
    <w:rsid w:val="002073EF"/>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2073EF"/>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201">
      <w:bodyDiv w:val="1"/>
      <w:marLeft w:val="0"/>
      <w:marRight w:val="0"/>
      <w:marTop w:val="0"/>
      <w:marBottom w:val="0"/>
      <w:divBdr>
        <w:top w:val="none" w:sz="0" w:space="0" w:color="auto"/>
        <w:left w:val="none" w:sz="0" w:space="0" w:color="auto"/>
        <w:bottom w:val="none" w:sz="0" w:space="0" w:color="auto"/>
        <w:right w:val="none" w:sz="0" w:space="0" w:color="auto"/>
      </w:divBdr>
    </w:div>
    <w:div w:id="7146148">
      <w:bodyDiv w:val="1"/>
      <w:marLeft w:val="0"/>
      <w:marRight w:val="0"/>
      <w:marTop w:val="0"/>
      <w:marBottom w:val="0"/>
      <w:divBdr>
        <w:top w:val="none" w:sz="0" w:space="0" w:color="auto"/>
        <w:left w:val="none" w:sz="0" w:space="0" w:color="auto"/>
        <w:bottom w:val="none" w:sz="0" w:space="0" w:color="auto"/>
        <w:right w:val="none" w:sz="0" w:space="0" w:color="auto"/>
      </w:divBdr>
      <w:divsChild>
        <w:div w:id="1681928679">
          <w:marLeft w:val="360"/>
          <w:marRight w:val="0"/>
          <w:marTop w:val="200"/>
          <w:marBottom w:val="0"/>
          <w:divBdr>
            <w:top w:val="none" w:sz="0" w:space="0" w:color="auto"/>
            <w:left w:val="none" w:sz="0" w:space="0" w:color="auto"/>
            <w:bottom w:val="none" w:sz="0" w:space="0" w:color="auto"/>
            <w:right w:val="none" w:sz="0" w:space="0" w:color="auto"/>
          </w:divBdr>
        </w:div>
      </w:divsChild>
    </w:div>
    <w:div w:id="20055479">
      <w:bodyDiv w:val="1"/>
      <w:marLeft w:val="0"/>
      <w:marRight w:val="0"/>
      <w:marTop w:val="0"/>
      <w:marBottom w:val="0"/>
      <w:divBdr>
        <w:top w:val="none" w:sz="0" w:space="0" w:color="auto"/>
        <w:left w:val="none" w:sz="0" w:space="0" w:color="auto"/>
        <w:bottom w:val="none" w:sz="0" w:space="0" w:color="auto"/>
        <w:right w:val="none" w:sz="0" w:space="0" w:color="auto"/>
      </w:divBdr>
    </w:div>
    <w:div w:id="26374244">
      <w:bodyDiv w:val="1"/>
      <w:marLeft w:val="0"/>
      <w:marRight w:val="0"/>
      <w:marTop w:val="0"/>
      <w:marBottom w:val="0"/>
      <w:divBdr>
        <w:top w:val="none" w:sz="0" w:space="0" w:color="auto"/>
        <w:left w:val="none" w:sz="0" w:space="0" w:color="auto"/>
        <w:bottom w:val="none" w:sz="0" w:space="0" w:color="auto"/>
        <w:right w:val="none" w:sz="0" w:space="0" w:color="auto"/>
      </w:divBdr>
      <w:divsChild>
        <w:div w:id="920067227">
          <w:marLeft w:val="360"/>
          <w:marRight w:val="0"/>
          <w:marTop w:val="200"/>
          <w:marBottom w:val="0"/>
          <w:divBdr>
            <w:top w:val="none" w:sz="0" w:space="0" w:color="auto"/>
            <w:left w:val="none" w:sz="0" w:space="0" w:color="auto"/>
            <w:bottom w:val="none" w:sz="0" w:space="0" w:color="auto"/>
            <w:right w:val="none" w:sz="0" w:space="0" w:color="auto"/>
          </w:divBdr>
        </w:div>
      </w:divsChild>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565901">
      <w:bodyDiv w:val="1"/>
      <w:marLeft w:val="0"/>
      <w:marRight w:val="0"/>
      <w:marTop w:val="0"/>
      <w:marBottom w:val="0"/>
      <w:divBdr>
        <w:top w:val="none" w:sz="0" w:space="0" w:color="auto"/>
        <w:left w:val="none" w:sz="0" w:space="0" w:color="auto"/>
        <w:bottom w:val="none" w:sz="0" w:space="0" w:color="auto"/>
        <w:right w:val="none" w:sz="0" w:space="0" w:color="auto"/>
      </w:divBdr>
    </w:div>
    <w:div w:id="271481026">
      <w:bodyDiv w:val="1"/>
      <w:marLeft w:val="0"/>
      <w:marRight w:val="0"/>
      <w:marTop w:val="0"/>
      <w:marBottom w:val="0"/>
      <w:divBdr>
        <w:top w:val="none" w:sz="0" w:space="0" w:color="auto"/>
        <w:left w:val="none" w:sz="0" w:space="0" w:color="auto"/>
        <w:bottom w:val="none" w:sz="0" w:space="0" w:color="auto"/>
        <w:right w:val="none" w:sz="0" w:space="0" w:color="auto"/>
      </w:divBdr>
    </w:div>
    <w:div w:id="303707362">
      <w:bodyDiv w:val="1"/>
      <w:marLeft w:val="0"/>
      <w:marRight w:val="0"/>
      <w:marTop w:val="0"/>
      <w:marBottom w:val="0"/>
      <w:divBdr>
        <w:top w:val="none" w:sz="0" w:space="0" w:color="auto"/>
        <w:left w:val="none" w:sz="0" w:space="0" w:color="auto"/>
        <w:bottom w:val="none" w:sz="0" w:space="0" w:color="auto"/>
        <w:right w:val="none" w:sz="0" w:space="0" w:color="auto"/>
      </w:divBdr>
    </w:div>
    <w:div w:id="40622193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2410051">
      <w:bodyDiv w:val="1"/>
      <w:marLeft w:val="0"/>
      <w:marRight w:val="0"/>
      <w:marTop w:val="0"/>
      <w:marBottom w:val="0"/>
      <w:divBdr>
        <w:top w:val="none" w:sz="0" w:space="0" w:color="auto"/>
        <w:left w:val="none" w:sz="0" w:space="0" w:color="auto"/>
        <w:bottom w:val="none" w:sz="0" w:space="0" w:color="auto"/>
        <w:right w:val="none" w:sz="0" w:space="0" w:color="auto"/>
      </w:divBdr>
      <w:divsChild>
        <w:div w:id="1572155236">
          <w:marLeft w:val="360"/>
          <w:marRight w:val="0"/>
          <w:marTop w:val="200"/>
          <w:marBottom w:val="0"/>
          <w:divBdr>
            <w:top w:val="none" w:sz="0" w:space="0" w:color="auto"/>
            <w:left w:val="none" w:sz="0" w:space="0" w:color="auto"/>
            <w:bottom w:val="none" w:sz="0" w:space="0" w:color="auto"/>
            <w:right w:val="none" w:sz="0" w:space="0" w:color="auto"/>
          </w:divBdr>
        </w:div>
      </w:divsChild>
    </w:div>
    <w:div w:id="423769792">
      <w:bodyDiv w:val="1"/>
      <w:marLeft w:val="0"/>
      <w:marRight w:val="0"/>
      <w:marTop w:val="0"/>
      <w:marBottom w:val="0"/>
      <w:divBdr>
        <w:top w:val="none" w:sz="0" w:space="0" w:color="auto"/>
        <w:left w:val="none" w:sz="0" w:space="0" w:color="auto"/>
        <w:bottom w:val="none" w:sz="0" w:space="0" w:color="auto"/>
        <w:right w:val="none" w:sz="0" w:space="0" w:color="auto"/>
      </w:divBdr>
      <w:divsChild>
        <w:div w:id="143814234">
          <w:marLeft w:val="0"/>
          <w:marRight w:val="0"/>
          <w:marTop w:val="0"/>
          <w:marBottom w:val="0"/>
          <w:divBdr>
            <w:top w:val="none" w:sz="0" w:space="0" w:color="auto"/>
            <w:left w:val="none" w:sz="0" w:space="0" w:color="auto"/>
            <w:bottom w:val="none" w:sz="0" w:space="0" w:color="auto"/>
            <w:right w:val="none" w:sz="0" w:space="0" w:color="auto"/>
          </w:divBdr>
          <w:divsChild>
            <w:div w:id="1653637045">
              <w:marLeft w:val="0"/>
              <w:marRight w:val="0"/>
              <w:marTop w:val="0"/>
              <w:marBottom w:val="0"/>
              <w:divBdr>
                <w:top w:val="none" w:sz="0" w:space="0" w:color="auto"/>
                <w:left w:val="none" w:sz="0" w:space="0" w:color="auto"/>
                <w:bottom w:val="none" w:sz="0" w:space="0" w:color="auto"/>
                <w:right w:val="none" w:sz="0" w:space="0" w:color="auto"/>
              </w:divBdr>
            </w:div>
            <w:div w:id="17586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7802">
      <w:bodyDiv w:val="1"/>
      <w:marLeft w:val="0"/>
      <w:marRight w:val="0"/>
      <w:marTop w:val="0"/>
      <w:marBottom w:val="0"/>
      <w:divBdr>
        <w:top w:val="none" w:sz="0" w:space="0" w:color="auto"/>
        <w:left w:val="none" w:sz="0" w:space="0" w:color="auto"/>
        <w:bottom w:val="none" w:sz="0" w:space="0" w:color="auto"/>
        <w:right w:val="none" w:sz="0" w:space="0" w:color="auto"/>
      </w:divBdr>
    </w:div>
    <w:div w:id="670452621">
      <w:bodyDiv w:val="1"/>
      <w:marLeft w:val="0"/>
      <w:marRight w:val="0"/>
      <w:marTop w:val="0"/>
      <w:marBottom w:val="0"/>
      <w:divBdr>
        <w:top w:val="none" w:sz="0" w:space="0" w:color="auto"/>
        <w:left w:val="none" w:sz="0" w:space="0" w:color="auto"/>
        <w:bottom w:val="none" w:sz="0" w:space="0" w:color="auto"/>
        <w:right w:val="none" w:sz="0" w:space="0" w:color="auto"/>
      </w:divBdr>
    </w:div>
    <w:div w:id="715928460">
      <w:bodyDiv w:val="1"/>
      <w:marLeft w:val="0"/>
      <w:marRight w:val="0"/>
      <w:marTop w:val="0"/>
      <w:marBottom w:val="0"/>
      <w:divBdr>
        <w:top w:val="none" w:sz="0" w:space="0" w:color="auto"/>
        <w:left w:val="none" w:sz="0" w:space="0" w:color="auto"/>
        <w:bottom w:val="none" w:sz="0" w:space="0" w:color="auto"/>
        <w:right w:val="none" w:sz="0" w:space="0" w:color="auto"/>
      </w:divBdr>
      <w:divsChild>
        <w:div w:id="2045017925">
          <w:marLeft w:val="360"/>
          <w:marRight w:val="0"/>
          <w:marTop w:val="200"/>
          <w:marBottom w:val="0"/>
          <w:divBdr>
            <w:top w:val="none" w:sz="0" w:space="0" w:color="auto"/>
            <w:left w:val="none" w:sz="0" w:space="0" w:color="auto"/>
            <w:bottom w:val="none" w:sz="0" w:space="0" w:color="auto"/>
            <w:right w:val="none" w:sz="0" w:space="0" w:color="auto"/>
          </w:divBdr>
        </w:div>
      </w:divsChild>
    </w:div>
    <w:div w:id="7500802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93579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5139874">
      <w:bodyDiv w:val="1"/>
      <w:marLeft w:val="0"/>
      <w:marRight w:val="0"/>
      <w:marTop w:val="0"/>
      <w:marBottom w:val="0"/>
      <w:divBdr>
        <w:top w:val="none" w:sz="0" w:space="0" w:color="auto"/>
        <w:left w:val="none" w:sz="0" w:space="0" w:color="auto"/>
        <w:bottom w:val="none" w:sz="0" w:space="0" w:color="auto"/>
        <w:right w:val="none" w:sz="0" w:space="0" w:color="auto"/>
      </w:divBdr>
    </w:div>
    <w:div w:id="913006163">
      <w:bodyDiv w:val="1"/>
      <w:marLeft w:val="0"/>
      <w:marRight w:val="0"/>
      <w:marTop w:val="0"/>
      <w:marBottom w:val="0"/>
      <w:divBdr>
        <w:top w:val="none" w:sz="0" w:space="0" w:color="auto"/>
        <w:left w:val="none" w:sz="0" w:space="0" w:color="auto"/>
        <w:bottom w:val="none" w:sz="0" w:space="0" w:color="auto"/>
        <w:right w:val="none" w:sz="0" w:space="0" w:color="auto"/>
      </w:divBdr>
      <w:divsChild>
        <w:div w:id="1971861449">
          <w:marLeft w:val="0"/>
          <w:marRight w:val="0"/>
          <w:marTop w:val="0"/>
          <w:marBottom w:val="0"/>
          <w:divBdr>
            <w:top w:val="none" w:sz="0" w:space="0" w:color="auto"/>
            <w:left w:val="none" w:sz="0" w:space="0" w:color="auto"/>
            <w:bottom w:val="none" w:sz="0" w:space="0" w:color="auto"/>
            <w:right w:val="none" w:sz="0" w:space="0" w:color="auto"/>
          </w:divBdr>
          <w:divsChild>
            <w:div w:id="1922176465">
              <w:marLeft w:val="0"/>
              <w:marRight w:val="0"/>
              <w:marTop w:val="0"/>
              <w:marBottom w:val="0"/>
              <w:divBdr>
                <w:top w:val="none" w:sz="0" w:space="0" w:color="auto"/>
                <w:left w:val="none" w:sz="0" w:space="0" w:color="auto"/>
                <w:bottom w:val="none" w:sz="0" w:space="0" w:color="auto"/>
                <w:right w:val="none" w:sz="0" w:space="0" w:color="auto"/>
              </w:divBdr>
            </w:div>
            <w:div w:id="1110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3964">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68516080">
      <w:bodyDiv w:val="1"/>
      <w:marLeft w:val="0"/>
      <w:marRight w:val="0"/>
      <w:marTop w:val="0"/>
      <w:marBottom w:val="0"/>
      <w:divBdr>
        <w:top w:val="none" w:sz="0" w:space="0" w:color="auto"/>
        <w:left w:val="none" w:sz="0" w:space="0" w:color="auto"/>
        <w:bottom w:val="none" w:sz="0" w:space="0" w:color="auto"/>
        <w:right w:val="none" w:sz="0" w:space="0" w:color="auto"/>
      </w:divBdr>
    </w:div>
    <w:div w:id="113510177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3627912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0036912">
      <w:bodyDiv w:val="1"/>
      <w:marLeft w:val="0"/>
      <w:marRight w:val="0"/>
      <w:marTop w:val="0"/>
      <w:marBottom w:val="0"/>
      <w:divBdr>
        <w:top w:val="none" w:sz="0" w:space="0" w:color="auto"/>
        <w:left w:val="none" w:sz="0" w:space="0" w:color="auto"/>
        <w:bottom w:val="none" w:sz="0" w:space="0" w:color="auto"/>
        <w:right w:val="none" w:sz="0" w:space="0" w:color="auto"/>
      </w:divBdr>
      <w:divsChild>
        <w:div w:id="1931350022">
          <w:marLeft w:val="547"/>
          <w:marRight w:val="0"/>
          <w:marTop w:val="0"/>
          <w:marBottom w:val="0"/>
          <w:divBdr>
            <w:top w:val="none" w:sz="0" w:space="0" w:color="auto"/>
            <w:left w:val="none" w:sz="0" w:space="0" w:color="auto"/>
            <w:bottom w:val="none" w:sz="0" w:space="0" w:color="auto"/>
            <w:right w:val="none" w:sz="0" w:space="0" w:color="auto"/>
          </w:divBdr>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7159818">
      <w:bodyDiv w:val="1"/>
      <w:marLeft w:val="0"/>
      <w:marRight w:val="0"/>
      <w:marTop w:val="0"/>
      <w:marBottom w:val="0"/>
      <w:divBdr>
        <w:top w:val="none" w:sz="0" w:space="0" w:color="auto"/>
        <w:left w:val="none" w:sz="0" w:space="0" w:color="auto"/>
        <w:bottom w:val="none" w:sz="0" w:space="0" w:color="auto"/>
        <w:right w:val="none" w:sz="0" w:space="0" w:color="auto"/>
      </w:divBdr>
      <w:divsChild>
        <w:div w:id="2143184992">
          <w:marLeft w:val="360"/>
          <w:marRight w:val="0"/>
          <w:marTop w:val="200"/>
          <w:marBottom w:val="0"/>
          <w:divBdr>
            <w:top w:val="none" w:sz="0" w:space="0" w:color="auto"/>
            <w:left w:val="none" w:sz="0" w:space="0" w:color="auto"/>
            <w:bottom w:val="none" w:sz="0" w:space="0" w:color="auto"/>
            <w:right w:val="none" w:sz="0" w:space="0" w:color="auto"/>
          </w:divBdr>
        </w:div>
      </w:divsChild>
    </w:div>
    <w:div w:id="1573616472">
      <w:bodyDiv w:val="1"/>
      <w:marLeft w:val="0"/>
      <w:marRight w:val="0"/>
      <w:marTop w:val="0"/>
      <w:marBottom w:val="0"/>
      <w:divBdr>
        <w:top w:val="none" w:sz="0" w:space="0" w:color="auto"/>
        <w:left w:val="none" w:sz="0" w:space="0" w:color="auto"/>
        <w:bottom w:val="none" w:sz="0" w:space="0" w:color="auto"/>
        <w:right w:val="none" w:sz="0" w:space="0" w:color="auto"/>
      </w:divBdr>
    </w:div>
    <w:div w:id="1595744084">
      <w:bodyDiv w:val="1"/>
      <w:marLeft w:val="0"/>
      <w:marRight w:val="0"/>
      <w:marTop w:val="0"/>
      <w:marBottom w:val="0"/>
      <w:divBdr>
        <w:top w:val="none" w:sz="0" w:space="0" w:color="auto"/>
        <w:left w:val="none" w:sz="0" w:space="0" w:color="auto"/>
        <w:bottom w:val="none" w:sz="0" w:space="0" w:color="auto"/>
        <w:right w:val="none" w:sz="0" w:space="0" w:color="auto"/>
      </w:divBdr>
    </w:div>
    <w:div w:id="163127837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44128939">
      <w:bodyDiv w:val="1"/>
      <w:marLeft w:val="0"/>
      <w:marRight w:val="0"/>
      <w:marTop w:val="0"/>
      <w:marBottom w:val="0"/>
      <w:divBdr>
        <w:top w:val="none" w:sz="0" w:space="0" w:color="auto"/>
        <w:left w:val="none" w:sz="0" w:space="0" w:color="auto"/>
        <w:bottom w:val="none" w:sz="0" w:space="0" w:color="auto"/>
        <w:right w:val="none" w:sz="0" w:space="0" w:color="auto"/>
      </w:divBdr>
    </w:div>
    <w:div w:id="1880512125">
      <w:bodyDiv w:val="1"/>
      <w:marLeft w:val="0"/>
      <w:marRight w:val="0"/>
      <w:marTop w:val="0"/>
      <w:marBottom w:val="0"/>
      <w:divBdr>
        <w:top w:val="none" w:sz="0" w:space="0" w:color="auto"/>
        <w:left w:val="none" w:sz="0" w:space="0" w:color="auto"/>
        <w:bottom w:val="none" w:sz="0" w:space="0" w:color="auto"/>
        <w:right w:val="none" w:sz="0" w:space="0" w:color="auto"/>
      </w:divBdr>
    </w:div>
    <w:div w:id="188266985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72969974">
      <w:bodyDiv w:val="1"/>
      <w:marLeft w:val="0"/>
      <w:marRight w:val="0"/>
      <w:marTop w:val="0"/>
      <w:marBottom w:val="0"/>
      <w:divBdr>
        <w:top w:val="none" w:sz="0" w:space="0" w:color="auto"/>
        <w:left w:val="none" w:sz="0" w:space="0" w:color="auto"/>
        <w:bottom w:val="none" w:sz="0" w:space="0" w:color="auto"/>
        <w:right w:val="none" w:sz="0" w:space="0" w:color="auto"/>
      </w:divBdr>
    </w:div>
    <w:div w:id="20918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dustry/listing/elements/pbac-meetings/pbac-outcomes/2021-07/consideration-of-dusc-report-07-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AA27-3592-455F-95AC-C1D66063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5749</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2022-06-27T05:27:00Z</dcterms:created>
  <dcterms:modified xsi:type="dcterms:W3CDTF">2022-06-27T05:28:00Z</dcterms:modified>
</cp:coreProperties>
</file>