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701A" w14:textId="79397D17" w:rsidR="00B60939" w:rsidRPr="00B07FB9" w:rsidRDefault="00822278" w:rsidP="000C6F49">
      <w:pPr>
        <w:pStyle w:val="1-MainHeading"/>
        <w:keepNext w:val="0"/>
        <w:widowControl w:val="0"/>
      </w:pPr>
      <w:bookmarkStart w:id="0" w:name="_Toc93404175"/>
      <w:r w:rsidRPr="00B07FB9">
        <w:t>7</w:t>
      </w:r>
      <w:r w:rsidR="00433044" w:rsidRPr="00B07FB9">
        <w:t>.</w:t>
      </w:r>
      <w:r w:rsidRPr="00B07FB9">
        <w:t>07</w:t>
      </w:r>
      <w:r w:rsidR="00163F66" w:rsidRPr="00B07FB9">
        <w:tab/>
      </w:r>
      <w:r w:rsidR="0076422B" w:rsidRPr="00B07FB9">
        <w:t>NIRAPARIB,</w:t>
      </w:r>
      <w:r w:rsidR="0076422B" w:rsidRPr="00B07FB9">
        <w:br/>
        <w:t xml:space="preserve">Capsule </w:t>
      </w:r>
      <w:r w:rsidR="004C3CCB" w:rsidRPr="00B07FB9">
        <w:t>100</w:t>
      </w:r>
      <w:r w:rsidR="004C3CCB">
        <w:t> </w:t>
      </w:r>
      <w:r w:rsidR="0076422B" w:rsidRPr="00B07FB9">
        <w:t>mg,</w:t>
      </w:r>
      <w:r w:rsidR="0076422B" w:rsidRPr="00B07FB9">
        <w:br/>
      </w:r>
      <w:proofErr w:type="spellStart"/>
      <w:r w:rsidR="0076422B" w:rsidRPr="00B07FB9">
        <w:t>Zejula</w:t>
      </w:r>
      <w:proofErr w:type="spellEnd"/>
      <w:r w:rsidR="0076422B" w:rsidRPr="00B07FB9">
        <w:rPr>
          <w:vertAlign w:val="superscript"/>
        </w:rPr>
        <w:t>®</w:t>
      </w:r>
      <w:r w:rsidR="0076422B" w:rsidRPr="00B07FB9">
        <w:t>,</w:t>
      </w:r>
      <w:r w:rsidR="0076422B" w:rsidRPr="00B07FB9">
        <w:br/>
        <w:t>GlaxoSmithKline Australia Pty Ltd</w:t>
      </w:r>
      <w:bookmarkEnd w:id="0"/>
      <w:r w:rsidR="0076422B" w:rsidRPr="00B07FB9">
        <w:t xml:space="preserve"> </w:t>
      </w:r>
    </w:p>
    <w:p w14:paraId="11C00795" w14:textId="698DDB65" w:rsidR="00B50DB8" w:rsidRPr="00B07FB9" w:rsidRDefault="00B50DB8" w:rsidP="000C6F49">
      <w:pPr>
        <w:pStyle w:val="2-SectionHeading"/>
        <w:keepNext w:val="0"/>
        <w:widowControl w:val="0"/>
      </w:pPr>
      <w:bookmarkStart w:id="1" w:name="_Toc93404177"/>
      <w:r w:rsidRPr="00B07FB9">
        <w:t xml:space="preserve">Purpose of </w:t>
      </w:r>
      <w:r w:rsidR="00CD7193" w:rsidRPr="00B07FB9">
        <w:t>s</w:t>
      </w:r>
      <w:r w:rsidR="00BB3A45" w:rsidRPr="00B07FB9">
        <w:t>ubmission</w:t>
      </w:r>
      <w:bookmarkEnd w:id="1"/>
    </w:p>
    <w:p w14:paraId="24070316" w14:textId="0CBCD057" w:rsidR="001B4E9C" w:rsidRPr="00B07FB9" w:rsidRDefault="001B4E9C" w:rsidP="000C6F49">
      <w:pPr>
        <w:pStyle w:val="3-BodyText"/>
        <w:widowControl w:val="0"/>
      </w:pPr>
      <w:bookmarkStart w:id="2" w:name="_Toc22897645"/>
      <w:r w:rsidRPr="00B07FB9">
        <w:t xml:space="preserve">The </w:t>
      </w:r>
      <w:r w:rsidR="00BA7329" w:rsidRPr="00B07FB9">
        <w:t xml:space="preserve">standard re-entry </w:t>
      </w:r>
      <w:r w:rsidRPr="00B07FB9">
        <w:t>resubmission requested a Section 85 (General schedule), Authority required (streamlined) listing for niraparib as maintenance therapy for the treatment of newly diagnosed advanced</w:t>
      </w:r>
      <w:r w:rsidR="00AD5350" w:rsidRPr="00B07FB9">
        <w:t xml:space="preserve"> (NDA)</w:t>
      </w:r>
      <w:r w:rsidRPr="00B07FB9">
        <w:t xml:space="preserve">, high-grade epithelial ovarian, fallopian tube or primary peritoneal cancer (HGEOC), </w:t>
      </w:r>
      <w:r w:rsidR="00DB7C7D" w:rsidRPr="00B07FB9">
        <w:t xml:space="preserve">in patients </w:t>
      </w:r>
      <w:r w:rsidRPr="00B07FB9">
        <w:t xml:space="preserve">who are in response to platinum-based chemotherapy. </w:t>
      </w:r>
      <w:r w:rsidR="00AD5350" w:rsidRPr="00B07FB9">
        <w:t>This wa</w:t>
      </w:r>
      <w:r w:rsidRPr="00B07FB9">
        <w:t xml:space="preserve">s unchanged from the previous submission. </w:t>
      </w:r>
    </w:p>
    <w:p w14:paraId="3C0E2A40" w14:textId="5EF57131" w:rsidR="001B4E9C" w:rsidRPr="00B07FB9" w:rsidRDefault="001B4E9C" w:rsidP="000C6F49">
      <w:pPr>
        <w:pStyle w:val="3-BodyText"/>
        <w:widowControl w:val="0"/>
      </w:pPr>
      <w:r w:rsidRPr="00B07FB9">
        <w:t xml:space="preserve">Listing was requested on the basis of a cost-minimisation analysis </w:t>
      </w:r>
      <w:r w:rsidR="00875B8A" w:rsidRPr="00B07FB9">
        <w:t xml:space="preserve">(CMA) </w:t>
      </w:r>
      <w:r w:rsidRPr="00B07FB9">
        <w:t xml:space="preserve">of niraparib versus </w:t>
      </w:r>
      <w:proofErr w:type="spellStart"/>
      <w:r w:rsidRPr="00B07FB9">
        <w:t>olaparib</w:t>
      </w:r>
      <w:proofErr w:type="spellEnd"/>
      <w:r w:rsidRPr="00B07FB9">
        <w:t xml:space="preserve"> for patients with </w:t>
      </w:r>
      <w:r w:rsidR="00A20808" w:rsidRPr="00B07FB9">
        <w:t xml:space="preserve">BRCA pathological variants </w:t>
      </w:r>
      <w:r w:rsidR="00AD5350" w:rsidRPr="00B07FB9">
        <w:t>(</w:t>
      </w:r>
      <w:proofErr w:type="spellStart"/>
      <w:r w:rsidRPr="00B07FB9">
        <w:t>BRCAm</w:t>
      </w:r>
      <w:proofErr w:type="spellEnd"/>
      <w:r w:rsidR="00AD5350" w:rsidRPr="00B07FB9">
        <w:t>)</w:t>
      </w:r>
      <w:r w:rsidRPr="00B07FB9">
        <w:t xml:space="preserve">, and </w:t>
      </w:r>
      <w:r w:rsidR="00E21E38" w:rsidRPr="00B07FB9">
        <w:t xml:space="preserve">on the basis of </w:t>
      </w:r>
      <w:r w:rsidRPr="00B07FB9">
        <w:t xml:space="preserve">a cost-utility analysis </w:t>
      </w:r>
      <w:r w:rsidR="00875B8A" w:rsidRPr="00B07FB9">
        <w:t xml:space="preserve">(CUA) </w:t>
      </w:r>
      <w:r w:rsidRPr="00B07FB9">
        <w:t>of niraparib versus</w:t>
      </w:r>
      <w:r w:rsidR="00B1614A" w:rsidRPr="00B07FB9">
        <w:t xml:space="preserve"> </w:t>
      </w:r>
      <w:r w:rsidRPr="00B07FB9">
        <w:t>no active treatment (</w:t>
      </w:r>
      <w:r w:rsidR="00B1614A" w:rsidRPr="00B07FB9">
        <w:t xml:space="preserve">also </w:t>
      </w:r>
      <w:r w:rsidRPr="00B07FB9">
        <w:t xml:space="preserve">referred </w:t>
      </w:r>
      <w:r w:rsidR="00875B8A" w:rsidRPr="00B07FB9">
        <w:t xml:space="preserve">to </w:t>
      </w:r>
      <w:r w:rsidRPr="00B07FB9">
        <w:t xml:space="preserve">as standard medical management (SMM)) among patients without </w:t>
      </w:r>
      <w:proofErr w:type="spellStart"/>
      <w:r w:rsidRPr="00B07FB9">
        <w:t>BRCAm</w:t>
      </w:r>
      <w:proofErr w:type="spellEnd"/>
      <w:r w:rsidRPr="00B07FB9">
        <w:t>. The two separate analyses by BRCA status were update</w:t>
      </w:r>
      <w:r w:rsidR="00E21E38" w:rsidRPr="00B07FB9">
        <w:t>d</w:t>
      </w:r>
      <w:r w:rsidRPr="00B07FB9">
        <w:t xml:space="preserve"> from the previous submission, </w:t>
      </w:r>
      <w:r w:rsidR="00E21E38" w:rsidRPr="00B07FB9">
        <w:t>where</w:t>
      </w:r>
      <w:r w:rsidRPr="00B07FB9">
        <w:t xml:space="preserve"> a </w:t>
      </w:r>
      <w:r w:rsidR="00875B8A" w:rsidRPr="00B07FB9">
        <w:t>CUA</w:t>
      </w:r>
      <w:r w:rsidRPr="00B07FB9">
        <w:t xml:space="preserve"> was presented for niraparib v</w:t>
      </w:r>
      <w:r w:rsidR="00875B8A" w:rsidRPr="00B07FB9">
        <w:t>ersu</w:t>
      </w:r>
      <w:r w:rsidRPr="00B07FB9">
        <w:t xml:space="preserve">s </w:t>
      </w:r>
      <w:r w:rsidR="00692DC4" w:rsidRPr="00B07FB9">
        <w:t>no active treatment</w:t>
      </w:r>
      <w:r w:rsidRPr="00B07FB9">
        <w:t xml:space="preserve"> for the overall requested population, irrespective </w:t>
      </w:r>
      <w:r w:rsidR="00B1614A" w:rsidRPr="00B07FB9">
        <w:t xml:space="preserve">of </w:t>
      </w:r>
      <w:r w:rsidRPr="00B07FB9">
        <w:t xml:space="preserve">BRCA status. </w:t>
      </w:r>
      <w:r w:rsidRPr="00B07FB9">
        <w:rPr>
          <w:bCs/>
        </w:rPr>
        <w:t xml:space="preserve">The PBAC </w:t>
      </w:r>
      <w:r w:rsidR="00012EFA" w:rsidRPr="00B07FB9">
        <w:rPr>
          <w:bCs/>
        </w:rPr>
        <w:t xml:space="preserve">previously </w:t>
      </w:r>
      <w:r w:rsidRPr="00B07FB9">
        <w:rPr>
          <w:bCs/>
        </w:rPr>
        <w:t xml:space="preserve">noted that the incremental clinical and economic effectiveness of niraparib was unable to be assessed as the evidence presented in the </w:t>
      </w:r>
      <w:r w:rsidR="00B1614A" w:rsidRPr="00B07FB9">
        <w:rPr>
          <w:bCs/>
        </w:rPr>
        <w:t xml:space="preserve">original </w:t>
      </w:r>
      <w:r w:rsidRPr="00B07FB9">
        <w:rPr>
          <w:bCs/>
        </w:rPr>
        <w:t xml:space="preserve">submission did not include the relevant comparator for patients with BRCA1/2 pathogenic gene variants who would </w:t>
      </w:r>
      <w:r w:rsidR="00E21E38" w:rsidRPr="00B07FB9">
        <w:rPr>
          <w:bCs/>
        </w:rPr>
        <w:t xml:space="preserve">usually </w:t>
      </w:r>
      <w:r w:rsidRPr="00B07FB9">
        <w:rPr>
          <w:bCs/>
        </w:rPr>
        <w:t xml:space="preserve">be treated with </w:t>
      </w:r>
      <w:proofErr w:type="spellStart"/>
      <w:r w:rsidRPr="00B07FB9">
        <w:rPr>
          <w:bCs/>
        </w:rPr>
        <w:t>olaparib</w:t>
      </w:r>
      <w:proofErr w:type="spellEnd"/>
      <w:r w:rsidRPr="00B07FB9">
        <w:rPr>
          <w:bCs/>
        </w:rPr>
        <w:t>, or for patients who would otherwise be treated with bevacizumab (</w:t>
      </w:r>
      <w:r w:rsidR="00875B8A" w:rsidRPr="00B07FB9">
        <w:rPr>
          <w:bCs/>
        </w:rPr>
        <w:t>P</w:t>
      </w:r>
      <w:r w:rsidRPr="00B07FB9">
        <w:rPr>
          <w:bCs/>
        </w:rPr>
        <w:t>ara</w:t>
      </w:r>
      <w:r w:rsidR="00875B8A" w:rsidRPr="00B07FB9">
        <w:rPr>
          <w:bCs/>
        </w:rPr>
        <w:t>graph</w:t>
      </w:r>
      <w:r w:rsidRPr="00B07FB9">
        <w:rPr>
          <w:bCs/>
        </w:rPr>
        <w:t xml:space="preserve"> 7.1, </w:t>
      </w:r>
      <w:r w:rsidR="00875B8A" w:rsidRPr="00B07FB9">
        <w:rPr>
          <w:bCs/>
        </w:rPr>
        <w:t>N</w:t>
      </w:r>
      <w:r w:rsidRPr="00B07FB9">
        <w:rPr>
          <w:bCs/>
        </w:rPr>
        <w:t xml:space="preserve">iraparib </w:t>
      </w:r>
      <w:r w:rsidRPr="00B07FB9">
        <w:t>Public Summary Document (</w:t>
      </w:r>
      <w:r w:rsidRPr="00B07FB9">
        <w:rPr>
          <w:bCs/>
        </w:rPr>
        <w:t>PSD), July 2021 PBAC meeting).</w:t>
      </w:r>
    </w:p>
    <w:p w14:paraId="0677A921" w14:textId="63088892" w:rsidR="001B4E9C" w:rsidRPr="00B07FB9" w:rsidRDefault="001B4E9C" w:rsidP="000C6F49">
      <w:pPr>
        <w:pStyle w:val="3-BodyText"/>
        <w:widowControl w:val="0"/>
      </w:pPr>
      <w:r w:rsidRPr="00B07FB9">
        <w:t>The updated analyses by BRCA status in the resubmission were consistent with the nominated comparators for these populations and in line with the advice from the PBAC (Para</w:t>
      </w:r>
      <w:r w:rsidR="00875B8A" w:rsidRPr="00B07FB9">
        <w:t>graph</w:t>
      </w:r>
      <w:r w:rsidRPr="00B07FB9">
        <w:t xml:space="preserve"> 7.17, </w:t>
      </w:r>
      <w:r w:rsidR="00875B8A" w:rsidRPr="00B07FB9">
        <w:t>N</w:t>
      </w:r>
      <w:r w:rsidRPr="00B07FB9">
        <w:t>iraparib PSD, July 2021 PBAC meeting). The key components of the clinical issue addressed by the resubmission are summarised below.</w:t>
      </w:r>
    </w:p>
    <w:p w14:paraId="379FFC3A" w14:textId="70F44399" w:rsidR="001B4E9C" w:rsidRPr="00B07FB9" w:rsidRDefault="001B4E9C" w:rsidP="00D564E8">
      <w:pPr>
        <w:pStyle w:val="TableFigureHeading"/>
        <w:keepLines/>
        <w:widowControl w:val="0"/>
        <w:rPr>
          <w:rStyle w:val="CommentReference"/>
          <w:b/>
          <w:szCs w:val="24"/>
        </w:rPr>
      </w:pPr>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1</w:t>
      </w:r>
      <w:r w:rsidR="00385E8C">
        <w:fldChar w:fldCharType="end"/>
      </w:r>
      <w:r w:rsidRPr="00B07FB9">
        <w:t xml:space="preserve">: </w:t>
      </w:r>
      <w:r w:rsidRPr="00B07FB9">
        <w:rPr>
          <w:rStyle w:val="CommentReference"/>
          <w:b/>
          <w:szCs w:val="24"/>
        </w:rPr>
        <w:t>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643"/>
        <w:gridCol w:w="7374"/>
      </w:tblGrid>
      <w:tr w:rsidR="001B4E9C" w:rsidRPr="00B07FB9" w14:paraId="35EBE166" w14:textId="77777777" w:rsidTr="002122F4">
        <w:tc>
          <w:tcPr>
            <w:tcW w:w="911" w:type="pct"/>
            <w:vAlign w:val="center"/>
          </w:tcPr>
          <w:p w14:paraId="0F9C217A" w14:textId="77777777" w:rsidR="001B4E9C" w:rsidRPr="00B07FB9" w:rsidRDefault="001B4E9C" w:rsidP="00D564E8">
            <w:pPr>
              <w:pStyle w:val="In-tableHeading"/>
              <w:keepLines/>
              <w:widowControl w:val="0"/>
              <w:rPr>
                <w:lang w:val="en-AU"/>
              </w:rPr>
            </w:pPr>
            <w:r w:rsidRPr="00B07FB9">
              <w:rPr>
                <w:lang w:val="en-AU"/>
              </w:rPr>
              <w:t>Component</w:t>
            </w:r>
          </w:p>
        </w:tc>
        <w:tc>
          <w:tcPr>
            <w:tcW w:w="4089" w:type="pct"/>
            <w:vAlign w:val="center"/>
          </w:tcPr>
          <w:p w14:paraId="73BD0814" w14:textId="77777777" w:rsidR="001B4E9C" w:rsidRPr="00B07FB9" w:rsidRDefault="001B4E9C" w:rsidP="00D564E8">
            <w:pPr>
              <w:pStyle w:val="In-tableHeading"/>
              <w:keepLines/>
              <w:widowControl w:val="0"/>
              <w:rPr>
                <w:lang w:val="en-AU"/>
              </w:rPr>
            </w:pPr>
            <w:r w:rsidRPr="00B07FB9">
              <w:rPr>
                <w:lang w:val="en-AU"/>
              </w:rPr>
              <w:t>Description</w:t>
            </w:r>
          </w:p>
        </w:tc>
      </w:tr>
      <w:tr w:rsidR="001B4E9C" w:rsidRPr="00B07FB9" w14:paraId="69EDF44D" w14:textId="77777777" w:rsidTr="002122F4">
        <w:tc>
          <w:tcPr>
            <w:tcW w:w="911" w:type="pct"/>
            <w:vAlign w:val="center"/>
          </w:tcPr>
          <w:p w14:paraId="3532E2E4" w14:textId="77777777" w:rsidR="001B4E9C" w:rsidRPr="00B07FB9" w:rsidRDefault="001B4E9C" w:rsidP="00D564E8">
            <w:pPr>
              <w:pStyle w:val="TableText0"/>
              <w:keepLines/>
              <w:widowControl w:val="0"/>
            </w:pPr>
            <w:r w:rsidRPr="00B07FB9">
              <w:t>Population</w:t>
            </w:r>
          </w:p>
        </w:tc>
        <w:tc>
          <w:tcPr>
            <w:tcW w:w="4089" w:type="pct"/>
          </w:tcPr>
          <w:p w14:paraId="7C3720B0" w14:textId="77777777" w:rsidR="001B4E9C" w:rsidRPr="00B07FB9" w:rsidRDefault="001B4E9C" w:rsidP="00D564E8">
            <w:pPr>
              <w:pStyle w:val="TableText0"/>
              <w:keepLines/>
              <w:widowControl w:val="0"/>
            </w:pPr>
            <w:r w:rsidRPr="00B07FB9">
              <w:t>Patients with NDA (FIGO stage III-IV) HGEOC who are in response (CR/PR) to PBC</w:t>
            </w:r>
          </w:p>
        </w:tc>
      </w:tr>
      <w:tr w:rsidR="001B4E9C" w:rsidRPr="00B07FB9" w14:paraId="0AC84629" w14:textId="77777777" w:rsidTr="002122F4">
        <w:tc>
          <w:tcPr>
            <w:tcW w:w="911" w:type="pct"/>
            <w:vAlign w:val="center"/>
          </w:tcPr>
          <w:p w14:paraId="68C20B42" w14:textId="77777777" w:rsidR="001B4E9C" w:rsidRPr="00B07FB9" w:rsidRDefault="001B4E9C" w:rsidP="00D564E8">
            <w:pPr>
              <w:pStyle w:val="TableText0"/>
              <w:keepLines/>
              <w:widowControl w:val="0"/>
            </w:pPr>
            <w:r w:rsidRPr="00B07FB9">
              <w:t>Intervention</w:t>
            </w:r>
          </w:p>
        </w:tc>
        <w:tc>
          <w:tcPr>
            <w:tcW w:w="4089" w:type="pct"/>
          </w:tcPr>
          <w:p w14:paraId="7736C248" w14:textId="77777777" w:rsidR="001B4E9C" w:rsidRPr="00B07FB9" w:rsidRDefault="001B4E9C" w:rsidP="00D564E8">
            <w:pPr>
              <w:pStyle w:val="TableText0"/>
              <w:keepLines/>
              <w:widowControl w:val="0"/>
            </w:pPr>
            <w:r w:rsidRPr="00B07FB9">
              <w:t>Niraparib</w:t>
            </w:r>
          </w:p>
        </w:tc>
      </w:tr>
      <w:tr w:rsidR="001B4E9C" w:rsidRPr="00B07FB9" w14:paraId="1710BBEC" w14:textId="77777777" w:rsidTr="002122F4">
        <w:tc>
          <w:tcPr>
            <w:tcW w:w="911" w:type="pct"/>
            <w:vAlign w:val="center"/>
          </w:tcPr>
          <w:p w14:paraId="40384C11" w14:textId="77777777" w:rsidR="001B4E9C" w:rsidRPr="00B07FB9" w:rsidRDefault="001B4E9C" w:rsidP="00D564E8">
            <w:pPr>
              <w:pStyle w:val="TableText0"/>
              <w:keepLines/>
              <w:widowControl w:val="0"/>
            </w:pPr>
            <w:r w:rsidRPr="00B07FB9">
              <w:t>Comparator</w:t>
            </w:r>
          </w:p>
        </w:tc>
        <w:tc>
          <w:tcPr>
            <w:tcW w:w="4089" w:type="pct"/>
          </w:tcPr>
          <w:p w14:paraId="4ACAF25B" w14:textId="77777777" w:rsidR="001B4E9C" w:rsidRPr="00B07FB9" w:rsidRDefault="001B4E9C" w:rsidP="00D564E8">
            <w:pPr>
              <w:pStyle w:val="TableText0"/>
              <w:keepLines/>
              <w:widowControl w:val="0"/>
            </w:pPr>
            <w:r w:rsidRPr="00B07FB9">
              <w:t xml:space="preserve">Primary treatment with chemotherapy only: </w:t>
            </w:r>
          </w:p>
          <w:p w14:paraId="66C06027" w14:textId="77777777" w:rsidR="001B4E9C" w:rsidRPr="00B07FB9" w:rsidRDefault="001B4E9C" w:rsidP="00D564E8">
            <w:pPr>
              <w:pStyle w:val="TableText0"/>
              <w:keepLines/>
              <w:widowControl w:val="0"/>
              <w:ind w:left="203"/>
            </w:pPr>
            <w:proofErr w:type="spellStart"/>
            <w:r w:rsidRPr="00B07FB9">
              <w:t>BRCAm</w:t>
            </w:r>
            <w:proofErr w:type="spellEnd"/>
            <w:r w:rsidRPr="00B07FB9">
              <w:t>: Olaparib</w:t>
            </w:r>
          </w:p>
          <w:p w14:paraId="7D35A2DD" w14:textId="54C6D599" w:rsidR="001B4E9C" w:rsidRPr="00B07FB9" w:rsidRDefault="001B4E9C" w:rsidP="00D564E8">
            <w:pPr>
              <w:pStyle w:val="TableText0"/>
              <w:keepLines/>
              <w:widowControl w:val="0"/>
              <w:ind w:left="203"/>
            </w:pPr>
            <w:r w:rsidRPr="00B07FB9">
              <w:t>Non-</w:t>
            </w:r>
            <w:proofErr w:type="spellStart"/>
            <w:r w:rsidRPr="00B07FB9">
              <w:t>BRCAm</w:t>
            </w:r>
            <w:proofErr w:type="spellEnd"/>
            <w:r w:rsidRPr="00B07FB9">
              <w:t xml:space="preserve">: no active treatment (also referred </w:t>
            </w:r>
            <w:r w:rsidR="00AF53D7" w:rsidRPr="00B07FB9">
              <w:t xml:space="preserve">to </w:t>
            </w:r>
            <w:r w:rsidRPr="00B07FB9">
              <w:t>as SMM)</w:t>
            </w:r>
          </w:p>
          <w:p w14:paraId="0DB5EB4E" w14:textId="238E4B17" w:rsidR="001B4E9C" w:rsidRPr="00B07FB9" w:rsidRDefault="001B4E9C" w:rsidP="00D564E8">
            <w:pPr>
              <w:pStyle w:val="TableText0"/>
              <w:keepLines/>
              <w:widowControl w:val="0"/>
              <w:rPr>
                <w:vertAlign w:val="superscript"/>
              </w:rPr>
            </w:pPr>
            <w:r w:rsidRPr="00B07FB9">
              <w:t xml:space="preserve">Qualitative comparator: </w:t>
            </w:r>
            <w:proofErr w:type="spellStart"/>
            <w:r w:rsidRPr="00B07FB9">
              <w:t>bevacizumab</w:t>
            </w:r>
            <w:r w:rsidR="00FF1063" w:rsidRPr="00B07FB9">
              <w:rPr>
                <w:vertAlign w:val="superscript"/>
              </w:rPr>
              <w:t>a</w:t>
            </w:r>
            <w:proofErr w:type="spellEnd"/>
          </w:p>
        </w:tc>
      </w:tr>
      <w:tr w:rsidR="001B4E9C" w:rsidRPr="00B07FB9" w14:paraId="03B6B716" w14:textId="77777777" w:rsidTr="002122F4">
        <w:tc>
          <w:tcPr>
            <w:tcW w:w="911" w:type="pct"/>
            <w:vAlign w:val="center"/>
          </w:tcPr>
          <w:p w14:paraId="78060321" w14:textId="77777777" w:rsidR="001B4E9C" w:rsidRPr="00B07FB9" w:rsidRDefault="001B4E9C" w:rsidP="00D564E8">
            <w:pPr>
              <w:pStyle w:val="TableText0"/>
              <w:keepLines/>
              <w:widowControl w:val="0"/>
            </w:pPr>
            <w:r w:rsidRPr="00B07FB9">
              <w:t>Outcomes</w:t>
            </w:r>
          </w:p>
        </w:tc>
        <w:tc>
          <w:tcPr>
            <w:tcW w:w="4089" w:type="pct"/>
            <w:vAlign w:val="center"/>
          </w:tcPr>
          <w:p w14:paraId="19B3043F" w14:textId="77777777" w:rsidR="001B4E9C" w:rsidRPr="00B07FB9" w:rsidRDefault="001B4E9C" w:rsidP="00D564E8">
            <w:pPr>
              <w:pStyle w:val="TableText0"/>
              <w:keepLines/>
              <w:widowControl w:val="0"/>
            </w:pPr>
            <w:r w:rsidRPr="00B07FB9">
              <w:t>PFS, OS, TFST, Safety</w:t>
            </w:r>
          </w:p>
        </w:tc>
      </w:tr>
      <w:tr w:rsidR="001B4E9C" w:rsidRPr="00B07FB9" w14:paraId="2F6D0AEA" w14:textId="77777777" w:rsidTr="002122F4">
        <w:tc>
          <w:tcPr>
            <w:tcW w:w="911" w:type="pct"/>
            <w:vAlign w:val="center"/>
          </w:tcPr>
          <w:p w14:paraId="139A8470" w14:textId="1397F7FB" w:rsidR="001B4E9C" w:rsidRPr="00B07FB9" w:rsidRDefault="001B4E9C" w:rsidP="00D564E8">
            <w:pPr>
              <w:pStyle w:val="TableText0"/>
              <w:keepLines/>
              <w:widowControl w:val="0"/>
              <w:rPr>
                <w:vertAlign w:val="superscript"/>
              </w:rPr>
            </w:pPr>
            <w:r w:rsidRPr="00B07FB9">
              <w:t>Clinical claim</w:t>
            </w:r>
          </w:p>
        </w:tc>
        <w:tc>
          <w:tcPr>
            <w:tcW w:w="4089" w:type="pct"/>
            <w:vAlign w:val="center"/>
          </w:tcPr>
          <w:p w14:paraId="29D76E11" w14:textId="77777777" w:rsidR="001B4E9C" w:rsidRPr="00B07FB9" w:rsidRDefault="001B4E9C" w:rsidP="00D564E8">
            <w:pPr>
              <w:pStyle w:val="TableText0"/>
              <w:keepLines/>
              <w:widowControl w:val="0"/>
            </w:pPr>
            <w:r w:rsidRPr="00B07FB9">
              <w:t>Non-</w:t>
            </w:r>
            <w:proofErr w:type="spellStart"/>
            <w:r w:rsidRPr="00B07FB9">
              <w:t>BRCAm</w:t>
            </w:r>
            <w:proofErr w:type="spellEnd"/>
            <w:r w:rsidRPr="00B07FB9">
              <w:t xml:space="preserve">: Niraparib is superior in terms of effectiveness for PFS in comparison to no active treatment. Niraparib is inferior to no active treatment with respect to safety. </w:t>
            </w:r>
          </w:p>
          <w:p w14:paraId="48A6508D" w14:textId="77777777" w:rsidR="001B4E9C" w:rsidRPr="00B07FB9" w:rsidRDefault="001B4E9C" w:rsidP="00D564E8">
            <w:pPr>
              <w:pStyle w:val="TableText0"/>
              <w:keepLines/>
              <w:widowControl w:val="0"/>
            </w:pPr>
            <w:proofErr w:type="spellStart"/>
            <w:r w:rsidRPr="00B07FB9">
              <w:t>BRCAm</w:t>
            </w:r>
            <w:proofErr w:type="spellEnd"/>
            <w:r w:rsidRPr="00B07FB9">
              <w:t xml:space="preserve">: Niraparib is non-inferior in terms of effectiveness for PFS in comparison to </w:t>
            </w:r>
            <w:proofErr w:type="spellStart"/>
            <w:r w:rsidRPr="00B07FB9">
              <w:t>olaparib</w:t>
            </w:r>
            <w:proofErr w:type="spellEnd"/>
            <w:r w:rsidRPr="00B07FB9">
              <w:t xml:space="preserve">.  Niraparib has comparable safety to </w:t>
            </w:r>
            <w:proofErr w:type="spellStart"/>
            <w:r w:rsidRPr="00B07FB9">
              <w:t>olaparib</w:t>
            </w:r>
            <w:proofErr w:type="spellEnd"/>
            <w:r w:rsidRPr="00B07FB9">
              <w:t xml:space="preserve">, with no difference in clinically significant SAEs or treatment discontinuations due to </w:t>
            </w:r>
            <w:proofErr w:type="spellStart"/>
            <w:r w:rsidRPr="00B07FB9">
              <w:t>TEAEs</w:t>
            </w:r>
            <w:r w:rsidRPr="00B07FB9">
              <w:rPr>
                <w:vertAlign w:val="superscript"/>
              </w:rPr>
              <w:t>b</w:t>
            </w:r>
            <w:proofErr w:type="spellEnd"/>
            <w:r w:rsidRPr="00B07FB9">
              <w:t>.</w:t>
            </w:r>
          </w:p>
        </w:tc>
      </w:tr>
    </w:tbl>
    <w:p w14:paraId="054876BF" w14:textId="77777777" w:rsidR="001B4E9C" w:rsidRPr="00B07FB9" w:rsidRDefault="001B4E9C" w:rsidP="000C6F49">
      <w:pPr>
        <w:pStyle w:val="TableFigureFooter"/>
        <w:widowControl w:val="0"/>
      </w:pPr>
      <w:r w:rsidRPr="00B07FB9">
        <w:t xml:space="preserve">Source: Table 3, p21 of the main resubmission. </w:t>
      </w:r>
    </w:p>
    <w:p w14:paraId="480038A8" w14:textId="77777777" w:rsidR="001B4E9C" w:rsidRPr="00B07FB9" w:rsidRDefault="001B4E9C" w:rsidP="000C6F49">
      <w:pPr>
        <w:pStyle w:val="TableFigureFooter"/>
        <w:widowControl w:val="0"/>
      </w:pPr>
      <w:r w:rsidRPr="00B07FB9">
        <w:t xml:space="preserve">AEs = adverse events; </w:t>
      </w:r>
      <w:proofErr w:type="spellStart"/>
      <w:r w:rsidRPr="00B07FB9">
        <w:t>BRCAm</w:t>
      </w:r>
      <w:proofErr w:type="spellEnd"/>
      <w:r w:rsidRPr="00B07FB9">
        <w:t xml:space="preserve"> = BRCA gene mutation; CR = complete response; FIGO = International Federation of Gynaecology and Obstetrics; HGEOC = high grade epithelial ovarian cancer; NDA = newly diagnosed advanced; PBC = platinum-based chemotherapy; PFS = progression-free survival; PR = partial response; OS = overall survival; SAEs = serious adverse events; SMM = standard medical management; TEAEs = treatment-emergent adverse events; TFST = time to first subsequent treatment.</w:t>
      </w:r>
    </w:p>
    <w:p w14:paraId="4B8A5282" w14:textId="77777777" w:rsidR="001B4E9C" w:rsidRPr="00B07FB9" w:rsidRDefault="001B4E9C" w:rsidP="000C6F49">
      <w:pPr>
        <w:pStyle w:val="TableFigureFooter"/>
        <w:widowControl w:val="0"/>
      </w:pPr>
      <w:r w:rsidRPr="00B07FB9">
        <w:rPr>
          <w:vertAlign w:val="superscript"/>
        </w:rPr>
        <w:t xml:space="preserve">a </w:t>
      </w:r>
      <w:r w:rsidRPr="00B07FB9">
        <w:t>No clinical claim was made in the resubmission regarding niraparib vs. bevacizumab.</w:t>
      </w:r>
    </w:p>
    <w:p w14:paraId="148C1806" w14:textId="77777777" w:rsidR="001B4E9C" w:rsidRPr="00B07FB9" w:rsidRDefault="001B4E9C" w:rsidP="000C6F49">
      <w:pPr>
        <w:pStyle w:val="TableFigureFooter"/>
        <w:widowControl w:val="0"/>
      </w:pPr>
      <w:r w:rsidRPr="00B07FB9">
        <w:rPr>
          <w:vertAlign w:val="superscript"/>
        </w:rPr>
        <w:t xml:space="preserve">b </w:t>
      </w:r>
      <w:r w:rsidRPr="00B07FB9">
        <w:t xml:space="preserve">Differences in event rates for key AEs are accounted for in the cost-minimisation analysis. </w:t>
      </w:r>
    </w:p>
    <w:p w14:paraId="5D826D01" w14:textId="77777777" w:rsidR="001B4E9C" w:rsidRPr="00B07FB9" w:rsidRDefault="001B4E9C" w:rsidP="000C6F49">
      <w:pPr>
        <w:pStyle w:val="2-SectionHeading"/>
        <w:keepNext w:val="0"/>
        <w:widowControl w:val="0"/>
        <w:numPr>
          <w:ilvl w:val="0"/>
          <w:numId w:val="1"/>
        </w:numPr>
      </w:pPr>
      <w:bookmarkStart w:id="3" w:name="_Toc93404178"/>
      <w:r w:rsidRPr="00B07FB9">
        <w:t>Background</w:t>
      </w:r>
      <w:bookmarkEnd w:id="3"/>
    </w:p>
    <w:p w14:paraId="6F9C9C7F" w14:textId="77777777" w:rsidR="001B4E9C" w:rsidRPr="00B07FB9" w:rsidRDefault="001B4E9C" w:rsidP="000C6F49">
      <w:pPr>
        <w:pStyle w:val="4-SubsectionHeading"/>
        <w:keepNext w:val="0"/>
        <w:widowControl w:val="0"/>
      </w:pPr>
      <w:bookmarkStart w:id="4" w:name="_Toc22897638"/>
      <w:bookmarkStart w:id="5" w:name="_Toc93404179"/>
      <w:r w:rsidRPr="00B07FB9">
        <w:t>Registration status</w:t>
      </w:r>
      <w:bookmarkEnd w:id="4"/>
      <w:bookmarkEnd w:id="5"/>
    </w:p>
    <w:p w14:paraId="662CABDF" w14:textId="45B89B5F" w:rsidR="001B4E9C" w:rsidRPr="00B07FB9" w:rsidRDefault="001B4E9C" w:rsidP="000C6F49">
      <w:pPr>
        <w:pStyle w:val="3-BodyText"/>
        <w:widowControl w:val="0"/>
      </w:pPr>
      <w:r w:rsidRPr="00B07FB9">
        <w:t xml:space="preserve">During the evaluation of the resubmission, niraparib as maintenance therapy in the first-line setting was approved by the TGA. The approved indication </w:t>
      </w:r>
      <w:r w:rsidR="00E21E38" w:rsidRPr="00B07FB9">
        <w:t>for nirap</w:t>
      </w:r>
      <w:r w:rsidR="005C06BE" w:rsidRPr="00B07FB9">
        <w:t>a</w:t>
      </w:r>
      <w:r w:rsidR="00E21E38" w:rsidRPr="00B07FB9">
        <w:t xml:space="preserve">rib </w:t>
      </w:r>
      <w:r w:rsidRPr="00B07FB9">
        <w:t>is:</w:t>
      </w:r>
    </w:p>
    <w:p w14:paraId="5ACA6E0A" w14:textId="77777777" w:rsidR="001B4E9C" w:rsidRPr="00B07FB9" w:rsidRDefault="001B4E9C" w:rsidP="000C6F49">
      <w:pPr>
        <w:pStyle w:val="3-BodyText"/>
        <w:widowControl w:val="0"/>
        <w:numPr>
          <w:ilvl w:val="0"/>
          <w:numId w:val="0"/>
        </w:numPr>
        <w:ind w:left="1134"/>
      </w:pPr>
      <w:r w:rsidRPr="00B07FB9">
        <w:t>For the maintenance treatment of adult patients with advanced high-grade ovarian, fallopian tube or primary peritoneal cancer who are in response (complete or partial) following completion of first-line platinum-based chemotherapy.</w:t>
      </w:r>
    </w:p>
    <w:p w14:paraId="22EC6248" w14:textId="440FAE8E" w:rsidR="001B4E9C" w:rsidRPr="00B07FB9" w:rsidRDefault="001B4E9C" w:rsidP="000C6F49">
      <w:pPr>
        <w:pStyle w:val="3-BodyText"/>
        <w:widowControl w:val="0"/>
      </w:pPr>
      <w:r w:rsidRPr="00B07FB9">
        <w:t xml:space="preserve">Of note, in the final </w:t>
      </w:r>
      <w:r w:rsidR="004C3CCB">
        <w:t xml:space="preserve">TGA </w:t>
      </w:r>
      <w:r w:rsidRPr="00B07FB9">
        <w:t>Delegate’s overview, the Delegate proposed to impose the following additional condition of registration: submit the final analysis for OS and updated analyses for time to first subsequent therapy (TFST), PFS-2</w:t>
      </w:r>
      <w:r w:rsidRPr="00B07FB9">
        <w:rPr>
          <w:vertAlign w:val="superscript"/>
        </w:rPr>
        <w:footnoteReference w:id="2"/>
      </w:r>
      <w:r w:rsidRPr="00B07FB9">
        <w:t xml:space="preserve"> and outcomes for next anticancer therapy from the PRIMA study for evaluation</w:t>
      </w:r>
      <w:r w:rsidR="004C3CCB">
        <w:t>.</w:t>
      </w:r>
      <w:r w:rsidRPr="00B07FB9">
        <w:t xml:space="preserve"> </w:t>
      </w:r>
      <w:r w:rsidR="00A15FF7" w:rsidRPr="00B07FB9">
        <w:t xml:space="preserve">These recommendations were adopted as conditions of registration (TGA Approval letter dated 17 November 2021).  </w:t>
      </w:r>
    </w:p>
    <w:p w14:paraId="6183262B" w14:textId="1926CE65" w:rsidR="001B4E9C" w:rsidRPr="00B07FB9" w:rsidRDefault="001B4E9C" w:rsidP="000C6F49">
      <w:pPr>
        <w:pStyle w:val="3-BodyText"/>
        <w:widowControl w:val="0"/>
      </w:pPr>
      <w:r w:rsidRPr="00B07FB9">
        <w:t xml:space="preserve">Niraparib is also TGA approved as a monotherapy maintenance treatment of adult patients with platinum-sensitive </w:t>
      </w:r>
      <w:r w:rsidRPr="00B07FB9">
        <w:rPr>
          <w:u w:val="single"/>
        </w:rPr>
        <w:t>relapsed</w:t>
      </w:r>
      <w:r w:rsidRPr="00B07FB9">
        <w:t xml:space="preserve"> high-grade serous epithelial ovarian, fallopian tube, or primary peritoneal cancer who are in response (complete or partial) to platinum-based chemotherapy.</w:t>
      </w:r>
    </w:p>
    <w:p w14:paraId="7F5C1A6E" w14:textId="77777777" w:rsidR="001B4E9C" w:rsidRPr="00B07FB9" w:rsidRDefault="001B4E9C" w:rsidP="00BF07BF">
      <w:pPr>
        <w:pStyle w:val="4-SubsectionHeading"/>
        <w:widowControl w:val="0"/>
      </w:pPr>
      <w:bookmarkStart w:id="6" w:name="_Toc22897639"/>
      <w:bookmarkStart w:id="7" w:name="_Toc93404180"/>
      <w:r w:rsidRPr="00B07FB9">
        <w:t>Previous PBAC consideration</w:t>
      </w:r>
      <w:bookmarkEnd w:id="6"/>
      <w:bookmarkEnd w:id="7"/>
    </w:p>
    <w:p w14:paraId="0B6EF3DD" w14:textId="616C6FE3" w:rsidR="001B4E9C" w:rsidRPr="00B07FB9" w:rsidRDefault="001B4E9C" w:rsidP="000C6F49">
      <w:pPr>
        <w:pStyle w:val="3-BodyText"/>
        <w:widowControl w:val="0"/>
      </w:pPr>
      <w:r w:rsidRPr="00B07FB9">
        <w:t xml:space="preserve">The previous submission was considered by the PBAC in July 2021 and the key matters </w:t>
      </w:r>
      <w:r w:rsidRPr="00B07FB9">
        <w:lastRenderedPageBreak/>
        <w:t>of concern are summarised below.</w:t>
      </w:r>
    </w:p>
    <w:p w14:paraId="3A8E092D" w14:textId="76081A4B" w:rsidR="001B4E9C" w:rsidRPr="00B07FB9" w:rsidRDefault="00BA1002" w:rsidP="000C6F49">
      <w:pPr>
        <w:pStyle w:val="TableFigureHeading"/>
        <w:keepNext w:val="0"/>
        <w:widowControl w:val="0"/>
      </w:pPr>
      <w:r w:rsidRPr="00B07FB9">
        <w:t xml:space="preserve">Table </w:t>
      </w:r>
      <w:r w:rsidR="00385E8C">
        <w:fldChar w:fldCharType="begin"/>
      </w:r>
      <w:r w:rsidR="00385E8C">
        <w:instrText xml:space="preserve"> SEQ Table \* ARABIC </w:instrText>
      </w:r>
      <w:r w:rsidR="00385E8C">
        <w:fldChar w:fldCharType="separate"/>
      </w:r>
      <w:r w:rsidR="00385E8C">
        <w:rPr>
          <w:noProof/>
        </w:rPr>
        <w:t>2</w:t>
      </w:r>
      <w:r w:rsidR="00385E8C">
        <w:fldChar w:fldCharType="end"/>
      </w:r>
      <w:r w:rsidRPr="00B07FB9">
        <w:t xml:space="preserve">: </w:t>
      </w:r>
      <w:r w:rsidR="001B4E9C" w:rsidRPr="00B07FB9">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Table 2: Summary of key matters of concern"/>
      </w:tblPr>
      <w:tblGrid>
        <w:gridCol w:w="1201"/>
        <w:gridCol w:w="3894"/>
        <w:gridCol w:w="3922"/>
      </w:tblGrid>
      <w:tr w:rsidR="00011D8D" w:rsidRPr="00B07FB9" w14:paraId="7980DE03" w14:textId="77777777" w:rsidTr="00F727C4">
        <w:trPr>
          <w:tblHeader/>
        </w:trPr>
        <w:tc>
          <w:tcPr>
            <w:tcW w:w="666" w:type="pct"/>
            <w:vAlign w:val="center"/>
          </w:tcPr>
          <w:p w14:paraId="7602DD69" w14:textId="77777777" w:rsidR="001B4E9C" w:rsidRPr="00B07FB9" w:rsidRDefault="001B4E9C" w:rsidP="000C6F49">
            <w:pPr>
              <w:pStyle w:val="In-tableHeading"/>
              <w:keepNext w:val="0"/>
              <w:widowControl w:val="0"/>
              <w:rPr>
                <w:lang w:val="en-AU"/>
              </w:rPr>
            </w:pPr>
            <w:r w:rsidRPr="00B07FB9">
              <w:rPr>
                <w:lang w:val="en-AU"/>
              </w:rPr>
              <w:t>Component</w:t>
            </w:r>
          </w:p>
        </w:tc>
        <w:tc>
          <w:tcPr>
            <w:tcW w:w="2159" w:type="pct"/>
            <w:vAlign w:val="center"/>
          </w:tcPr>
          <w:p w14:paraId="66F4EBB8" w14:textId="789CA856" w:rsidR="001B4E9C" w:rsidRPr="00B07FB9" w:rsidRDefault="001B4E9C" w:rsidP="000C6F49">
            <w:pPr>
              <w:pStyle w:val="In-tableHeading"/>
              <w:keepNext w:val="0"/>
              <w:widowControl w:val="0"/>
              <w:rPr>
                <w:lang w:val="en-AU"/>
              </w:rPr>
            </w:pPr>
            <w:r w:rsidRPr="00B07FB9">
              <w:rPr>
                <w:lang w:val="en-AU"/>
              </w:rPr>
              <w:t>Matter of concern</w:t>
            </w:r>
            <w:r w:rsidR="00BA1002" w:rsidRPr="00B07FB9">
              <w:rPr>
                <w:lang w:val="en-AU"/>
              </w:rPr>
              <w:t xml:space="preserve"> (niraparib PSD, July 2021 PBAC meeting)</w:t>
            </w:r>
          </w:p>
        </w:tc>
        <w:tc>
          <w:tcPr>
            <w:tcW w:w="2175" w:type="pct"/>
            <w:vAlign w:val="center"/>
          </w:tcPr>
          <w:p w14:paraId="5D03E54F" w14:textId="77777777" w:rsidR="001B4E9C" w:rsidRPr="00B07FB9" w:rsidRDefault="001B4E9C" w:rsidP="000C6F49">
            <w:pPr>
              <w:pStyle w:val="In-tableHeading"/>
              <w:keepNext w:val="0"/>
              <w:widowControl w:val="0"/>
              <w:rPr>
                <w:lang w:val="en-AU"/>
              </w:rPr>
            </w:pPr>
            <w:r w:rsidRPr="00B07FB9">
              <w:rPr>
                <w:lang w:val="en-AU"/>
              </w:rPr>
              <w:t>How the resubmission addresses it</w:t>
            </w:r>
          </w:p>
        </w:tc>
      </w:tr>
      <w:tr w:rsidR="004B35FD" w:rsidRPr="00B07FB9" w14:paraId="074D5353" w14:textId="77777777" w:rsidTr="00F727C4">
        <w:tc>
          <w:tcPr>
            <w:tcW w:w="5000" w:type="pct"/>
            <w:gridSpan w:val="3"/>
          </w:tcPr>
          <w:p w14:paraId="46C82557" w14:textId="2E34E9B4" w:rsidR="004B35FD" w:rsidRPr="00B07FB9" w:rsidRDefault="004B35FD" w:rsidP="000C6F49">
            <w:pPr>
              <w:pStyle w:val="TableText0"/>
              <w:keepNext w:val="0"/>
              <w:widowControl w:val="0"/>
              <w:rPr>
                <w:b/>
              </w:rPr>
            </w:pPr>
            <w:r w:rsidRPr="00B07FB9">
              <w:rPr>
                <w:b/>
              </w:rPr>
              <w:t>Clinical</w:t>
            </w:r>
          </w:p>
        </w:tc>
      </w:tr>
      <w:tr w:rsidR="007F062F" w:rsidRPr="00B07FB9" w14:paraId="766B7EB0" w14:textId="77777777" w:rsidTr="00F727C4">
        <w:tc>
          <w:tcPr>
            <w:tcW w:w="666" w:type="pct"/>
          </w:tcPr>
          <w:p w14:paraId="0F95305B" w14:textId="77777777" w:rsidR="007F062F" w:rsidRPr="00B07FB9" w:rsidRDefault="007F062F" w:rsidP="000C6F49">
            <w:pPr>
              <w:pStyle w:val="TableText0"/>
              <w:keepNext w:val="0"/>
              <w:widowControl w:val="0"/>
            </w:pPr>
            <w:r w:rsidRPr="00B07FB9">
              <w:t>Evidentiary basis</w:t>
            </w:r>
          </w:p>
        </w:tc>
        <w:tc>
          <w:tcPr>
            <w:tcW w:w="2159" w:type="pct"/>
          </w:tcPr>
          <w:p w14:paraId="696CD2BF" w14:textId="77777777" w:rsidR="007F062F" w:rsidRPr="00B07FB9" w:rsidRDefault="007F062F" w:rsidP="000C6F49">
            <w:pPr>
              <w:pStyle w:val="TableText0"/>
              <w:keepNext w:val="0"/>
              <w:widowControl w:val="0"/>
              <w:rPr>
                <w:rFonts w:eastAsia="Times New Roman" w:cs="Arial"/>
                <w:bCs w:val="0"/>
                <w:szCs w:val="20"/>
              </w:rPr>
            </w:pPr>
            <w:r w:rsidRPr="00B07FB9">
              <w:rPr>
                <w:rFonts w:eastAsia="Times New Roman" w:cs="Arial"/>
                <w:bCs w:val="0"/>
                <w:szCs w:val="20"/>
              </w:rPr>
              <w:t xml:space="preserve">The PBAC was unable to assess the incremental effectiveness of niraparib in </w:t>
            </w:r>
            <w:proofErr w:type="spellStart"/>
            <w:r w:rsidRPr="00B07FB9">
              <w:rPr>
                <w:rFonts w:eastAsia="Times New Roman" w:cs="Arial"/>
                <w:bCs w:val="0"/>
                <w:szCs w:val="20"/>
              </w:rPr>
              <w:t>BRCAm</w:t>
            </w:r>
            <w:proofErr w:type="spellEnd"/>
            <w:r w:rsidRPr="00B07FB9">
              <w:rPr>
                <w:rFonts w:eastAsia="Times New Roman" w:cs="Arial"/>
                <w:bCs w:val="0"/>
                <w:szCs w:val="20"/>
              </w:rPr>
              <w:t xml:space="preserve"> patients and in non-</w:t>
            </w:r>
            <w:proofErr w:type="spellStart"/>
            <w:r w:rsidRPr="00B07FB9">
              <w:rPr>
                <w:rFonts w:eastAsia="Times New Roman" w:cs="Arial"/>
                <w:bCs w:val="0"/>
                <w:szCs w:val="20"/>
              </w:rPr>
              <w:t>BRCAm</w:t>
            </w:r>
            <w:proofErr w:type="spellEnd"/>
            <w:r w:rsidRPr="00B07FB9">
              <w:rPr>
                <w:rFonts w:eastAsia="Times New Roman" w:cs="Arial"/>
                <w:bCs w:val="0"/>
                <w:szCs w:val="20"/>
              </w:rPr>
              <w:t xml:space="preserve"> patients, compared with its relevant comparators. The PBAC considered there may be differences in benefits and harms in the different patient subgroups, if niraparib is used in place of </w:t>
            </w:r>
            <w:proofErr w:type="spellStart"/>
            <w:r w:rsidRPr="00B07FB9">
              <w:rPr>
                <w:rFonts w:eastAsia="Times New Roman" w:cs="Arial"/>
                <w:bCs w:val="0"/>
                <w:szCs w:val="20"/>
              </w:rPr>
              <w:t>olaparib</w:t>
            </w:r>
            <w:proofErr w:type="spellEnd"/>
            <w:r w:rsidRPr="00B07FB9">
              <w:rPr>
                <w:rFonts w:eastAsia="Times New Roman" w:cs="Arial"/>
                <w:bCs w:val="0"/>
                <w:szCs w:val="20"/>
              </w:rPr>
              <w:t>, bevacizumab or SMM, and that these potential differences were not adequately addressed in the submission (para 7.1).</w:t>
            </w:r>
          </w:p>
          <w:p w14:paraId="0EDDD25D" w14:textId="77777777" w:rsidR="007F062F" w:rsidRPr="00B07FB9" w:rsidRDefault="007F062F" w:rsidP="000C6F49">
            <w:pPr>
              <w:pStyle w:val="TableText0"/>
              <w:keepNext w:val="0"/>
              <w:widowControl w:val="0"/>
              <w:rPr>
                <w:rFonts w:eastAsia="Times New Roman" w:cs="Arial"/>
                <w:bCs w:val="0"/>
                <w:szCs w:val="20"/>
              </w:rPr>
            </w:pPr>
            <w:r w:rsidRPr="00B07FB9">
              <w:rPr>
                <w:rFonts w:eastAsia="Times New Roman" w:cs="Arial"/>
                <w:bCs w:val="0"/>
                <w:szCs w:val="20"/>
              </w:rPr>
              <w:t xml:space="preserve">The submission did not present clinical evidence for niraparib versus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or bevacizumab in the relevant populations. Therefore, the comparative clinical effectiveness of niraparib in the proposed PBS population could not be assessed (para 7.4). </w:t>
            </w:r>
          </w:p>
        </w:tc>
        <w:tc>
          <w:tcPr>
            <w:tcW w:w="2175" w:type="pct"/>
            <w:vAlign w:val="center"/>
          </w:tcPr>
          <w:p w14:paraId="6EDBFF9E" w14:textId="6E086AAA" w:rsidR="007F062F" w:rsidRPr="00B07FB9" w:rsidRDefault="007F062F" w:rsidP="000C6F49">
            <w:pPr>
              <w:pStyle w:val="TableText0"/>
              <w:keepNext w:val="0"/>
              <w:widowControl w:val="0"/>
            </w:pPr>
            <w:r w:rsidRPr="00B07FB9">
              <w:t xml:space="preserve">Addressed by presenting separate clinical </w:t>
            </w:r>
            <w:r w:rsidR="00D271ED" w:rsidRPr="00B07FB9">
              <w:t xml:space="preserve">and economic </w:t>
            </w:r>
            <w:r w:rsidRPr="00B07FB9">
              <w:t>evaluations for niraparib:</w:t>
            </w:r>
          </w:p>
          <w:p w14:paraId="10B77840" w14:textId="77777777" w:rsidR="009965D3" w:rsidRDefault="00BD62D1" w:rsidP="003C6ACF">
            <w:pPr>
              <w:pStyle w:val="TableText0"/>
              <w:keepNext w:val="0"/>
              <w:widowControl w:val="0"/>
              <w:numPr>
                <w:ilvl w:val="0"/>
                <w:numId w:val="7"/>
              </w:numPr>
              <w:ind w:left="319" w:hanging="284"/>
            </w:pPr>
            <w:r w:rsidRPr="00B07FB9">
              <w:t xml:space="preserve">vs. </w:t>
            </w:r>
            <w:proofErr w:type="spellStart"/>
            <w:r w:rsidRPr="00B07FB9">
              <w:t>olaparib</w:t>
            </w:r>
            <w:proofErr w:type="spellEnd"/>
            <w:r w:rsidRPr="00B07FB9">
              <w:t xml:space="preserve"> in </w:t>
            </w:r>
            <w:proofErr w:type="spellStart"/>
            <w:r w:rsidRPr="00B07FB9">
              <w:t>BRCAm</w:t>
            </w:r>
            <w:proofErr w:type="spellEnd"/>
            <w:r w:rsidRPr="00B07FB9">
              <w:t xml:space="preserve"> patients, via a common reference-based ITC</w:t>
            </w:r>
            <w:r>
              <w:t>*</w:t>
            </w:r>
            <w:r w:rsidRPr="00B07FB9">
              <w:t xml:space="preserve"> of </w:t>
            </w:r>
            <w:r>
              <w:t>PRIMA (</w:t>
            </w:r>
            <w:proofErr w:type="spellStart"/>
            <w:r w:rsidRPr="00B07FB9">
              <w:t>BRCAm</w:t>
            </w:r>
            <w:proofErr w:type="spellEnd"/>
            <w:r w:rsidRPr="00B07FB9">
              <w:t xml:space="preserve"> subgroup</w:t>
            </w:r>
            <w:r>
              <w:t xml:space="preserve">, </w:t>
            </w:r>
            <w:proofErr w:type="spellStart"/>
            <w:r>
              <w:t>BRCAm</w:t>
            </w:r>
            <w:proofErr w:type="spellEnd"/>
            <w:r>
              <w:t xml:space="preserve"> and NACT-IDS subgroup)</w:t>
            </w:r>
            <w:r w:rsidRPr="00B07FB9">
              <w:t xml:space="preserve"> with SOLO-1 (overall population excluding Stage III R0 PDS subgroup, and </w:t>
            </w:r>
            <w:r w:rsidRPr="00B07FB9">
              <w:rPr>
                <w:rStyle w:val="normaltextrun"/>
                <w:rFonts w:cs="Segoe UI"/>
                <w:szCs w:val="20"/>
              </w:rPr>
              <w:t>NACT-IDS subgroup)</w:t>
            </w:r>
            <w:r w:rsidRPr="00B07FB9">
              <w:t>.</w:t>
            </w:r>
          </w:p>
          <w:p w14:paraId="1C0CA4C5" w14:textId="21929DAB" w:rsidR="007F062F" w:rsidRPr="00B07FB9" w:rsidRDefault="007F062F" w:rsidP="003C6ACF">
            <w:pPr>
              <w:pStyle w:val="TableText0"/>
              <w:keepNext w:val="0"/>
              <w:widowControl w:val="0"/>
              <w:numPr>
                <w:ilvl w:val="0"/>
                <w:numId w:val="7"/>
              </w:numPr>
              <w:ind w:left="319" w:hanging="284"/>
            </w:pPr>
            <w:r w:rsidRPr="00B07FB9">
              <w:t>vs. SMM in non-</w:t>
            </w:r>
            <w:proofErr w:type="spellStart"/>
            <w:r w:rsidRPr="00B07FB9">
              <w:t>BRCAm</w:t>
            </w:r>
            <w:proofErr w:type="spellEnd"/>
            <w:r w:rsidRPr="00B07FB9">
              <w:t xml:space="preserve"> patients using relevant subgroup analysis from PRIMA</w:t>
            </w:r>
          </w:p>
          <w:p w14:paraId="2C19D775" w14:textId="77777777" w:rsidR="007F062F" w:rsidRPr="00B07FB9" w:rsidRDefault="007F062F" w:rsidP="000C6F49">
            <w:pPr>
              <w:pStyle w:val="TableText0"/>
              <w:keepNext w:val="0"/>
              <w:widowControl w:val="0"/>
              <w:ind w:left="35"/>
            </w:pPr>
            <w:r w:rsidRPr="00B07FB9">
              <w:t>In addition, a qualitative (unanchored) comparison was performed for niraparib vs. bevacizumab.</w:t>
            </w:r>
          </w:p>
        </w:tc>
      </w:tr>
      <w:tr w:rsidR="00347E07" w:rsidRPr="00B07FB9" w14:paraId="4A49D5E9" w14:textId="77777777" w:rsidTr="00F727C4">
        <w:tc>
          <w:tcPr>
            <w:tcW w:w="666" w:type="pct"/>
          </w:tcPr>
          <w:p w14:paraId="5FD222E2" w14:textId="6D1CAA63" w:rsidR="00BA1002" w:rsidRPr="00B07FB9" w:rsidRDefault="004B35FD" w:rsidP="000C6F49">
            <w:pPr>
              <w:pStyle w:val="TableText0"/>
              <w:keepNext w:val="0"/>
              <w:widowControl w:val="0"/>
            </w:pPr>
            <w:r w:rsidRPr="00B07FB9">
              <w:t xml:space="preserve">Maximum treatment duration of niraparib </w:t>
            </w:r>
          </w:p>
        </w:tc>
        <w:tc>
          <w:tcPr>
            <w:tcW w:w="2159" w:type="pct"/>
          </w:tcPr>
          <w:p w14:paraId="1B911371" w14:textId="069292AD" w:rsidR="00BA1002" w:rsidRPr="00B07FB9" w:rsidRDefault="00E7419C" w:rsidP="000C6F49">
            <w:pPr>
              <w:pStyle w:val="TableText0"/>
              <w:keepNext w:val="0"/>
              <w:widowControl w:val="0"/>
              <w:rPr>
                <w:rFonts w:eastAsia="Times New Roman" w:cs="Arial"/>
                <w:bCs w:val="0"/>
                <w:szCs w:val="20"/>
              </w:rPr>
            </w:pPr>
            <w:r w:rsidRPr="00B07FB9">
              <w:rPr>
                <w:rFonts w:eastAsia="Times New Roman" w:cs="Arial"/>
                <w:bCs w:val="0"/>
                <w:szCs w:val="20"/>
              </w:rPr>
              <w:t>The PBAC considered a</w:t>
            </w:r>
            <w:r w:rsidR="00BA1002" w:rsidRPr="00B07FB9">
              <w:rPr>
                <w:rFonts w:eastAsia="Times New Roman" w:cs="Arial"/>
                <w:bCs w:val="0"/>
                <w:szCs w:val="20"/>
              </w:rPr>
              <w:t xml:space="preserve"> maximum treatment period of 3 years would be consistent with the clinical data for niraparib, and that any future resubmission should justify the duration of treatment proposed and ensure consistency with the economic model and financial estimates (para 3.4 and para 7.17).</w:t>
            </w:r>
          </w:p>
        </w:tc>
        <w:tc>
          <w:tcPr>
            <w:tcW w:w="2175" w:type="pct"/>
          </w:tcPr>
          <w:p w14:paraId="27A399A3" w14:textId="78A94242" w:rsidR="00BA1002" w:rsidRPr="00B07FB9" w:rsidRDefault="00FE467D" w:rsidP="000C6F49">
            <w:pPr>
              <w:pStyle w:val="TableText0"/>
              <w:keepNext w:val="0"/>
              <w:widowControl w:val="0"/>
            </w:pPr>
            <w:r w:rsidRPr="00B07FB9">
              <w:t>Addressed - t</w:t>
            </w:r>
            <w:r w:rsidR="00BA1002" w:rsidRPr="00B07FB9">
              <w:t xml:space="preserve">he requested listing specified </w:t>
            </w:r>
            <w:r w:rsidR="00D361DD" w:rsidRPr="00B07FB9">
              <w:t>a</w:t>
            </w:r>
            <w:r w:rsidR="00BA1002" w:rsidRPr="00B07FB9">
              <w:t xml:space="preserve"> maximum treatment duration of 3 years</w:t>
            </w:r>
            <w:r w:rsidR="00845C60" w:rsidRPr="00B07FB9">
              <w:t xml:space="preserve"> in patients with complete response</w:t>
            </w:r>
            <w:r w:rsidRPr="00B07FB9">
              <w:t xml:space="preserve"> as requested</w:t>
            </w:r>
            <w:r w:rsidR="00BA1002" w:rsidRPr="00B07FB9">
              <w:t xml:space="preserve">. The economic evaluation and financial estimates </w:t>
            </w:r>
            <w:r w:rsidRPr="00B07FB9">
              <w:t xml:space="preserve">also </w:t>
            </w:r>
            <w:r w:rsidR="00BA1002" w:rsidRPr="00B07FB9">
              <w:t>applied this circumstance in the respective base cases</w:t>
            </w:r>
            <w:r w:rsidRPr="00B07FB9">
              <w:t xml:space="preserve"> as </w:t>
            </w:r>
            <w:r w:rsidR="0043104F" w:rsidRPr="00B07FB9">
              <w:t>requested</w:t>
            </w:r>
            <w:r w:rsidR="00D361DD" w:rsidRPr="00B07FB9">
              <w:rPr>
                <w:iCs/>
              </w:rPr>
              <w:t>.</w:t>
            </w:r>
            <w:r w:rsidR="00845C60" w:rsidRPr="00B07FB9">
              <w:rPr>
                <w:iCs/>
              </w:rPr>
              <w:t xml:space="preserve"> However, due to the short follow-up in PRIMA, there is a lack of evidence demonstrating the safety and effectiveness of long-term niraparib use</w:t>
            </w:r>
            <w:r w:rsidR="00845C60" w:rsidRPr="00B07FB9">
              <w:t>.</w:t>
            </w:r>
          </w:p>
        </w:tc>
      </w:tr>
      <w:tr w:rsidR="00011D8D" w:rsidRPr="00B07FB9" w14:paraId="3BA3CBB9" w14:textId="77777777" w:rsidTr="00F727C4">
        <w:tc>
          <w:tcPr>
            <w:tcW w:w="666" w:type="pct"/>
          </w:tcPr>
          <w:p w14:paraId="413EC8B9" w14:textId="6A02D3D6" w:rsidR="00011D8D" w:rsidRPr="00B07FB9" w:rsidRDefault="00347E07" w:rsidP="000C6F49">
            <w:pPr>
              <w:pStyle w:val="TableText0"/>
              <w:keepNext w:val="0"/>
              <w:widowControl w:val="0"/>
            </w:pPr>
            <w:r w:rsidRPr="00B07FB9">
              <w:t xml:space="preserve">Comparative effectiveness of niraparib vs. </w:t>
            </w:r>
            <w:proofErr w:type="spellStart"/>
            <w:r w:rsidRPr="00B07FB9">
              <w:t>olaparib</w:t>
            </w:r>
            <w:proofErr w:type="spellEnd"/>
          </w:p>
        </w:tc>
        <w:tc>
          <w:tcPr>
            <w:tcW w:w="2159" w:type="pct"/>
          </w:tcPr>
          <w:p w14:paraId="6C3C9FDD" w14:textId="4AE0A6CD" w:rsidR="00011D8D" w:rsidRPr="00B07FB9" w:rsidRDefault="00011D8D" w:rsidP="000C6F49">
            <w:pPr>
              <w:pStyle w:val="TableText0"/>
              <w:keepNext w:val="0"/>
              <w:widowControl w:val="0"/>
              <w:rPr>
                <w:rFonts w:eastAsia="Times New Roman" w:cs="Arial"/>
                <w:bCs w:val="0"/>
                <w:szCs w:val="20"/>
              </w:rPr>
            </w:pPr>
            <w:r w:rsidRPr="00B07FB9">
              <w:rPr>
                <w:rFonts w:eastAsia="Times New Roman" w:cs="Arial"/>
                <w:bCs w:val="0"/>
                <w:szCs w:val="20"/>
              </w:rPr>
              <w:t xml:space="preserve">The PBAC noted that the ESC considered a comparison between niraparib and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may have been achievable with the PRIMA and SOLO-1 trials, noting that concerns regarding the transitivity of the studies would need to be considered in interpretation of the results. </w:t>
            </w:r>
            <w:r w:rsidR="008C6DFB" w:rsidRPr="00B07FB9">
              <w:rPr>
                <w:rFonts w:eastAsia="Times New Roman" w:cs="Arial"/>
                <w:bCs w:val="0"/>
                <w:szCs w:val="20"/>
              </w:rPr>
              <w:t>(para 7.8)</w:t>
            </w:r>
            <w:r w:rsidRPr="00B07FB9">
              <w:rPr>
                <w:rFonts w:eastAsia="Times New Roman" w:cs="Arial"/>
                <w:bCs w:val="0"/>
                <w:szCs w:val="20"/>
              </w:rPr>
              <w:t>.</w:t>
            </w:r>
          </w:p>
          <w:p w14:paraId="20A7314F" w14:textId="5C719C0E" w:rsidR="008C6DFB" w:rsidRPr="00B07FB9" w:rsidRDefault="008C6DFB" w:rsidP="000C6F49">
            <w:pPr>
              <w:pStyle w:val="TableText0"/>
              <w:keepNext w:val="0"/>
              <w:widowControl w:val="0"/>
              <w:rPr>
                <w:rFonts w:eastAsia="Times New Roman" w:cs="Arial"/>
                <w:bCs w:val="0"/>
                <w:szCs w:val="20"/>
              </w:rPr>
            </w:pPr>
            <w:r w:rsidRPr="00B07FB9">
              <w:rPr>
                <w:rFonts w:eastAsia="Times New Roman" w:cs="Arial"/>
                <w:bCs w:val="0"/>
                <w:szCs w:val="20"/>
              </w:rPr>
              <w:t xml:space="preserve">The PBAC noted that an anchored indirect comparison of PFS of niraparib vs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in the </w:t>
            </w:r>
            <w:proofErr w:type="spellStart"/>
            <w:r w:rsidRPr="00B07FB9">
              <w:rPr>
                <w:rFonts w:eastAsia="Times New Roman" w:cs="Arial"/>
                <w:bCs w:val="0"/>
                <w:szCs w:val="20"/>
              </w:rPr>
              <w:t>BRCAm</w:t>
            </w:r>
            <w:proofErr w:type="spellEnd"/>
            <w:r w:rsidRPr="00B07FB9">
              <w:rPr>
                <w:rFonts w:eastAsia="Times New Roman" w:cs="Arial"/>
                <w:bCs w:val="0"/>
                <w:szCs w:val="20"/>
              </w:rPr>
              <w:t xml:space="preserve"> population was conducted during the evaluation. Acknowledging the limitations of this comparison, the PBAC noted that the result was numerically in favour of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and did not rule out inferiority of niraparib to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(para 7.11).</w:t>
            </w:r>
          </w:p>
        </w:tc>
        <w:tc>
          <w:tcPr>
            <w:tcW w:w="2175" w:type="pct"/>
          </w:tcPr>
          <w:p w14:paraId="491B694F" w14:textId="4083C406" w:rsidR="00011D8D" w:rsidRPr="00B07FB9" w:rsidRDefault="00FE467D" w:rsidP="000C6F49">
            <w:pPr>
              <w:pStyle w:val="TableText0"/>
              <w:keepNext w:val="0"/>
              <w:widowControl w:val="0"/>
            </w:pPr>
            <w:r w:rsidRPr="00B07FB9">
              <w:t>A</w:t>
            </w:r>
            <w:r w:rsidR="000168AA" w:rsidRPr="00B07FB9">
              <w:t>ddressed. The ITC</w:t>
            </w:r>
            <w:r w:rsidR="00335BE7">
              <w:t>*</w:t>
            </w:r>
            <w:r w:rsidR="000168AA" w:rsidRPr="00B07FB9">
              <w:t xml:space="preserve"> of the </w:t>
            </w:r>
            <w:proofErr w:type="spellStart"/>
            <w:r w:rsidR="000168AA" w:rsidRPr="00B07FB9">
              <w:t>BRCAm</w:t>
            </w:r>
            <w:proofErr w:type="spellEnd"/>
            <w:r w:rsidR="000168AA" w:rsidRPr="00B07FB9">
              <w:t xml:space="preserve"> subgroup of PRIMA and the </w:t>
            </w:r>
            <w:r w:rsidR="00CE7904" w:rsidRPr="00B07FB9">
              <w:t xml:space="preserve">subgroup </w:t>
            </w:r>
            <w:r w:rsidR="000168AA" w:rsidRPr="00B07FB9">
              <w:t xml:space="preserve">excluding Stage III, R0 PDS from SOLO-1 suggested </w:t>
            </w:r>
            <w:r w:rsidR="00CE7904" w:rsidRPr="00B07FB9">
              <w:t xml:space="preserve">an </w:t>
            </w:r>
            <w:r w:rsidR="00B75DEF" w:rsidRPr="00B07FB9">
              <w:t xml:space="preserve">increased risk of PFS events and a reduction in median PFS in patients receiving niraparib </w:t>
            </w:r>
            <w:r w:rsidR="00CE7904" w:rsidRPr="00B07FB9">
              <w:t xml:space="preserve">when compared with </w:t>
            </w:r>
            <w:r w:rsidR="00B75DEF" w:rsidRPr="00B07FB9">
              <w:t xml:space="preserve">those treated with </w:t>
            </w:r>
            <w:proofErr w:type="spellStart"/>
            <w:r w:rsidR="00B75DEF" w:rsidRPr="00B07FB9">
              <w:t>olaparib</w:t>
            </w:r>
            <w:proofErr w:type="spellEnd"/>
            <w:r w:rsidRPr="00B07FB9">
              <w:t xml:space="preserve"> though differences were not statistically significant</w:t>
            </w:r>
            <w:r w:rsidR="00B75DEF" w:rsidRPr="00B07FB9">
              <w:t xml:space="preserve">. The PFS </w:t>
            </w:r>
            <w:r w:rsidR="00CE7904" w:rsidRPr="00B07FB9">
              <w:t>gain seen with</w:t>
            </w:r>
            <w:r w:rsidR="00B75DEF" w:rsidRPr="00B07FB9">
              <w:t xml:space="preserve"> </w:t>
            </w:r>
            <w:proofErr w:type="spellStart"/>
            <w:r w:rsidR="00B75DEF" w:rsidRPr="00B07FB9">
              <w:t>olaparib</w:t>
            </w:r>
            <w:proofErr w:type="spellEnd"/>
            <w:r w:rsidR="00B75DEF" w:rsidRPr="00B07FB9">
              <w:t xml:space="preserve"> </w:t>
            </w:r>
            <w:r w:rsidR="00CE7904" w:rsidRPr="00B07FB9">
              <w:t>compared to</w:t>
            </w:r>
            <w:r w:rsidR="00B75DEF" w:rsidRPr="00B07FB9">
              <w:t xml:space="preserve"> niraparib cannot be fully explain</w:t>
            </w:r>
            <w:r w:rsidR="00CE7904" w:rsidRPr="00B07FB9">
              <w:t>ed</w:t>
            </w:r>
            <w:r w:rsidR="00B75DEF" w:rsidRPr="00B07FB9">
              <w:t xml:space="preserve"> by the modest heterogeneit</w:t>
            </w:r>
            <w:r w:rsidR="00CE7904" w:rsidRPr="00B07FB9">
              <w:t>y</w:t>
            </w:r>
            <w:r w:rsidR="00B75DEF" w:rsidRPr="00B07FB9">
              <w:t xml:space="preserve"> across the trials.</w:t>
            </w:r>
          </w:p>
        </w:tc>
      </w:tr>
      <w:tr w:rsidR="00807D7F" w:rsidRPr="00B07FB9" w14:paraId="338970B2" w14:textId="77777777" w:rsidTr="00F727C4">
        <w:tc>
          <w:tcPr>
            <w:tcW w:w="666" w:type="pct"/>
          </w:tcPr>
          <w:p w14:paraId="5734C850" w14:textId="7D2BFB62" w:rsidR="00807D7F" w:rsidRPr="00B07FB9" w:rsidRDefault="00347E07" w:rsidP="00F727C4">
            <w:pPr>
              <w:pStyle w:val="TableText0"/>
              <w:widowControl w:val="0"/>
            </w:pPr>
            <w:r w:rsidRPr="00B07FB9">
              <w:t xml:space="preserve">Comparative safety of niraparib vs. </w:t>
            </w:r>
            <w:proofErr w:type="spellStart"/>
            <w:r w:rsidRPr="00B07FB9">
              <w:t>olaparib</w:t>
            </w:r>
            <w:proofErr w:type="spellEnd"/>
          </w:p>
        </w:tc>
        <w:tc>
          <w:tcPr>
            <w:tcW w:w="2159" w:type="pct"/>
          </w:tcPr>
          <w:p w14:paraId="1EF59695" w14:textId="62E374C8" w:rsidR="00807D7F" w:rsidRPr="00B07FB9" w:rsidRDefault="00807D7F" w:rsidP="00F727C4">
            <w:pPr>
              <w:pStyle w:val="TableText0"/>
              <w:widowControl w:val="0"/>
              <w:rPr>
                <w:rFonts w:eastAsia="Times New Roman" w:cs="Arial"/>
                <w:bCs w:val="0"/>
                <w:szCs w:val="20"/>
              </w:rPr>
            </w:pPr>
            <w:r w:rsidRPr="00B07FB9">
              <w:rPr>
                <w:rFonts w:eastAsia="Times New Roman" w:cs="Arial"/>
                <w:bCs w:val="0"/>
                <w:szCs w:val="20"/>
              </w:rPr>
              <w:t xml:space="preserve">The PBAC noted that no formal comparison of safety between niraparib and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was presented, but considered that overall,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seems to have a better safety profile compared to niraparib based on the lower rate of dose reduction in the SOLO-1 trial compared to that in the PRIMA trial. The PBAC also noted this was consistent with its previous consideration of comparative safety for niraparib in the 2L maintenance setting (para 7.13).</w:t>
            </w:r>
          </w:p>
        </w:tc>
        <w:tc>
          <w:tcPr>
            <w:tcW w:w="2175" w:type="pct"/>
            <w:vAlign w:val="center"/>
          </w:tcPr>
          <w:p w14:paraId="4E9E8CB9" w14:textId="725C3606" w:rsidR="00807D7F" w:rsidRPr="00B07FB9" w:rsidRDefault="00FE467D" w:rsidP="00F727C4">
            <w:pPr>
              <w:pStyle w:val="TableText0"/>
              <w:widowControl w:val="0"/>
            </w:pPr>
            <w:r w:rsidRPr="00B07FB9">
              <w:t>A</w:t>
            </w:r>
            <w:r w:rsidR="00807D7F" w:rsidRPr="00B07FB9">
              <w:t xml:space="preserve">ddressed. Clinically meaningful worsening in safety of niraparib relative to </w:t>
            </w:r>
            <w:proofErr w:type="spellStart"/>
            <w:r w:rsidR="00807D7F" w:rsidRPr="00B07FB9">
              <w:t>olaparib</w:t>
            </w:r>
            <w:proofErr w:type="spellEnd"/>
            <w:r w:rsidR="00807D7F" w:rsidRPr="00B07FB9">
              <w:t xml:space="preserve"> could not be ruled out, based on the 95% CIs from indirect comparison of </w:t>
            </w:r>
            <w:r w:rsidR="00930E31" w:rsidRPr="00B07FB9">
              <w:t xml:space="preserve">AE outcomes, especially </w:t>
            </w:r>
            <w:r w:rsidR="00807D7F" w:rsidRPr="00B07FB9">
              <w:t>≥ Grade 3 TEAEs and TEAEs leading to treatment discontinuation. Of note, the ITC</w:t>
            </w:r>
            <w:r w:rsidR="00335BE7">
              <w:t>*</w:t>
            </w:r>
            <w:r w:rsidR="00807D7F" w:rsidRPr="00B07FB9">
              <w:t xml:space="preserve"> results of AE outcomes might have </w:t>
            </w:r>
            <w:r w:rsidR="00CE7904" w:rsidRPr="00B07FB9">
              <w:t xml:space="preserve">been </w:t>
            </w:r>
            <w:r w:rsidR="00807D7F" w:rsidRPr="00B07FB9">
              <w:t xml:space="preserve">biased in favour of niraparib, given </w:t>
            </w:r>
            <w:r w:rsidR="00CE7904" w:rsidRPr="00B07FB9">
              <w:t>the</w:t>
            </w:r>
            <w:r w:rsidR="00807D7F" w:rsidRPr="00B07FB9">
              <w:t xml:space="preserve"> shorter treatment duration</w:t>
            </w:r>
            <w:r w:rsidR="00CE7904" w:rsidRPr="00B07FB9">
              <w:t xml:space="preserve"> of nirap</w:t>
            </w:r>
            <w:r w:rsidR="007137C1" w:rsidRPr="00B07FB9">
              <w:t>a</w:t>
            </w:r>
            <w:r w:rsidR="00CE7904" w:rsidRPr="00B07FB9">
              <w:t>rib</w:t>
            </w:r>
            <w:r w:rsidR="00807D7F" w:rsidRPr="00B07FB9">
              <w:t xml:space="preserve"> in PRIMA</w:t>
            </w:r>
            <w:r w:rsidR="00B1614A" w:rsidRPr="00B07FB9">
              <w:t xml:space="preserve"> than that of </w:t>
            </w:r>
            <w:proofErr w:type="spellStart"/>
            <w:r w:rsidR="00B1614A" w:rsidRPr="00B07FB9">
              <w:t>olaparib</w:t>
            </w:r>
            <w:proofErr w:type="spellEnd"/>
            <w:r w:rsidR="00B1614A" w:rsidRPr="00B07FB9">
              <w:t xml:space="preserve"> in SOLO-1</w:t>
            </w:r>
            <w:r w:rsidR="00807D7F" w:rsidRPr="00B07FB9">
              <w:t>.</w:t>
            </w:r>
          </w:p>
        </w:tc>
      </w:tr>
      <w:tr w:rsidR="00807D7F" w:rsidRPr="00B07FB9" w14:paraId="5844B04D" w14:textId="77777777" w:rsidTr="00F727C4">
        <w:tc>
          <w:tcPr>
            <w:tcW w:w="666" w:type="pct"/>
          </w:tcPr>
          <w:p w14:paraId="3180B856" w14:textId="00E81403" w:rsidR="00807D7F" w:rsidRPr="00B07FB9" w:rsidRDefault="00347E07" w:rsidP="000C6F49">
            <w:pPr>
              <w:pStyle w:val="TableText0"/>
              <w:keepNext w:val="0"/>
              <w:widowControl w:val="0"/>
            </w:pPr>
            <w:r w:rsidRPr="00B07FB9">
              <w:t xml:space="preserve">Treatment </w:t>
            </w:r>
            <w:r w:rsidRPr="00B07FB9">
              <w:lastRenderedPageBreak/>
              <w:t>effect of niraparib by HRD status</w:t>
            </w:r>
          </w:p>
        </w:tc>
        <w:tc>
          <w:tcPr>
            <w:tcW w:w="2159" w:type="pct"/>
          </w:tcPr>
          <w:p w14:paraId="0C82B356" w14:textId="47D6A753" w:rsidR="00D361DD" w:rsidRPr="00B07FB9" w:rsidRDefault="00D361DD" w:rsidP="000C6F49">
            <w:pPr>
              <w:pStyle w:val="TableText0"/>
              <w:keepNext w:val="0"/>
              <w:widowControl w:val="0"/>
              <w:rPr>
                <w:rFonts w:eastAsia="Times New Roman" w:cs="Arial"/>
                <w:bCs w:val="0"/>
                <w:szCs w:val="20"/>
              </w:rPr>
            </w:pPr>
            <w:r w:rsidRPr="00B07FB9">
              <w:rPr>
                <w:rFonts w:eastAsia="Times New Roman" w:cs="Arial"/>
                <w:bCs w:val="0"/>
                <w:szCs w:val="20"/>
              </w:rPr>
              <w:lastRenderedPageBreak/>
              <w:t xml:space="preserve">The PBAC noted that evidence of benefit varied </w:t>
            </w:r>
            <w:r w:rsidRPr="00B07FB9">
              <w:rPr>
                <w:rFonts w:eastAsia="Times New Roman" w:cs="Arial"/>
                <w:bCs w:val="0"/>
                <w:szCs w:val="20"/>
              </w:rPr>
              <w:lastRenderedPageBreak/>
              <w:t xml:space="preserve">by patient subgroup on the basis of BRCA and HRD status. The PBAC noted that the PFS benefit for niraparib in the </w:t>
            </w:r>
            <w:proofErr w:type="spellStart"/>
            <w:r w:rsidRPr="00B07FB9">
              <w:rPr>
                <w:rFonts w:eastAsia="Times New Roman" w:cs="Arial"/>
                <w:bCs w:val="0"/>
                <w:szCs w:val="20"/>
              </w:rPr>
              <w:t>BRCAm</w:t>
            </w:r>
            <w:proofErr w:type="spellEnd"/>
            <w:r w:rsidRPr="00B07FB9">
              <w:rPr>
                <w:rFonts w:eastAsia="Times New Roman" w:cs="Arial"/>
                <w:bCs w:val="0"/>
                <w:szCs w:val="20"/>
              </w:rPr>
              <w:t xml:space="preserve"> subgroup was greater than in the non-</w:t>
            </w:r>
            <w:proofErr w:type="spellStart"/>
            <w:r w:rsidRPr="00B07FB9">
              <w:rPr>
                <w:rFonts w:eastAsia="Times New Roman" w:cs="Arial"/>
                <w:bCs w:val="0"/>
                <w:szCs w:val="20"/>
              </w:rPr>
              <w:t>BRCAm</w:t>
            </w:r>
            <w:proofErr w:type="spellEnd"/>
            <w:r w:rsidRPr="00B07FB9">
              <w:rPr>
                <w:rFonts w:eastAsia="Times New Roman" w:cs="Arial"/>
                <w:bCs w:val="0"/>
                <w:szCs w:val="20"/>
              </w:rPr>
              <w:t xml:space="preserve"> subgroup and PFS benefit was greate</w:t>
            </w:r>
            <w:r w:rsidR="00930E31" w:rsidRPr="00B07FB9">
              <w:rPr>
                <w:rFonts w:eastAsia="Times New Roman" w:cs="Arial"/>
                <w:bCs w:val="0"/>
                <w:szCs w:val="20"/>
              </w:rPr>
              <w:t xml:space="preserve">r for patients with </w:t>
            </w:r>
            <w:proofErr w:type="spellStart"/>
            <w:r w:rsidR="00930E31" w:rsidRPr="00B07FB9">
              <w:rPr>
                <w:rFonts w:eastAsia="Times New Roman" w:cs="Arial"/>
                <w:bCs w:val="0"/>
                <w:szCs w:val="20"/>
              </w:rPr>
              <w:t>HRDpos</w:t>
            </w:r>
            <w:proofErr w:type="spellEnd"/>
            <w:r w:rsidRPr="00B07FB9">
              <w:rPr>
                <w:rFonts w:eastAsia="Times New Roman" w:cs="Arial"/>
                <w:bCs w:val="0"/>
                <w:szCs w:val="20"/>
              </w:rPr>
              <w:t xml:space="preserve"> tumours compared to patients in the </w:t>
            </w:r>
            <w:proofErr w:type="spellStart"/>
            <w:r w:rsidRPr="00B07FB9">
              <w:rPr>
                <w:rFonts w:eastAsia="Times New Roman" w:cs="Arial"/>
                <w:bCs w:val="0"/>
                <w:szCs w:val="20"/>
              </w:rPr>
              <w:t>HRDneg</w:t>
            </w:r>
            <w:proofErr w:type="spellEnd"/>
            <w:r w:rsidRPr="00B07FB9">
              <w:rPr>
                <w:rFonts w:eastAsia="Times New Roman" w:cs="Arial"/>
                <w:bCs w:val="0"/>
                <w:szCs w:val="20"/>
              </w:rPr>
              <w:t xml:space="preserve"> subgroup or </w:t>
            </w:r>
            <w:proofErr w:type="spellStart"/>
            <w:r w:rsidRPr="00B07FB9">
              <w:rPr>
                <w:rFonts w:eastAsia="Times New Roman" w:cs="Arial"/>
                <w:bCs w:val="0"/>
                <w:szCs w:val="20"/>
              </w:rPr>
              <w:t>HRDnd</w:t>
            </w:r>
            <w:proofErr w:type="spellEnd"/>
            <w:r w:rsidRPr="00B07FB9">
              <w:rPr>
                <w:rFonts w:eastAsia="Times New Roman" w:cs="Arial"/>
                <w:bCs w:val="0"/>
                <w:szCs w:val="20"/>
              </w:rPr>
              <w:t xml:space="preserve"> subgroup (para 7.9). </w:t>
            </w:r>
          </w:p>
          <w:p w14:paraId="322C972E" w14:textId="4A3FCC05" w:rsidR="00807D7F" w:rsidRPr="00B07FB9" w:rsidRDefault="00807D7F" w:rsidP="000C6F49">
            <w:pPr>
              <w:pStyle w:val="TableText0"/>
              <w:keepNext w:val="0"/>
              <w:widowControl w:val="0"/>
              <w:rPr>
                <w:rFonts w:eastAsia="Times New Roman" w:cs="Arial"/>
                <w:bCs w:val="0"/>
                <w:szCs w:val="20"/>
              </w:rPr>
            </w:pPr>
            <w:r w:rsidRPr="00B07FB9">
              <w:rPr>
                <w:rFonts w:eastAsia="Times New Roman" w:cs="Arial"/>
                <w:bCs w:val="0"/>
                <w:szCs w:val="20"/>
              </w:rPr>
              <w:t xml:space="preserve">Given the uncertain clinical benefit for niraparib in patients with </w:t>
            </w:r>
            <w:proofErr w:type="spellStart"/>
            <w:r w:rsidRPr="00B07FB9">
              <w:rPr>
                <w:rFonts w:eastAsia="Times New Roman" w:cs="Arial"/>
                <w:bCs w:val="0"/>
                <w:szCs w:val="20"/>
              </w:rPr>
              <w:t>HRDneg</w:t>
            </w:r>
            <w:proofErr w:type="spellEnd"/>
            <w:r w:rsidRPr="00B07FB9">
              <w:rPr>
                <w:rFonts w:eastAsia="Times New Roman" w:cs="Arial"/>
                <w:bCs w:val="0"/>
                <w:szCs w:val="20"/>
              </w:rPr>
              <w:t xml:space="preserve"> HGEOC, the PBAC considered that a resubmission for niraparib may need to identify and target the patients who are most likely to benefit from treatment. The PBAC noted that HRD testing is not currently part of the clinical management of HGEOC in Australia, and therefore a </w:t>
            </w:r>
            <w:proofErr w:type="spellStart"/>
            <w:r w:rsidRPr="00B07FB9">
              <w:rPr>
                <w:rFonts w:eastAsia="Times New Roman" w:cs="Arial"/>
                <w:bCs w:val="0"/>
                <w:szCs w:val="20"/>
              </w:rPr>
              <w:t>codependent</w:t>
            </w:r>
            <w:proofErr w:type="spellEnd"/>
            <w:r w:rsidRPr="00B07FB9">
              <w:rPr>
                <w:rFonts w:eastAsia="Times New Roman" w:cs="Arial"/>
                <w:bCs w:val="0"/>
                <w:szCs w:val="20"/>
              </w:rPr>
              <w:t xml:space="preserve"> submission would be required if the sponsor was to seek a PBS listing that relied on HRD status (para 7.17).</w:t>
            </w:r>
          </w:p>
        </w:tc>
        <w:tc>
          <w:tcPr>
            <w:tcW w:w="2175" w:type="pct"/>
          </w:tcPr>
          <w:p w14:paraId="73B094AD" w14:textId="79960323" w:rsidR="00807D7F" w:rsidRPr="00B07FB9" w:rsidRDefault="00807D7F" w:rsidP="000C6F49">
            <w:pPr>
              <w:pStyle w:val="TableText0"/>
              <w:keepNext w:val="0"/>
              <w:widowControl w:val="0"/>
            </w:pPr>
            <w:r w:rsidRPr="00B07FB9">
              <w:lastRenderedPageBreak/>
              <w:t xml:space="preserve">Not addressed. No additional PRIMA trial </w:t>
            </w:r>
            <w:r w:rsidR="00B1614A" w:rsidRPr="00B07FB9">
              <w:t>data</w:t>
            </w:r>
            <w:r w:rsidRPr="00B07FB9">
              <w:t xml:space="preserve"> by</w:t>
            </w:r>
            <w:r w:rsidR="00D361DD" w:rsidRPr="00B07FB9">
              <w:t xml:space="preserve"> </w:t>
            </w:r>
            <w:r w:rsidRPr="00B07FB9">
              <w:lastRenderedPageBreak/>
              <w:t xml:space="preserve">HRD status </w:t>
            </w:r>
            <w:r w:rsidR="00D361DD" w:rsidRPr="00B07FB9">
              <w:t xml:space="preserve">was provided. </w:t>
            </w:r>
          </w:p>
        </w:tc>
      </w:tr>
      <w:tr w:rsidR="00011D8D" w:rsidRPr="00B07FB9" w14:paraId="38BDFB19" w14:textId="77777777" w:rsidTr="00F727C4">
        <w:tc>
          <w:tcPr>
            <w:tcW w:w="666" w:type="pct"/>
          </w:tcPr>
          <w:p w14:paraId="276316F0" w14:textId="09041327" w:rsidR="00011D8D" w:rsidRPr="00B07FB9" w:rsidRDefault="00347E07" w:rsidP="000C6F49">
            <w:pPr>
              <w:pStyle w:val="TableText0"/>
              <w:keepNext w:val="0"/>
              <w:widowControl w:val="0"/>
            </w:pPr>
            <w:r w:rsidRPr="00B07FB9">
              <w:lastRenderedPageBreak/>
              <w:t>OS benefits</w:t>
            </w:r>
          </w:p>
        </w:tc>
        <w:tc>
          <w:tcPr>
            <w:tcW w:w="2159" w:type="pct"/>
          </w:tcPr>
          <w:p w14:paraId="1F73C391" w14:textId="7780F531" w:rsidR="00347E07" w:rsidRPr="00B07FB9" w:rsidRDefault="00347E07" w:rsidP="000C6F49">
            <w:pPr>
              <w:pStyle w:val="TableText0"/>
              <w:keepNext w:val="0"/>
              <w:widowControl w:val="0"/>
              <w:rPr>
                <w:rFonts w:eastAsia="Times New Roman" w:cs="Arial"/>
                <w:bCs w:val="0"/>
                <w:szCs w:val="20"/>
              </w:rPr>
            </w:pPr>
            <w:r w:rsidRPr="00B07FB9">
              <w:rPr>
                <w:rFonts w:eastAsia="Times New Roman" w:cs="Arial"/>
                <w:bCs w:val="0"/>
                <w:szCs w:val="20"/>
              </w:rPr>
              <w:t>The PBAC considered that the PFS benefit may not translate into an OS benefit (para 7.10)</w:t>
            </w:r>
          </w:p>
        </w:tc>
        <w:tc>
          <w:tcPr>
            <w:tcW w:w="2175" w:type="pct"/>
            <w:vAlign w:val="center"/>
          </w:tcPr>
          <w:p w14:paraId="37224501" w14:textId="429A1DB6" w:rsidR="00011D8D" w:rsidRPr="00B07FB9" w:rsidRDefault="00347E07" w:rsidP="000C6F49">
            <w:pPr>
              <w:pStyle w:val="TableText0"/>
              <w:keepNext w:val="0"/>
              <w:widowControl w:val="0"/>
            </w:pPr>
            <w:r w:rsidRPr="00B07FB9">
              <w:t xml:space="preserve">Not addressed. OS data in PRIMA was </w:t>
            </w:r>
            <w:r w:rsidR="00B1614A" w:rsidRPr="00B07FB9">
              <w:t xml:space="preserve">not </w:t>
            </w:r>
            <w:r w:rsidRPr="00B07FB9">
              <w:t xml:space="preserve">mature enough for a reliable assessment of the survival benefits of niraparib. </w:t>
            </w:r>
            <w:r w:rsidR="001E7752" w:rsidRPr="00B07FB9">
              <w:t xml:space="preserve">Further reporting of OS from PRIMA is not expected until 2025.  </w:t>
            </w:r>
          </w:p>
        </w:tc>
      </w:tr>
      <w:tr w:rsidR="004B35FD" w:rsidRPr="00B07FB9" w14:paraId="29FF732A" w14:textId="77777777" w:rsidTr="009B2E35">
        <w:tc>
          <w:tcPr>
            <w:tcW w:w="5000" w:type="pct"/>
            <w:gridSpan w:val="3"/>
            <w:tcBorders>
              <w:bottom w:val="single" w:sz="4" w:space="0" w:color="auto"/>
            </w:tcBorders>
          </w:tcPr>
          <w:p w14:paraId="4E443704" w14:textId="1DE1EA40" w:rsidR="004B35FD" w:rsidRPr="00B07FB9" w:rsidRDefault="004B35FD" w:rsidP="000C6F49">
            <w:pPr>
              <w:pStyle w:val="TableText0"/>
              <w:keepNext w:val="0"/>
              <w:widowControl w:val="0"/>
              <w:rPr>
                <w:b/>
              </w:rPr>
            </w:pPr>
            <w:r w:rsidRPr="00B07FB9">
              <w:rPr>
                <w:b/>
              </w:rPr>
              <w:t>Economic</w:t>
            </w:r>
          </w:p>
        </w:tc>
      </w:tr>
      <w:tr w:rsidR="00460E9B" w:rsidRPr="00B07FB9" w14:paraId="6E087AE6" w14:textId="77777777" w:rsidTr="009B2E35">
        <w:tc>
          <w:tcPr>
            <w:tcW w:w="666" w:type="pct"/>
            <w:tcBorders>
              <w:top w:val="single" w:sz="4" w:space="0" w:color="auto"/>
              <w:left w:val="single" w:sz="4" w:space="0" w:color="auto"/>
              <w:bottom w:val="single" w:sz="4" w:space="0" w:color="auto"/>
              <w:right w:val="single" w:sz="4" w:space="0" w:color="auto"/>
            </w:tcBorders>
          </w:tcPr>
          <w:p w14:paraId="3B420E6D" w14:textId="74E5AEAB" w:rsidR="00460E9B" w:rsidRPr="00B07FB9" w:rsidRDefault="00460E9B" w:rsidP="000C6F49">
            <w:pPr>
              <w:pStyle w:val="TableText0"/>
              <w:keepNext w:val="0"/>
              <w:widowControl w:val="0"/>
            </w:pPr>
            <w:r w:rsidRPr="00B07FB9">
              <w:t xml:space="preserve">Economic model </w:t>
            </w:r>
          </w:p>
        </w:tc>
        <w:tc>
          <w:tcPr>
            <w:tcW w:w="2159" w:type="pct"/>
            <w:tcBorders>
              <w:top w:val="single" w:sz="4" w:space="0" w:color="auto"/>
              <w:left w:val="single" w:sz="4" w:space="0" w:color="auto"/>
              <w:bottom w:val="single" w:sz="4" w:space="0" w:color="auto"/>
              <w:right w:val="single" w:sz="4" w:space="0" w:color="auto"/>
            </w:tcBorders>
          </w:tcPr>
          <w:p w14:paraId="5DFAF35A" w14:textId="77777777" w:rsidR="00460E9B" w:rsidRPr="00B07FB9" w:rsidRDefault="00460E9B" w:rsidP="000C6F49">
            <w:pPr>
              <w:pStyle w:val="TableText0"/>
              <w:keepNext w:val="0"/>
              <w:widowControl w:val="0"/>
              <w:rPr>
                <w:szCs w:val="20"/>
              </w:rPr>
            </w:pPr>
            <w:r w:rsidRPr="00B07FB9">
              <w:rPr>
                <w:szCs w:val="20"/>
              </w:rPr>
              <w:t xml:space="preserve">The PBAC considered that the economic model provided in the submission was not reliable for decision making because it failed to present an economic evaluation that reflects the proposed circumstances of use of niraparib in the target PBS population. </w:t>
            </w:r>
          </w:p>
          <w:p w14:paraId="7030461C" w14:textId="7F56A58C" w:rsidR="00460E9B" w:rsidRPr="00B07FB9" w:rsidRDefault="00460E9B" w:rsidP="000C6F49">
            <w:pPr>
              <w:pStyle w:val="TableText0"/>
              <w:keepNext w:val="0"/>
              <w:widowControl w:val="0"/>
              <w:rPr>
                <w:rFonts w:eastAsia="Times New Roman" w:cs="Arial"/>
                <w:bCs w:val="0"/>
                <w:szCs w:val="20"/>
              </w:rPr>
            </w:pPr>
            <w:r w:rsidRPr="00B07FB9">
              <w:rPr>
                <w:szCs w:val="20"/>
              </w:rPr>
              <w:t xml:space="preserve">Noting the differences in PFS benefit in the </w:t>
            </w:r>
            <w:proofErr w:type="spellStart"/>
            <w:r w:rsidRPr="00B07FB9">
              <w:rPr>
                <w:szCs w:val="20"/>
              </w:rPr>
              <w:t>BRCAm</w:t>
            </w:r>
            <w:proofErr w:type="spellEnd"/>
            <w:r w:rsidRPr="00B07FB9">
              <w:rPr>
                <w:szCs w:val="20"/>
              </w:rPr>
              <w:t xml:space="preserve"> and HRD positive subgroups demonstrated in the PRIMA trial, the PBAC considered that the efficacy outcomes were driven by inclusion of the </w:t>
            </w:r>
            <w:proofErr w:type="spellStart"/>
            <w:r w:rsidRPr="00B07FB9">
              <w:rPr>
                <w:szCs w:val="20"/>
              </w:rPr>
              <w:t>BRCAm</w:t>
            </w:r>
            <w:proofErr w:type="spellEnd"/>
            <w:r w:rsidRPr="00B07FB9">
              <w:rPr>
                <w:szCs w:val="20"/>
              </w:rPr>
              <w:t xml:space="preserve"> patients in the model (para 7.14)</w:t>
            </w:r>
          </w:p>
        </w:tc>
        <w:tc>
          <w:tcPr>
            <w:tcW w:w="2175" w:type="pct"/>
            <w:tcBorders>
              <w:top w:val="single" w:sz="4" w:space="0" w:color="auto"/>
              <w:left w:val="single" w:sz="4" w:space="0" w:color="auto"/>
              <w:bottom w:val="single" w:sz="4" w:space="0" w:color="auto"/>
              <w:right w:val="single" w:sz="4" w:space="0" w:color="auto"/>
            </w:tcBorders>
          </w:tcPr>
          <w:p w14:paraId="10C9A4D2" w14:textId="7F3D05F0" w:rsidR="00460E9B" w:rsidRPr="00B07FB9" w:rsidRDefault="00C32875" w:rsidP="000C6F49">
            <w:pPr>
              <w:pStyle w:val="TableText0"/>
              <w:keepNext w:val="0"/>
              <w:widowControl w:val="0"/>
            </w:pPr>
            <w:r w:rsidRPr="00B07FB9">
              <w:t>Partially</w:t>
            </w:r>
            <w:r w:rsidR="00460E9B" w:rsidRPr="00B07FB9">
              <w:t xml:space="preserve"> addressed. The resubmission presented two economic evaluations: </w:t>
            </w:r>
          </w:p>
          <w:p w14:paraId="22C4BCD8" w14:textId="77777777" w:rsidR="00460E9B" w:rsidRPr="00B07FB9" w:rsidRDefault="00460E9B" w:rsidP="000C6F49">
            <w:pPr>
              <w:pStyle w:val="TableText0"/>
              <w:keepNext w:val="0"/>
              <w:widowControl w:val="0"/>
              <w:numPr>
                <w:ilvl w:val="0"/>
                <w:numId w:val="3"/>
              </w:numPr>
            </w:pPr>
            <w:r w:rsidRPr="00B07FB9">
              <w:t>A CUA comparing niraparib with SMM for the maintenance treatment of non-</w:t>
            </w:r>
            <w:proofErr w:type="spellStart"/>
            <w:r w:rsidRPr="00B07FB9">
              <w:t>BRCAm</w:t>
            </w:r>
            <w:proofErr w:type="spellEnd"/>
            <w:r w:rsidRPr="00B07FB9">
              <w:t xml:space="preserve"> NDA HGEOC; and</w:t>
            </w:r>
          </w:p>
          <w:p w14:paraId="708D78EB" w14:textId="77777777" w:rsidR="00460E9B" w:rsidRPr="00B07FB9" w:rsidRDefault="00460E9B" w:rsidP="000C6F49">
            <w:pPr>
              <w:pStyle w:val="TableText0"/>
              <w:keepNext w:val="0"/>
              <w:widowControl w:val="0"/>
              <w:numPr>
                <w:ilvl w:val="0"/>
                <w:numId w:val="3"/>
              </w:numPr>
            </w:pPr>
            <w:r w:rsidRPr="00B07FB9">
              <w:t xml:space="preserve">A CMA comparing niraparib with </w:t>
            </w:r>
            <w:proofErr w:type="spellStart"/>
            <w:r w:rsidRPr="00B07FB9">
              <w:t>olaparib</w:t>
            </w:r>
            <w:proofErr w:type="spellEnd"/>
            <w:r w:rsidRPr="00B07FB9">
              <w:t xml:space="preserve"> for the maintenance treatment of </w:t>
            </w:r>
            <w:proofErr w:type="spellStart"/>
            <w:r w:rsidRPr="00B07FB9">
              <w:t>BRCAm</w:t>
            </w:r>
            <w:proofErr w:type="spellEnd"/>
            <w:r w:rsidRPr="00B07FB9">
              <w:t xml:space="preserve"> NDA HGEOC.</w:t>
            </w:r>
          </w:p>
          <w:p w14:paraId="06FE8A33" w14:textId="7E64B006" w:rsidR="00460E9B" w:rsidRPr="00B07FB9" w:rsidRDefault="00460E9B" w:rsidP="000C6F49">
            <w:pPr>
              <w:pStyle w:val="TableText0"/>
              <w:keepNext w:val="0"/>
              <w:widowControl w:val="0"/>
            </w:pPr>
            <w:r w:rsidRPr="00B07FB9">
              <w:t>Bevacizumab use in non-</w:t>
            </w:r>
            <w:proofErr w:type="spellStart"/>
            <w:r w:rsidRPr="00B07FB9">
              <w:t>BRCAm</w:t>
            </w:r>
            <w:proofErr w:type="spellEnd"/>
            <w:r w:rsidRPr="00B07FB9">
              <w:t xml:space="preserve"> patients was not included in the model base case but tested in a sensitivity analysis. No discussion for HRD status in economics section was presented. </w:t>
            </w:r>
          </w:p>
        </w:tc>
      </w:tr>
      <w:tr w:rsidR="00826B51" w:rsidRPr="00B07FB9" w14:paraId="26B83B71" w14:textId="77777777" w:rsidTr="009B2E35">
        <w:tc>
          <w:tcPr>
            <w:tcW w:w="666" w:type="pct"/>
            <w:tcBorders>
              <w:top w:val="single" w:sz="4" w:space="0" w:color="auto"/>
              <w:bottom w:val="nil"/>
            </w:tcBorders>
          </w:tcPr>
          <w:p w14:paraId="79550DC5" w14:textId="27F59059" w:rsidR="00826B51" w:rsidRPr="00B07FB9" w:rsidRDefault="00826B51" w:rsidP="00D564E8">
            <w:pPr>
              <w:pStyle w:val="TableText0"/>
              <w:keepLines/>
              <w:widowControl w:val="0"/>
            </w:pPr>
            <w:r w:rsidRPr="00B07FB9">
              <w:lastRenderedPageBreak/>
              <w:t>Uncertainty areas</w:t>
            </w:r>
          </w:p>
        </w:tc>
        <w:tc>
          <w:tcPr>
            <w:tcW w:w="2159" w:type="pct"/>
            <w:tcBorders>
              <w:top w:val="single" w:sz="4" w:space="0" w:color="auto"/>
              <w:bottom w:val="nil"/>
            </w:tcBorders>
          </w:tcPr>
          <w:p w14:paraId="4EFE2824" w14:textId="394AF956" w:rsidR="00826B51" w:rsidRPr="00B07FB9" w:rsidRDefault="00826B51" w:rsidP="00D564E8">
            <w:pPr>
              <w:pStyle w:val="TableText0"/>
              <w:keepLines/>
              <w:widowControl w:val="0"/>
              <w:rPr>
                <w:szCs w:val="20"/>
              </w:rPr>
            </w:pPr>
            <w:r w:rsidRPr="00B07FB9">
              <w:rPr>
                <w:szCs w:val="20"/>
              </w:rPr>
              <w:t xml:space="preserve">The PBAC considered that the ICER presented was uncertain and likely to be underestimated for the following reasons: </w:t>
            </w:r>
          </w:p>
        </w:tc>
        <w:tc>
          <w:tcPr>
            <w:tcW w:w="2175" w:type="pct"/>
            <w:tcBorders>
              <w:top w:val="single" w:sz="4" w:space="0" w:color="auto"/>
              <w:bottom w:val="nil"/>
            </w:tcBorders>
          </w:tcPr>
          <w:p w14:paraId="0756C460" w14:textId="77777777" w:rsidR="00826B51" w:rsidRPr="00B07FB9" w:rsidRDefault="00826B51" w:rsidP="00D564E8">
            <w:pPr>
              <w:pStyle w:val="TableText0"/>
              <w:keepLines/>
              <w:widowControl w:val="0"/>
              <w:ind w:left="360"/>
            </w:pPr>
          </w:p>
        </w:tc>
      </w:tr>
      <w:tr w:rsidR="00826B51" w:rsidRPr="00B07FB9" w14:paraId="27969407" w14:textId="77777777" w:rsidTr="00F727C4">
        <w:tc>
          <w:tcPr>
            <w:tcW w:w="666" w:type="pct"/>
            <w:tcBorders>
              <w:top w:val="nil"/>
              <w:bottom w:val="nil"/>
            </w:tcBorders>
          </w:tcPr>
          <w:p w14:paraId="2D7728AF" w14:textId="77777777" w:rsidR="00826B51" w:rsidRPr="00B07FB9" w:rsidRDefault="00826B51" w:rsidP="00D564E8">
            <w:pPr>
              <w:pStyle w:val="TableText0"/>
              <w:keepLines/>
              <w:widowControl w:val="0"/>
            </w:pPr>
          </w:p>
        </w:tc>
        <w:tc>
          <w:tcPr>
            <w:tcW w:w="2159" w:type="pct"/>
            <w:tcBorders>
              <w:top w:val="nil"/>
              <w:bottom w:val="nil"/>
            </w:tcBorders>
          </w:tcPr>
          <w:p w14:paraId="5C40FD05" w14:textId="77777777" w:rsidR="00826B51" w:rsidRPr="00B07FB9" w:rsidRDefault="00826B51" w:rsidP="003C6ACF">
            <w:pPr>
              <w:pStyle w:val="TableText0"/>
              <w:keepLines/>
              <w:widowControl w:val="0"/>
              <w:numPr>
                <w:ilvl w:val="0"/>
                <w:numId w:val="9"/>
              </w:numPr>
              <w:rPr>
                <w:szCs w:val="20"/>
              </w:rPr>
            </w:pPr>
            <w:r w:rsidRPr="00B07FB9">
              <w:rPr>
                <w:szCs w:val="20"/>
              </w:rPr>
              <w:t xml:space="preserve">The model assumed a continued treatment effect beyond the end of the trial, which was not adequately justified in the submission, and introduced substantial uncertainty to the modelled results; </w:t>
            </w:r>
          </w:p>
          <w:p w14:paraId="4F6080BD" w14:textId="77777777" w:rsidR="00826B51" w:rsidRPr="00B07FB9" w:rsidRDefault="00826B51" w:rsidP="00D564E8">
            <w:pPr>
              <w:pStyle w:val="TableText0"/>
              <w:keepLines/>
              <w:widowControl w:val="0"/>
              <w:rPr>
                <w:szCs w:val="20"/>
              </w:rPr>
            </w:pPr>
          </w:p>
        </w:tc>
        <w:tc>
          <w:tcPr>
            <w:tcW w:w="2175" w:type="pct"/>
            <w:tcBorders>
              <w:top w:val="nil"/>
              <w:bottom w:val="nil"/>
            </w:tcBorders>
          </w:tcPr>
          <w:p w14:paraId="4437B138" w14:textId="6CD16CE2" w:rsidR="00826B51" w:rsidRPr="00B07FB9" w:rsidRDefault="00826B51" w:rsidP="003C6ACF">
            <w:pPr>
              <w:pStyle w:val="TableText0"/>
              <w:keepLines/>
              <w:widowControl w:val="0"/>
              <w:numPr>
                <w:ilvl w:val="0"/>
                <w:numId w:val="10"/>
              </w:numPr>
            </w:pPr>
            <w:r w:rsidRPr="00B07FB9">
              <w:t>Not addressed. The model presented for the non-</w:t>
            </w:r>
            <w:proofErr w:type="spellStart"/>
            <w:r w:rsidRPr="00B07FB9">
              <w:t>BRCAm</w:t>
            </w:r>
            <w:proofErr w:type="spellEnd"/>
            <w:r w:rsidRPr="00B07FB9">
              <w:t xml:space="preserve"> cohort also assumed a continued treatment effect beyond the end of trial (97% of the OS benefit modelled for niraparib compared with SMM was accrued in the extrapolated period).</w:t>
            </w:r>
          </w:p>
        </w:tc>
      </w:tr>
      <w:tr w:rsidR="00826B51" w:rsidRPr="00B07FB9" w14:paraId="45F6CE43" w14:textId="77777777" w:rsidTr="00F727C4">
        <w:tc>
          <w:tcPr>
            <w:tcW w:w="666" w:type="pct"/>
            <w:tcBorders>
              <w:top w:val="nil"/>
              <w:bottom w:val="nil"/>
            </w:tcBorders>
          </w:tcPr>
          <w:p w14:paraId="77BF1E9B" w14:textId="77777777" w:rsidR="00826B51" w:rsidRPr="00B07FB9" w:rsidRDefault="00826B51" w:rsidP="00D564E8">
            <w:pPr>
              <w:pStyle w:val="TableText0"/>
              <w:keepLines/>
              <w:widowControl w:val="0"/>
            </w:pPr>
          </w:p>
        </w:tc>
        <w:tc>
          <w:tcPr>
            <w:tcW w:w="2159" w:type="pct"/>
            <w:tcBorders>
              <w:top w:val="nil"/>
              <w:bottom w:val="nil"/>
            </w:tcBorders>
          </w:tcPr>
          <w:p w14:paraId="2BEB55D7" w14:textId="77777777" w:rsidR="00826B51" w:rsidRPr="00B07FB9" w:rsidRDefault="00826B51" w:rsidP="003C6ACF">
            <w:pPr>
              <w:pStyle w:val="TableText0"/>
              <w:keepLines/>
              <w:widowControl w:val="0"/>
              <w:numPr>
                <w:ilvl w:val="0"/>
                <w:numId w:val="9"/>
              </w:numPr>
              <w:rPr>
                <w:szCs w:val="20"/>
              </w:rPr>
            </w:pPr>
            <w:r w:rsidRPr="00B07FB9">
              <w:rPr>
                <w:szCs w:val="20"/>
              </w:rPr>
              <w:t>The model was sensitive to the parametric functions for OS extrapolation and time horizon. The PBAC considered that 20 years may be too long for the non-</w:t>
            </w:r>
            <w:proofErr w:type="spellStart"/>
            <w:r w:rsidRPr="00B07FB9">
              <w:rPr>
                <w:szCs w:val="20"/>
              </w:rPr>
              <w:t>BRCAm</w:t>
            </w:r>
            <w:proofErr w:type="spellEnd"/>
            <w:r w:rsidRPr="00B07FB9">
              <w:rPr>
                <w:szCs w:val="20"/>
              </w:rPr>
              <w:t xml:space="preserve"> population and introduced additional uncertainty due to the immaturity of the OS data from PRIMA. </w:t>
            </w:r>
          </w:p>
          <w:p w14:paraId="7A062A79" w14:textId="59A86303" w:rsidR="00826B51" w:rsidRPr="00B07FB9" w:rsidRDefault="00826B51" w:rsidP="00D564E8">
            <w:pPr>
              <w:pStyle w:val="TableText0"/>
              <w:keepLines/>
              <w:widowControl w:val="0"/>
              <w:ind w:left="360"/>
              <w:rPr>
                <w:szCs w:val="20"/>
              </w:rPr>
            </w:pPr>
          </w:p>
        </w:tc>
        <w:tc>
          <w:tcPr>
            <w:tcW w:w="2175" w:type="pct"/>
            <w:tcBorders>
              <w:top w:val="nil"/>
              <w:bottom w:val="nil"/>
            </w:tcBorders>
          </w:tcPr>
          <w:p w14:paraId="5998620F" w14:textId="69562A3E" w:rsidR="00826B51" w:rsidRPr="00B07FB9" w:rsidRDefault="00826B51" w:rsidP="003C6ACF">
            <w:pPr>
              <w:pStyle w:val="TableText0"/>
              <w:keepLines/>
              <w:widowControl w:val="0"/>
              <w:numPr>
                <w:ilvl w:val="0"/>
                <w:numId w:val="10"/>
              </w:numPr>
            </w:pPr>
            <w:r w:rsidRPr="00B07FB9">
              <w:t>Addressed. The resubmission used independent parametric functions for extrapolation of survival curves (PFS and OS) and time horizon was revised to 15 years. However, due to immature OS data, uncertainties remain.</w:t>
            </w:r>
          </w:p>
        </w:tc>
      </w:tr>
      <w:tr w:rsidR="00460E9B" w:rsidRPr="00B07FB9" w14:paraId="5ECB85FC" w14:textId="77777777" w:rsidTr="00F727C4">
        <w:tc>
          <w:tcPr>
            <w:tcW w:w="666" w:type="pct"/>
            <w:tcBorders>
              <w:top w:val="nil"/>
            </w:tcBorders>
          </w:tcPr>
          <w:p w14:paraId="42431E00" w14:textId="3458F955" w:rsidR="00460E9B" w:rsidRPr="00B07FB9" w:rsidRDefault="00460E9B" w:rsidP="00D564E8">
            <w:pPr>
              <w:pStyle w:val="TableText0"/>
              <w:keepLines/>
              <w:widowControl w:val="0"/>
            </w:pPr>
          </w:p>
        </w:tc>
        <w:tc>
          <w:tcPr>
            <w:tcW w:w="2159" w:type="pct"/>
            <w:tcBorders>
              <w:top w:val="nil"/>
            </w:tcBorders>
          </w:tcPr>
          <w:p w14:paraId="59BC7F13" w14:textId="77777777" w:rsidR="00460E9B" w:rsidRPr="00B07FB9" w:rsidRDefault="00460E9B" w:rsidP="003C6ACF">
            <w:pPr>
              <w:pStyle w:val="TableText0"/>
              <w:keepLines/>
              <w:widowControl w:val="0"/>
              <w:numPr>
                <w:ilvl w:val="0"/>
                <w:numId w:val="9"/>
              </w:numPr>
              <w:rPr>
                <w:szCs w:val="20"/>
              </w:rPr>
            </w:pPr>
            <w:r w:rsidRPr="00B07FB9">
              <w:rPr>
                <w:szCs w:val="20"/>
              </w:rPr>
              <w:t xml:space="preserve">The cost of second-line </w:t>
            </w:r>
            <w:r w:rsidRPr="00B07FB9">
              <w:t>poly (ADP-ribose) polymerase inhibitor (</w:t>
            </w:r>
            <w:proofErr w:type="spellStart"/>
            <w:r w:rsidRPr="00B07FB9">
              <w:t>PARPi</w:t>
            </w:r>
            <w:proofErr w:type="spellEnd"/>
            <w:r w:rsidRPr="00B07FB9">
              <w:t xml:space="preserve">) </w:t>
            </w:r>
            <w:r w:rsidRPr="00B07FB9">
              <w:rPr>
                <w:szCs w:val="20"/>
              </w:rPr>
              <w:t xml:space="preserve">use is the main source of cost-offsets modelled and has a high impact on the ICER and assumptions around second-line use of </w:t>
            </w:r>
            <w:proofErr w:type="spellStart"/>
            <w:r w:rsidRPr="00B07FB9">
              <w:rPr>
                <w:szCs w:val="20"/>
              </w:rPr>
              <w:t>olaparib</w:t>
            </w:r>
            <w:proofErr w:type="spellEnd"/>
            <w:r w:rsidRPr="00B07FB9">
              <w:rPr>
                <w:szCs w:val="20"/>
              </w:rPr>
              <w:t xml:space="preserve"> appear to overestimate the cost offsets for second-line PARP inhibitors in the model. </w:t>
            </w:r>
          </w:p>
          <w:p w14:paraId="23E2B08E" w14:textId="2F63D631" w:rsidR="00460E9B" w:rsidRPr="00B07FB9" w:rsidRDefault="00460E9B" w:rsidP="00D564E8">
            <w:pPr>
              <w:pStyle w:val="TableText0"/>
              <w:keepLines/>
              <w:widowControl w:val="0"/>
              <w:rPr>
                <w:szCs w:val="20"/>
              </w:rPr>
            </w:pPr>
            <w:r w:rsidRPr="00B07FB9">
              <w:rPr>
                <w:szCs w:val="20"/>
              </w:rPr>
              <w:t>(para 7.15)</w:t>
            </w:r>
          </w:p>
        </w:tc>
        <w:tc>
          <w:tcPr>
            <w:tcW w:w="2175" w:type="pct"/>
            <w:tcBorders>
              <w:top w:val="nil"/>
            </w:tcBorders>
          </w:tcPr>
          <w:p w14:paraId="4A9C0729" w14:textId="0A5A4D08" w:rsidR="00460E9B" w:rsidRPr="00B07FB9" w:rsidRDefault="00460E9B" w:rsidP="003C6ACF">
            <w:pPr>
              <w:pStyle w:val="TableText0"/>
              <w:keepLines/>
              <w:widowControl w:val="0"/>
              <w:numPr>
                <w:ilvl w:val="0"/>
                <w:numId w:val="10"/>
              </w:numPr>
            </w:pPr>
            <w:r w:rsidRPr="00B07FB9">
              <w:t xml:space="preserve">Addressed. 2L </w:t>
            </w:r>
            <w:proofErr w:type="spellStart"/>
            <w:r w:rsidRPr="00B07FB9">
              <w:t>olaparib</w:t>
            </w:r>
            <w:proofErr w:type="spellEnd"/>
            <w:r w:rsidRPr="00B07FB9">
              <w:t xml:space="preserve"> use removed from CUA to align with non-</w:t>
            </w:r>
            <w:proofErr w:type="spellStart"/>
            <w:r w:rsidRPr="00B07FB9">
              <w:t>BRCAm</w:t>
            </w:r>
            <w:proofErr w:type="spellEnd"/>
            <w:r w:rsidRPr="00B07FB9">
              <w:t xml:space="preserve"> population.</w:t>
            </w:r>
          </w:p>
        </w:tc>
      </w:tr>
      <w:tr w:rsidR="00460E9B" w:rsidRPr="00B07FB9" w14:paraId="3E5916B0" w14:textId="77777777" w:rsidTr="00F727C4">
        <w:tc>
          <w:tcPr>
            <w:tcW w:w="666" w:type="pct"/>
          </w:tcPr>
          <w:p w14:paraId="716E6CC8" w14:textId="406FC8BA" w:rsidR="00460E9B" w:rsidRPr="00B07FB9" w:rsidRDefault="00460E9B" w:rsidP="000C6F49">
            <w:pPr>
              <w:pStyle w:val="TableText0"/>
              <w:keepNext w:val="0"/>
              <w:widowControl w:val="0"/>
            </w:pPr>
            <w:r w:rsidRPr="00B07FB9">
              <w:t xml:space="preserve">Economic model approach </w:t>
            </w:r>
          </w:p>
        </w:tc>
        <w:tc>
          <w:tcPr>
            <w:tcW w:w="2159" w:type="pct"/>
          </w:tcPr>
          <w:p w14:paraId="3450383B" w14:textId="5B67E3B4" w:rsidR="00460E9B" w:rsidRPr="00B07FB9" w:rsidRDefault="00460E9B" w:rsidP="000C6F49">
            <w:pPr>
              <w:pStyle w:val="TableText0"/>
              <w:keepNext w:val="0"/>
              <w:widowControl w:val="0"/>
              <w:rPr>
                <w:szCs w:val="20"/>
              </w:rPr>
            </w:pPr>
            <w:r w:rsidRPr="00B07FB9">
              <w:rPr>
                <w:szCs w:val="20"/>
              </w:rPr>
              <w:t xml:space="preserve">The PBAC noted that the approach taken in the economic model was inconsistent with the proposed place in therapy and the utilisation and financial estimates presented, which assumed that the proposed listing of niraparib would reduce the use of existing first-line maintenance therapies, including bevacizumab and </w:t>
            </w:r>
            <w:proofErr w:type="spellStart"/>
            <w:r w:rsidRPr="00B07FB9">
              <w:rPr>
                <w:szCs w:val="20"/>
              </w:rPr>
              <w:t>olaparib</w:t>
            </w:r>
            <w:proofErr w:type="spellEnd"/>
            <w:r w:rsidRPr="00B07FB9">
              <w:rPr>
                <w:szCs w:val="20"/>
              </w:rPr>
              <w:t>, but would not affect the extent of use of later-line maintenance therapies (para 7.16).</w:t>
            </w:r>
          </w:p>
        </w:tc>
        <w:tc>
          <w:tcPr>
            <w:tcW w:w="2175" w:type="pct"/>
          </w:tcPr>
          <w:p w14:paraId="367D65CE" w14:textId="6534A460" w:rsidR="00460E9B" w:rsidRPr="00B07FB9" w:rsidRDefault="00CB05FC" w:rsidP="000C6F49">
            <w:pPr>
              <w:pStyle w:val="TableText0"/>
              <w:keepNext w:val="0"/>
              <w:widowControl w:val="0"/>
            </w:pPr>
            <w:r w:rsidRPr="00B07FB9">
              <w:t>Partially</w:t>
            </w:r>
            <w:r w:rsidR="00460E9B" w:rsidRPr="00B07FB9">
              <w:t xml:space="preserve"> addressed. </w:t>
            </w:r>
          </w:p>
          <w:p w14:paraId="048A07C7" w14:textId="0710C1E3" w:rsidR="00460E9B" w:rsidRPr="00B07FB9" w:rsidRDefault="00CB05FC" w:rsidP="000C6F49">
            <w:pPr>
              <w:pStyle w:val="TableText0"/>
              <w:keepNext w:val="0"/>
              <w:widowControl w:val="0"/>
            </w:pPr>
            <w:r w:rsidRPr="00B07FB9">
              <w:t>F</w:t>
            </w:r>
            <w:r w:rsidR="00460E9B" w:rsidRPr="00B07FB9">
              <w:t>or bevacizumab use, the economic evaluations only presented a sensitivity analysis assuming a 7% use in non-</w:t>
            </w:r>
            <w:proofErr w:type="spellStart"/>
            <w:r w:rsidR="00460E9B" w:rsidRPr="00B07FB9">
              <w:t>BRCAm</w:t>
            </w:r>
            <w:proofErr w:type="spellEnd"/>
            <w:r w:rsidR="00460E9B" w:rsidRPr="00B07FB9">
              <w:t xml:space="preserve"> cohort, however it was estimated as 27.4% use in the financials. There is a lack of evidence to accurately inform the correct estimate.</w:t>
            </w:r>
          </w:p>
        </w:tc>
      </w:tr>
      <w:tr w:rsidR="004B35FD" w:rsidRPr="00B07FB9" w14:paraId="167768AD" w14:textId="77777777" w:rsidTr="00F727C4">
        <w:tc>
          <w:tcPr>
            <w:tcW w:w="5000" w:type="pct"/>
            <w:gridSpan w:val="3"/>
          </w:tcPr>
          <w:p w14:paraId="288BCE55" w14:textId="08E8EDB2" w:rsidR="004B35FD" w:rsidRPr="00B07FB9" w:rsidRDefault="004B35FD" w:rsidP="000C6F49">
            <w:pPr>
              <w:pStyle w:val="TableText0"/>
              <w:keepNext w:val="0"/>
              <w:widowControl w:val="0"/>
              <w:rPr>
                <w:b/>
              </w:rPr>
            </w:pPr>
            <w:r w:rsidRPr="00B07FB9">
              <w:rPr>
                <w:b/>
              </w:rPr>
              <w:t>Financial</w:t>
            </w:r>
          </w:p>
        </w:tc>
      </w:tr>
      <w:tr w:rsidR="004B35FD" w:rsidRPr="00B07FB9" w14:paraId="51A78ADC" w14:textId="77777777" w:rsidTr="00F727C4">
        <w:tc>
          <w:tcPr>
            <w:tcW w:w="666" w:type="pct"/>
          </w:tcPr>
          <w:p w14:paraId="7DF7677F" w14:textId="519B1AE1" w:rsidR="004B35FD" w:rsidRPr="00B07FB9" w:rsidRDefault="00930E31" w:rsidP="000C6F49">
            <w:pPr>
              <w:pStyle w:val="TableText0"/>
              <w:keepNext w:val="0"/>
              <w:widowControl w:val="0"/>
            </w:pPr>
            <w:r w:rsidRPr="00B07FB9">
              <w:t>Uptake of niraparib</w:t>
            </w:r>
          </w:p>
        </w:tc>
        <w:tc>
          <w:tcPr>
            <w:tcW w:w="2159" w:type="pct"/>
          </w:tcPr>
          <w:p w14:paraId="174A6B40" w14:textId="548DF3F5" w:rsidR="004B35FD" w:rsidRPr="00B07FB9" w:rsidRDefault="004B35FD" w:rsidP="000C6F49">
            <w:pPr>
              <w:pStyle w:val="TableText0"/>
              <w:keepNext w:val="0"/>
              <w:widowControl w:val="0"/>
              <w:rPr>
                <w:rFonts w:eastAsia="Times New Roman" w:cs="Arial"/>
                <w:bCs w:val="0"/>
                <w:szCs w:val="20"/>
              </w:rPr>
            </w:pPr>
            <w:r w:rsidRPr="00B07FB9">
              <w:rPr>
                <w:rFonts w:eastAsia="Times New Roman" w:cs="Arial"/>
                <w:bCs w:val="0"/>
                <w:szCs w:val="20"/>
              </w:rPr>
              <w:t>The PBAC considered that the financial estimates were uncertain because the uptake assumptions, and rates of substitution of alternative therapies were not well justified. The PBAC</w:t>
            </w:r>
            <w:r w:rsidRPr="00B07FB9">
              <w:t xml:space="preserve"> </w:t>
            </w:r>
            <w:r w:rsidRPr="00B07FB9">
              <w:rPr>
                <w:rFonts w:eastAsia="Times New Roman" w:cs="Arial"/>
                <w:bCs w:val="0"/>
                <w:szCs w:val="20"/>
              </w:rPr>
              <w:t xml:space="preserve">considered that the submission’s estimate of up to 50% substitution of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with niraparib was overestimated as clinicians are familiar with the use of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and its safety profile appears superior to niraparib. The PBAC also considered that the number of patients switching from </w:t>
            </w:r>
            <w:proofErr w:type="spellStart"/>
            <w:r w:rsidRPr="00B07FB9">
              <w:rPr>
                <w:rFonts w:eastAsia="Times New Roman" w:cs="Arial"/>
                <w:bCs w:val="0"/>
                <w:szCs w:val="20"/>
              </w:rPr>
              <w:t>olaparib</w:t>
            </w:r>
            <w:proofErr w:type="spellEnd"/>
            <w:r w:rsidRPr="00B07FB9">
              <w:rPr>
                <w:rFonts w:eastAsia="Times New Roman" w:cs="Arial"/>
                <w:bCs w:val="0"/>
                <w:szCs w:val="20"/>
              </w:rPr>
              <w:t xml:space="preserve"> to niraparib is likely to be very small and these patients could reasonably be removed from the estimates (para 7.16).</w:t>
            </w:r>
          </w:p>
        </w:tc>
        <w:tc>
          <w:tcPr>
            <w:tcW w:w="2175" w:type="pct"/>
          </w:tcPr>
          <w:p w14:paraId="1D013052" w14:textId="0DE69B51" w:rsidR="004B35FD" w:rsidRPr="00B07FB9" w:rsidRDefault="0023600C" w:rsidP="004F6480">
            <w:pPr>
              <w:pStyle w:val="TableText0"/>
              <w:keepNext w:val="0"/>
              <w:widowControl w:val="0"/>
            </w:pPr>
            <w:r w:rsidRPr="00B07FB9">
              <w:t xml:space="preserve">The resubmission assumed a lower uptake rate of niraparib in </w:t>
            </w:r>
            <w:proofErr w:type="spellStart"/>
            <w:r w:rsidRPr="00B07FB9">
              <w:t>BRCAm</w:t>
            </w:r>
            <w:proofErr w:type="spellEnd"/>
            <w:r w:rsidRPr="00B07FB9">
              <w:t xml:space="preserve"> patients who would otherwise receive </w:t>
            </w:r>
            <w:proofErr w:type="spellStart"/>
            <w:r w:rsidRPr="00B07FB9">
              <w:t>olaparib</w:t>
            </w:r>
            <w:proofErr w:type="spellEnd"/>
            <w:r w:rsidRPr="00B07FB9">
              <w:t xml:space="preserve"> and in patients discontinuing </w:t>
            </w:r>
            <w:proofErr w:type="spellStart"/>
            <w:r w:rsidRPr="00B07FB9">
              <w:t>olaparib</w:t>
            </w:r>
            <w:proofErr w:type="spellEnd"/>
            <w:r w:rsidRPr="00B07FB9">
              <w:t xml:space="preserve"> due to AEs</w:t>
            </w:r>
            <w:r w:rsidR="00FD6BD6" w:rsidRPr="00B07FB9">
              <w:t>.</w:t>
            </w:r>
            <w:r w:rsidR="00E61BA5" w:rsidRPr="00B07FB9">
              <w:t xml:space="preserve"> However</w:t>
            </w:r>
            <w:r w:rsidR="00745E89" w:rsidRPr="00B07FB9">
              <w:t>,</w:t>
            </w:r>
            <w:r w:rsidR="00E61BA5" w:rsidRPr="00B07FB9">
              <w:t xml:space="preserve"> the submission still assumed niraparib utilisation would stabilise at 25% </w:t>
            </w:r>
            <w:proofErr w:type="spellStart"/>
            <w:r w:rsidR="00E61BA5" w:rsidRPr="00B07FB9">
              <w:t>BRCAm</w:t>
            </w:r>
            <w:proofErr w:type="spellEnd"/>
            <w:r w:rsidR="00E61BA5" w:rsidRPr="00B07FB9">
              <w:t xml:space="preserve"> and 75% non-</w:t>
            </w:r>
            <w:proofErr w:type="spellStart"/>
            <w:r w:rsidR="00E61BA5" w:rsidRPr="00B07FB9">
              <w:t>BRCAm</w:t>
            </w:r>
            <w:proofErr w:type="spellEnd"/>
            <w:r w:rsidR="00DB111D" w:rsidRPr="00B07FB9">
              <w:t xml:space="preserve"> </w:t>
            </w:r>
            <w:r w:rsidR="004F6480" w:rsidRPr="00B07FB9">
              <w:t xml:space="preserve">from year three onwards </w:t>
            </w:r>
            <w:r w:rsidR="002E4B16" w:rsidRPr="00B07FB9">
              <w:t>which the ESC considered may be unreasonable</w:t>
            </w:r>
            <w:r w:rsidR="00F8347F" w:rsidRPr="00B07FB9">
              <w:t>.</w:t>
            </w:r>
          </w:p>
        </w:tc>
      </w:tr>
    </w:tbl>
    <w:p w14:paraId="6EE04FCA" w14:textId="50EFF59D" w:rsidR="001B4E9C" w:rsidRPr="00B07FB9" w:rsidRDefault="001B4E9C" w:rsidP="000C6F49">
      <w:pPr>
        <w:pStyle w:val="TableFigureFooter"/>
        <w:widowControl w:val="0"/>
      </w:pPr>
      <w:r w:rsidRPr="00B07FB9">
        <w:t xml:space="preserve">Source: </w:t>
      </w:r>
      <w:r w:rsidR="0023600C" w:rsidRPr="00B07FB9">
        <w:t>Compiled during the evaluation</w:t>
      </w:r>
      <w:r w:rsidRPr="00B07FB9">
        <w:t>.</w:t>
      </w:r>
    </w:p>
    <w:p w14:paraId="20AE798E" w14:textId="6F135EC5" w:rsidR="0023600C" w:rsidRDefault="00460E9B" w:rsidP="000C6F49">
      <w:pPr>
        <w:pStyle w:val="TableFigureFooter"/>
        <w:widowControl w:val="0"/>
      </w:pPr>
      <w:r w:rsidRPr="00B07FB9">
        <w:t xml:space="preserve">2L = second-line; </w:t>
      </w:r>
      <w:r w:rsidR="00EA655A" w:rsidRPr="00B07FB9">
        <w:t xml:space="preserve">AEs = adverse events; </w:t>
      </w:r>
      <w:proofErr w:type="spellStart"/>
      <w:r w:rsidR="00A20808" w:rsidRPr="00B07FB9">
        <w:t>BRCAm</w:t>
      </w:r>
      <w:proofErr w:type="spellEnd"/>
      <w:r w:rsidR="00A20808" w:rsidRPr="00B07FB9">
        <w:t xml:space="preserve"> = BRCA gene mutation</w:t>
      </w:r>
      <w:r w:rsidR="0023600C" w:rsidRPr="00B07FB9">
        <w:t xml:space="preserve">; </w:t>
      </w:r>
      <w:r w:rsidR="00EA655A" w:rsidRPr="00B07FB9">
        <w:t xml:space="preserve">CI = confidence interval; </w:t>
      </w:r>
      <w:r w:rsidR="00B1614A" w:rsidRPr="00B07FB9">
        <w:t xml:space="preserve">CMA = cost-minimisation analysis; CUA = cost-utility analysis; </w:t>
      </w:r>
      <w:r w:rsidR="00EA655A" w:rsidRPr="00B07FB9">
        <w:t xml:space="preserve">HGEOC = high-grade epithelial ovarian cancer; </w:t>
      </w:r>
      <w:r w:rsidR="0023600C" w:rsidRPr="00B07FB9">
        <w:t xml:space="preserve">HRD = homologous recombinant deficiency; </w:t>
      </w:r>
      <w:proofErr w:type="spellStart"/>
      <w:r w:rsidR="00EA655A" w:rsidRPr="00B07FB9">
        <w:t>HRDnd</w:t>
      </w:r>
      <w:proofErr w:type="spellEnd"/>
      <w:r w:rsidR="00EA655A" w:rsidRPr="00B07FB9">
        <w:t xml:space="preserve"> = homologous recombination deficiency test status not determined; </w:t>
      </w:r>
      <w:proofErr w:type="spellStart"/>
      <w:r w:rsidR="00EA655A" w:rsidRPr="00B07FB9">
        <w:t>HRDneg</w:t>
      </w:r>
      <w:proofErr w:type="spellEnd"/>
      <w:r w:rsidR="00EA655A" w:rsidRPr="00B07FB9">
        <w:t xml:space="preserve"> = homologous recombination deficiency test negative; </w:t>
      </w:r>
      <w:proofErr w:type="spellStart"/>
      <w:r w:rsidR="00EA655A" w:rsidRPr="00B07FB9">
        <w:t>HRDpos</w:t>
      </w:r>
      <w:proofErr w:type="spellEnd"/>
      <w:r w:rsidR="00EA655A" w:rsidRPr="00B07FB9">
        <w:t xml:space="preserve">=homologous recombination deficiency test positive; ITC = indirect </w:t>
      </w:r>
      <w:r w:rsidR="00FD6BD6" w:rsidRPr="00B07FB9">
        <w:t xml:space="preserve">treatment </w:t>
      </w:r>
      <w:r w:rsidR="00EA655A" w:rsidRPr="00B07FB9">
        <w:t xml:space="preserve">comparison; </w:t>
      </w:r>
      <w:r w:rsidR="00184A50" w:rsidRPr="00B07FB9">
        <w:t xml:space="preserve">OS = overall survival; </w:t>
      </w:r>
      <w:r w:rsidR="00930E31" w:rsidRPr="00B07FB9">
        <w:t xml:space="preserve">PARP = poly (ADP-ribose) polymerase; </w:t>
      </w:r>
      <w:r w:rsidR="00B1614A" w:rsidRPr="00B07FB9">
        <w:t xml:space="preserve">PDS = primary debulking surgery; </w:t>
      </w:r>
      <w:r w:rsidR="00EA655A" w:rsidRPr="00B07FB9">
        <w:t xml:space="preserve">PFS = progression-free survival; </w:t>
      </w:r>
      <w:r w:rsidR="0023600C" w:rsidRPr="00B07FB9">
        <w:t>SMM = standard medical management</w:t>
      </w:r>
      <w:r w:rsidR="00EA655A" w:rsidRPr="00B07FB9">
        <w:t xml:space="preserve">; TEAEs = treatment-emergent </w:t>
      </w:r>
      <w:r w:rsidR="00EA655A" w:rsidRPr="00B07FB9">
        <w:lastRenderedPageBreak/>
        <w:t>adverse events</w:t>
      </w:r>
    </w:p>
    <w:p w14:paraId="552793B7" w14:textId="0760C125" w:rsidR="00395C19" w:rsidRPr="00B07FB9" w:rsidRDefault="00395C19" w:rsidP="000C6F49">
      <w:pPr>
        <w:pStyle w:val="TableFigureFooter"/>
        <w:widowControl w:val="0"/>
      </w:pPr>
      <w:r>
        <w:t>*</w:t>
      </w:r>
      <w:r w:rsidRPr="00395C19">
        <w:t xml:space="preserve"> </w:t>
      </w:r>
      <w:r>
        <w:t xml:space="preserve">Note that the indirect comparisons of niraparib vs. </w:t>
      </w:r>
      <w:proofErr w:type="spellStart"/>
      <w:r>
        <w:t>olaparib</w:t>
      </w:r>
      <w:proofErr w:type="spellEnd"/>
      <w:r>
        <w:t xml:space="preserve"> in the </w:t>
      </w:r>
      <w:proofErr w:type="spellStart"/>
      <w:r>
        <w:t>BRCAm</w:t>
      </w:r>
      <w:proofErr w:type="spellEnd"/>
      <w:r>
        <w:t xml:space="preserve"> population were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2E61DDFD" w14:textId="5F8B7792" w:rsidR="001B4E9C" w:rsidRPr="00B07FB9" w:rsidRDefault="001B4E9C" w:rsidP="000C6F49">
      <w:pPr>
        <w:pStyle w:val="3-BodyText"/>
        <w:widowControl w:val="0"/>
      </w:pPr>
      <w:r w:rsidRPr="00B07FB9">
        <w:t xml:space="preserve">Niraparib was also </w:t>
      </w:r>
      <w:r w:rsidR="00826B51" w:rsidRPr="00B07FB9">
        <w:t xml:space="preserve">previously </w:t>
      </w:r>
      <w:r w:rsidRPr="00B07FB9">
        <w:t>considered by the PBAC in March 2021 for the treatment of platinum-sensitive relapsed, high-grade serous ovarian, fallopian tube or primary peritoneal cancer, who are in response to platinum-based chemotherapy, but was not recommended for listing in this indication.</w:t>
      </w:r>
    </w:p>
    <w:p w14:paraId="03AE5786" w14:textId="77777777" w:rsidR="00C726A3" w:rsidRPr="00B07FB9" w:rsidRDefault="00C726A3" w:rsidP="00C726A3">
      <w:pPr>
        <w:ind w:firstLine="709"/>
        <w:rPr>
          <w:rFonts w:asciiTheme="minorHAnsi" w:hAnsiTheme="minorHAnsi"/>
          <w:i/>
        </w:rPr>
      </w:pPr>
      <w:bookmarkStart w:id="8" w:name="_Hlk76375324"/>
      <w:bookmarkStart w:id="9" w:name="_Toc93404181"/>
      <w:r w:rsidRPr="00B07FB9">
        <w:rPr>
          <w:rFonts w:asciiTheme="minorHAnsi" w:hAnsiTheme="minorHAnsi"/>
          <w:i/>
        </w:rPr>
        <w:t>For more detail on PBAC’s view, see section 7 PBAC outcome.</w:t>
      </w:r>
    </w:p>
    <w:bookmarkEnd w:id="8"/>
    <w:p w14:paraId="7B8DF212" w14:textId="77777777" w:rsidR="001B4E9C" w:rsidRPr="00B07FB9" w:rsidRDefault="001B4E9C" w:rsidP="000C6F49">
      <w:pPr>
        <w:pStyle w:val="2-SectionHeading"/>
        <w:keepNext w:val="0"/>
        <w:widowControl w:val="0"/>
        <w:numPr>
          <w:ilvl w:val="0"/>
          <w:numId w:val="1"/>
        </w:numPr>
      </w:pPr>
      <w:r w:rsidRPr="00B07FB9">
        <w:t>Requested listing</w:t>
      </w:r>
      <w:bookmarkEnd w:id="9"/>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985"/>
        <w:gridCol w:w="992"/>
        <w:gridCol w:w="992"/>
        <w:gridCol w:w="993"/>
        <w:gridCol w:w="2551"/>
        <w:gridCol w:w="1514"/>
      </w:tblGrid>
      <w:tr w:rsidR="001B4E9C" w:rsidRPr="00B07FB9" w14:paraId="21868659" w14:textId="77777777" w:rsidTr="0043104F">
        <w:tc>
          <w:tcPr>
            <w:tcW w:w="1985" w:type="dxa"/>
          </w:tcPr>
          <w:p w14:paraId="0F8CA177" w14:textId="77777777" w:rsidR="001B4E9C" w:rsidRPr="00B07FB9" w:rsidRDefault="001B4E9C" w:rsidP="000C6F49">
            <w:pPr>
              <w:widowControl w:val="0"/>
              <w:jc w:val="left"/>
              <w:rPr>
                <w:rFonts w:ascii="Arial Narrow" w:hAnsi="Arial Narrow" w:cs="Times New Roman"/>
                <w:b/>
                <w:bCs/>
                <w:sz w:val="20"/>
              </w:rPr>
            </w:pPr>
            <w:r w:rsidRPr="00B07FB9">
              <w:rPr>
                <w:rFonts w:ascii="Arial Narrow" w:hAnsi="Arial Narrow" w:cs="Times New Roman"/>
                <w:b/>
                <w:sz w:val="20"/>
              </w:rPr>
              <w:t>Name, restriction, manner of administration, form</w:t>
            </w:r>
          </w:p>
        </w:tc>
        <w:tc>
          <w:tcPr>
            <w:tcW w:w="992" w:type="dxa"/>
          </w:tcPr>
          <w:p w14:paraId="211B0EB3" w14:textId="105FD45E" w:rsidR="001B4E9C" w:rsidRPr="00B07FB9" w:rsidRDefault="001B4E9C" w:rsidP="000C6F49">
            <w:pPr>
              <w:widowControl w:val="0"/>
              <w:jc w:val="center"/>
              <w:rPr>
                <w:rFonts w:ascii="Arial Narrow" w:hAnsi="Arial Narrow" w:cs="Times New Roman"/>
                <w:b/>
                <w:bCs/>
                <w:sz w:val="20"/>
              </w:rPr>
            </w:pPr>
            <w:r w:rsidRPr="00B07FB9">
              <w:rPr>
                <w:rFonts w:ascii="Arial Narrow" w:hAnsi="Arial Narrow" w:cs="Times New Roman"/>
                <w:b/>
                <w:sz w:val="20"/>
              </w:rPr>
              <w:t>Max quantity (packs)</w:t>
            </w:r>
          </w:p>
        </w:tc>
        <w:tc>
          <w:tcPr>
            <w:tcW w:w="992" w:type="dxa"/>
          </w:tcPr>
          <w:p w14:paraId="260FB2E9" w14:textId="4762CD53" w:rsidR="001B4E9C" w:rsidRPr="00B07FB9" w:rsidRDefault="001B4E9C" w:rsidP="000C6F49">
            <w:pPr>
              <w:widowControl w:val="0"/>
              <w:jc w:val="center"/>
              <w:rPr>
                <w:rFonts w:ascii="Arial Narrow" w:hAnsi="Arial Narrow" w:cs="Times New Roman"/>
                <w:b/>
                <w:bCs/>
                <w:sz w:val="20"/>
              </w:rPr>
            </w:pPr>
            <w:r w:rsidRPr="00B07FB9">
              <w:rPr>
                <w:rFonts w:ascii="Arial Narrow" w:hAnsi="Arial Narrow" w:cs="Times New Roman"/>
                <w:b/>
                <w:sz w:val="20"/>
              </w:rPr>
              <w:t>Ma</w:t>
            </w:r>
            <w:r w:rsidR="0043104F" w:rsidRPr="00B07FB9">
              <w:rPr>
                <w:rFonts w:ascii="Arial Narrow" w:hAnsi="Arial Narrow" w:cs="Times New Roman"/>
                <w:b/>
                <w:sz w:val="20"/>
              </w:rPr>
              <w:t xml:space="preserve">x </w:t>
            </w:r>
            <w:r w:rsidRPr="00B07FB9">
              <w:rPr>
                <w:rFonts w:ascii="Arial Narrow" w:hAnsi="Arial Narrow" w:cs="Times New Roman"/>
                <w:b/>
                <w:sz w:val="20"/>
              </w:rPr>
              <w:t>quantity (units)</w:t>
            </w:r>
          </w:p>
        </w:tc>
        <w:tc>
          <w:tcPr>
            <w:tcW w:w="993" w:type="dxa"/>
            <w:tcBorders>
              <w:bottom w:val="single" w:sz="4" w:space="0" w:color="auto"/>
            </w:tcBorders>
          </w:tcPr>
          <w:p w14:paraId="434F4BDE" w14:textId="77777777" w:rsidR="001B4E9C" w:rsidRPr="00B07FB9" w:rsidRDefault="001B4E9C" w:rsidP="000C6F49">
            <w:pPr>
              <w:widowControl w:val="0"/>
              <w:jc w:val="left"/>
              <w:rPr>
                <w:rFonts w:ascii="Arial Narrow" w:hAnsi="Arial Narrow" w:cs="Times New Roman"/>
                <w:b/>
                <w:bCs/>
                <w:sz w:val="20"/>
              </w:rPr>
            </w:pPr>
            <w:r w:rsidRPr="00B07FB9">
              <w:rPr>
                <w:rFonts w:ascii="Arial Narrow" w:hAnsi="Arial Narrow" w:cs="Times New Roman"/>
                <w:b/>
                <w:sz w:val="20"/>
              </w:rPr>
              <w:t>No. of repeats</w:t>
            </w:r>
          </w:p>
        </w:tc>
        <w:tc>
          <w:tcPr>
            <w:tcW w:w="2551" w:type="dxa"/>
          </w:tcPr>
          <w:p w14:paraId="541E5877" w14:textId="77777777" w:rsidR="001B4E9C" w:rsidRPr="00B07FB9" w:rsidRDefault="001B4E9C" w:rsidP="000C6F49">
            <w:pPr>
              <w:widowControl w:val="0"/>
              <w:jc w:val="left"/>
              <w:rPr>
                <w:rFonts w:ascii="Arial Narrow" w:hAnsi="Arial Narrow" w:cs="Times New Roman"/>
                <w:b/>
                <w:bCs/>
                <w:sz w:val="20"/>
              </w:rPr>
            </w:pPr>
            <w:r w:rsidRPr="00B07FB9">
              <w:rPr>
                <w:rFonts w:ascii="Arial Narrow" w:hAnsi="Arial Narrow" w:cs="Times New Roman"/>
                <w:b/>
                <w:sz w:val="20"/>
              </w:rPr>
              <w:t>Dispensed price for maximum quantity</w:t>
            </w:r>
          </w:p>
        </w:tc>
        <w:tc>
          <w:tcPr>
            <w:tcW w:w="1514" w:type="dxa"/>
          </w:tcPr>
          <w:p w14:paraId="2B34BEC0" w14:textId="77777777" w:rsidR="001B4E9C" w:rsidRPr="00B07FB9" w:rsidRDefault="001B4E9C" w:rsidP="000C6F49">
            <w:pPr>
              <w:widowControl w:val="0"/>
              <w:jc w:val="left"/>
              <w:rPr>
                <w:rFonts w:ascii="Arial Narrow" w:hAnsi="Arial Narrow" w:cs="Times New Roman"/>
                <w:b/>
                <w:bCs/>
                <w:sz w:val="20"/>
              </w:rPr>
            </w:pPr>
            <w:r w:rsidRPr="00B07FB9">
              <w:rPr>
                <w:rFonts w:ascii="Arial Narrow" w:hAnsi="Arial Narrow" w:cs="Times New Roman"/>
                <w:b/>
                <w:sz w:val="20"/>
              </w:rPr>
              <w:t>Proprietary name and manufacturer</w:t>
            </w:r>
          </w:p>
        </w:tc>
      </w:tr>
      <w:tr w:rsidR="001B4E9C" w:rsidRPr="00B07FB9" w14:paraId="4C4A0811" w14:textId="77777777" w:rsidTr="0043104F">
        <w:trPr>
          <w:trHeight w:val="104"/>
        </w:trPr>
        <w:tc>
          <w:tcPr>
            <w:tcW w:w="1985" w:type="dxa"/>
            <w:vMerge w:val="restart"/>
            <w:vAlign w:val="center"/>
          </w:tcPr>
          <w:p w14:paraId="40DCB975" w14:textId="77777777" w:rsidR="001B4E9C" w:rsidRPr="00B07FB9" w:rsidRDefault="001B4E9C" w:rsidP="000C6F49">
            <w:pPr>
              <w:widowControl w:val="0"/>
              <w:jc w:val="left"/>
              <w:rPr>
                <w:rFonts w:ascii="Arial Narrow" w:hAnsi="Arial Narrow" w:cs="Times New Roman"/>
                <w:sz w:val="20"/>
              </w:rPr>
            </w:pPr>
            <w:r w:rsidRPr="00B07FB9">
              <w:rPr>
                <w:rFonts w:ascii="Arial Narrow" w:hAnsi="Arial Narrow" w:cs="Times New Roman"/>
                <w:sz w:val="20"/>
              </w:rPr>
              <w:t xml:space="preserve">NIRAPARIB </w:t>
            </w:r>
          </w:p>
          <w:p w14:paraId="6EC38F06" w14:textId="25BBA990" w:rsidR="001B4E9C" w:rsidRPr="00B07FB9" w:rsidRDefault="001B4E9C" w:rsidP="000C6F49">
            <w:pPr>
              <w:widowControl w:val="0"/>
              <w:jc w:val="left"/>
              <w:rPr>
                <w:rFonts w:ascii="Arial Narrow" w:hAnsi="Arial Narrow" w:cs="Times New Roman"/>
                <w:b/>
                <w:bCs/>
                <w:sz w:val="20"/>
              </w:rPr>
            </w:pPr>
            <w:r w:rsidRPr="00B07FB9">
              <w:rPr>
                <w:rFonts w:ascii="Arial Narrow" w:hAnsi="Arial Narrow" w:cs="Times New Roman"/>
                <w:sz w:val="20"/>
              </w:rPr>
              <w:t>100</w:t>
            </w:r>
            <w:r w:rsidR="004C3CCB">
              <w:rPr>
                <w:rFonts w:ascii="Arial Narrow" w:hAnsi="Arial Narrow" w:cs="Times New Roman"/>
                <w:sz w:val="20"/>
              </w:rPr>
              <w:t> </w:t>
            </w:r>
            <w:r w:rsidRPr="00B07FB9">
              <w:rPr>
                <w:rFonts w:ascii="Arial Narrow" w:hAnsi="Arial Narrow" w:cs="Times New Roman"/>
                <w:sz w:val="20"/>
              </w:rPr>
              <w:t xml:space="preserve">mg (as </w:t>
            </w:r>
            <w:proofErr w:type="spellStart"/>
            <w:r w:rsidRPr="00B07FB9">
              <w:rPr>
                <w:rFonts w:ascii="Arial Narrow" w:hAnsi="Arial Narrow" w:cs="Times New Roman"/>
                <w:sz w:val="20"/>
              </w:rPr>
              <w:t>tosilate</w:t>
            </w:r>
            <w:proofErr w:type="spellEnd"/>
            <w:r w:rsidRPr="00B07FB9">
              <w:rPr>
                <w:rFonts w:ascii="Arial Narrow" w:hAnsi="Arial Narrow" w:cs="Times New Roman"/>
                <w:sz w:val="20"/>
              </w:rPr>
              <w:t xml:space="preserve"> monohydrate), Capsules</w:t>
            </w:r>
          </w:p>
        </w:tc>
        <w:tc>
          <w:tcPr>
            <w:tcW w:w="992" w:type="dxa"/>
            <w:vMerge w:val="restart"/>
            <w:vAlign w:val="center"/>
          </w:tcPr>
          <w:p w14:paraId="5F52CAFF" w14:textId="77777777" w:rsidR="001B4E9C" w:rsidRPr="00B07FB9" w:rsidRDefault="001B4E9C" w:rsidP="000C6F49">
            <w:pPr>
              <w:widowControl w:val="0"/>
              <w:jc w:val="center"/>
              <w:rPr>
                <w:rFonts w:ascii="Times" w:hAnsi="Times" w:cs="Times New Roman"/>
                <w:sz w:val="20"/>
              </w:rPr>
            </w:pPr>
            <w:r w:rsidRPr="00B07FB9">
              <w:rPr>
                <w:rFonts w:ascii="Arial Narrow" w:hAnsi="Arial Narrow" w:cs="Times New Roman"/>
                <w:sz w:val="20"/>
              </w:rPr>
              <w:t>1</w:t>
            </w:r>
          </w:p>
        </w:tc>
        <w:tc>
          <w:tcPr>
            <w:tcW w:w="992" w:type="dxa"/>
            <w:vMerge w:val="restart"/>
            <w:vAlign w:val="center"/>
          </w:tcPr>
          <w:p w14:paraId="06426F2F" w14:textId="77777777" w:rsidR="001B4E9C" w:rsidRPr="00B07FB9" w:rsidRDefault="001B4E9C" w:rsidP="000C6F49">
            <w:pPr>
              <w:widowControl w:val="0"/>
              <w:jc w:val="center"/>
              <w:rPr>
                <w:rFonts w:ascii="Times" w:hAnsi="Times" w:cs="Times New Roman"/>
                <w:sz w:val="20"/>
              </w:rPr>
            </w:pPr>
            <w:r w:rsidRPr="00B07FB9">
              <w:rPr>
                <w:rFonts w:ascii="Arial Narrow" w:hAnsi="Arial Narrow" w:cs="Times New Roman"/>
                <w:sz w:val="20"/>
              </w:rPr>
              <w:t>84</w:t>
            </w:r>
          </w:p>
        </w:tc>
        <w:tc>
          <w:tcPr>
            <w:tcW w:w="993" w:type="dxa"/>
            <w:tcBorders>
              <w:bottom w:val="nil"/>
            </w:tcBorders>
            <w:vAlign w:val="center"/>
          </w:tcPr>
          <w:p w14:paraId="3DB009AF" w14:textId="77777777" w:rsidR="001B4E9C" w:rsidRPr="00B07FB9" w:rsidRDefault="001B4E9C" w:rsidP="000C6F49">
            <w:pPr>
              <w:widowControl w:val="0"/>
              <w:jc w:val="center"/>
              <w:rPr>
                <w:rFonts w:ascii="Times" w:hAnsi="Times" w:cs="Times New Roman"/>
                <w:sz w:val="20"/>
              </w:rPr>
            </w:pPr>
            <w:r w:rsidRPr="00B07FB9">
              <w:rPr>
                <w:rFonts w:ascii="Arial Narrow" w:hAnsi="Arial Narrow" w:cs="Times New Roman"/>
                <w:sz w:val="20"/>
              </w:rPr>
              <w:t>2 (initial)</w:t>
            </w:r>
          </w:p>
        </w:tc>
        <w:tc>
          <w:tcPr>
            <w:tcW w:w="2551" w:type="dxa"/>
            <w:vMerge w:val="restart"/>
            <w:vAlign w:val="center"/>
          </w:tcPr>
          <w:p w14:paraId="25704D7A" w14:textId="77777777" w:rsidR="001B4E9C" w:rsidRPr="00B07FB9" w:rsidRDefault="001B4E9C" w:rsidP="000C6F49">
            <w:pPr>
              <w:widowControl w:val="0"/>
              <w:jc w:val="center"/>
              <w:rPr>
                <w:rFonts w:ascii="Arial Narrow" w:hAnsi="Arial Narrow" w:cs="Times New Roman"/>
                <w:sz w:val="20"/>
                <w:szCs w:val="22"/>
                <w:lang w:eastAsia="en-US"/>
              </w:rPr>
            </w:pPr>
            <w:r w:rsidRPr="00B07FB9">
              <w:rPr>
                <w:rFonts w:ascii="Arial Narrow" w:hAnsi="Arial Narrow" w:cs="Times New Roman"/>
                <w:sz w:val="20"/>
                <w:szCs w:val="22"/>
                <w:lang w:eastAsia="en-US"/>
              </w:rPr>
              <w:t>$</w:t>
            </w:r>
            <w:r w:rsidRPr="007A0897">
              <w:rPr>
                <w:rFonts w:ascii="Arial Narrow" w:hAnsi="Arial Narrow" w:cs="Times New Roman"/>
                <w:sz w:val="20"/>
                <w:szCs w:val="22"/>
                <w:lang w:eastAsia="en-US"/>
              </w:rPr>
              <w:t xml:space="preserve">12,657.60 </w:t>
            </w:r>
            <w:r w:rsidRPr="00B07FB9">
              <w:rPr>
                <w:rFonts w:ascii="Arial Narrow" w:hAnsi="Arial Narrow" w:cs="Times New Roman"/>
                <w:sz w:val="20"/>
                <w:szCs w:val="22"/>
                <w:lang w:eastAsia="en-US"/>
              </w:rPr>
              <w:t xml:space="preserve">(published); </w:t>
            </w:r>
          </w:p>
          <w:p w14:paraId="74E1D718" w14:textId="0A70FB7C" w:rsidR="001B4E9C" w:rsidRPr="00B07FB9" w:rsidRDefault="001B4E9C" w:rsidP="000C6F49">
            <w:pPr>
              <w:widowControl w:val="0"/>
              <w:jc w:val="center"/>
              <w:rPr>
                <w:rFonts w:ascii="Arial Narrow" w:hAnsi="Arial Narrow" w:cs="Times New Roman"/>
                <w:sz w:val="20"/>
              </w:rPr>
            </w:pPr>
            <w:r w:rsidRPr="00B07FB9">
              <w:rPr>
                <w:rFonts w:ascii="Arial Narrow" w:hAnsi="Arial Narrow" w:cs="Times New Roman"/>
                <w:sz w:val="20"/>
              </w:rPr>
              <w:t>$</w:t>
            </w:r>
            <w:r w:rsidR="007A0897" w:rsidRPr="007A0897">
              <w:rPr>
                <w:rFonts w:ascii="Arial Narrow" w:hAnsi="Arial Narrow" w:cs="Times New Roman"/>
                <w:color w:val="000000"/>
                <w:sz w:val="20"/>
                <w:shd w:val="solid" w:color="000000" w:fill="000000"/>
                <w14:textFill>
                  <w14:solidFill>
                    <w14:srgbClr w14:val="000000">
                      <w14:alpha w14:val="100000"/>
                    </w14:srgbClr>
                  </w14:solidFill>
                </w14:textFill>
              </w:rPr>
              <w:t>|</w:t>
            </w:r>
            <w:r w:rsidRPr="00B07FB9">
              <w:rPr>
                <w:rFonts w:ascii="Arial Narrow" w:hAnsi="Arial Narrow" w:cs="Times New Roman"/>
                <w:sz w:val="20"/>
              </w:rPr>
              <w:t xml:space="preserve"> (effective</w:t>
            </w:r>
            <w:r w:rsidR="00123FB1" w:rsidRPr="00B07FB9">
              <w:rPr>
                <w:rFonts w:ascii="Arial Narrow" w:hAnsi="Arial Narrow" w:cs="Times New Roman"/>
                <w:sz w:val="20"/>
              </w:rPr>
              <w:t>; in resubmission</w:t>
            </w:r>
            <w:r w:rsidRPr="00B07FB9">
              <w:rPr>
                <w:rFonts w:ascii="Arial Narrow" w:hAnsi="Arial Narrow" w:cs="Times New Roman"/>
                <w:sz w:val="20"/>
              </w:rPr>
              <w:t>)</w:t>
            </w:r>
          </w:p>
          <w:p w14:paraId="49D81D2F" w14:textId="38D2FC2D" w:rsidR="00123FB1" w:rsidRPr="00B07FB9" w:rsidRDefault="00123FB1" w:rsidP="0043104F">
            <w:pPr>
              <w:widowControl w:val="0"/>
              <w:jc w:val="center"/>
              <w:rPr>
                <w:rFonts w:ascii="Arial Narrow" w:hAnsi="Arial Narrow" w:cs="Times New Roman"/>
                <w:sz w:val="20"/>
              </w:rPr>
            </w:pPr>
            <w:r w:rsidRPr="00B07FB9">
              <w:rPr>
                <w:rFonts w:ascii="Arial Narrow" w:hAnsi="Arial Narrow" w:cs="Times New Roman"/>
                <w:sz w:val="20"/>
              </w:rPr>
              <w:t>$</w:t>
            </w:r>
            <w:r w:rsidR="007A0897" w:rsidRPr="007A0897">
              <w:rPr>
                <w:rFonts w:ascii="Arial Narrow" w:hAnsi="Arial Narrow" w:cs="Times New Roman" w:hint="eastAsia"/>
                <w:color w:val="000000"/>
                <w:spacing w:val="10"/>
                <w:w w:val="34"/>
                <w:sz w:val="20"/>
                <w:shd w:val="solid" w:color="000000" w:fill="000000"/>
                <w:fitText w:val="150" w:id="-1500824832"/>
                <w14:textFill>
                  <w14:solidFill>
                    <w14:srgbClr w14:val="000000">
                      <w14:alpha w14:val="100000"/>
                    </w14:srgbClr>
                  </w14:solidFill>
                </w14:textFill>
              </w:rPr>
              <w:t xml:space="preserve">　</w:t>
            </w:r>
            <w:r w:rsidR="007A0897" w:rsidRPr="007A0897">
              <w:rPr>
                <w:rFonts w:ascii="Arial Narrow" w:hAnsi="Arial Narrow" w:cs="Times New Roman"/>
                <w:color w:val="000000"/>
                <w:w w:val="34"/>
                <w:sz w:val="20"/>
                <w:shd w:val="solid" w:color="000000" w:fill="000000"/>
                <w:fitText w:val="150" w:id="-1500824832"/>
                <w14:textFill>
                  <w14:solidFill>
                    <w14:srgbClr w14:val="000000">
                      <w14:alpha w14:val="100000"/>
                    </w14:srgbClr>
                  </w14:solidFill>
                </w14:textFill>
              </w:rPr>
              <w:t>|</w:t>
            </w:r>
            <w:r w:rsidR="007A0897" w:rsidRPr="007A0897">
              <w:rPr>
                <w:rFonts w:ascii="Arial Narrow" w:hAnsi="Arial Narrow" w:cs="Times New Roman" w:hint="eastAsia"/>
                <w:color w:val="000000"/>
                <w:w w:val="34"/>
                <w:sz w:val="20"/>
                <w:shd w:val="solid" w:color="000000" w:fill="000000"/>
                <w:fitText w:val="150" w:id="-1500824832"/>
                <w14:textFill>
                  <w14:solidFill>
                    <w14:srgbClr w14:val="000000">
                      <w14:alpha w14:val="100000"/>
                    </w14:srgbClr>
                  </w14:solidFill>
                </w14:textFill>
              </w:rPr>
              <w:t xml:space="preserve">　</w:t>
            </w:r>
            <w:r w:rsidRPr="00B07FB9">
              <w:rPr>
                <w:rFonts w:ascii="Arial Narrow" w:hAnsi="Arial Narrow" w:cs="Times New Roman"/>
                <w:sz w:val="20"/>
              </w:rPr>
              <w:t>(effective; in PSCR)</w:t>
            </w:r>
          </w:p>
          <w:p w14:paraId="6058FF0F" w14:textId="6DDFF785" w:rsidR="002B664C" w:rsidRPr="00B07FB9" w:rsidRDefault="002B664C" w:rsidP="004C2425">
            <w:pPr>
              <w:widowControl w:val="0"/>
              <w:jc w:val="center"/>
              <w:rPr>
                <w:rFonts w:ascii="Times" w:hAnsi="Times" w:cs="Times New Roman"/>
                <w:sz w:val="20"/>
              </w:rPr>
            </w:pPr>
            <w:r w:rsidRPr="00B07FB9">
              <w:rPr>
                <w:rFonts w:ascii="Arial Narrow" w:hAnsi="Arial Narrow" w:cs="Times New Roman"/>
                <w:sz w:val="20"/>
              </w:rPr>
              <w:t>$</w:t>
            </w:r>
            <w:r w:rsidR="007A0897" w:rsidRPr="007A0897">
              <w:rPr>
                <w:rFonts w:ascii="Arial Narrow" w:hAnsi="Arial Narrow" w:cs="Times New Roman"/>
                <w:color w:val="000000"/>
                <w:spacing w:val="180"/>
                <w:sz w:val="20"/>
                <w:shd w:val="solid" w:color="000000" w:fill="000000"/>
                <w:fitText w:val="260" w:id="-1500824831"/>
                <w14:textFill>
                  <w14:solidFill>
                    <w14:srgbClr w14:val="000000">
                      <w14:alpha w14:val="100000"/>
                    </w14:srgbClr>
                  </w14:solidFill>
                </w14:textFill>
              </w:rPr>
              <w:t>|</w:t>
            </w:r>
            <w:r w:rsidR="007A0897" w:rsidRPr="007A0897">
              <w:rPr>
                <w:rFonts w:ascii="Arial Narrow" w:hAnsi="Arial Narrow" w:cs="Times New Roman"/>
                <w:color w:val="000000"/>
                <w:sz w:val="20"/>
                <w:shd w:val="solid" w:color="000000" w:fill="000000"/>
                <w:fitText w:val="260" w:id="-1500824831"/>
                <w14:textFill>
                  <w14:solidFill>
                    <w14:srgbClr w14:val="000000">
                      <w14:alpha w14:val="100000"/>
                    </w14:srgbClr>
                  </w14:solidFill>
                </w14:textFill>
              </w:rPr>
              <w:t>|</w:t>
            </w:r>
            <w:r w:rsidRPr="00B07FB9">
              <w:rPr>
                <w:rFonts w:ascii="Arial Narrow" w:hAnsi="Arial Narrow" w:cs="Times New Roman"/>
                <w:sz w:val="20"/>
              </w:rPr>
              <w:t>(effective; in pre-PBAC response)</w:t>
            </w:r>
          </w:p>
        </w:tc>
        <w:tc>
          <w:tcPr>
            <w:tcW w:w="1514" w:type="dxa"/>
            <w:vMerge w:val="restart"/>
            <w:vAlign w:val="center"/>
          </w:tcPr>
          <w:p w14:paraId="513DD610" w14:textId="77777777" w:rsidR="001B4E9C" w:rsidRPr="00B07FB9" w:rsidRDefault="001B4E9C" w:rsidP="000C6F49">
            <w:pPr>
              <w:widowControl w:val="0"/>
              <w:jc w:val="center"/>
              <w:rPr>
                <w:rFonts w:ascii="Times" w:hAnsi="Times" w:cs="Times New Roman"/>
                <w:sz w:val="20"/>
              </w:rPr>
            </w:pPr>
            <w:proofErr w:type="spellStart"/>
            <w:r w:rsidRPr="00B07FB9">
              <w:rPr>
                <w:rFonts w:ascii="Arial Narrow" w:hAnsi="Arial Narrow" w:cs="Times New Roman"/>
                <w:sz w:val="20"/>
              </w:rPr>
              <w:t>Zejula</w:t>
            </w:r>
            <w:proofErr w:type="spellEnd"/>
            <w:r w:rsidRPr="00B07FB9">
              <w:rPr>
                <w:rFonts w:ascii="Arial Narrow" w:hAnsi="Arial Narrow" w:cs="Times New Roman"/>
                <w:sz w:val="20"/>
                <w:vertAlign w:val="superscript"/>
              </w:rPr>
              <w:t>®</w:t>
            </w:r>
            <w:r w:rsidRPr="00B07FB9">
              <w:rPr>
                <w:rFonts w:ascii="Arial Narrow" w:hAnsi="Arial Narrow" w:cs="Times New Roman"/>
                <w:sz w:val="20"/>
              </w:rPr>
              <w:t>, GlaxoSmithKline Australia Pty Ltd</w:t>
            </w:r>
          </w:p>
        </w:tc>
      </w:tr>
      <w:tr w:rsidR="001B4E9C" w:rsidRPr="00B07FB9" w14:paraId="454E495D" w14:textId="77777777" w:rsidTr="0043104F">
        <w:trPr>
          <w:trHeight w:val="103"/>
        </w:trPr>
        <w:tc>
          <w:tcPr>
            <w:tcW w:w="1985" w:type="dxa"/>
            <w:vMerge/>
            <w:vAlign w:val="center"/>
          </w:tcPr>
          <w:p w14:paraId="4F244F5D" w14:textId="77777777" w:rsidR="001B4E9C" w:rsidRPr="00B07FB9" w:rsidRDefault="001B4E9C" w:rsidP="000C6F49">
            <w:pPr>
              <w:widowControl w:val="0"/>
              <w:jc w:val="left"/>
              <w:rPr>
                <w:rFonts w:ascii="Arial Narrow" w:hAnsi="Arial Narrow" w:cs="Times New Roman"/>
                <w:sz w:val="20"/>
              </w:rPr>
            </w:pPr>
          </w:p>
        </w:tc>
        <w:tc>
          <w:tcPr>
            <w:tcW w:w="992" w:type="dxa"/>
            <w:vMerge/>
            <w:vAlign w:val="center"/>
          </w:tcPr>
          <w:p w14:paraId="3F057ECC" w14:textId="77777777" w:rsidR="001B4E9C" w:rsidRPr="00B07FB9" w:rsidRDefault="001B4E9C" w:rsidP="000C6F49">
            <w:pPr>
              <w:widowControl w:val="0"/>
              <w:jc w:val="center"/>
              <w:rPr>
                <w:rFonts w:ascii="Arial Narrow" w:hAnsi="Arial Narrow" w:cs="Times New Roman"/>
                <w:sz w:val="20"/>
              </w:rPr>
            </w:pPr>
          </w:p>
        </w:tc>
        <w:tc>
          <w:tcPr>
            <w:tcW w:w="992" w:type="dxa"/>
            <w:vMerge/>
            <w:vAlign w:val="center"/>
          </w:tcPr>
          <w:p w14:paraId="50DE340C" w14:textId="77777777" w:rsidR="001B4E9C" w:rsidRPr="00B07FB9" w:rsidRDefault="001B4E9C" w:rsidP="000C6F49">
            <w:pPr>
              <w:widowControl w:val="0"/>
              <w:jc w:val="center"/>
              <w:rPr>
                <w:rFonts w:ascii="Arial Narrow" w:hAnsi="Arial Narrow" w:cs="Times New Roman"/>
                <w:sz w:val="20"/>
              </w:rPr>
            </w:pPr>
          </w:p>
        </w:tc>
        <w:tc>
          <w:tcPr>
            <w:tcW w:w="993" w:type="dxa"/>
            <w:tcBorders>
              <w:top w:val="nil"/>
              <w:bottom w:val="single" w:sz="4" w:space="0" w:color="auto"/>
            </w:tcBorders>
            <w:vAlign w:val="center"/>
          </w:tcPr>
          <w:p w14:paraId="777F8553" w14:textId="257D77F0" w:rsidR="001B4E9C" w:rsidRPr="00B07FB9" w:rsidRDefault="001B4E9C" w:rsidP="000C6F49">
            <w:pPr>
              <w:widowControl w:val="0"/>
              <w:jc w:val="center"/>
              <w:rPr>
                <w:rFonts w:ascii="Times" w:hAnsi="Times" w:cs="Times New Roman"/>
                <w:sz w:val="20"/>
              </w:rPr>
            </w:pPr>
            <w:r w:rsidRPr="00B07FB9">
              <w:rPr>
                <w:rFonts w:ascii="Arial Narrow" w:hAnsi="Arial Narrow" w:cs="Times New Roman"/>
                <w:sz w:val="20"/>
              </w:rPr>
              <w:t>5 (cont</w:t>
            </w:r>
            <w:r w:rsidR="0043104F" w:rsidRPr="00B07FB9">
              <w:rPr>
                <w:rFonts w:ascii="Arial Narrow" w:hAnsi="Arial Narrow" w:cs="Times New Roman"/>
                <w:sz w:val="20"/>
              </w:rPr>
              <w:t>.</w:t>
            </w:r>
            <w:r w:rsidRPr="00B07FB9">
              <w:rPr>
                <w:rFonts w:ascii="Arial Narrow" w:hAnsi="Arial Narrow" w:cs="Times New Roman"/>
                <w:sz w:val="20"/>
              </w:rPr>
              <w:t>)</w:t>
            </w:r>
          </w:p>
        </w:tc>
        <w:tc>
          <w:tcPr>
            <w:tcW w:w="2551" w:type="dxa"/>
            <w:vMerge/>
            <w:vAlign w:val="center"/>
          </w:tcPr>
          <w:p w14:paraId="722AC09A" w14:textId="77777777" w:rsidR="001B4E9C" w:rsidRPr="00B07FB9" w:rsidRDefault="001B4E9C" w:rsidP="000C6F49">
            <w:pPr>
              <w:widowControl w:val="0"/>
              <w:jc w:val="center"/>
              <w:rPr>
                <w:rFonts w:ascii="Arial Narrow" w:hAnsi="Arial Narrow" w:cs="Times New Roman"/>
                <w:sz w:val="20"/>
              </w:rPr>
            </w:pPr>
          </w:p>
        </w:tc>
        <w:tc>
          <w:tcPr>
            <w:tcW w:w="1514" w:type="dxa"/>
            <w:vMerge/>
            <w:vAlign w:val="center"/>
          </w:tcPr>
          <w:p w14:paraId="6D2BD319" w14:textId="77777777" w:rsidR="001B4E9C" w:rsidRPr="00B07FB9" w:rsidRDefault="001B4E9C" w:rsidP="000C6F49">
            <w:pPr>
              <w:widowControl w:val="0"/>
              <w:jc w:val="center"/>
              <w:rPr>
                <w:rFonts w:ascii="Arial Narrow" w:hAnsi="Arial Narrow" w:cs="Times New Roman"/>
                <w:sz w:val="20"/>
              </w:rPr>
            </w:pPr>
          </w:p>
        </w:tc>
      </w:tr>
      <w:tr w:rsidR="001B4E9C" w:rsidRPr="00B07FB9" w14:paraId="2004DF4C" w14:textId="77777777" w:rsidTr="0043104F">
        <w:trPr>
          <w:trHeight w:val="104"/>
        </w:trPr>
        <w:tc>
          <w:tcPr>
            <w:tcW w:w="1985" w:type="dxa"/>
            <w:vMerge/>
            <w:vAlign w:val="center"/>
          </w:tcPr>
          <w:p w14:paraId="6761422F" w14:textId="77777777" w:rsidR="001B4E9C" w:rsidRPr="00B07FB9" w:rsidRDefault="001B4E9C" w:rsidP="000C6F49">
            <w:pPr>
              <w:widowControl w:val="0"/>
              <w:jc w:val="left"/>
              <w:rPr>
                <w:rFonts w:ascii="Arial Narrow" w:hAnsi="Arial Narrow" w:cs="Times New Roman"/>
                <w:sz w:val="20"/>
              </w:rPr>
            </w:pPr>
          </w:p>
        </w:tc>
        <w:tc>
          <w:tcPr>
            <w:tcW w:w="992" w:type="dxa"/>
            <w:vMerge w:val="restart"/>
            <w:vAlign w:val="center"/>
          </w:tcPr>
          <w:p w14:paraId="1934F745" w14:textId="77777777" w:rsidR="001B4E9C" w:rsidRPr="00B07FB9" w:rsidRDefault="001B4E9C" w:rsidP="000C6F49">
            <w:pPr>
              <w:widowControl w:val="0"/>
              <w:jc w:val="center"/>
              <w:rPr>
                <w:rFonts w:ascii="Arial Narrow" w:hAnsi="Arial Narrow" w:cs="Times New Roman"/>
                <w:sz w:val="20"/>
              </w:rPr>
            </w:pPr>
            <w:r w:rsidRPr="00B07FB9">
              <w:rPr>
                <w:rFonts w:ascii="Arial Narrow" w:hAnsi="Arial Narrow" w:cs="Times New Roman"/>
                <w:sz w:val="20"/>
              </w:rPr>
              <w:t>1</w:t>
            </w:r>
          </w:p>
        </w:tc>
        <w:tc>
          <w:tcPr>
            <w:tcW w:w="992" w:type="dxa"/>
            <w:vMerge w:val="restart"/>
            <w:vAlign w:val="center"/>
          </w:tcPr>
          <w:p w14:paraId="1FFEBEA7" w14:textId="77777777" w:rsidR="001B4E9C" w:rsidRPr="00B07FB9" w:rsidRDefault="001B4E9C" w:rsidP="000C6F49">
            <w:pPr>
              <w:widowControl w:val="0"/>
              <w:jc w:val="center"/>
              <w:rPr>
                <w:rFonts w:ascii="Arial Narrow" w:hAnsi="Arial Narrow" w:cs="Times New Roman"/>
                <w:sz w:val="20"/>
              </w:rPr>
            </w:pPr>
            <w:r w:rsidRPr="00B07FB9">
              <w:rPr>
                <w:rFonts w:ascii="Arial Narrow" w:hAnsi="Arial Narrow" w:cs="Times New Roman"/>
                <w:sz w:val="20"/>
              </w:rPr>
              <w:t>56</w:t>
            </w:r>
          </w:p>
        </w:tc>
        <w:tc>
          <w:tcPr>
            <w:tcW w:w="993" w:type="dxa"/>
            <w:tcBorders>
              <w:bottom w:val="nil"/>
            </w:tcBorders>
            <w:vAlign w:val="center"/>
          </w:tcPr>
          <w:p w14:paraId="0AE4C312" w14:textId="77777777" w:rsidR="001B4E9C" w:rsidRPr="00B07FB9" w:rsidRDefault="001B4E9C" w:rsidP="000C6F49">
            <w:pPr>
              <w:widowControl w:val="0"/>
              <w:jc w:val="center"/>
              <w:rPr>
                <w:rFonts w:ascii="Arial Narrow" w:hAnsi="Arial Narrow" w:cs="Times New Roman"/>
                <w:sz w:val="20"/>
              </w:rPr>
            </w:pPr>
            <w:r w:rsidRPr="00B07FB9">
              <w:rPr>
                <w:rFonts w:ascii="Arial Narrow" w:hAnsi="Arial Narrow" w:cs="Times New Roman"/>
                <w:sz w:val="20"/>
              </w:rPr>
              <w:t>2 (initial)</w:t>
            </w:r>
          </w:p>
        </w:tc>
        <w:tc>
          <w:tcPr>
            <w:tcW w:w="2551" w:type="dxa"/>
            <w:vMerge w:val="restart"/>
            <w:vAlign w:val="center"/>
          </w:tcPr>
          <w:p w14:paraId="051C3813" w14:textId="77777777" w:rsidR="001B4E9C" w:rsidRPr="00B07FB9" w:rsidRDefault="001B4E9C" w:rsidP="000C6F49">
            <w:pPr>
              <w:widowControl w:val="0"/>
              <w:jc w:val="center"/>
              <w:rPr>
                <w:rFonts w:ascii="Arial Narrow" w:hAnsi="Arial Narrow" w:cs="Times New Roman"/>
                <w:sz w:val="20"/>
                <w:szCs w:val="22"/>
                <w:lang w:eastAsia="en-US"/>
              </w:rPr>
            </w:pPr>
            <w:r w:rsidRPr="00B07FB9">
              <w:rPr>
                <w:rFonts w:ascii="Arial Narrow" w:hAnsi="Arial Narrow" w:cs="Times New Roman"/>
                <w:sz w:val="20"/>
                <w:szCs w:val="22"/>
                <w:lang w:eastAsia="en-US"/>
              </w:rPr>
              <w:t>$8</w:t>
            </w:r>
            <w:r w:rsidRPr="007A0897">
              <w:rPr>
                <w:rFonts w:ascii="Arial Narrow" w:hAnsi="Arial Narrow" w:cs="Times New Roman"/>
                <w:sz w:val="20"/>
                <w:szCs w:val="22"/>
                <w:lang w:eastAsia="en-US"/>
              </w:rPr>
              <w:t xml:space="preserve">,492.14 </w:t>
            </w:r>
            <w:r w:rsidRPr="00B07FB9">
              <w:rPr>
                <w:rFonts w:ascii="Arial Narrow" w:hAnsi="Arial Narrow" w:cs="Times New Roman"/>
                <w:sz w:val="20"/>
                <w:szCs w:val="22"/>
                <w:lang w:eastAsia="en-US"/>
              </w:rPr>
              <w:t xml:space="preserve">(published); </w:t>
            </w:r>
          </w:p>
          <w:p w14:paraId="424D4753" w14:textId="4295A2A2" w:rsidR="001B4E9C" w:rsidRPr="00B07FB9" w:rsidRDefault="001B4E9C" w:rsidP="000C6F49">
            <w:pPr>
              <w:widowControl w:val="0"/>
              <w:jc w:val="center"/>
              <w:rPr>
                <w:rFonts w:ascii="Arial Narrow" w:hAnsi="Arial Narrow" w:cs="Times New Roman"/>
                <w:sz w:val="20"/>
              </w:rPr>
            </w:pPr>
            <w:r w:rsidRPr="00B07FB9">
              <w:rPr>
                <w:rFonts w:ascii="Arial Narrow" w:hAnsi="Arial Narrow" w:cs="Times New Roman"/>
                <w:sz w:val="20"/>
              </w:rPr>
              <w:t>$</w:t>
            </w:r>
            <w:r w:rsidR="007A0897" w:rsidRPr="007A0897">
              <w:rPr>
                <w:rFonts w:ascii="Arial Narrow" w:hAnsi="Arial Narrow" w:cs="Times New Roman"/>
                <w:color w:val="000000"/>
                <w:sz w:val="20"/>
                <w:shd w:val="solid" w:color="000000" w:fill="000000"/>
                <w14:textFill>
                  <w14:solidFill>
                    <w14:srgbClr w14:val="000000">
                      <w14:alpha w14:val="100000"/>
                    </w14:srgbClr>
                  </w14:solidFill>
                </w14:textFill>
              </w:rPr>
              <w:t>|</w:t>
            </w:r>
            <w:r w:rsidRPr="00B07FB9">
              <w:rPr>
                <w:rFonts w:ascii="Arial Narrow" w:hAnsi="Arial Narrow" w:cs="Times New Roman"/>
                <w:sz w:val="20"/>
              </w:rPr>
              <w:t>(effective</w:t>
            </w:r>
            <w:r w:rsidR="00123FB1" w:rsidRPr="00B07FB9">
              <w:rPr>
                <w:rFonts w:ascii="Arial Narrow" w:hAnsi="Arial Narrow" w:cs="Times New Roman"/>
                <w:sz w:val="20"/>
              </w:rPr>
              <w:t>; in resubmission</w:t>
            </w:r>
            <w:r w:rsidRPr="00B07FB9">
              <w:rPr>
                <w:rFonts w:ascii="Arial Narrow" w:hAnsi="Arial Narrow" w:cs="Times New Roman"/>
                <w:sz w:val="20"/>
              </w:rPr>
              <w:t>)</w:t>
            </w:r>
          </w:p>
          <w:p w14:paraId="0247A2A8" w14:textId="4336041A" w:rsidR="00123FB1" w:rsidRPr="00B07FB9" w:rsidRDefault="00123FB1" w:rsidP="0043104F">
            <w:pPr>
              <w:widowControl w:val="0"/>
              <w:jc w:val="center"/>
              <w:rPr>
                <w:rFonts w:ascii="Arial Narrow" w:hAnsi="Arial Narrow" w:cs="Times New Roman"/>
                <w:sz w:val="20"/>
              </w:rPr>
            </w:pPr>
            <w:r w:rsidRPr="00B07FB9">
              <w:rPr>
                <w:rFonts w:ascii="Arial Narrow" w:hAnsi="Arial Narrow" w:cs="Times New Roman"/>
                <w:sz w:val="20"/>
              </w:rPr>
              <w:t>$</w:t>
            </w:r>
            <w:r w:rsidR="007A0897" w:rsidRPr="007A0897">
              <w:rPr>
                <w:rFonts w:ascii="Arial Narrow" w:hAnsi="Arial Narrow" w:cs="Times New Roman" w:hint="eastAsia"/>
                <w:color w:val="000000"/>
                <w:spacing w:val="10"/>
                <w:w w:val="34"/>
                <w:sz w:val="20"/>
                <w:shd w:val="solid" w:color="000000" w:fill="000000"/>
                <w:fitText w:val="150" w:id="-1500824830"/>
                <w14:textFill>
                  <w14:solidFill>
                    <w14:srgbClr w14:val="000000">
                      <w14:alpha w14:val="100000"/>
                    </w14:srgbClr>
                  </w14:solidFill>
                </w14:textFill>
              </w:rPr>
              <w:t xml:space="preserve">　</w:t>
            </w:r>
            <w:r w:rsidR="007A0897" w:rsidRPr="007A0897">
              <w:rPr>
                <w:rFonts w:ascii="Arial Narrow" w:hAnsi="Arial Narrow" w:cs="Times New Roman"/>
                <w:color w:val="000000"/>
                <w:w w:val="34"/>
                <w:sz w:val="20"/>
                <w:shd w:val="solid" w:color="000000" w:fill="000000"/>
                <w:fitText w:val="150" w:id="-1500824830"/>
                <w14:textFill>
                  <w14:solidFill>
                    <w14:srgbClr w14:val="000000">
                      <w14:alpha w14:val="100000"/>
                    </w14:srgbClr>
                  </w14:solidFill>
                </w14:textFill>
              </w:rPr>
              <w:t>|</w:t>
            </w:r>
            <w:r w:rsidR="007A0897" w:rsidRPr="007A0897">
              <w:rPr>
                <w:rFonts w:ascii="Arial Narrow" w:hAnsi="Arial Narrow" w:cs="Times New Roman" w:hint="eastAsia"/>
                <w:color w:val="000000"/>
                <w:w w:val="34"/>
                <w:sz w:val="20"/>
                <w:shd w:val="solid" w:color="000000" w:fill="000000"/>
                <w:fitText w:val="150" w:id="-1500824830"/>
                <w14:textFill>
                  <w14:solidFill>
                    <w14:srgbClr w14:val="000000">
                      <w14:alpha w14:val="100000"/>
                    </w14:srgbClr>
                  </w14:solidFill>
                </w14:textFill>
              </w:rPr>
              <w:t xml:space="preserve">　</w:t>
            </w:r>
            <w:r w:rsidRPr="00B07FB9">
              <w:rPr>
                <w:rFonts w:ascii="Arial Narrow" w:hAnsi="Arial Narrow" w:cs="Times New Roman"/>
                <w:sz w:val="20"/>
              </w:rPr>
              <w:t>(effective; in PSCR)</w:t>
            </w:r>
          </w:p>
          <w:p w14:paraId="269FDCAA" w14:textId="2E720882" w:rsidR="002B664C" w:rsidRPr="00B07FB9" w:rsidRDefault="002B664C" w:rsidP="004C2425">
            <w:pPr>
              <w:widowControl w:val="0"/>
              <w:jc w:val="center"/>
              <w:rPr>
                <w:rFonts w:ascii="Arial Narrow" w:hAnsi="Arial Narrow" w:cs="Times New Roman"/>
                <w:sz w:val="20"/>
              </w:rPr>
            </w:pPr>
            <w:r w:rsidRPr="00B07FB9">
              <w:rPr>
                <w:rFonts w:ascii="Arial Narrow" w:hAnsi="Arial Narrow" w:cs="Times New Roman"/>
                <w:sz w:val="20"/>
              </w:rPr>
              <w:t>$</w:t>
            </w:r>
            <w:r w:rsidR="007A0897" w:rsidRPr="007A0897">
              <w:rPr>
                <w:rFonts w:ascii="Arial Narrow" w:hAnsi="Arial Narrow" w:cs="Times New Roman"/>
                <w:color w:val="000000"/>
                <w:spacing w:val="200"/>
                <w:sz w:val="20"/>
                <w:shd w:val="solid" w:color="000000" w:fill="000000"/>
                <w:fitText w:val="280" w:id="-1500824829"/>
                <w14:textFill>
                  <w14:solidFill>
                    <w14:srgbClr w14:val="000000">
                      <w14:alpha w14:val="100000"/>
                    </w14:srgbClr>
                  </w14:solidFill>
                </w14:textFill>
              </w:rPr>
              <w:t>|</w:t>
            </w:r>
            <w:r w:rsidR="007A0897" w:rsidRPr="007A0897">
              <w:rPr>
                <w:rFonts w:ascii="Arial Narrow" w:hAnsi="Arial Narrow" w:cs="Times New Roman"/>
                <w:color w:val="000000"/>
                <w:sz w:val="20"/>
                <w:shd w:val="solid" w:color="000000" w:fill="000000"/>
                <w:fitText w:val="280" w:id="-1500824829"/>
                <w14:textFill>
                  <w14:solidFill>
                    <w14:srgbClr w14:val="000000">
                      <w14:alpha w14:val="100000"/>
                    </w14:srgbClr>
                  </w14:solidFill>
                </w14:textFill>
              </w:rPr>
              <w:t>|</w:t>
            </w:r>
            <w:r w:rsidRPr="00B07FB9">
              <w:rPr>
                <w:rFonts w:ascii="Arial Narrow" w:hAnsi="Arial Narrow" w:cs="Times New Roman"/>
                <w:sz w:val="20"/>
              </w:rPr>
              <w:t xml:space="preserve"> (effective; in pre-PBAC response)</w:t>
            </w:r>
          </w:p>
        </w:tc>
        <w:tc>
          <w:tcPr>
            <w:tcW w:w="1514" w:type="dxa"/>
            <w:vMerge/>
            <w:vAlign w:val="center"/>
          </w:tcPr>
          <w:p w14:paraId="5DE11C3B" w14:textId="77777777" w:rsidR="001B4E9C" w:rsidRPr="00B07FB9" w:rsidRDefault="001B4E9C" w:rsidP="000C6F49">
            <w:pPr>
              <w:widowControl w:val="0"/>
              <w:jc w:val="center"/>
              <w:rPr>
                <w:rFonts w:ascii="Arial Narrow" w:hAnsi="Arial Narrow" w:cs="Times New Roman"/>
                <w:sz w:val="20"/>
              </w:rPr>
            </w:pPr>
          </w:p>
        </w:tc>
      </w:tr>
      <w:tr w:rsidR="001B4E9C" w:rsidRPr="00B07FB9" w14:paraId="3E462B12" w14:textId="77777777" w:rsidTr="0043104F">
        <w:trPr>
          <w:trHeight w:val="103"/>
        </w:trPr>
        <w:tc>
          <w:tcPr>
            <w:tcW w:w="1985" w:type="dxa"/>
            <w:vMerge/>
            <w:vAlign w:val="center"/>
          </w:tcPr>
          <w:p w14:paraId="75F7349B" w14:textId="77777777" w:rsidR="001B4E9C" w:rsidRPr="00B07FB9" w:rsidRDefault="001B4E9C" w:rsidP="000C6F49">
            <w:pPr>
              <w:widowControl w:val="0"/>
              <w:jc w:val="left"/>
              <w:rPr>
                <w:rFonts w:ascii="Arial Narrow" w:hAnsi="Arial Narrow" w:cs="Times New Roman"/>
                <w:sz w:val="20"/>
              </w:rPr>
            </w:pPr>
          </w:p>
        </w:tc>
        <w:tc>
          <w:tcPr>
            <w:tcW w:w="992" w:type="dxa"/>
            <w:vMerge/>
            <w:vAlign w:val="center"/>
          </w:tcPr>
          <w:p w14:paraId="27AA21E2" w14:textId="77777777" w:rsidR="001B4E9C" w:rsidRPr="00B07FB9" w:rsidRDefault="001B4E9C" w:rsidP="000C6F49">
            <w:pPr>
              <w:widowControl w:val="0"/>
              <w:jc w:val="center"/>
              <w:rPr>
                <w:rFonts w:ascii="Arial Narrow" w:hAnsi="Arial Narrow" w:cs="Times New Roman"/>
                <w:sz w:val="20"/>
              </w:rPr>
            </w:pPr>
          </w:p>
        </w:tc>
        <w:tc>
          <w:tcPr>
            <w:tcW w:w="992" w:type="dxa"/>
            <w:vMerge/>
            <w:vAlign w:val="center"/>
          </w:tcPr>
          <w:p w14:paraId="44E2B371" w14:textId="77777777" w:rsidR="001B4E9C" w:rsidRPr="00B07FB9" w:rsidRDefault="001B4E9C" w:rsidP="000C6F49">
            <w:pPr>
              <w:widowControl w:val="0"/>
              <w:jc w:val="center"/>
              <w:rPr>
                <w:rFonts w:ascii="Arial Narrow" w:hAnsi="Arial Narrow" w:cs="Times New Roman"/>
                <w:sz w:val="20"/>
              </w:rPr>
            </w:pPr>
          </w:p>
        </w:tc>
        <w:tc>
          <w:tcPr>
            <w:tcW w:w="993" w:type="dxa"/>
            <w:tcBorders>
              <w:top w:val="nil"/>
            </w:tcBorders>
            <w:vAlign w:val="center"/>
          </w:tcPr>
          <w:p w14:paraId="480AD5CF" w14:textId="123630DA" w:rsidR="001B4E9C" w:rsidRPr="00B07FB9" w:rsidRDefault="001B4E9C" w:rsidP="000C6F49">
            <w:pPr>
              <w:widowControl w:val="0"/>
              <w:jc w:val="center"/>
              <w:rPr>
                <w:rFonts w:ascii="Arial Narrow" w:hAnsi="Arial Narrow" w:cs="Times New Roman"/>
                <w:sz w:val="20"/>
              </w:rPr>
            </w:pPr>
            <w:r w:rsidRPr="00B07FB9">
              <w:rPr>
                <w:rFonts w:ascii="Arial Narrow" w:hAnsi="Arial Narrow" w:cs="Times New Roman"/>
                <w:sz w:val="20"/>
              </w:rPr>
              <w:t>5 (con</w:t>
            </w:r>
            <w:r w:rsidR="0043104F" w:rsidRPr="00B07FB9">
              <w:rPr>
                <w:rFonts w:ascii="Arial Narrow" w:hAnsi="Arial Narrow" w:cs="Times New Roman"/>
                <w:sz w:val="20"/>
              </w:rPr>
              <w:t>t.</w:t>
            </w:r>
            <w:r w:rsidRPr="00B07FB9">
              <w:rPr>
                <w:rFonts w:ascii="Arial Narrow" w:hAnsi="Arial Narrow" w:cs="Times New Roman"/>
                <w:sz w:val="20"/>
              </w:rPr>
              <w:t>)</w:t>
            </w:r>
          </w:p>
        </w:tc>
        <w:tc>
          <w:tcPr>
            <w:tcW w:w="2551" w:type="dxa"/>
            <w:vMerge/>
            <w:vAlign w:val="center"/>
          </w:tcPr>
          <w:p w14:paraId="62B94548" w14:textId="77777777" w:rsidR="001B4E9C" w:rsidRPr="00B07FB9" w:rsidRDefault="001B4E9C" w:rsidP="000C6F49">
            <w:pPr>
              <w:widowControl w:val="0"/>
              <w:jc w:val="center"/>
              <w:rPr>
                <w:rFonts w:ascii="Arial Narrow" w:hAnsi="Arial Narrow" w:cs="Times New Roman"/>
                <w:sz w:val="20"/>
              </w:rPr>
            </w:pPr>
          </w:p>
        </w:tc>
        <w:tc>
          <w:tcPr>
            <w:tcW w:w="1514" w:type="dxa"/>
            <w:vMerge/>
            <w:vAlign w:val="center"/>
          </w:tcPr>
          <w:p w14:paraId="78A3C840" w14:textId="77777777" w:rsidR="001B4E9C" w:rsidRPr="00B07FB9" w:rsidRDefault="001B4E9C" w:rsidP="000C6F49">
            <w:pPr>
              <w:widowControl w:val="0"/>
              <w:jc w:val="center"/>
              <w:rPr>
                <w:rFonts w:ascii="Arial Narrow" w:hAnsi="Arial Narrow" w:cs="Times New Roman"/>
                <w:sz w:val="20"/>
              </w:rPr>
            </w:pPr>
          </w:p>
        </w:tc>
      </w:tr>
    </w:tbl>
    <w:p w14:paraId="24EF3A11" w14:textId="77777777" w:rsidR="001B4E9C" w:rsidRPr="00B07FB9" w:rsidRDefault="001B4E9C" w:rsidP="000C6F4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30"/>
        <w:gridCol w:w="25"/>
        <w:gridCol w:w="7062"/>
      </w:tblGrid>
      <w:tr w:rsidR="001B4E9C" w:rsidRPr="00B07FB9" w14:paraId="3C1D443D" w14:textId="77777777" w:rsidTr="00D564E8">
        <w:tc>
          <w:tcPr>
            <w:tcW w:w="1083" w:type="pct"/>
            <w:gridSpan w:val="2"/>
          </w:tcPr>
          <w:p w14:paraId="08936091" w14:textId="77777777"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Category/Program</w:t>
            </w:r>
          </w:p>
        </w:tc>
        <w:tc>
          <w:tcPr>
            <w:tcW w:w="3917" w:type="pct"/>
          </w:tcPr>
          <w:p w14:paraId="18EC4B9B"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General Schedule</w:t>
            </w:r>
          </w:p>
        </w:tc>
      </w:tr>
      <w:tr w:rsidR="001B4E9C" w:rsidRPr="00B07FB9" w14:paraId="2BB532FE" w14:textId="77777777" w:rsidTr="00D564E8">
        <w:tc>
          <w:tcPr>
            <w:tcW w:w="1083" w:type="pct"/>
            <w:gridSpan w:val="2"/>
          </w:tcPr>
          <w:p w14:paraId="49CFA436" w14:textId="77777777"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Prescriber type</w:t>
            </w:r>
          </w:p>
        </w:tc>
        <w:tc>
          <w:tcPr>
            <w:tcW w:w="3917" w:type="pct"/>
          </w:tcPr>
          <w:p w14:paraId="3DDB9378"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Medical practitioner</w:t>
            </w:r>
          </w:p>
        </w:tc>
      </w:tr>
      <w:tr w:rsidR="001B4E9C" w:rsidRPr="00B07FB9" w14:paraId="2BDBA839" w14:textId="77777777" w:rsidTr="00D564E8">
        <w:tc>
          <w:tcPr>
            <w:tcW w:w="1083" w:type="pct"/>
            <w:gridSpan w:val="2"/>
          </w:tcPr>
          <w:p w14:paraId="6172104A" w14:textId="77777777"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Condition</w:t>
            </w:r>
          </w:p>
        </w:tc>
        <w:tc>
          <w:tcPr>
            <w:tcW w:w="3917" w:type="pct"/>
          </w:tcPr>
          <w:p w14:paraId="6FE7D4CD"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High grade stage III/IV epithelial ovarian, fallopian tube, or primary peritoneal cancer</w:t>
            </w:r>
          </w:p>
        </w:tc>
      </w:tr>
      <w:tr w:rsidR="001B4E9C" w:rsidRPr="00B07FB9" w14:paraId="53A15F67" w14:textId="77777777" w:rsidTr="00D564E8">
        <w:tc>
          <w:tcPr>
            <w:tcW w:w="1083" w:type="pct"/>
            <w:gridSpan w:val="2"/>
          </w:tcPr>
          <w:p w14:paraId="24D14DFA" w14:textId="77777777"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PBS Indication</w:t>
            </w:r>
          </w:p>
        </w:tc>
        <w:tc>
          <w:tcPr>
            <w:tcW w:w="3917" w:type="pct"/>
          </w:tcPr>
          <w:p w14:paraId="0CA93D4D"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High grade stage III/IV epithelial ovarian, fallopian tube, or primary peritoneal cancer</w:t>
            </w:r>
          </w:p>
        </w:tc>
      </w:tr>
      <w:tr w:rsidR="00826B51" w:rsidRPr="00B07FB9" w14:paraId="7B68259F" w14:textId="77777777" w:rsidTr="00D564E8">
        <w:trPr>
          <w:trHeight w:val="42"/>
        </w:trPr>
        <w:tc>
          <w:tcPr>
            <w:tcW w:w="1083" w:type="pct"/>
            <w:gridSpan w:val="2"/>
          </w:tcPr>
          <w:p w14:paraId="4D1484DE" w14:textId="77777777" w:rsidR="00826B51" w:rsidRPr="00B07FB9" w:rsidRDefault="00826B51" w:rsidP="00FE7A7B">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Restriction</w:t>
            </w:r>
          </w:p>
        </w:tc>
        <w:tc>
          <w:tcPr>
            <w:tcW w:w="3917" w:type="pct"/>
          </w:tcPr>
          <w:p w14:paraId="273A1C9B" w14:textId="77777777" w:rsidR="00826B51" w:rsidRPr="00B07FB9" w:rsidRDefault="00826B51" w:rsidP="00FE7A7B">
            <w:pPr>
              <w:widowControl w:val="0"/>
              <w:jc w:val="left"/>
              <w:rPr>
                <w:rFonts w:ascii="Arial Narrow" w:eastAsiaTheme="majorEastAsia" w:hAnsi="Arial Narrow" w:cs="Times New Roman"/>
                <w:bCs/>
                <w:iCs/>
                <w:sz w:val="22"/>
              </w:rPr>
            </w:pPr>
            <w:r w:rsidRPr="00B07FB9">
              <w:rPr>
                <w:rFonts w:ascii="Arial Narrow" w:hAnsi="Arial Narrow" w:cs="Times New Roman"/>
                <w:bCs/>
                <w:sz w:val="18"/>
                <w:szCs w:val="18"/>
              </w:rPr>
              <w:fldChar w:fldCharType="begin">
                <w:ffData>
                  <w:name w:val="Check3"/>
                  <w:enabled/>
                  <w:calcOnExit w:val="0"/>
                  <w:checkBox>
                    <w:sizeAuto/>
                    <w:default w:val="1"/>
                  </w:checkBox>
                </w:ffData>
              </w:fldChar>
            </w:r>
            <w:r w:rsidRPr="00B07FB9">
              <w:rPr>
                <w:rFonts w:ascii="Arial Narrow" w:hAnsi="Arial Narrow" w:cs="Times New Roman"/>
                <w:bCs/>
                <w:sz w:val="18"/>
                <w:szCs w:val="18"/>
              </w:rPr>
              <w:instrText xml:space="preserve"> FORMCHECKBOX </w:instrText>
            </w:r>
            <w:r w:rsidR="00385E8C">
              <w:rPr>
                <w:rFonts w:ascii="Arial Narrow" w:hAnsi="Arial Narrow" w:cs="Times New Roman"/>
                <w:bCs/>
                <w:sz w:val="18"/>
                <w:szCs w:val="18"/>
              </w:rPr>
            </w:r>
            <w:r w:rsidR="00385E8C">
              <w:rPr>
                <w:rFonts w:ascii="Arial Narrow" w:hAnsi="Arial Narrow" w:cs="Times New Roman"/>
                <w:bCs/>
                <w:sz w:val="18"/>
                <w:szCs w:val="18"/>
              </w:rPr>
              <w:fldChar w:fldCharType="separate"/>
            </w:r>
            <w:r w:rsidRPr="00B07FB9">
              <w:rPr>
                <w:rFonts w:ascii="Arial Narrow" w:hAnsi="Arial Narrow" w:cs="Times New Roman"/>
                <w:bCs/>
                <w:sz w:val="18"/>
                <w:szCs w:val="18"/>
              </w:rPr>
              <w:fldChar w:fldCharType="end"/>
            </w:r>
            <w:r w:rsidRPr="00B07FB9">
              <w:rPr>
                <w:rFonts w:ascii="Arial Narrow" w:hAnsi="Arial Narrow" w:cs="Times New Roman"/>
                <w:bCs/>
                <w:sz w:val="18"/>
                <w:szCs w:val="18"/>
              </w:rPr>
              <w:t xml:space="preserve"> </w:t>
            </w:r>
            <w:r w:rsidRPr="00B07FB9" w:rsidDel="00A46101">
              <w:rPr>
                <w:rFonts w:ascii="Arial Narrow" w:hAnsi="Arial Narrow" w:cs="Times New Roman"/>
                <w:bCs/>
                <w:sz w:val="20"/>
                <w:szCs w:val="20"/>
              </w:rPr>
              <w:t xml:space="preserve">Authority Required </w:t>
            </w:r>
            <w:r w:rsidRPr="00B07FB9">
              <w:rPr>
                <w:rFonts w:ascii="Arial Narrow" w:hAnsi="Arial Narrow" w:cs="Times New Roman"/>
                <w:bCs/>
                <w:iCs/>
                <w:sz w:val="20"/>
                <w:szCs w:val="20"/>
              </w:rPr>
              <w:t>– STREAMLINED</w:t>
            </w:r>
          </w:p>
        </w:tc>
      </w:tr>
      <w:tr w:rsidR="009E3938" w:rsidRPr="00B07FB9" w14:paraId="18575199" w14:textId="77777777" w:rsidTr="00D564E8">
        <w:tc>
          <w:tcPr>
            <w:tcW w:w="1083" w:type="pct"/>
            <w:gridSpan w:val="2"/>
          </w:tcPr>
          <w:p w14:paraId="5011203D" w14:textId="5680D527" w:rsidR="009E3938" w:rsidRPr="00B07FB9" w:rsidRDefault="009E3938"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Administrative Advice</w:t>
            </w:r>
          </w:p>
        </w:tc>
        <w:tc>
          <w:tcPr>
            <w:tcW w:w="3917" w:type="pct"/>
          </w:tcPr>
          <w:p w14:paraId="3C0EA185" w14:textId="63152A37" w:rsidR="009E3938" w:rsidRPr="00B07FB9" w:rsidRDefault="009E3938"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iCs/>
                <w:sz w:val="20"/>
                <w:szCs w:val="20"/>
              </w:rPr>
              <w:t>Special Pricing Arrangements apply</w:t>
            </w:r>
          </w:p>
        </w:tc>
      </w:tr>
      <w:tr w:rsidR="001B4E9C" w:rsidRPr="00B07FB9" w14:paraId="2F21A0DD" w14:textId="77777777" w:rsidTr="00D564E8">
        <w:tc>
          <w:tcPr>
            <w:tcW w:w="1083" w:type="pct"/>
            <w:gridSpan w:val="2"/>
          </w:tcPr>
          <w:p w14:paraId="70D5E79A" w14:textId="77777777"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Treatment phase</w:t>
            </w:r>
          </w:p>
        </w:tc>
        <w:tc>
          <w:tcPr>
            <w:tcW w:w="3917" w:type="pct"/>
          </w:tcPr>
          <w:p w14:paraId="59230271" w14:textId="0EC76138"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Initial treatment – first line treatment</w:t>
            </w:r>
            <w:r w:rsidR="00826B51" w:rsidRPr="00B07FB9">
              <w:rPr>
                <w:rFonts w:ascii="Arial Narrow" w:eastAsiaTheme="majorEastAsia" w:hAnsi="Arial Narrow" w:cs="Times New Roman"/>
                <w:bCs/>
                <w:sz w:val="20"/>
              </w:rPr>
              <w:t xml:space="preserve"> (300 mg/day)</w:t>
            </w:r>
          </w:p>
        </w:tc>
      </w:tr>
      <w:tr w:rsidR="001B4E9C" w:rsidRPr="00B07FB9" w14:paraId="75F34505" w14:textId="77777777" w:rsidTr="00D564E8">
        <w:tc>
          <w:tcPr>
            <w:tcW w:w="1083" w:type="pct"/>
            <w:gridSpan w:val="2"/>
          </w:tcPr>
          <w:p w14:paraId="202A6A70" w14:textId="77777777"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Clinical criteria</w:t>
            </w:r>
          </w:p>
        </w:tc>
        <w:tc>
          <w:tcPr>
            <w:tcW w:w="3917" w:type="pct"/>
          </w:tcPr>
          <w:p w14:paraId="16421CA9"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Patient must be in partial or complete response to the immediately preceding platinum-based chemotherapy regimen prior to commencing treatment with this drug for this condition,</w:t>
            </w:r>
          </w:p>
          <w:p w14:paraId="01524E4C"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AND</w:t>
            </w:r>
          </w:p>
          <w:p w14:paraId="4D92775A"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 xml:space="preserve">The treatment must be the sole PBS-subsidised PARP inhibitor therapy for this condition, </w:t>
            </w:r>
          </w:p>
          <w:p w14:paraId="06F984F4"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AND</w:t>
            </w:r>
          </w:p>
          <w:p w14:paraId="2D6E27A2" w14:textId="77777777" w:rsidR="001B4E9C" w:rsidRPr="00B07FB9" w:rsidRDefault="001B4E9C" w:rsidP="000C6F49">
            <w:pPr>
              <w:widowControl w:val="0"/>
              <w:jc w:val="left"/>
              <w:rPr>
                <w:rFonts w:ascii="Arial Narrow" w:eastAsiaTheme="majorEastAsia" w:hAnsi="Arial Narrow" w:cs="Times New Roman"/>
                <w:bCs/>
                <w:iCs/>
                <w:sz w:val="20"/>
              </w:rPr>
            </w:pPr>
            <w:r w:rsidRPr="00B07FB9">
              <w:rPr>
                <w:rFonts w:ascii="Arial Narrow" w:eastAsiaTheme="majorEastAsia" w:hAnsi="Arial Narrow" w:cs="Times New Roman"/>
                <w:bCs/>
                <w:sz w:val="20"/>
              </w:rPr>
              <w:t>Patient must not have previously received PBS-subsidised treatment with this drug for this condition</w:t>
            </w:r>
            <w:r w:rsidRPr="00B07FB9">
              <w:rPr>
                <w:rFonts w:ascii="Arial Narrow" w:eastAsiaTheme="majorEastAsia" w:hAnsi="Arial Narrow" w:cs="Times New Roman"/>
                <w:bCs/>
                <w:iCs/>
                <w:sz w:val="22"/>
              </w:rPr>
              <w:t xml:space="preserve"> </w:t>
            </w:r>
          </w:p>
        </w:tc>
      </w:tr>
      <w:tr w:rsidR="001B4E9C" w:rsidRPr="00B07FB9" w14:paraId="79744626" w14:textId="77777777" w:rsidTr="00D564E8">
        <w:tc>
          <w:tcPr>
            <w:tcW w:w="1083" w:type="pct"/>
            <w:gridSpan w:val="2"/>
          </w:tcPr>
          <w:p w14:paraId="10ABC27C" w14:textId="77777777"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 xml:space="preserve">Prescriber instructions </w:t>
            </w:r>
          </w:p>
        </w:tc>
        <w:tc>
          <w:tcPr>
            <w:tcW w:w="3917" w:type="pct"/>
          </w:tcPr>
          <w:p w14:paraId="2850D7A7" w14:textId="77777777" w:rsidR="001B4E9C" w:rsidRPr="00B07FB9" w:rsidRDefault="001B4E9C" w:rsidP="000C6F49">
            <w:pPr>
              <w:widowControl w:val="0"/>
              <w:jc w:val="left"/>
              <w:rPr>
                <w:rFonts w:ascii="Arial Narrow" w:eastAsiaTheme="majorEastAsia" w:hAnsi="Arial Narrow" w:cs="Times New Roman"/>
                <w:bCs/>
                <w:iCs/>
                <w:sz w:val="22"/>
              </w:rPr>
            </w:pPr>
            <w:r w:rsidRPr="00B07FB9">
              <w:rPr>
                <w:rFonts w:ascii="Arial Narrow" w:hAnsi="Arial Narrow" w:cs="Times New Roman"/>
                <w:bCs/>
                <w:iCs/>
                <w:sz w:val="20"/>
                <w:szCs w:val="20"/>
              </w:rPr>
              <w:t>Patients treated under this listing should be receiving a dose of 300 mg/day</w:t>
            </w:r>
          </w:p>
          <w:p w14:paraId="406DFBE2"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A response (complete or partial) to the platinum-based chemotherapy regimen is to be assessed using either Gynaecologic Cancer Inter Group (GCIG) or Response Evaluation Criteria in Solid Tumours (RECIST) guidelines.</w:t>
            </w:r>
          </w:p>
          <w:p w14:paraId="5664DB40"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 xml:space="preserve">Patients who have developed intolerance to </w:t>
            </w:r>
            <w:proofErr w:type="spellStart"/>
            <w:r w:rsidRPr="00B07FB9">
              <w:rPr>
                <w:rFonts w:ascii="Arial Narrow" w:eastAsiaTheme="majorEastAsia" w:hAnsi="Arial Narrow" w:cs="Times New Roman"/>
                <w:bCs/>
                <w:sz w:val="20"/>
              </w:rPr>
              <w:t>olaparib</w:t>
            </w:r>
            <w:proofErr w:type="spellEnd"/>
            <w:r w:rsidRPr="00B07FB9">
              <w:rPr>
                <w:rFonts w:ascii="Arial Narrow" w:eastAsiaTheme="majorEastAsia" w:hAnsi="Arial Narrow" w:cs="Times New Roman"/>
                <w:bCs/>
                <w:sz w:val="20"/>
              </w:rPr>
              <w:t xml:space="preserve"> of a severity necessitating permanent treatment withdrawal are eligible to receive PBS-subsidised niraparib.</w:t>
            </w:r>
          </w:p>
          <w:p w14:paraId="763C1165" w14:textId="77777777"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Patients who have developed progressive disease on PBS-subsidised PARP inhibitor as maintenance therapy are not eligible to receive PBS subsidised niraparib for this condition.</w:t>
            </w:r>
          </w:p>
        </w:tc>
      </w:tr>
      <w:tr w:rsidR="001B4E9C" w:rsidRPr="00B07FB9" w14:paraId="53A7B362" w14:textId="46206D7A" w:rsidTr="00D564E8">
        <w:tc>
          <w:tcPr>
            <w:tcW w:w="1084" w:type="pct"/>
            <w:gridSpan w:val="2"/>
          </w:tcPr>
          <w:p w14:paraId="18D5E10A" w14:textId="2937C0D7"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Treatment phase</w:t>
            </w:r>
          </w:p>
        </w:tc>
        <w:tc>
          <w:tcPr>
            <w:tcW w:w="3916" w:type="pct"/>
          </w:tcPr>
          <w:p w14:paraId="602702EA" w14:textId="24B47956"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Initial treatment – first line treatment</w:t>
            </w:r>
            <w:r w:rsidR="00826B51" w:rsidRPr="00B07FB9">
              <w:rPr>
                <w:rFonts w:ascii="Arial Narrow" w:eastAsiaTheme="majorEastAsia" w:hAnsi="Arial Narrow" w:cs="Times New Roman"/>
                <w:bCs/>
                <w:sz w:val="20"/>
              </w:rPr>
              <w:t xml:space="preserve"> (200 mg/day)</w:t>
            </w:r>
          </w:p>
        </w:tc>
      </w:tr>
      <w:tr w:rsidR="001B4E9C" w:rsidRPr="00B07FB9" w14:paraId="4B0D58AE" w14:textId="457236AB" w:rsidTr="00D564E8">
        <w:tc>
          <w:tcPr>
            <w:tcW w:w="1084" w:type="pct"/>
            <w:gridSpan w:val="2"/>
          </w:tcPr>
          <w:p w14:paraId="45086871" w14:textId="4CB81A8C"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lastRenderedPageBreak/>
              <w:t>Clinical criteria</w:t>
            </w:r>
          </w:p>
        </w:tc>
        <w:tc>
          <w:tcPr>
            <w:tcW w:w="3916" w:type="pct"/>
          </w:tcPr>
          <w:p w14:paraId="6E9BA1D2" w14:textId="2EDC0E3B"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Patient must be in partial or complete response to the immediately preceding platinum-based chemotherapy regimen prior to commencing treatment with this drug for this condition,</w:t>
            </w:r>
          </w:p>
          <w:p w14:paraId="639BEF45" w14:textId="5BC92C35"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AND</w:t>
            </w:r>
          </w:p>
          <w:p w14:paraId="70371F2D" w14:textId="33286130"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 xml:space="preserve">The treatment must be the sole PBS-subsidised PARP inhibitor therapy for this condition, </w:t>
            </w:r>
          </w:p>
          <w:p w14:paraId="0DB3FDE2" w14:textId="43612854"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AND</w:t>
            </w:r>
          </w:p>
          <w:p w14:paraId="4D1F7661" w14:textId="33D9CBF5" w:rsidR="001B4E9C" w:rsidRPr="00B07FB9" w:rsidRDefault="001B4E9C" w:rsidP="000C6F49">
            <w:pPr>
              <w:widowControl w:val="0"/>
              <w:jc w:val="left"/>
              <w:rPr>
                <w:rFonts w:ascii="Arial Narrow" w:eastAsiaTheme="majorEastAsia" w:hAnsi="Arial Narrow" w:cs="Times New Roman"/>
                <w:bCs/>
                <w:iCs/>
                <w:sz w:val="20"/>
              </w:rPr>
            </w:pPr>
            <w:r w:rsidRPr="00B07FB9">
              <w:rPr>
                <w:rFonts w:ascii="Arial Narrow" w:eastAsiaTheme="majorEastAsia" w:hAnsi="Arial Narrow" w:cs="Times New Roman"/>
                <w:bCs/>
                <w:sz w:val="20"/>
              </w:rPr>
              <w:t>Patient must not have previously received PBS-subsidised treatment with this drug for this condition</w:t>
            </w:r>
          </w:p>
        </w:tc>
      </w:tr>
      <w:tr w:rsidR="001B4E9C" w:rsidRPr="00B07FB9" w14:paraId="76EB13ED" w14:textId="60E5F923" w:rsidTr="00D564E8">
        <w:tc>
          <w:tcPr>
            <w:tcW w:w="1084" w:type="pct"/>
            <w:gridSpan w:val="2"/>
          </w:tcPr>
          <w:p w14:paraId="5A0FE533" w14:textId="50FDF651" w:rsidR="001B4E9C" w:rsidRPr="00B07FB9" w:rsidRDefault="001B4E9C" w:rsidP="000C6F49">
            <w:pPr>
              <w:widowControl w:val="0"/>
              <w:jc w:val="left"/>
              <w:rPr>
                <w:rFonts w:ascii="Arial Narrow" w:eastAsiaTheme="majorEastAsia" w:hAnsi="Arial Narrow" w:cs="Times New Roman"/>
                <w:b/>
                <w:bCs/>
                <w:sz w:val="20"/>
              </w:rPr>
            </w:pPr>
            <w:r w:rsidRPr="00B07FB9">
              <w:rPr>
                <w:rFonts w:ascii="Arial Narrow" w:eastAsiaTheme="majorEastAsia" w:hAnsi="Arial Narrow" w:cs="Times New Roman"/>
                <w:b/>
                <w:bCs/>
                <w:sz w:val="20"/>
              </w:rPr>
              <w:t>Prescriber instructions</w:t>
            </w:r>
          </w:p>
        </w:tc>
        <w:tc>
          <w:tcPr>
            <w:tcW w:w="3916" w:type="pct"/>
          </w:tcPr>
          <w:p w14:paraId="2ED8B523" w14:textId="47CB9C3D" w:rsidR="001B4E9C" w:rsidRPr="00B07FB9" w:rsidRDefault="001B4E9C" w:rsidP="000C6F49">
            <w:pPr>
              <w:widowControl w:val="0"/>
              <w:jc w:val="left"/>
              <w:rPr>
                <w:rFonts w:ascii="Arial Narrow" w:eastAsiaTheme="majorEastAsia" w:hAnsi="Arial Narrow" w:cs="Times New Roman"/>
                <w:bCs/>
                <w:iCs/>
                <w:sz w:val="22"/>
              </w:rPr>
            </w:pPr>
            <w:r w:rsidRPr="00B07FB9">
              <w:rPr>
                <w:rFonts w:ascii="Arial Narrow" w:hAnsi="Arial Narrow" w:cs="Times New Roman"/>
                <w:bCs/>
                <w:iCs/>
                <w:sz w:val="20"/>
                <w:szCs w:val="20"/>
              </w:rPr>
              <w:t>Patients treated under this listing should be receiving a dose of 200 mg/day</w:t>
            </w:r>
          </w:p>
          <w:p w14:paraId="4AA9D0DD" w14:textId="02D36ED2"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A response (complete or partial) to the platinum-based chemotherapy regimen is to be assessed using either Gynaecologic Cancer Inter Group (GCIG) or Response Evaluation Criteria in Solid Tumours (RECIST) guidelines.</w:t>
            </w:r>
          </w:p>
          <w:p w14:paraId="6FBE7D42" w14:textId="1D3A0DF3"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 xml:space="preserve">Patients who have developed intolerance to </w:t>
            </w:r>
            <w:proofErr w:type="spellStart"/>
            <w:r w:rsidRPr="00B07FB9">
              <w:rPr>
                <w:rFonts w:ascii="Arial Narrow" w:eastAsiaTheme="majorEastAsia" w:hAnsi="Arial Narrow" w:cs="Times New Roman"/>
                <w:bCs/>
                <w:sz w:val="20"/>
              </w:rPr>
              <w:t>olaparib</w:t>
            </w:r>
            <w:proofErr w:type="spellEnd"/>
            <w:r w:rsidRPr="00B07FB9">
              <w:rPr>
                <w:rFonts w:ascii="Arial Narrow" w:eastAsiaTheme="majorEastAsia" w:hAnsi="Arial Narrow" w:cs="Times New Roman"/>
                <w:bCs/>
                <w:sz w:val="20"/>
              </w:rPr>
              <w:t xml:space="preserve"> of a severity necessitating permanent treatment withdrawal are eligible to receive PBS-subsidised niraparib.</w:t>
            </w:r>
          </w:p>
          <w:p w14:paraId="79D8380C" w14:textId="6CCBC8DF" w:rsidR="001B4E9C" w:rsidRPr="00B07FB9" w:rsidRDefault="001B4E9C" w:rsidP="000C6F49">
            <w:pPr>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Patients who have developed progressive disease on PBS-subsidised PARP inhibitor as maintenance therapy are not eligible to receive PBS subsidised niraparib for this condition.</w:t>
            </w:r>
          </w:p>
        </w:tc>
      </w:tr>
      <w:tr w:rsidR="001B4E9C" w:rsidRPr="00B07FB9" w14:paraId="0994883F" w14:textId="77777777" w:rsidTr="00D564E8">
        <w:tc>
          <w:tcPr>
            <w:tcW w:w="1070" w:type="pct"/>
          </w:tcPr>
          <w:p w14:paraId="01F28BDB" w14:textId="77777777" w:rsidR="001B4E9C" w:rsidRPr="00B07FB9" w:rsidRDefault="001B4E9C" w:rsidP="000C6F49">
            <w:pPr>
              <w:pStyle w:val="TableText0"/>
              <w:keepNext w:val="0"/>
              <w:widowControl w:val="0"/>
              <w:rPr>
                <w:b/>
              </w:rPr>
            </w:pPr>
            <w:r w:rsidRPr="00B07FB9">
              <w:rPr>
                <w:b/>
              </w:rPr>
              <w:t>Treatment phase</w:t>
            </w:r>
          </w:p>
        </w:tc>
        <w:tc>
          <w:tcPr>
            <w:tcW w:w="3930" w:type="pct"/>
            <w:gridSpan w:val="2"/>
          </w:tcPr>
          <w:p w14:paraId="50EC054F" w14:textId="77777777" w:rsidR="001B4E9C" w:rsidRPr="00B07FB9" w:rsidRDefault="001B4E9C" w:rsidP="000C6F49">
            <w:pPr>
              <w:pStyle w:val="TableText0"/>
              <w:keepNext w:val="0"/>
              <w:widowControl w:val="0"/>
            </w:pPr>
            <w:r w:rsidRPr="00B07FB9">
              <w:t>Continuing treatment – first line treatment</w:t>
            </w:r>
          </w:p>
        </w:tc>
      </w:tr>
      <w:tr w:rsidR="001B4E9C" w:rsidRPr="00B07FB9" w14:paraId="27E5D5F5" w14:textId="77777777" w:rsidTr="00D564E8">
        <w:trPr>
          <w:trHeight w:val="42"/>
        </w:trPr>
        <w:tc>
          <w:tcPr>
            <w:tcW w:w="1070" w:type="pct"/>
          </w:tcPr>
          <w:p w14:paraId="223B8A44" w14:textId="77777777" w:rsidR="001B4E9C" w:rsidRPr="00B07FB9" w:rsidRDefault="001B4E9C" w:rsidP="000C6F49">
            <w:pPr>
              <w:pStyle w:val="TableText0"/>
              <w:keepNext w:val="0"/>
              <w:widowControl w:val="0"/>
              <w:rPr>
                <w:b/>
              </w:rPr>
            </w:pPr>
            <w:r w:rsidRPr="00B07FB9">
              <w:rPr>
                <w:b/>
              </w:rPr>
              <w:t>Restriction</w:t>
            </w:r>
          </w:p>
        </w:tc>
        <w:tc>
          <w:tcPr>
            <w:tcW w:w="3930" w:type="pct"/>
            <w:gridSpan w:val="2"/>
          </w:tcPr>
          <w:p w14:paraId="61342114" w14:textId="77777777" w:rsidR="001B4E9C" w:rsidRPr="00B07FB9" w:rsidRDefault="001B4E9C" w:rsidP="000C6F49">
            <w:pPr>
              <w:pStyle w:val="TableText0"/>
              <w:keepNext w:val="0"/>
              <w:widowControl w:val="0"/>
            </w:pPr>
            <w:r w:rsidRPr="00B07FB9">
              <w:rPr>
                <w:rFonts w:cs="Arial"/>
                <w:szCs w:val="20"/>
              </w:rPr>
              <w:fldChar w:fldCharType="begin">
                <w:ffData>
                  <w:name w:val="Check1"/>
                  <w:enabled/>
                  <w:calcOnExit w:val="0"/>
                  <w:checkBox>
                    <w:sizeAuto/>
                    <w:default w:val="1"/>
                  </w:checkBox>
                </w:ffData>
              </w:fldChar>
            </w:r>
            <w:r w:rsidRPr="00B07FB9">
              <w:rPr>
                <w:rFonts w:cs="Arial"/>
                <w:szCs w:val="20"/>
              </w:rPr>
              <w:instrText xml:space="preserve"> FORMCHECKBOX </w:instrText>
            </w:r>
            <w:r w:rsidR="00385E8C">
              <w:rPr>
                <w:rFonts w:cs="Arial"/>
                <w:szCs w:val="20"/>
              </w:rPr>
            </w:r>
            <w:r w:rsidR="00385E8C">
              <w:rPr>
                <w:rFonts w:cs="Arial"/>
                <w:szCs w:val="20"/>
              </w:rPr>
              <w:fldChar w:fldCharType="separate"/>
            </w:r>
            <w:r w:rsidRPr="00B07FB9">
              <w:rPr>
                <w:rFonts w:cs="Arial"/>
                <w:szCs w:val="20"/>
              </w:rPr>
              <w:fldChar w:fldCharType="end"/>
            </w:r>
            <w:r w:rsidRPr="00B07FB9" w:rsidDel="00A46101">
              <w:rPr>
                <w:rFonts w:cs="Arial"/>
                <w:szCs w:val="20"/>
              </w:rPr>
              <w:t xml:space="preserve"> </w:t>
            </w:r>
            <w:r w:rsidRPr="00B07FB9" w:rsidDel="00A46101">
              <w:rPr>
                <w:rFonts w:eastAsia="Calibri"/>
                <w:szCs w:val="20"/>
              </w:rPr>
              <w:t xml:space="preserve">Authority Required </w:t>
            </w:r>
            <w:r w:rsidRPr="00B07FB9">
              <w:rPr>
                <w:rFonts w:eastAsia="Calibri"/>
                <w:iCs/>
                <w:szCs w:val="20"/>
              </w:rPr>
              <w:t>– STREAMLINED</w:t>
            </w:r>
          </w:p>
        </w:tc>
      </w:tr>
      <w:tr w:rsidR="001B4E9C" w:rsidRPr="00B07FB9" w14:paraId="23294EE9" w14:textId="77777777" w:rsidTr="00D564E8">
        <w:tc>
          <w:tcPr>
            <w:tcW w:w="1070" w:type="pct"/>
          </w:tcPr>
          <w:p w14:paraId="374DDBBD" w14:textId="77777777" w:rsidR="001B4E9C" w:rsidRPr="00B07FB9" w:rsidRDefault="001B4E9C" w:rsidP="000C6F49">
            <w:pPr>
              <w:pStyle w:val="TableText0"/>
              <w:keepNext w:val="0"/>
              <w:widowControl w:val="0"/>
              <w:rPr>
                <w:b/>
              </w:rPr>
            </w:pPr>
            <w:r w:rsidRPr="00B07FB9">
              <w:rPr>
                <w:b/>
              </w:rPr>
              <w:t>Clinical criteria</w:t>
            </w:r>
          </w:p>
        </w:tc>
        <w:tc>
          <w:tcPr>
            <w:tcW w:w="3930" w:type="pct"/>
            <w:gridSpan w:val="2"/>
          </w:tcPr>
          <w:p w14:paraId="40F3C34B" w14:textId="77777777" w:rsidR="001B4E9C" w:rsidRPr="00B07FB9" w:rsidRDefault="001B4E9C" w:rsidP="000C6F49">
            <w:pPr>
              <w:pStyle w:val="TableText0"/>
              <w:keepNext w:val="0"/>
              <w:widowControl w:val="0"/>
            </w:pPr>
            <w:r w:rsidRPr="00B07FB9">
              <w:t>The treatment must be the sole PBS-subsidised PARP inhibitor therapy for this condition,</w:t>
            </w:r>
          </w:p>
          <w:p w14:paraId="6297E1B8" w14:textId="77777777" w:rsidR="001B4E9C" w:rsidRPr="00B07FB9" w:rsidRDefault="001B4E9C" w:rsidP="000C6F49">
            <w:pPr>
              <w:pStyle w:val="TableText0"/>
              <w:keepNext w:val="0"/>
              <w:widowControl w:val="0"/>
            </w:pPr>
            <w:r w:rsidRPr="00B07FB9">
              <w:t>AND</w:t>
            </w:r>
          </w:p>
          <w:p w14:paraId="77BB4900" w14:textId="77777777" w:rsidR="001B4E9C" w:rsidRPr="00B07FB9" w:rsidRDefault="001B4E9C" w:rsidP="000C6F49">
            <w:pPr>
              <w:pStyle w:val="TableText0"/>
              <w:keepNext w:val="0"/>
              <w:widowControl w:val="0"/>
            </w:pPr>
            <w:r w:rsidRPr="00B07FB9">
              <w:t>Patient must not have developed disease progression while receiving treatment with this drug for this condition</w:t>
            </w:r>
          </w:p>
          <w:p w14:paraId="66EC7A30" w14:textId="77777777" w:rsidR="001B4E9C" w:rsidRPr="00B07FB9" w:rsidRDefault="001B4E9C" w:rsidP="000C6F49">
            <w:pPr>
              <w:pStyle w:val="TableText0"/>
              <w:keepNext w:val="0"/>
              <w:widowControl w:val="0"/>
            </w:pPr>
            <w:r w:rsidRPr="00B07FB9">
              <w:t>AND</w:t>
            </w:r>
          </w:p>
          <w:p w14:paraId="19186093" w14:textId="77777777" w:rsidR="001B4E9C" w:rsidRPr="00B07FB9" w:rsidRDefault="001B4E9C" w:rsidP="000C6F49">
            <w:pPr>
              <w:pStyle w:val="TableText0"/>
              <w:keepNext w:val="0"/>
              <w:widowControl w:val="0"/>
            </w:pPr>
            <w:r w:rsidRPr="00B07FB9">
              <w:t>Patient must have previously received PBS-subsidised treatment with this drug as first line maintenance therapy for this condition</w:t>
            </w:r>
          </w:p>
          <w:p w14:paraId="573DB8C6" w14:textId="77777777" w:rsidR="001B4E9C" w:rsidRPr="00B07FB9" w:rsidRDefault="001B4E9C" w:rsidP="000C6F49">
            <w:pPr>
              <w:pStyle w:val="TableText0"/>
              <w:keepNext w:val="0"/>
              <w:widowControl w:val="0"/>
            </w:pPr>
            <w:r w:rsidRPr="00B07FB9">
              <w:t>AND</w:t>
            </w:r>
          </w:p>
          <w:p w14:paraId="75E667CE" w14:textId="77777777" w:rsidR="001B4E9C" w:rsidRPr="00B07FB9" w:rsidRDefault="001B4E9C" w:rsidP="000C6F49">
            <w:pPr>
              <w:pStyle w:val="TableText0"/>
              <w:keepNext w:val="0"/>
              <w:widowControl w:val="0"/>
              <w:rPr>
                <w:vertAlign w:val="superscript"/>
              </w:rPr>
            </w:pPr>
            <w:r w:rsidRPr="00B07FB9">
              <w:rPr>
                <w:rFonts w:eastAsia="Calibri"/>
                <w:iCs/>
                <w:szCs w:val="20"/>
              </w:rPr>
              <w:t>The treatment must not exceed a total of 36 months of combined non-PBS-subsidised and PBS-subsidised treatment for patients who are in complete response</w:t>
            </w:r>
          </w:p>
        </w:tc>
      </w:tr>
    </w:tbl>
    <w:p w14:paraId="02C50AE7" w14:textId="77777777" w:rsidR="001B4E9C" w:rsidRPr="00B07FB9" w:rsidRDefault="001B4E9C" w:rsidP="000C6F49">
      <w:pPr>
        <w:widowControl w:val="0"/>
      </w:pPr>
    </w:p>
    <w:p w14:paraId="5C3FF39E" w14:textId="0EDA1219" w:rsidR="001B4E9C" w:rsidRPr="00B07FB9" w:rsidRDefault="001B4E9C" w:rsidP="000C6F49">
      <w:pPr>
        <w:pStyle w:val="3-BodyText"/>
        <w:widowControl w:val="0"/>
      </w:pPr>
      <w:r w:rsidRPr="00B07FB9">
        <w:t xml:space="preserve">The resubmission proposed a Special Pricing Arrangement (SPA), whereby the effective price </w:t>
      </w:r>
      <w:r w:rsidR="00041037" w:rsidRPr="00B07FB9">
        <w:t xml:space="preserve">for niraparib </w:t>
      </w:r>
      <w:r w:rsidRPr="00B07FB9">
        <w:t xml:space="preserve">was derived from a weighting across the </w:t>
      </w:r>
      <w:proofErr w:type="spellStart"/>
      <w:r w:rsidRPr="00B07FB9">
        <w:t>BRCAm</w:t>
      </w:r>
      <w:proofErr w:type="spellEnd"/>
      <w:r w:rsidRPr="00B07FB9">
        <w:t xml:space="preserve"> (28.9%) and non-</w:t>
      </w:r>
      <w:proofErr w:type="spellStart"/>
      <w:r w:rsidRPr="00B07FB9">
        <w:t>BRCAm</w:t>
      </w:r>
      <w:proofErr w:type="spellEnd"/>
      <w:r w:rsidRPr="00B07FB9">
        <w:t xml:space="preserve"> (71.1%) populations. The effective prices in </w:t>
      </w:r>
      <w:proofErr w:type="spellStart"/>
      <w:r w:rsidRPr="00B07FB9">
        <w:t>BRCAm</w:t>
      </w:r>
      <w:proofErr w:type="spellEnd"/>
      <w:r w:rsidRPr="00B07FB9">
        <w:t xml:space="preserve"> and non-</w:t>
      </w:r>
      <w:proofErr w:type="spellStart"/>
      <w:r w:rsidRPr="00B07FB9">
        <w:t>BRCAm</w:t>
      </w:r>
      <w:proofErr w:type="spellEnd"/>
      <w:r w:rsidRPr="00B07FB9">
        <w:t xml:space="preserve"> patients were determined on the basis of a CMA (vs. </w:t>
      </w:r>
      <w:proofErr w:type="spellStart"/>
      <w:r w:rsidRPr="00B07FB9">
        <w:t>olaparib</w:t>
      </w:r>
      <w:proofErr w:type="spellEnd"/>
      <w:r w:rsidRPr="00B07FB9">
        <w:t xml:space="preserve">) and a CUA (vs. no active treatment), respectively. The resubmission acknowledged that the comparator </w:t>
      </w:r>
      <w:proofErr w:type="spellStart"/>
      <w:r w:rsidRPr="00B07FB9">
        <w:t>olaparib</w:t>
      </w:r>
      <w:proofErr w:type="spellEnd"/>
      <w:r w:rsidRPr="00B07FB9">
        <w:t xml:space="preserve"> has a confidential SPA and the CMA for the </w:t>
      </w:r>
      <w:proofErr w:type="spellStart"/>
      <w:r w:rsidRPr="00B07FB9">
        <w:t>BRCAm</w:t>
      </w:r>
      <w:proofErr w:type="spellEnd"/>
      <w:r w:rsidRPr="00B07FB9">
        <w:t xml:space="preserve"> population was conducted using the published price of </w:t>
      </w:r>
      <w:proofErr w:type="spellStart"/>
      <w:r w:rsidRPr="00B07FB9">
        <w:t>olaparib</w:t>
      </w:r>
      <w:proofErr w:type="spellEnd"/>
      <w:r w:rsidRPr="00B07FB9">
        <w:t xml:space="preserve">. </w:t>
      </w:r>
      <w:r w:rsidR="001E7752" w:rsidRPr="00B07FB9">
        <w:t xml:space="preserve">The </w:t>
      </w:r>
      <w:r w:rsidRPr="00B07FB9">
        <w:t xml:space="preserve">weighted price of niraparib </w:t>
      </w:r>
      <w:r w:rsidR="005F304C" w:rsidRPr="00B07FB9">
        <w:t xml:space="preserve">would </w:t>
      </w:r>
      <w:r w:rsidRPr="00B07FB9">
        <w:t xml:space="preserve">depend on the </w:t>
      </w:r>
      <w:r w:rsidR="005F304C" w:rsidRPr="00B07FB9">
        <w:t xml:space="preserve">assumed </w:t>
      </w:r>
      <w:r w:rsidRPr="00B07FB9">
        <w:t>proportions of non-</w:t>
      </w:r>
      <w:proofErr w:type="spellStart"/>
      <w:r w:rsidRPr="00B07FB9">
        <w:t>BRCAm</w:t>
      </w:r>
      <w:proofErr w:type="spellEnd"/>
      <w:r w:rsidRPr="00B07FB9">
        <w:t xml:space="preserve"> and </w:t>
      </w:r>
      <w:proofErr w:type="spellStart"/>
      <w:r w:rsidRPr="00B07FB9">
        <w:t>BRCAm</w:t>
      </w:r>
      <w:proofErr w:type="spellEnd"/>
      <w:r w:rsidRPr="00B07FB9">
        <w:t xml:space="preserve"> patients who take up niraparib treatment and these p</w:t>
      </w:r>
      <w:r w:rsidR="00B1614A" w:rsidRPr="00B07FB9">
        <w:t xml:space="preserve">roportions may differ from the </w:t>
      </w:r>
      <w:r w:rsidR="00E52A38" w:rsidRPr="00B07FB9">
        <w:t xml:space="preserve">prevalence </w:t>
      </w:r>
      <w:r w:rsidRPr="00B07FB9">
        <w:t xml:space="preserve">of </w:t>
      </w:r>
      <w:proofErr w:type="spellStart"/>
      <w:r w:rsidRPr="00B07FB9">
        <w:t>BRCAm</w:t>
      </w:r>
      <w:proofErr w:type="spellEnd"/>
      <w:r w:rsidRPr="00B07FB9">
        <w:t xml:space="preserve"> in the </w:t>
      </w:r>
      <w:r w:rsidR="00E52A38" w:rsidRPr="00B07FB9">
        <w:t xml:space="preserve">target </w:t>
      </w:r>
      <w:r w:rsidRPr="00B07FB9">
        <w:t>population</w:t>
      </w:r>
      <w:r w:rsidR="00EB7169" w:rsidRPr="00B07FB9">
        <w:t xml:space="preserve"> (</w:t>
      </w:r>
      <w:r w:rsidR="002E4B16" w:rsidRPr="00B07FB9">
        <w:t>see paragraph</w:t>
      </w:r>
      <w:r w:rsidR="006B22BA" w:rsidRPr="00B07FB9">
        <w:t xml:space="preserve"> </w:t>
      </w:r>
      <w:r w:rsidR="006B22BA" w:rsidRPr="00B07FB9">
        <w:fldChar w:fldCharType="begin"/>
      </w:r>
      <w:r w:rsidR="006B22BA" w:rsidRPr="00B07FB9">
        <w:instrText xml:space="preserve"> REF _Ref99089686 \r \h </w:instrText>
      </w:r>
      <w:r w:rsidR="006B22BA" w:rsidRPr="00B07FB9">
        <w:fldChar w:fldCharType="separate"/>
      </w:r>
      <w:r w:rsidR="00385E8C">
        <w:t>6.73</w:t>
      </w:r>
      <w:r w:rsidR="006B22BA" w:rsidRPr="00B07FB9">
        <w:fldChar w:fldCharType="end"/>
      </w:r>
      <w:r w:rsidR="00EB7169" w:rsidRPr="00B07FB9">
        <w:t>)</w:t>
      </w:r>
      <w:r w:rsidRPr="00B07FB9">
        <w:t>.</w:t>
      </w:r>
    </w:p>
    <w:p w14:paraId="1C71DAFB" w14:textId="77777777" w:rsidR="001B4E9C" w:rsidRPr="00B07FB9" w:rsidRDefault="001B4E9C" w:rsidP="000C6F49">
      <w:pPr>
        <w:pStyle w:val="3-BodyText"/>
        <w:widowControl w:val="0"/>
      </w:pPr>
      <w:r w:rsidRPr="00B07FB9">
        <w:t xml:space="preserve">In comparison with the proposed PBS listing in the original submission, the resubmission made the following changes: </w:t>
      </w:r>
    </w:p>
    <w:p w14:paraId="56EA8CD9" w14:textId="6D0E4AA5" w:rsidR="001B4E9C" w:rsidRPr="00B07FB9" w:rsidRDefault="001B4E9C" w:rsidP="000C6F49">
      <w:pPr>
        <w:pStyle w:val="ListParagraph"/>
        <w:widowControl w:val="0"/>
        <w:ind w:left="1176" w:hanging="476"/>
      </w:pPr>
      <w:r w:rsidRPr="00B07FB9">
        <w:t>Specifying the disease stage (</w:t>
      </w:r>
      <w:r w:rsidR="007766AD" w:rsidRPr="00B07FB9">
        <w:t xml:space="preserve">International Federation of Gynaecology and Obstetrics (FIGO) </w:t>
      </w:r>
      <w:r w:rsidRPr="00B07FB9">
        <w:t xml:space="preserve">Stage III/IV) of the target population to be in line with the patient population in the key trial. </w:t>
      </w:r>
    </w:p>
    <w:p w14:paraId="7F2A4D79" w14:textId="163FCE63" w:rsidR="001B4E9C" w:rsidRPr="00B07FB9" w:rsidRDefault="001B4E9C" w:rsidP="000C6F49">
      <w:pPr>
        <w:pStyle w:val="ListParagraph"/>
        <w:widowControl w:val="0"/>
        <w:ind w:left="1176" w:hanging="476"/>
      </w:pPr>
      <w:r w:rsidRPr="00B07FB9">
        <w:t>Proposing separate listings with clinical criteria for patients on a daily dose of 300</w:t>
      </w:r>
      <w:r w:rsidR="00FE58DA" w:rsidRPr="00B07FB9">
        <w:t> </w:t>
      </w:r>
      <w:r w:rsidRPr="00B07FB9">
        <w:t xml:space="preserve">mg and those on a daily dose of </w:t>
      </w:r>
      <w:r w:rsidR="00B231BB" w:rsidRPr="00B07FB9">
        <w:t>200</w:t>
      </w:r>
      <w:r w:rsidR="00B231BB">
        <w:t> </w:t>
      </w:r>
      <w:r w:rsidRPr="00B07FB9">
        <w:t xml:space="preserve">mg. The Secretariat </w:t>
      </w:r>
      <w:r w:rsidR="00FE58DA" w:rsidRPr="00B07FB9">
        <w:t xml:space="preserve">previously </w:t>
      </w:r>
      <w:r w:rsidRPr="00B07FB9">
        <w:t xml:space="preserve">considered that the separate listings will ensure that patients who meet the individualised starting dose (ISD) criteria or who have had their dose reduced </w:t>
      </w:r>
      <w:r w:rsidRPr="00B07FB9">
        <w:lastRenderedPageBreak/>
        <w:t>receive the 56 unit pack size rather than the 84 unit pack size, to reduce wastage (</w:t>
      </w:r>
      <w:r w:rsidR="00FE58DA" w:rsidRPr="00B07FB9">
        <w:t>P</w:t>
      </w:r>
      <w:r w:rsidRPr="00B07FB9">
        <w:t xml:space="preserve">aragraph 3.9, </w:t>
      </w:r>
      <w:r w:rsidR="00FE58DA" w:rsidRPr="00B07FB9">
        <w:t>N</w:t>
      </w:r>
      <w:r w:rsidRPr="00B07FB9">
        <w:t>iraparib PSD, July 2021 PBAC meeting).</w:t>
      </w:r>
      <w:r w:rsidR="00855B13" w:rsidRPr="00B07FB9">
        <w:t xml:space="preserve"> The PBAC noted that the separate listing for the smaller pack size may not be required as prescribers can choose the relevant number of repeats depending on the dose required. </w:t>
      </w:r>
    </w:p>
    <w:p w14:paraId="14EB29B3" w14:textId="102D820B" w:rsidR="001B4E9C" w:rsidRPr="00B07FB9" w:rsidRDefault="001B4E9C" w:rsidP="000C6F49">
      <w:pPr>
        <w:pStyle w:val="ListParagraph"/>
        <w:widowControl w:val="0"/>
        <w:ind w:left="1176" w:hanging="476"/>
      </w:pPr>
      <w:r w:rsidRPr="00B07FB9">
        <w:t>Defining a maximum treatment duration of 3 years for niraparib</w:t>
      </w:r>
      <w:r w:rsidR="00845C60" w:rsidRPr="00B07FB9">
        <w:t xml:space="preserve"> in patients with complete response</w:t>
      </w:r>
      <w:r w:rsidRPr="00B07FB9">
        <w:t xml:space="preserve">. The PBAC </w:t>
      </w:r>
      <w:r w:rsidR="00B31940" w:rsidRPr="00B07FB9">
        <w:t xml:space="preserve">previously </w:t>
      </w:r>
      <w:r w:rsidRPr="00B07FB9">
        <w:t>considered that a maximum treatment period of 3 years would be consistent with the clinical data for niraparib, and that any future resubmission should justify the duration of treatment proposed and ensure consistency with the economic model and financial estimates (</w:t>
      </w:r>
      <w:r w:rsidR="00FE58DA" w:rsidRPr="00B07FB9">
        <w:t>P</w:t>
      </w:r>
      <w:r w:rsidRPr="00B07FB9">
        <w:t xml:space="preserve">aragraph 3.4, </w:t>
      </w:r>
      <w:r w:rsidR="00FE58DA" w:rsidRPr="00B07FB9">
        <w:t>N</w:t>
      </w:r>
      <w:r w:rsidRPr="00B07FB9">
        <w:t xml:space="preserve">iraparib PSD, July 2021 PBAC meeting). </w:t>
      </w:r>
      <w:r w:rsidR="00845C60" w:rsidRPr="00B07FB9">
        <w:t xml:space="preserve">It </w:t>
      </w:r>
      <w:r w:rsidR="005F304C" w:rsidRPr="00B07FB9">
        <w:t>was</w:t>
      </w:r>
      <w:r w:rsidR="00845C60" w:rsidRPr="00B07FB9">
        <w:t xml:space="preserve"> noted that, although the planned duration of treatment in PRIMA was approximately 3 years, the median treatment was only 11.1 months at </w:t>
      </w:r>
      <w:r w:rsidR="00E92D38" w:rsidRPr="00B07FB9">
        <w:t xml:space="preserve">data </w:t>
      </w:r>
      <w:proofErr w:type="spellStart"/>
      <w:r w:rsidR="00845C60" w:rsidRPr="00B07FB9">
        <w:t>cutoff</w:t>
      </w:r>
      <w:proofErr w:type="spellEnd"/>
      <w:r w:rsidR="00845C60" w:rsidRPr="00B07FB9">
        <w:t xml:space="preserve"> (DCO) </w:t>
      </w:r>
      <w:r w:rsidR="00E92D38" w:rsidRPr="00B07FB9">
        <w:t>17</w:t>
      </w:r>
      <w:r w:rsidR="00E92D38" w:rsidRPr="00B07FB9">
        <w:rPr>
          <w:vertAlign w:val="superscript"/>
        </w:rPr>
        <w:t>th</w:t>
      </w:r>
      <w:r w:rsidR="00E92D38" w:rsidRPr="00B07FB9">
        <w:t xml:space="preserve"> </w:t>
      </w:r>
      <w:r w:rsidR="00845C60" w:rsidRPr="00B07FB9">
        <w:t>May 2019, with a maximum treatment duration of 2.4 years. Therefore, there is a lack of clinical evidence demonstrating the safety and effectiveness of long-term niraparib use.</w:t>
      </w:r>
      <w:r w:rsidR="000356E3" w:rsidRPr="00B07FB9">
        <w:t xml:space="preserve"> Overall, the PBAC considered that it was reasonable to include a maximum duration of treatment of 3 years for patients with full response in line with the circumstances of use in the PRIMA trial and consistent with the cost-minimisation analysis of niraparib vs </w:t>
      </w:r>
      <w:proofErr w:type="spellStart"/>
      <w:r w:rsidR="000356E3" w:rsidRPr="00B07FB9">
        <w:t>olaparib</w:t>
      </w:r>
      <w:proofErr w:type="spellEnd"/>
      <w:r w:rsidR="000356E3" w:rsidRPr="00B07FB9">
        <w:t>.</w:t>
      </w:r>
    </w:p>
    <w:p w14:paraId="1CAB6C8E" w14:textId="7042F379" w:rsidR="001B4E9C" w:rsidRPr="00B07FB9" w:rsidRDefault="001B4E9C" w:rsidP="00D5591C">
      <w:pPr>
        <w:pStyle w:val="3-BodyText"/>
      </w:pPr>
      <w:r w:rsidRPr="00B07FB9">
        <w:t xml:space="preserve">The requested PBS restriction was broader than the PRIMA selection criteria by including patients with poor </w:t>
      </w:r>
      <w:r w:rsidR="00D5591C" w:rsidRPr="00B07FB9">
        <w:t>Eastern Cooperative Oncology Group (</w:t>
      </w:r>
      <w:r w:rsidR="0078456D" w:rsidRPr="00B07FB9">
        <w:t>ECOG</w:t>
      </w:r>
      <w:r w:rsidR="00D5591C" w:rsidRPr="00B07FB9">
        <w:t>)</w:t>
      </w:r>
      <w:r w:rsidR="0078456D" w:rsidRPr="00B07FB9">
        <w:t xml:space="preserve"> </w:t>
      </w:r>
      <w:r w:rsidRPr="00B07FB9">
        <w:t>performance status of 2 or above and by including patients with Stage III, R0</w:t>
      </w:r>
      <w:r w:rsidR="001B6BA7" w:rsidRPr="00B07FB9">
        <w:rPr>
          <w:rStyle w:val="FootnoteReference"/>
        </w:rPr>
        <w:footnoteReference w:id="3"/>
      </w:r>
      <w:r w:rsidRPr="00B07FB9">
        <w:t xml:space="preserve"> after primary debulking surgery (PDS). The PBAC previously considered that, in clinical practice, it would be reasonable for all stage III/IV (including Stage III, R0 post PDS) patients be treated with</w:t>
      </w:r>
      <w:r w:rsidR="0054610E" w:rsidRPr="00B07FB9">
        <w:t xml:space="preserve"> a </w:t>
      </w:r>
      <w:r w:rsidR="00F13582" w:rsidRPr="00B07FB9">
        <w:t>poly (ADP-ribose) polymerase inhibitor (</w:t>
      </w:r>
      <w:proofErr w:type="spellStart"/>
      <w:r w:rsidRPr="00B07FB9">
        <w:t>PARPi</w:t>
      </w:r>
      <w:proofErr w:type="spellEnd"/>
      <w:r w:rsidR="00F13582" w:rsidRPr="00B07FB9">
        <w:t>)</w:t>
      </w:r>
      <w:r w:rsidRPr="00B07FB9">
        <w:t xml:space="preserve"> (Paragraph 3.5, Niraparib PSD, July 2021 PBAC meeting). Nevertheless, the additional clinical benefit of using maintenance niraparib in these two subpopulations was not captured in the PRIMA trial.</w:t>
      </w:r>
    </w:p>
    <w:p w14:paraId="1CB51F41" w14:textId="64EAC5CC" w:rsidR="00C726A3" w:rsidRPr="00B07FB9" w:rsidRDefault="00C726A3" w:rsidP="00C726A3">
      <w:pPr>
        <w:ind w:firstLine="709"/>
        <w:rPr>
          <w:rFonts w:asciiTheme="minorHAnsi" w:hAnsiTheme="minorHAnsi"/>
          <w:i/>
        </w:rPr>
      </w:pPr>
      <w:r w:rsidRPr="00B07FB9">
        <w:rPr>
          <w:rFonts w:asciiTheme="minorHAnsi" w:hAnsiTheme="minorHAnsi"/>
          <w:i/>
        </w:rPr>
        <w:t>For more detail on PBAC’s view, see section 7 PBAC outcome.</w:t>
      </w:r>
    </w:p>
    <w:p w14:paraId="777043B9" w14:textId="77777777" w:rsidR="001B4E9C" w:rsidRPr="00B07FB9" w:rsidRDefault="001B4E9C" w:rsidP="000C6F49">
      <w:pPr>
        <w:pStyle w:val="2-SectionHeading"/>
        <w:keepNext w:val="0"/>
        <w:widowControl w:val="0"/>
        <w:numPr>
          <w:ilvl w:val="0"/>
          <w:numId w:val="1"/>
        </w:numPr>
      </w:pPr>
      <w:bookmarkStart w:id="10" w:name="_Toc93404182"/>
      <w:r w:rsidRPr="00B07FB9">
        <w:t>Population and disease</w:t>
      </w:r>
      <w:bookmarkEnd w:id="10"/>
    </w:p>
    <w:p w14:paraId="28E2FCA1" w14:textId="70629341" w:rsidR="001B4E9C" w:rsidRPr="00B07FB9" w:rsidRDefault="001B4E9C" w:rsidP="000C6F49">
      <w:pPr>
        <w:pStyle w:val="3-BodyText"/>
        <w:widowControl w:val="0"/>
      </w:pPr>
      <w:r w:rsidRPr="00B07FB9">
        <w:t>The description of the population and disease in the resubmission is consistent with the previous submission. HGEOC is the most common and aggressive histological subtype of ovarian cancer (OC). Most patients (&gt;75%) are diagnosed at an advanced stage (</w:t>
      </w:r>
      <w:r w:rsidR="007766AD" w:rsidRPr="00B07FB9">
        <w:t xml:space="preserve">FIGO </w:t>
      </w:r>
      <w:r w:rsidRPr="00B07FB9">
        <w:t xml:space="preserve">Stage III and IV), </w:t>
      </w:r>
      <w:r w:rsidR="000356E3" w:rsidRPr="00B07FB9">
        <w:t xml:space="preserve">and have </w:t>
      </w:r>
      <w:r w:rsidRPr="00B07FB9">
        <w:t>limited long-term survival (7-year survival for Stage III and IV: 26% and 9% respectively).</w:t>
      </w:r>
    </w:p>
    <w:p w14:paraId="27028009" w14:textId="41B95BE8" w:rsidR="001B4E9C" w:rsidRPr="00B07FB9" w:rsidRDefault="001B4E9C" w:rsidP="000C6F49">
      <w:pPr>
        <w:pStyle w:val="3-BodyText"/>
        <w:widowControl w:val="0"/>
      </w:pPr>
      <w:r w:rsidRPr="00B07FB9">
        <w:t xml:space="preserve">Although </w:t>
      </w:r>
      <w:r w:rsidR="00B1614A" w:rsidRPr="00B07FB9">
        <w:t xml:space="preserve">primary </w:t>
      </w:r>
      <w:r w:rsidRPr="00B07FB9">
        <w:t xml:space="preserve">treatment with cytoreductive surgery and platinum-based chemotherapy usually leads to </w:t>
      </w:r>
      <w:r w:rsidR="00E52A38" w:rsidRPr="00B07FB9">
        <w:t xml:space="preserve">an </w:t>
      </w:r>
      <w:r w:rsidRPr="00B07FB9">
        <w:t xml:space="preserve">initial response, the majority of patients relapse within the first </w:t>
      </w:r>
      <w:r w:rsidR="00FE58DA" w:rsidRPr="00B07FB9">
        <w:t>3</w:t>
      </w:r>
      <w:r w:rsidRPr="00B07FB9">
        <w:t xml:space="preserve"> years. Post-progression treatment is usually associated with reduced </w:t>
      </w:r>
      <w:r w:rsidRPr="00B07FB9">
        <w:lastRenderedPageBreak/>
        <w:t>efficacy and prolonged exposure to chemotherapeutic agents is associated with long-term toxicities and attenuation in quality of life.</w:t>
      </w:r>
    </w:p>
    <w:p w14:paraId="25F6A10E" w14:textId="46099C3E" w:rsidR="001B4E9C" w:rsidRPr="00B07FB9" w:rsidRDefault="001B4E9C" w:rsidP="000C6F49">
      <w:pPr>
        <w:pStyle w:val="3-BodyText"/>
        <w:widowControl w:val="0"/>
      </w:pPr>
      <w:r w:rsidRPr="00B07FB9">
        <w:t>Olaparib is currently available on the PBS as a first</w:t>
      </w:r>
      <w:r w:rsidR="00BB7B73" w:rsidRPr="00B07FB9">
        <w:t>-</w:t>
      </w:r>
      <w:r w:rsidRPr="00B07FB9">
        <w:t xml:space="preserve">line maintenance therapy for </w:t>
      </w:r>
      <w:proofErr w:type="spellStart"/>
      <w:r w:rsidR="00845C60" w:rsidRPr="00B07FB9">
        <w:t>BRCAm</w:t>
      </w:r>
      <w:proofErr w:type="spellEnd"/>
      <w:r w:rsidR="00845C60" w:rsidRPr="00B07FB9">
        <w:t xml:space="preserve"> </w:t>
      </w:r>
      <w:r w:rsidR="00BB7B73" w:rsidRPr="00B07FB9">
        <w:t>NDA</w:t>
      </w:r>
      <w:r w:rsidRPr="00B07FB9">
        <w:t xml:space="preserve"> H</w:t>
      </w:r>
      <w:r w:rsidR="00E52A38" w:rsidRPr="00B07FB9">
        <w:t>G</w:t>
      </w:r>
      <w:r w:rsidRPr="00B07FB9">
        <w:t>EOC patients who are in response to platinum</w:t>
      </w:r>
      <w:r w:rsidR="00BB7B73" w:rsidRPr="00B07FB9">
        <w:t>-</w:t>
      </w:r>
      <w:r w:rsidRPr="00B07FB9">
        <w:t>based chemotherapy.</w:t>
      </w:r>
      <w:r w:rsidR="00B1614A" w:rsidRPr="00B07FB9">
        <w:t xml:space="preserve"> Bevacizumab has an unrestricted PBS listing; and its TGA approved indication as first</w:t>
      </w:r>
      <w:r w:rsidR="009942D0" w:rsidRPr="00B07FB9">
        <w:noBreakHyphen/>
      </w:r>
      <w:r w:rsidR="00B1614A" w:rsidRPr="00B07FB9">
        <w:t>line therapy is</w:t>
      </w:r>
      <w:r w:rsidR="009942D0" w:rsidRPr="00B07FB9">
        <w:t>:</w:t>
      </w:r>
      <w:r w:rsidR="00B1614A" w:rsidRPr="00B07FB9">
        <w:t xml:space="preserve"> bevacizumab, in combination with carboplatin and paclitaxel, for </w:t>
      </w:r>
      <w:r w:rsidR="00846BAD" w:rsidRPr="00B07FB9">
        <w:t xml:space="preserve">the </w:t>
      </w:r>
      <w:r w:rsidR="00B1614A" w:rsidRPr="00B07FB9">
        <w:t xml:space="preserve">treatment of patients with Stages IIIB, IIIC </w:t>
      </w:r>
      <w:r w:rsidR="00846BAD" w:rsidRPr="00B07FB9">
        <w:t xml:space="preserve">or </w:t>
      </w:r>
      <w:r w:rsidR="00B1614A" w:rsidRPr="00B07FB9">
        <w:t xml:space="preserve">IV epithelial ovarian cancer. </w:t>
      </w:r>
      <w:r w:rsidR="00B76965" w:rsidRPr="00B07FB9">
        <w:t>The current clinical management algorithm for first-line treatment of NDA HGEOC presented in the resubmission w</w:t>
      </w:r>
      <w:r w:rsidR="0078456D" w:rsidRPr="00B07FB9">
        <w:t>as</w:t>
      </w:r>
      <w:r w:rsidR="00B76965" w:rsidRPr="00B07FB9">
        <w:t xml:space="preserve"> largely consistent with the one in the original submission, with a change in the eligible population for bevacizumab from Stage III R2 or Stage IV to </w:t>
      </w:r>
      <w:r w:rsidR="00662D20" w:rsidRPr="00B07FB9">
        <w:t>all advanced or metastatic</w:t>
      </w:r>
      <w:r w:rsidR="00B76965" w:rsidRPr="00B07FB9">
        <w:t xml:space="preserve"> disease. This revision reflects the change to an unrestricted PBS listing for bevacizumab.</w:t>
      </w:r>
      <w:r w:rsidR="00B1614A" w:rsidRPr="00B07FB9">
        <w:t xml:space="preserve"> </w:t>
      </w:r>
    </w:p>
    <w:p w14:paraId="018D4A04" w14:textId="5C811A2B" w:rsidR="001B4E9C" w:rsidRPr="00B07FB9" w:rsidRDefault="001B4E9C" w:rsidP="000C6F49">
      <w:pPr>
        <w:pStyle w:val="3-BodyText"/>
        <w:widowControl w:val="0"/>
      </w:pPr>
      <w:r w:rsidRPr="00B07FB9">
        <w:t xml:space="preserve">The resubmission requested </w:t>
      </w:r>
      <w:r w:rsidR="00846BAD" w:rsidRPr="00B07FB9">
        <w:t xml:space="preserve">that </w:t>
      </w:r>
      <w:r w:rsidRPr="00B07FB9">
        <w:t>niraparib be listed as a first-line maintenance therapy for those who have complete or partial response to platinum-based chemotherapy, irrespective of BRCA status or surgical outcomes.</w:t>
      </w:r>
    </w:p>
    <w:p w14:paraId="245D2A36" w14:textId="468E8F65" w:rsidR="001B4E9C" w:rsidRPr="00B07FB9" w:rsidRDefault="002968E2" w:rsidP="000C6F49">
      <w:pPr>
        <w:pStyle w:val="3-BodyText"/>
        <w:widowControl w:val="0"/>
      </w:pPr>
      <w:r w:rsidRPr="00B07FB9">
        <w:t>At the July 2021 meeting, t</w:t>
      </w:r>
      <w:r w:rsidR="001B4E9C" w:rsidRPr="00B07FB9">
        <w:t>he PBAC noted that the NCCN guidelines</w:t>
      </w:r>
      <w:r w:rsidR="001B4E9C" w:rsidRPr="00B07FB9">
        <w:rPr>
          <w:vertAlign w:val="superscript"/>
        </w:rPr>
        <w:t xml:space="preserve"> </w:t>
      </w:r>
      <w:r w:rsidR="001B4E9C" w:rsidRPr="00B07FB9">
        <w:t xml:space="preserve">include niraparib as an alternative to </w:t>
      </w:r>
      <w:proofErr w:type="spellStart"/>
      <w:r w:rsidR="001B4E9C" w:rsidRPr="00B07FB9">
        <w:t>olaparib</w:t>
      </w:r>
      <w:proofErr w:type="spellEnd"/>
      <w:r w:rsidR="001B4E9C" w:rsidRPr="00B07FB9">
        <w:t xml:space="preserve"> in </w:t>
      </w:r>
      <w:proofErr w:type="spellStart"/>
      <w:r w:rsidR="001B4E9C" w:rsidRPr="00B07FB9">
        <w:t>BRCAm</w:t>
      </w:r>
      <w:proofErr w:type="spellEnd"/>
      <w:r w:rsidR="001B4E9C" w:rsidRPr="00B07FB9">
        <w:t xml:space="preserve"> patients, and as an alternative to observation in non-</w:t>
      </w:r>
      <w:proofErr w:type="spellStart"/>
      <w:r w:rsidR="001B4E9C" w:rsidRPr="00B07FB9">
        <w:t>BRCAm</w:t>
      </w:r>
      <w:proofErr w:type="spellEnd"/>
      <w:r w:rsidR="001B4E9C" w:rsidRPr="00B07FB9">
        <w:t xml:space="preserve"> patients with a footnote that states: “in the absence of a BRCA 1/2 mutation, homologous recombination deficiency (HRD) status may provide information on the magnitude of benefit of </w:t>
      </w:r>
      <w:proofErr w:type="spellStart"/>
      <w:r w:rsidR="001B4E9C" w:rsidRPr="00B07FB9">
        <w:t>PARPi</w:t>
      </w:r>
      <w:proofErr w:type="spellEnd"/>
      <w:r w:rsidR="001B4E9C" w:rsidRPr="00B07FB9">
        <w:t xml:space="preserve"> therapy</w:t>
      </w:r>
      <w:r w:rsidR="00BB7B73" w:rsidRPr="00B07FB9">
        <w:t>”</w:t>
      </w:r>
      <w:r w:rsidR="001B4E9C" w:rsidRPr="00B07FB9">
        <w:t>. The PBAC noted that HRD testing is not currently part of the standard clinical management of HGEOC in Australia</w:t>
      </w:r>
      <w:r w:rsidR="00BB7B73" w:rsidRPr="00B07FB9">
        <w:t xml:space="preserve"> (Paragraph 5.5, Niraparib PSD, July 2021 PBAC meeting)</w:t>
      </w:r>
      <w:r w:rsidR="001B4E9C" w:rsidRPr="00B07FB9">
        <w:t>.</w:t>
      </w:r>
      <w:r w:rsidRPr="00B07FB9">
        <w:t xml:space="preserve"> </w:t>
      </w:r>
      <w:r w:rsidR="009942D0" w:rsidRPr="00B07FB9">
        <w:t>A</w:t>
      </w:r>
      <w:r w:rsidR="0078456D" w:rsidRPr="00B07FB9">
        <w:t>n</w:t>
      </w:r>
      <w:r w:rsidRPr="00B07FB9">
        <w:t xml:space="preserve"> MSAC Application </w:t>
      </w:r>
      <w:r w:rsidR="009942D0" w:rsidRPr="00B07FB9">
        <w:t xml:space="preserve">(1658) has been received for the July 2022 MSAC meeting </w:t>
      </w:r>
      <w:r w:rsidR="0078456D" w:rsidRPr="00B07FB9">
        <w:t xml:space="preserve">requesting </w:t>
      </w:r>
      <w:r w:rsidRPr="00B07FB9">
        <w:t xml:space="preserve">the listing of testing of tumour tissue to determine a positive HRD status in patients NDA HGEOC </w:t>
      </w:r>
      <w:r w:rsidR="004F56D5" w:rsidRPr="00B07FB9">
        <w:t xml:space="preserve">for access to PBS </w:t>
      </w:r>
      <w:proofErr w:type="spellStart"/>
      <w:r w:rsidRPr="00B07FB9">
        <w:t>olaparib</w:t>
      </w:r>
      <w:proofErr w:type="spellEnd"/>
      <w:r w:rsidRPr="00B07FB9">
        <w:t xml:space="preserve">. </w:t>
      </w:r>
    </w:p>
    <w:p w14:paraId="77344139" w14:textId="642DCB2E" w:rsidR="00C726A3" w:rsidRPr="00872459" w:rsidRDefault="00C726A3" w:rsidP="00872459">
      <w:pPr>
        <w:ind w:firstLine="709"/>
        <w:rPr>
          <w:rFonts w:asciiTheme="minorHAnsi" w:hAnsiTheme="minorHAnsi"/>
          <w:i/>
        </w:rPr>
      </w:pPr>
      <w:r w:rsidRPr="00B07FB9">
        <w:rPr>
          <w:rFonts w:asciiTheme="minorHAnsi" w:hAnsiTheme="minorHAnsi"/>
          <w:i/>
        </w:rPr>
        <w:t>For more detail on PBAC’s view, see section 7 PBAC outcome.</w:t>
      </w:r>
    </w:p>
    <w:p w14:paraId="25291A49" w14:textId="77777777" w:rsidR="001B4E9C" w:rsidRPr="00B07FB9" w:rsidRDefault="001B4E9C" w:rsidP="000C6F49">
      <w:pPr>
        <w:pStyle w:val="2-SectionHeading"/>
        <w:keepNext w:val="0"/>
        <w:widowControl w:val="0"/>
        <w:numPr>
          <w:ilvl w:val="0"/>
          <w:numId w:val="1"/>
        </w:numPr>
      </w:pPr>
      <w:bookmarkStart w:id="11" w:name="_Toc93404183"/>
      <w:r w:rsidRPr="00B07FB9">
        <w:t>Comparator</w:t>
      </w:r>
      <w:bookmarkEnd w:id="11"/>
    </w:p>
    <w:p w14:paraId="34E21822" w14:textId="5E1E752E" w:rsidR="001B4E9C" w:rsidRPr="00B07FB9" w:rsidRDefault="001B4E9C" w:rsidP="000C6F49">
      <w:pPr>
        <w:pStyle w:val="3-BodyText"/>
        <w:widowControl w:val="0"/>
      </w:pPr>
      <w:r w:rsidRPr="00B07FB9">
        <w:t>The comparators were nominated on the basis of the primary treatment (chemotherapy only or bevacizumab + chemotherapy) and BRCA status (</w:t>
      </w:r>
      <w:proofErr w:type="spellStart"/>
      <w:r w:rsidRPr="00B07FB9">
        <w:t>BRCAm</w:t>
      </w:r>
      <w:proofErr w:type="spellEnd"/>
      <w:r w:rsidRPr="00B07FB9">
        <w:t xml:space="preserve"> or non-</w:t>
      </w:r>
      <w:proofErr w:type="spellStart"/>
      <w:r w:rsidRPr="00B07FB9">
        <w:t>BRCAm</w:t>
      </w:r>
      <w:proofErr w:type="spellEnd"/>
      <w:r w:rsidRPr="00B07FB9">
        <w:t>)</w:t>
      </w:r>
      <w:r w:rsidR="00B1614A" w:rsidRPr="00B07FB9">
        <w:t>:</w:t>
      </w:r>
    </w:p>
    <w:p w14:paraId="60C4959F" w14:textId="77777777" w:rsidR="001B4E9C" w:rsidRPr="00B07FB9" w:rsidRDefault="001B4E9C" w:rsidP="000C6F49">
      <w:pPr>
        <w:pStyle w:val="ListParagraph"/>
        <w:widowControl w:val="0"/>
        <w:ind w:left="1418" w:hanging="476"/>
      </w:pPr>
      <w:r w:rsidRPr="00B07FB9">
        <w:t>Primary treatment with chemotherapy only:</w:t>
      </w:r>
    </w:p>
    <w:p w14:paraId="70ACDEF8" w14:textId="1F0EE93E" w:rsidR="001B4E9C" w:rsidRPr="00B07FB9" w:rsidRDefault="001B4E9C" w:rsidP="000C6F49">
      <w:pPr>
        <w:pStyle w:val="ListParagraph"/>
        <w:widowControl w:val="0"/>
        <w:numPr>
          <w:ilvl w:val="1"/>
          <w:numId w:val="3"/>
        </w:numPr>
        <w:ind w:left="1843" w:hanging="425"/>
      </w:pPr>
      <w:r w:rsidRPr="00B07FB9">
        <w:t>Non-</w:t>
      </w:r>
      <w:proofErr w:type="spellStart"/>
      <w:r w:rsidRPr="00B07FB9">
        <w:t>BRCAm</w:t>
      </w:r>
      <w:proofErr w:type="spellEnd"/>
      <w:r w:rsidRPr="00B07FB9">
        <w:t xml:space="preserve"> subgroup: no active treatment (referred </w:t>
      </w:r>
      <w:r w:rsidR="00846BAD" w:rsidRPr="00B07FB9">
        <w:t xml:space="preserve">to </w:t>
      </w:r>
      <w:r w:rsidRPr="00B07FB9">
        <w:t xml:space="preserve">as SMM) </w:t>
      </w:r>
    </w:p>
    <w:p w14:paraId="32F2CF53" w14:textId="77777777" w:rsidR="001B4E9C" w:rsidRPr="00B07FB9" w:rsidRDefault="001B4E9C" w:rsidP="000C6F49">
      <w:pPr>
        <w:pStyle w:val="ListParagraph"/>
        <w:widowControl w:val="0"/>
        <w:numPr>
          <w:ilvl w:val="1"/>
          <w:numId w:val="3"/>
        </w:numPr>
        <w:ind w:left="1843" w:hanging="425"/>
      </w:pPr>
      <w:proofErr w:type="spellStart"/>
      <w:r w:rsidRPr="00B07FB9">
        <w:t>BRCAm</w:t>
      </w:r>
      <w:proofErr w:type="spellEnd"/>
      <w:r w:rsidRPr="00B07FB9">
        <w:t xml:space="preserve"> subgroup: </w:t>
      </w:r>
      <w:proofErr w:type="spellStart"/>
      <w:r w:rsidRPr="00B07FB9">
        <w:t>olaparib</w:t>
      </w:r>
      <w:proofErr w:type="spellEnd"/>
    </w:p>
    <w:p w14:paraId="2808671D" w14:textId="465E8791" w:rsidR="001B4E9C" w:rsidRPr="00B07FB9" w:rsidRDefault="001B4E9C" w:rsidP="000C6F49">
      <w:pPr>
        <w:pStyle w:val="ListParagraph"/>
        <w:widowControl w:val="0"/>
        <w:ind w:left="1418" w:hanging="476"/>
      </w:pPr>
      <w:r w:rsidRPr="00B07FB9">
        <w:t>Primary treatment with bevacizumab + chemotherapy: bevacizumab</w:t>
      </w:r>
    </w:p>
    <w:p w14:paraId="3C54A91C" w14:textId="53341052" w:rsidR="00BB7B73" w:rsidRPr="00B07FB9" w:rsidRDefault="00D64CB2" w:rsidP="000C6F49">
      <w:pPr>
        <w:pStyle w:val="3-BodyText"/>
        <w:widowControl w:val="0"/>
        <w:numPr>
          <w:ilvl w:val="0"/>
          <w:numId w:val="0"/>
        </w:numPr>
        <w:ind w:left="720"/>
      </w:pPr>
      <w:r w:rsidRPr="00B07FB9">
        <w:t xml:space="preserve">The </w:t>
      </w:r>
      <w:r w:rsidR="00EF59E3" w:rsidRPr="00B07FB9">
        <w:t>original</w:t>
      </w:r>
      <w:r w:rsidRPr="00B07FB9">
        <w:t xml:space="preserve"> submission nominated </w:t>
      </w:r>
      <w:proofErr w:type="spellStart"/>
      <w:r w:rsidR="00933FE5" w:rsidRPr="00B07FB9">
        <w:t>o</w:t>
      </w:r>
      <w:r w:rsidR="00BB7B73" w:rsidRPr="00B07FB9">
        <w:t>laparib</w:t>
      </w:r>
      <w:proofErr w:type="spellEnd"/>
      <w:r w:rsidR="00BB7B73" w:rsidRPr="00B07FB9">
        <w:t xml:space="preserve">, bevacizumab and </w:t>
      </w:r>
      <w:r w:rsidR="00846BAD" w:rsidRPr="00B07FB9">
        <w:t>SMM</w:t>
      </w:r>
      <w:r w:rsidR="00D04F4D" w:rsidRPr="00B07FB9">
        <w:t xml:space="preserve"> </w:t>
      </w:r>
      <w:r w:rsidR="00933FE5" w:rsidRPr="00B07FB9">
        <w:t>as the comparator</w:t>
      </w:r>
      <w:r w:rsidR="00EF59E3" w:rsidRPr="00B07FB9">
        <w:t>s</w:t>
      </w:r>
      <w:r w:rsidR="00933FE5" w:rsidRPr="00B07FB9">
        <w:t>, on the basis of patient BRCA status only.</w:t>
      </w:r>
      <w:r w:rsidR="008C7BAB" w:rsidRPr="00B07FB9">
        <w:t xml:space="preserve"> PBAC has previous</w:t>
      </w:r>
      <w:r w:rsidR="00846BAD" w:rsidRPr="00B07FB9">
        <w:t>ly</w:t>
      </w:r>
      <w:r w:rsidR="008C7BAB" w:rsidRPr="00B07FB9">
        <w:t xml:space="preserve"> accepted that </w:t>
      </w:r>
      <w:proofErr w:type="spellStart"/>
      <w:r w:rsidR="008C7BAB" w:rsidRPr="00B07FB9">
        <w:t>olaparib</w:t>
      </w:r>
      <w:proofErr w:type="spellEnd"/>
      <w:r w:rsidR="008C7BAB" w:rsidRPr="00B07FB9">
        <w:t xml:space="preserve"> is the appropriate comparator for patients with BRCA1/2 pathological variants; and the appropriate comparator for non-</w:t>
      </w:r>
      <w:proofErr w:type="spellStart"/>
      <w:r w:rsidR="008C7BAB" w:rsidRPr="00B07FB9">
        <w:t>BRCAm</w:t>
      </w:r>
      <w:proofErr w:type="spellEnd"/>
      <w:r w:rsidR="008C7BAB" w:rsidRPr="00B07FB9">
        <w:t xml:space="preserve"> patients is either </w:t>
      </w:r>
      <w:r w:rsidR="008C7BAB" w:rsidRPr="00B07FB9">
        <w:lastRenderedPageBreak/>
        <w:t xml:space="preserve">bevacizumab or </w:t>
      </w:r>
      <w:r w:rsidR="00846BAD" w:rsidRPr="00B07FB9">
        <w:t>SMM</w:t>
      </w:r>
      <w:r w:rsidR="00B075BE" w:rsidRPr="00B07FB9">
        <w:t xml:space="preserve"> (Paragraph 7.4, Niraparib PSD, July 2021 PBAC meeting)</w:t>
      </w:r>
      <w:r w:rsidR="00BB7B73" w:rsidRPr="00B07FB9">
        <w:t>.</w:t>
      </w:r>
      <w:r w:rsidR="006B1A7C" w:rsidRPr="00B07FB9">
        <w:t xml:space="preserve"> </w:t>
      </w:r>
      <w:r w:rsidR="00034491" w:rsidRPr="00B07FB9">
        <w:t>The addition</w:t>
      </w:r>
      <w:r w:rsidR="00933FE5" w:rsidRPr="00B07FB9">
        <w:t xml:space="preserve">al consideration </w:t>
      </w:r>
      <w:r w:rsidR="00034491" w:rsidRPr="00B07FB9">
        <w:t>of</w:t>
      </w:r>
      <w:r w:rsidR="00605126" w:rsidRPr="00B07FB9">
        <w:t xml:space="preserve"> primary treatment </w:t>
      </w:r>
      <w:r w:rsidR="0006243A" w:rsidRPr="00B07FB9">
        <w:t>(</w:t>
      </w:r>
      <w:r w:rsidR="00034491" w:rsidRPr="00B07FB9">
        <w:t>with or without bevacizumab</w:t>
      </w:r>
      <w:r w:rsidR="0006243A" w:rsidRPr="00B07FB9">
        <w:t>)</w:t>
      </w:r>
      <w:r w:rsidR="00034491" w:rsidRPr="00B07FB9">
        <w:t xml:space="preserve"> </w:t>
      </w:r>
      <w:r w:rsidR="009E3773" w:rsidRPr="00B07FB9">
        <w:t xml:space="preserve">would not affect the selection of the main comparator in </w:t>
      </w:r>
      <w:proofErr w:type="spellStart"/>
      <w:r w:rsidR="009E3773" w:rsidRPr="00B07FB9">
        <w:t>BRCAm</w:t>
      </w:r>
      <w:proofErr w:type="spellEnd"/>
      <w:r w:rsidR="009E3773" w:rsidRPr="00B07FB9">
        <w:t xml:space="preserve"> patient</w:t>
      </w:r>
      <w:r w:rsidR="00EF59E3" w:rsidRPr="00B07FB9">
        <w:t>s,</w:t>
      </w:r>
      <w:r w:rsidR="009E3773" w:rsidRPr="00B07FB9">
        <w:t xml:space="preserve"> g</w:t>
      </w:r>
      <w:r w:rsidR="00933FE5" w:rsidRPr="00B07FB9">
        <w:t xml:space="preserve">iven the availability of first-line </w:t>
      </w:r>
      <w:proofErr w:type="spellStart"/>
      <w:r w:rsidR="00933FE5" w:rsidRPr="00B07FB9">
        <w:t>olaparib</w:t>
      </w:r>
      <w:proofErr w:type="spellEnd"/>
      <w:r w:rsidR="00933FE5" w:rsidRPr="00B07FB9">
        <w:t xml:space="preserve"> maintenance therapy </w:t>
      </w:r>
      <w:r w:rsidR="009E3773" w:rsidRPr="00B07FB9">
        <w:t>in th</w:t>
      </w:r>
      <w:r w:rsidR="00EF59E3" w:rsidRPr="00B07FB9">
        <w:t>is</w:t>
      </w:r>
      <w:r w:rsidR="009E3773" w:rsidRPr="00B07FB9">
        <w:t xml:space="preserve"> patient group </w:t>
      </w:r>
      <w:r w:rsidR="00933FE5" w:rsidRPr="00B07FB9">
        <w:t>and the increased risk of bleeding and surgical wound healing complications associated with bevacizumab</w:t>
      </w:r>
      <w:r w:rsidR="009E3773" w:rsidRPr="00B07FB9">
        <w:t>;</w:t>
      </w:r>
      <w:r w:rsidR="00933FE5" w:rsidRPr="00B07FB9">
        <w:t xml:space="preserve"> it is expected that the vast majority of patients with </w:t>
      </w:r>
      <w:proofErr w:type="spellStart"/>
      <w:r w:rsidR="00933FE5" w:rsidRPr="00B07FB9">
        <w:t>BRCAm</w:t>
      </w:r>
      <w:proofErr w:type="spellEnd"/>
      <w:r w:rsidR="00933FE5" w:rsidRPr="00B07FB9">
        <w:t xml:space="preserve"> will opt for first-line chemotherapy followed by </w:t>
      </w:r>
      <w:proofErr w:type="spellStart"/>
      <w:r w:rsidR="00933FE5" w:rsidRPr="00B07FB9">
        <w:t>olaparib</w:t>
      </w:r>
      <w:proofErr w:type="spellEnd"/>
      <w:r w:rsidR="00933FE5" w:rsidRPr="00B07FB9">
        <w:t>, rather than first-line bevacizumab + chemotherapy. For non-</w:t>
      </w:r>
      <w:proofErr w:type="spellStart"/>
      <w:r w:rsidR="00933FE5" w:rsidRPr="00B07FB9">
        <w:t>BRCAm</w:t>
      </w:r>
      <w:proofErr w:type="spellEnd"/>
      <w:r w:rsidR="00933FE5" w:rsidRPr="00B07FB9">
        <w:t xml:space="preserve"> patients, bevacizumab maintenance therapy, following front-line bevacizumab + chemotherapy, is the only active maintenance treatment available. </w:t>
      </w:r>
      <w:r w:rsidR="0006243A" w:rsidRPr="00B07FB9">
        <w:t>However, n</w:t>
      </w:r>
      <w:r w:rsidR="00933FE5" w:rsidRPr="00B07FB9">
        <w:t>ot all eligible patients would be treated with bevacizumab due to its benefit:</w:t>
      </w:r>
      <w:r w:rsidR="00745E89" w:rsidRPr="00B07FB9">
        <w:t xml:space="preserve"> </w:t>
      </w:r>
      <w:r w:rsidR="00933FE5" w:rsidRPr="00B07FB9">
        <w:t>risk profile</w:t>
      </w:r>
      <w:r w:rsidR="0006243A" w:rsidRPr="00B07FB9">
        <w:t xml:space="preserve">. </w:t>
      </w:r>
      <w:r w:rsidR="009E3773" w:rsidRPr="00B07FB9">
        <w:t>I</w:t>
      </w:r>
      <w:r w:rsidR="0006243A" w:rsidRPr="00B07FB9">
        <w:t xml:space="preserve">f </w:t>
      </w:r>
      <w:r w:rsidR="00933FE5" w:rsidRPr="00B07FB9">
        <w:t>niraparib</w:t>
      </w:r>
      <w:r w:rsidR="0006243A" w:rsidRPr="00B07FB9">
        <w:t xml:space="preserve"> </w:t>
      </w:r>
      <w:r w:rsidR="0078456D" w:rsidRPr="00B07FB9">
        <w:t>is PBS</w:t>
      </w:r>
      <w:r w:rsidR="0006243A" w:rsidRPr="00B07FB9">
        <w:t xml:space="preserve"> listed</w:t>
      </w:r>
      <w:r w:rsidR="00933FE5" w:rsidRPr="00B07FB9">
        <w:t xml:space="preserve">, some patients who would otherwise receive bevacizumab + chemotherapy followed by bevacizumab maintenance therapy, might </w:t>
      </w:r>
      <w:r w:rsidR="0006243A" w:rsidRPr="00B07FB9">
        <w:t>choose</w:t>
      </w:r>
      <w:r w:rsidR="00933FE5" w:rsidRPr="00B07FB9">
        <w:t xml:space="preserve"> primary treatment with chemotherapy only followed by niraparib maintenance therapy to avoid potential perioperative complications and/or treatment interruption relating to bevacizumab. </w:t>
      </w:r>
      <w:r w:rsidR="004515BA" w:rsidRPr="00B07FB9">
        <w:t>The ESC noted that few HGEOC patients (</w:t>
      </w:r>
      <w:proofErr w:type="spellStart"/>
      <w:r w:rsidR="004515BA" w:rsidRPr="00B07FB9">
        <w:t>BRCAm</w:t>
      </w:r>
      <w:proofErr w:type="spellEnd"/>
      <w:r w:rsidR="004515BA" w:rsidRPr="00B07FB9">
        <w:t xml:space="preserve"> or non-</w:t>
      </w:r>
      <w:proofErr w:type="spellStart"/>
      <w:r w:rsidR="004515BA" w:rsidRPr="00B07FB9">
        <w:t>BRCAm</w:t>
      </w:r>
      <w:proofErr w:type="spellEnd"/>
      <w:r w:rsidR="004515BA" w:rsidRPr="00B07FB9">
        <w:t>) are currently treated with bevacizumab as maintenance therapy due to its poor tolerability and limited effectiveness.</w:t>
      </w:r>
    </w:p>
    <w:p w14:paraId="656893B5" w14:textId="592B0E7B" w:rsidR="001B4E9C" w:rsidRPr="00B07FB9" w:rsidRDefault="001B4E9C" w:rsidP="000C6F49">
      <w:pPr>
        <w:pStyle w:val="3-BodyText"/>
        <w:widowControl w:val="0"/>
      </w:pPr>
      <w:r w:rsidRPr="00B07FB9">
        <w:t xml:space="preserve">The resubmission noted that </w:t>
      </w:r>
      <w:proofErr w:type="spellStart"/>
      <w:r w:rsidRPr="00B07FB9">
        <w:t>olaparib</w:t>
      </w:r>
      <w:proofErr w:type="spellEnd"/>
      <w:r w:rsidRPr="00B07FB9">
        <w:t xml:space="preserve"> + bevacizumab combination therapy was TGA approved in March 2021 for the maintenance treatment of patients with advanced HGEOC who are in complete or partial response to platinum-based chemotherapy and whose cancer is associated with HRD positive status. </w:t>
      </w:r>
    </w:p>
    <w:p w14:paraId="39C8D1A5" w14:textId="7C5E61EB" w:rsidR="00C726A3" w:rsidRPr="003C459A" w:rsidRDefault="00C726A3" w:rsidP="003C459A">
      <w:pPr>
        <w:ind w:firstLine="709"/>
        <w:rPr>
          <w:rFonts w:asciiTheme="minorHAnsi" w:hAnsiTheme="minorHAnsi"/>
          <w:i/>
        </w:rPr>
      </w:pPr>
      <w:r w:rsidRPr="00B07FB9">
        <w:rPr>
          <w:rFonts w:asciiTheme="minorHAnsi" w:hAnsiTheme="minorHAnsi"/>
          <w:i/>
        </w:rPr>
        <w:t>For more detail on PBAC’s view, see section 7 PBAC outcome.</w:t>
      </w:r>
    </w:p>
    <w:p w14:paraId="77F76E3A" w14:textId="77777777" w:rsidR="001B4E9C" w:rsidRPr="00B07FB9" w:rsidRDefault="001B4E9C" w:rsidP="000C6F49">
      <w:pPr>
        <w:pStyle w:val="2-SectionHeading"/>
        <w:keepNext w:val="0"/>
        <w:widowControl w:val="0"/>
        <w:numPr>
          <w:ilvl w:val="0"/>
          <w:numId w:val="1"/>
        </w:numPr>
      </w:pPr>
      <w:bookmarkStart w:id="12" w:name="_Toc93404184"/>
      <w:bookmarkStart w:id="13" w:name="_Toc22897640"/>
      <w:r w:rsidRPr="00B07FB9">
        <w:t>Consideration of the evidence</w:t>
      </w:r>
      <w:bookmarkEnd w:id="12"/>
    </w:p>
    <w:p w14:paraId="0EAA5770" w14:textId="77777777" w:rsidR="00F47D63" w:rsidRPr="00B07FB9" w:rsidRDefault="00F47D63" w:rsidP="00F47D63">
      <w:pPr>
        <w:pStyle w:val="4-SubsectionHeading"/>
        <w:keepLines/>
      </w:pPr>
      <w:bookmarkStart w:id="14" w:name="_Hlk76375935"/>
      <w:r w:rsidRPr="00B07FB9">
        <w:t>Sponsor hearing</w:t>
      </w:r>
    </w:p>
    <w:p w14:paraId="560E25F5" w14:textId="53A295AF" w:rsidR="00D13658" w:rsidRPr="00B07FB9" w:rsidRDefault="00F47D63" w:rsidP="002142C1">
      <w:pPr>
        <w:widowControl w:val="0"/>
        <w:numPr>
          <w:ilvl w:val="1"/>
          <w:numId w:val="1"/>
        </w:numPr>
        <w:spacing w:after="120"/>
        <w:rPr>
          <w:rFonts w:asciiTheme="minorHAnsi" w:hAnsiTheme="minorHAnsi"/>
          <w:bCs/>
          <w:snapToGrid w:val="0"/>
        </w:rPr>
      </w:pPr>
      <w:bookmarkStart w:id="15" w:name="_Hlk76382586"/>
      <w:r w:rsidRPr="00B07FB9">
        <w:rPr>
          <w:rFonts w:asciiTheme="minorHAnsi" w:hAnsiTheme="minorHAnsi"/>
          <w:bCs/>
          <w:snapToGrid w:val="0"/>
        </w:rPr>
        <w:t xml:space="preserve">The sponsor </w:t>
      </w:r>
      <w:r w:rsidR="001026DC" w:rsidRPr="00B07FB9">
        <w:rPr>
          <w:rFonts w:asciiTheme="minorHAnsi" w:hAnsiTheme="minorHAnsi"/>
          <w:bCs/>
          <w:snapToGrid w:val="0"/>
        </w:rPr>
        <w:t>provided a written statement from a clinician involved in the treatment of ovarian cancer</w:t>
      </w:r>
      <w:r w:rsidRPr="00B07FB9">
        <w:rPr>
          <w:rFonts w:asciiTheme="minorHAnsi" w:hAnsiTheme="minorHAnsi"/>
          <w:bCs/>
          <w:snapToGrid w:val="0"/>
        </w:rPr>
        <w:t>.</w:t>
      </w:r>
      <w:r w:rsidR="00F163F5" w:rsidRPr="00B07FB9">
        <w:rPr>
          <w:rFonts w:asciiTheme="minorHAnsi" w:hAnsiTheme="minorHAnsi"/>
          <w:bCs/>
          <w:snapToGrid w:val="0"/>
        </w:rPr>
        <w:t xml:space="preserve"> The clinician commented on the clinical utility of niraparib for the non-</w:t>
      </w:r>
      <w:proofErr w:type="spellStart"/>
      <w:r w:rsidR="00F163F5" w:rsidRPr="00B07FB9">
        <w:rPr>
          <w:rFonts w:asciiTheme="minorHAnsi" w:hAnsiTheme="minorHAnsi"/>
          <w:bCs/>
          <w:snapToGrid w:val="0"/>
        </w:rPr>
        <w:t>BRCAm</w:t>
      </w:r>
      <w:proofErr w:type="spellEnd"/>
      <w:r w:rsidR="00F163F5" w:rsidRPr="00B07FB9">
        <w:rPr>
          <w:rFonts w:asciiTheme="minorHAnsi" w:hAnsiTheme="minorHAnsi"/>
          <w:bCs/>
          <w:snapToGrid w:val="0"/>
        </w:rPr>
        <w:t xml:space="preserve"> cohort and the patient relevance of PFS benefits</w:t>
      </w:r>
      <w:r w:rsidR="000C1A30" w:rsidRPr="00B07FB9">
        <w:rPr>
          <w:rFonts w:asciiTheme="minorHAnsi" w:hAnsiTheme="minorHAnsi"/>
          <w:bCs/>
          <w:snapToGrid w:val="0"/>
        </w:rPr>
        <w:t xml:space="preserve">, </w:t>
      </w:r>
      <w:r w:rsidR="002142C1" w:rsidRPr="00B07FB9">
        <w:rPr>
          <w:rFonts w:asciiTheme="minorHAnsi" w:hAnsiTheme="minorHAnsi"/>
          <w:bCs/>
          <w:snapToGrid w:val="0"/>
        </w:rPr>
        <w:t>highlighting</w:t>
      </w:r>
      <w:r w:rsidR="000C1A30" w:rsidRPr="00B07FB9">
        <w:rPr>
          <w:rFonts w:asciiTheme="minorHAnsi" w:hAnsiTheme="minorHAnsi"/>
          <w:bCs/>
          <w:snapToGrid w:val="0"/>
        </w:rPr>
        <w:t xml:space="preserve"> that </w:t>
      </w:r>
      <w:r w:rsidR="00B602C2" w:rsidRPr="00B07FB9">
        <w:rPr>
          <w:rFonts w:asciiTheme="minorHAnsi" w:hAnsiTheme="minorHAnsi"/>
          <w:bCs/>
          <w:snapToGrid w:val="0"/>
        </w:rPr>
        <w:t>modest</w:t>
      </w:r>
      <w:r w:rsidR="00F44A5C" w:rsidRPr="00B07FB9">
        <w:rPr>
          <w:rFonts w:asciiTheme="minorHAnsi" w:hAnsiTheme="minorHAnsi"/>
          <w:bCs/>
          <w:snapToGrid w:val="0"/>
        </w:rPr>
        <w:t xml:space="preserve"> improvements in outcomes were meaningful to patients with ovarian cancer.</w:t>
      </w:r>
      <w:r w:rsidR="00D276B9" w:rsidRPr="00B07FB9">
        <w:rPr>
          <w:rFonts w:asciiTheme="minorHAnsi" w:hAnsiTheme="minorHAnsi"/>
          <w:bCs/>
          <w:snapToGrid w:val="0"/>
        </w:rPr>
        <w:t xml:space="preserve"> </w:t>
      </w:r>
      <w:r w:rsidR="00F44A5C" w:rsidRPr="00B07FB9">
        <w:rPr>
          <w:rFonts w:asciiTheme="minorHAnsi" w:hAnsiTheme="minorHAnsi"/>
          <w:bCs/>
          <w:snapToGrid w:val="0"/>
        </w:rPr>
        <w:t xml:space="preserve">The clinician </w:t>
      </w:r>
      <w:r w:rsidR="00F163F5" w:rsidRPr="00B07FB9">
        <w:rPr>
          <w:rFonts w:asciiTheme="minorHAnsi" w:hAnsiTheme="minorHAnsi"/>
          <w:bCs/>
          <w:snapToGrid w:val="0"/>
        </w:rPr>
        <w:t xml:space="preserve">also commented on the comparability of niraparib and </w:t>
      </w:r>
      <w:proofErr w:type="spellStart"/>
      <w:r w:rsidR="00F163F5" w:rsidRPr="00B07FB9">
        <w:rPr>
          <w:rFonts w:asciiTheme="minorHAnsi" w:hAnsiTheme="minorHAnsi"/>
          <w:bCs/>
          <w:snapToGrid w:val="0"/>
        </w:rPr>
        <w:t>olaparib</w:t>
      </w:r>
      <w:proofErr w:type="spellEnd"/>
      <w:r w:rsidR="00F163F5" w:rsidRPr="00B07FB9">
        <w:rPr>
          <w:rFonts w:asciiTheme="minorHAnsi" w:hAnsiTheme="minorHAnsi"/>
          <w:bCs/>
          <w:snapToGrid w:val="0"/>
        </w:rPr>
        <w:t xml:space="preserve"> in the </w:t>
      </w:r>
      <w:proofErr w:type="spellStart"/>
      <w:r w:rsidR="00F163F5" w:rsidRPr="00B07FB9">
        <w:rPr>
          <w:rFonts w:asciiTheme="minorHAnsi" w:hAnsiTheme="minorHAnsi"/>
          <w:bCs/>
          <w:snapToGrid w:val="0"/>
        </w:rPr>
        <w:t>BRCAm</w:t>
      </w:r>
      <w:proofErr w:type="spellEnd"/>
      <w:r w:rsidR="00F163F5" w:rsidRPr="00B07FB9">
        <w:rPr>
          <w:rFonts w:asciiTheme="minorHAnsi" w:hAnsiTheme="minorHAnsi"/>
          <w:bCs/>
          <w:snapToGrid w:val="0"/>
        </w:rPr>
        <w:t xml:space="preserve"> cohort, and </w:t>
      </w:r>
      <w:r w:rsidR="00F44A5C" w:rsidRPr="00B07FB9">
        <w:rPr>
          <w:rFonts w:asciiTheme="minorHAnsi" w:hAnsiTheme="minorHAnsi"/>
          <w:bCs/>
          <w:snapToGrid w:val="0"/>
        </w:rPr>
        <w:t>considered the outcome</w:t>
      </w:r>
      <w:r w:rsidR="000C1A30" w:rsidRPr="00B07FB9">
        <w:rPr>
          <w:rFonts w:asciiTheme="minorHAnsi" w:hAnsiTheme="minorHAnsi"/>
          <w:bCs/>
          <w:snapToGrid w:val="0"/>
        </w:rPr>
        <w:t>s similar</w:t>
      </w:r>
      <w:r w:rsidR="00F44A5C" w:rsidRPr="00B07FB9">
        <w:rPr>
          <w:rFonts w:asciiTheme="minorHAnsi" w:hAnsiTheme="minorHAnsi"/>
          <w:bCs/>
          <w:snapToGrid w:val="0"/>
        </w:rPr>
        <w:t xml:space="preserve"> </w:t>
      </w:r>
      <w:r w:rsidR="000C1A30" w:rsidRPr="00B07FB9">
        <w:rPr>
          <w:rFonts w:asciiTheme="minorHAnsi" w:hAnsiTheme="minorHAnsi"/>
          <w:bCs/>
          <w:snapToGrid w:val="0"/>
        </w:rPr>
        <w:t>for the two drugs, noting that eligibility criteria differed for the PRIMA and SOLO-1 trials</w:t>
      </w:r>
      <w:r w:rsidR="00F44A5C" w:rsidRPr="00B07FB9">
        <w:rPr>
          <w:rFonts w:asciiTheme="minorHAnsi" w:hAnsiTheme="minorHAnsi"/>
          <w:bCs/>
          <w:snapToGrid w:val="0"/>
        </w:rPr>
        <w:t xml:space="preserve">. The clinician </w:t>
      </w:r>
      <w:r w:rsidR="000C1A30" w:rsidRPr="00B07FB9">
        <w:rPr>
          <w:rFonts w:asciiTheme="minorHAnsi" w:hAnsiTheme="minorHAnsi"/>
          <w:bCs/>
          <w:snapToGrid w:val="0"/>
        </w:rPr>
        <w:t xml:space="preserve">described </w:t>
      </w:r>
      <w:r w:rsidR="00F44A5C" w:rsidRPr="00B07FB9">
        <w:rPr>
          <w:rFonts w:asciiTheme="minorHAnsi" w:hAnsiTheme="minorHAnsi"/>
          <w:bCs/>
          <w:snapToGrid w:val="0"/>
        </w:rPr>
        <w:t xml:space="preserve">that individualised dosing </w:t>
      </w:r>
      <w:r w:rsidR="00D13658" w:rsidRPr="00B07FB9">
        <w:rPr>
          <w:rFonts w:asciiTheme="minorHAnsi" w:hAnsiTheme="minorHAnsi"/>
          <w:bCs/>
          <w:snapToGrid w:val="0"/>
        </w:rPr>
        <w:t>minimises the risk of adverse events</w:t>
      </w:r>
      <w:r w:rsidR="00CD212D" w:rsidRPr="00B07FB9">
        <w:rPr>
          <w:rFonts w:asciiTheme="minorHAnsi" w:hAnsiTheme="minorHAnsi"/>
          <w:bCs/>
          <w:snapToGrid w:val="0"/>
        </w:rPr>
        <w:t xml:space="preserve"> with niraparib</w:t>
      </w:r>
      <w:r w:rsidR="002142C1" w:rsidRPr="00B07FB9">
        <w:rPr>
          <w:rFonts w:asciiTheme="minorHAnsi" w:hAnsiTheme="minorHAnsi"/>
          <w:bCs/>
          <w:snapToGrid w:val="0"/>
        </w:rPr>
        <w:t xml:space="preserve">. Additional </w:t>
      </w:r>
      <w:r w:rsidR="00795D67" w:rsidRPr="00B07FB9">
        <w:rPr>
          <w:rFonts w:asciiTheme="minorHAnsi" w:hAnsiTheme="minorHAnsi"/>
          <w:bCs/>
          <w:snapToGrid w:val="0"/>
        </w:rPr>
        <w:t xml:space="preserve">noted </w:t>
      </w:r>
      <w:r w:rsidR="002142C1" w:rsidRPr="00B07FB9">
        <w:rPr>
          <w:rFonts w:asciiTheme="minorHAnsi" w:hAnsiTheme="minorHAnsi"/>
          <w:bCs/>
          <w:snapToGrid w:val="0"/>
        </w:rPr>
        <w:t xml:space="preserve">benefits of niraparib included that it </w:t>
      </w:r>
      <w:r w:rsidR="00B26C54" w:rsidRPr="00B07FB9">
        <w:rPr>
          <w:rFonts w:asciiTheme="minorHAnsi" w:hAnsiTheme="minorHAnsi"/>
          <w:bCs/>
          <w:snapToGrid w:val="0"/>
        </w:rPr>
        <w:t xml:space="preserve">may have </w:t>
      </w:r>
      <w:r w:rsidR="002142C1" w:rsidRPr="00B07FB9">
        <w:rPr>
          <w:rFonts w:asciiTheme="minorHAnsi" w:hAnsiTheme="minorHAnsi"/>
          <w:bCs/>
          <w:snapToGrid w:val="0"/>
        </w:rPr>
        <w:t xml:space="preserve">less risk of drug </w:t>
      </w:r>
      <w:r w:rsidR="00DB111D" w:rsidRPr="00B07FB9">
        <w:rPr>
          <w:rFonts w:asciiTheme="minorHAnsi" w:hAnsiTheme="minorHAnsi"/>
          <w:bCs/>
          <w:snapToGrid w:val="0"/>
        </w:rPr>
        <w:t>interactions</w:t>
      </w:r>
      <w:r w:rsidR="000C1A30" w:rsidRPr="00B07FB9">
        <w:rPr>
          <w:rFonts w:asciiTheme="minorHAnsi" w:hAnsiTheme="minorHAnsi"/>
          <w:bCs/>
          <w:snapToGrid w:val="0"/>
        </w:rPr>
        <w:t xml:space="preserve">, and that </w:t>
      </w:r>
      <w:r w:rsidR="002142C1" w:rsidRPr="00B07FB9">
        <w:rPr>
          <w:rFonts w:asciiTheme="minorHAnsi" w:hAnsiTheme="minorHAnsi"/>
          <w:bCs/>
          <w:snapToGrid w:val="0"/>
        </w:rPr>
        <w:t xml:space="preserve">it may be taken </w:t>
      </w:r>
      <w:r w:rsidR="000C1A30" w:rsidRPr="00B07FB9">
        <w:rPr>
          <w:rFonts w:asciiTheme="minorHAnsi" w:hAnsiTheme="minorHAnsi"/>
          <w:bCs/>
          <w:snapToGrid w:val="0"/>
        </w:rPr>
        <w:t>once-daily</w:t>
      </w:r>
      <w:r w:rsidR="00D13658" w:rsidRPr="00B07FB9">
        <w:rPr>
          <w:rFonts w:asciiTheme="minorHAnsi" w:hAnsiTheme="minorHAnsi"/>
          <w:bCs/>
          <w:snapToGrid w:val="0"/>
        </w:rPr>
        <w:t>.</w:t>
      </w:r>
    </w:p>
    <w:bookmarkEnd w:id="15"/>
    <w:p w14:paraId="3454E0AD" w14:textId="77777777" w:rsidR="00F47D63" w:rsidRPr="00B07FB9" w:rsidRDefault="00F47D63" w:rsidP="00F47D63">
      <w:pPr>
        <w:pStyle w:val="4-SubsectionHeading"/>
        <w:keepLines/>
      </w:pPr>
      <w:r w:rsidRPr="00B07FB9">
        <w:t>Consumer comments</w:t>
      </w:r>
    </w:p>
    <w:p w14:paraId="7051200F" w14:textId="2152E8FF" w:rsidR="002A0E53" w:rsidRPr="00B07FB9" w:rsidRDefault="0082503E" w:rsidP="001E7752">
      <w:pPr>
        <w:widowControl w:val="0"/>
        <w:numPr>
          <w:ilvl w:val="1"/>
          <w:numId w:val="1"/>
        </w:numPr>
        <w:spacing w:after="120"/>
        <w:rPr>
          <w:rFonts w:asciiTheme="minorHAnsi" w:hAnsiTheme="minorHAnsi"/>
          <w:bCs/>
          <w:snapToGrid w:val="0"/>
        </w:rPr>
      </w:pPr>
      <w:bookmarkStart w:id="16" w:name="_Hlk76382618"/>
      <w:r w:rsidRPr="00B07FB9">
        <w:rPr>
          <w:rFonts w:asciiTheme="minorHAnsi" w:hAnsiTheme="minorHAnsi"/>
          <w:bCs/>
          <w:snapToGrid w:val="0"/>
        </w:rPr>
        <w:t>The PBAC noted and welcomed input from individuals (5</w:t>
      </w:r>
      <w:r w:rsidR="005C1F4F" w:rsidRPr="00B07FB9">
        <w:rPr>
          <w:rFonts w:asciiTheme="minorHAnsi" w:hAnsiTheme="minorHAnsi"/>
          <w:bCs/>
          <w:snapToGrid w:val="0"/>
        </w:rPr>
        <w:t>5</w:t>
      </w:r>
      <w:r w:rsidRPr="00B07FB9">
        <w:rPr>
          <w:rFonts w:asciiTheme="minorHAnsi" w:hAnsiTheme="minorHAnsi"/>
          <w:bCs/>
          <w:snapToGrid w:val="0"/>
        </w:rPr>
        <w:t>), health care professionals (</w:t>
      </w:r>
      <w:r w:rsidR="005C1F4F" w:rsidRPr="00B07FB9">
        <w:rPr>
          <w:rFonts w:asciiTheme="minorHAnsi" w:hAnsiTheme="minorHAnsi"/>
          <w:bCs/>
          <w:snapToGrid w:val="0"/>
        </w:rPr>
        <w:t xml:space="preserve">15), and </w:t>
      </w:r>
      <w:r w:rsidRPr="00B07FB9">
        <w:rPr>
          <w:rFonts w:asciiTheme="minorHAnsi" w:hAnsiTheme="minorHAnsi"/>
          <w:bCs/>
          <w:snapToGrid w:val="0"/>
        </w:rPr>
        <w:t>organisations (2)</w:t>
      </w:r>
      <w:r w:rsidR="005C1F4F" w:rsidRPr="00B07FB9">
        <w:rPr>
          <w:rFonts w:asciiTheme="minorHAnsi" w:hAnsiTheme="minorHAnsi"/>
          <w:bCs/>
          <w:snapToGrid w:val="0"/>
        </w:rPr>
        <w:t xml:space="preserve"> via the Consumer Comments facility on the PBS website. The comments described a range of benefits of treatment with nir</w:t>
      </w:r>
      <w:r w:rsidR="00ED7AB6" w:rsidRPr="00B07FB9">
        <w:rPr>
          <w:rFonts w:asciiTheme="minorHAnsi" w:hAnsiTheme="minorHAnsi"/>
          <w:bCs/>
          <w:snapToGrid w:val="0"/>
        </w:rPr>
        <w:t>a</w:t>
      </w:r>
      <w:r w:rsidR="005C1F4F" w:rsidRPr="00B07FB9">
        <w:rPr>
          <w:rFonts w:asciiTheme="minorHAnsi" w:hAnsiTheme="minorHAnsi"/>
          <w:bCs/>
          <w:snapToGrid w:val="0"/>
        </w:rPr>
        <w:t xml:space="preserve">parib including </w:t>
      </w:r>
      <w:r w:rsidR="002751F5" w:rsidRPr="00B07FB9">
        <w:rPr>
          <w:rFonts w:asciiTheme="minorHAnsi" w:hAnsiTheme="minorHAnsi"/>
          <w:bCs/>
          <w:snapToGrid w:val="0"/>
        </w:rPr>
        <w:lastRenderedPageBreak/>
        <w:t xml:space="preserve">improved </w:t>
      </w:r>
      <w:r w:rsidR="00774FA4" w:rsidRPr="00B07FB9">
        <w:rPr>
          <w:rFonts w:asciiTheme="minorHAnsi" w:hAnsiTheme="minorHAnsi"/>
          <w:bCs/>
          <w:snapToGrid w:val="0"/>
        </w:rPr>
        <w:t>progression free survival</w:t>
      </w:r>
      <w:r w:rsidR="008B4D23" w:rsidRPr="00B07FB9">
        <w:rPr>
          <w:rFonts w:asciiTheme="minorHAnsi" w:hAnsiTheme="minorHAnsi"/>
          <w:bCs/>
          <w:snapToGrid w:val="0"/>
        </w:rPr>
        <w:t>,</w:t>
      </w:r>
      <w:r w:rsidR="002751F5" w:rsidRPr="00B07FB9">
        <w:rPr>
          <w:rFonts w:asciiTheme="minorHAnsi" w:hAnsiTheme="minorHAnsi"/>
          <w:bCs/>
          <w:snapToGrid w:val="0"/>
        </w:rPr>
        <w:t xml:space="preserve"> </w:t>
      </w:r>
      <w:r w:rsidR="0066468E" w:rsidRPr="00B07FB9">
        <w:rPr>
          <w:rFonts w:asciiTheme="minorHAnsi" w:hAnsiTheme="minorHAnsi"/>
          <w:bCs/>
          <w:snapToGrid w:val="0"/>
        </w:rPr>
        <w:t>a manageable toxicity profile</w:t>
      </w:r>
      <w:r w:rsidR="008B4D23" w:rsidRPr="00B07FB9">
        <w:rPr>
          <w:rFonts w:asciiTheme="minorHAnsi" w:hAnsiTheme="minorHAnsi"/>
          <w:bCs/>
          <w:snapToGrid w:val="0"/>
        </w:rPr>
        <w:t xml:space="preserve"> and a delay to subsequent lines of </w:t>
      </w:r>
      <w:r w:rsidR="00856C08" w:rsidRPr="00B07FB9">
        <w:rPr>
          <w:rFonts w:asciiTheme="minorHAnsi" w:hAnsiTheme="minorHAnsi"/>
          <w:bCs/>
          <w:snapToGrid w:val="0"/>
        </w:rPr>
        <w:t>chemotherapy</w:t>
      </w:r>
      <w:r w:rsidR="003D56DD" w:rsidRPr="00B07FB9">
        <w:rPr>
          <w:rFonts w:asciiTheme="minorHAnsi" w:hAnsiTheme="minorHAnsi"/>
          <w:bCs/>
          <w:snapToGrid w:val="0"/>
        </w:rPr>
        <w:t>. The comment</w:t>
      </w:r>
      <w:r w:rsidR="005467F5" w:rsidRPr="00B07FB9">
        <w:rPr>
          <w:rFonts w:asciiTheme="minorHAnsi" w:hAnsiTheme="minorHAnsi"/>
          <w:bCs/>
          <w:snapToGrid w:val="0"/>
        </w:rPr>
        <w:t>s</w:t>
      </w:r>
      <w:r w:rsidR="003D56DD" w:rsidRPr="00B07FB9">
        <w:rPr>
          <w:rFonts w:asciiTheme="minorHAnsi" w:hAnsiTheme="minorHAnsi"/>
          <w:bCs/>
          <w:snapToGrid w:val="0"/>
        </w:rPr>
        <w:t xml:space="preserve"> </w:t>
      </w:r>
      <w:r w:rsidR="004D5A56" w:rsidRPr="00B07FB9">
        <w:rPr>
          <w:rFonts w:asciiTheme="minorHAnsi" w:hAnsiTheme="minorHAnsi"/>
          <w:bCs/>
          <w:snapToGrid w:val="0"/>
        </w:rPr>
        <w:t xml:space="preserve">from individuals who have used the medicine </w:t>
      </w:r>
      <w:r w:rsidR="003D56DD" w:rsidRPr="00B07FB9">
        <w:rPr>
          <w:rFonts w:asciiTheme="minorHAnsi" w:hAnsiTheme="minorHAnsi"/>
          <w:bCs/>
          <w:snapToGrid w:val="0"/>
        </w:rPr>
        <w:t>described</w:t>
      </w:r>
      <w:r w:rsidR="00DE2796" w:rsidRPr="00B07FB9">
        <w:rPr>
          <w:rFonts w:asciiTheme="minorHAnsi" w:hAnsiTheme="minorHAnsi"/>
          <w:bCs/>
          <w:snapToGrid w:val="0"/>
        </w:rPr>
        <w:t xml:space="preserve"> </w:t>
      </w:r>
      <w:r w:rsidR="00D7010F" w:rsidRPr="00B07FB9">
        <w:rPr>
          <w:rFonts w:asciiTheme="minorHAnsi" w:hAnsiTheme="minorHAnsi"/>
          <w:bCs/>
          <w:snapToGrid w:val="0"/>
        </w:rPr>
        <w:t xml:space="preserve">benefits </w:t>
      </w:r>
      <w:r w:rsidR="004D5A56" w:rsidRPr="00B07FB9">
        <w:rPr>
          <w:rFonts w:asciiTheme="minorHAnsi" w:hAnsiTheme="minorHAnsi"/>
          <w:bCs/>
          <w:snapToGrid w:val="0"/>
        </w:rPr>
        <w:t>including</w:t>
      </w:r>
      <w:r w:rsidR="00D7010F" w:rsidRPr="00B07FB9">
        <w:rPr>
          <w:rFonts w:asciiTheme="minorHAnsi" w:hAnsiTheme="minorHAnsi"/>
          <w:bCs/>
          <w:snapToGrid w:val="0"/>
        </w:rPr>
        <w:t xml:space="preserve"> </w:t>
      </w:r>
      <w:r w:rsidR="00DE2796" w:rsidRPr="00B07FB9">
        <w:rPr>
          <w:rFonts w:asciiTheme="minorHAnsi" w:hAnsiTheme="minorHAnsi"/>
          <w:bCs/>
          <w:snapToGrid w:val="0"/>
        </w:rPr>
        <w:t>improved</w:t>
      </w:r>
      <w:r w:rsidR="008F0FBD" w:rsidRPr="00B07FB9">
        <w:rPr>
          <w:rFonts w:asciiTheme="minorHAnsi" w:hAnsiTheme="minorHAnsi"/>
          <w:bCs/>
          <w:snapToGrid w:val="0"/>
        </w:rPr>
        <w:t xml:space="preserve"> </w:t>
      </w:r>
      <w:r w:rsidR="00DE2796" w:rsidRPr="00B07FB9">
        <w:rPr>
          <w:rFonts w:asciiTheme="minorHAnsi" w:hAnsiTheme="minorHAnsi"/>
          <w:bCs/>
          <w:snapToGrid w:val="0"/>
        </w:rPr>
        <w:t>quality of life</w:t>
      </w:r>
      <w:r w:rsidR="008B4D23" w:rsidRPr="00B07FB9">
        <w:rPr>
          <w:rFonts w:asciiTheme="minorHAnsi" w:hAnsiTheme="minorHAnsi"/>
          <w:bCs/>
          <w:snapToGrid w:val="0"/>
        </w:rPr>
        <w:t>,</w:t>
      </w:r>
      <w:r w:rsidR="001D4E49" w:rsidRPr="00B07FB9">
        <w:rPr>
          <w:rFonts w:asciiTheme="minorHAnsi" w:hAnsiTheme="minorHAnsi"/>
          <w:bCs/>
          <w:snapToGrid w:val="0"/>
        </w:rPr>
        <w:t xml:space="preserve"> </w:t>
      </w:r>
      <w:r w:rsidR="005467F5" w:rsidRPr="00B07FB9">
        <w:rPr>
          <w:rFonts w:asciiTheme="minorHAnsi" w:hAnsiTheme="minorHAnsi"/>
          <w:bCs/>
          <w:snapToGrid w:val="0"/>
        </w:rPr>
        <w:t xml:space="preserve">the ability to return to work and </w:t>
      </w:r>
      <w:r w:rsidR="00ED7AB6" w:rsidRPr="00B07FB9">
        <w:rPr>
          <w:rFonts w:asciiTheme="minorHAnsi" w:hAnsiTheme="minorHAnsi"/>
          <w:bCs/>
          <w:snapToGrid w:val="0"/>
        </w:rPr>
        <w:t xml:space="preserve">spend </w:t>
      </w:r>
      <w:r w:rsidR="00FC4CFA" w:rsidRPr="00B07FB9">
        <w:rPr>
          <w:rFonts w:asciiTheme="minorHAnsi" w:hAnsiTheme="minorHAnsi"/>
          <w:bCs/>
          <w:snapToGrid w:val="0"/>
        </w:rPr>
        <w:t xml:space="preserve">extended </w:t>
      </w:r>
      <w:r w:rsidR="001D4E49" w:rsidRPr="00B07FB9">
        <w:rPr>
          <w:rFonts w:asciiTheme="minorHAnsi" w:hAnsiTheme="minorHAnsi"/>
          <w:bCs/>
          <w:snapToGrid w:val="0"/>
        </w:rPr>
        <w:t>time with family and friends</w:t>
      </w:r>
      <w:r w:rsidR="00D7010F" w:rsidRPr="00B07FB9">
        <w:rPr>
          <w:rFonts w:asciiTheme="minorHAnsi" w:hAnsiTheme="minorHAnsi"/>
          <w:bCs/>
          <w:snapToGrid w:val="0"/>
        </w:rPr>
        <w:t xml:space="preserve"> and </w:t>
      </w:r>
      <w:r w:rsidR="00A4274A" w:rsidRPr="00B07FB9">
        <w:rPr>
          <w:rFonts w:asciiTheme="minorHAnsi" w:hAnsiTheme="minorHAnsi"/>
          <w:bCs/>
          <w:snapToGrid w:val="0"/>
        </w:rPr>
        <w:t xml:space="preserve">reduced </w:t>
      </w:r>
      <w:r w:rsidR="00856C08" w:rsidRPr="00B07FB9">
        <w:rPr>
          <w:rFonts w:asciiTheme="minorHAnsi" w:hAnsiTheme="minorHAnsi"/>
          <w:bCs/>
          <w:snapToGrid w:val="0"/>
        </w:rPr>
        <w:t>anxiety</w:t>
      </w:r>
      <w:r w:rsidR="00D7010F" w:rsidRPr="00B07FB9">
        <w:rPr>
          <w:rFonts w:asciiTheme="minorHAnsi" w:hAnsiTheme="minorHAnsi"/>
          <w:bCs/>
          <w:snapToGrid w:val="0"/>
        </w:rPr>
        <w:t xml:space="preserve">. The comments </w:t>
      </w:r>
      <w:r w:rsidR="004D5A56" w:rsidRPr="00B07FB9">
        <w:rPr>
          <w:rFonts w:asciiTheme="minorHAnsi" w:hAnsiTheme="minorHAnsi"/>
          <w:bCs/>
          <w:snapToGrid w:val="0"/>
        </w:rPr>
        <w:t xml:space="preserve">also discussed the significant fear of recurrence that is experienced by </w:t>
      </w:r>
      <w:r w:rsidR="00D7010F" w:rsidRPr="00B07FB9">
        <w:rPr>
          <w:rFonts w:asciiTheme="minorHAnsi" w:hAnsiTheme="minorHAnsi"/>
          <w:bCs/>
          <w:snapToGrid w:val="0"/>
        </w:rPr>
        <w:t>patients and their families</w:t>
      </w:r>
      <w:r w:rsidR="003D56DD" w:rsidRPr="00B07FB9">
        <w:rPr>
          <w:rFonts w:asciiTheme="minorHAnsi" w:hAnsiTheme="minorHAnsi"/>
          <w:bCs/>
          <w:snapToGrid w:val="0"/>
        </w:rPr>
        <w:t xml:space="preserve">. </w:t>
      </w:r>
      <w:r w:rsidR="004D5A56" w:rsidRPr="00B07FB9">
        <w:rPr>
          <w:rFonts w:asciiTheme="minorHAnsi" w:hAnsiTheme="minorHAnsi"/>
          <w:bCs/>
          <w:snapToGrid w:val="0"/>
        </w:rPr>
        <w:t xml:space="preserve">Several of the </w:t>
      </w:r>
      <w:r w:rsidR="003D56DD" w:rsidRPr="00B07FB9">
        <w:rPr>
          <w:rFonts w:asciiTheme="minorHAnsi" w:hAnsiTheme="minorHAnsi"/>
          <w:bCs/>
          <w:snapToGrid w:val="0"/>
        </w:rPr>
        <w:t>comments</w:t>
      </w:r>
      <w:r w:rsidR="001D4E49" w:rsidRPr="00B07FB9">
        <w:rPr>
          <w:rFonts w:asciiTheme="minorHAnsi" w:hAnsiTheme="minorHAnsi"/>
          <w:bCs/>
          <w:snapToGrid w:val="0"/>
        </w:rPr>
        <w:t xml:space="preserve"> </w:t>
      </w:r>
      <w:r w:rsidR="00093CD3" w:rsidRPr="00B07FB9">
        <w:rPr>
          <w:rFonts w:asciiTheme="minorHAnsi" w:hAnsiTheme="minorHAnsi"/>
          <w:bCs/>
          <w:snapToGrid w:val="0"/>
        </w:rPr>
        <w:t>described</w:t>
      </w:r>
      <w:r w:rsidR="003D56DD" w:rsidRPr="00B07FB9">
        <w:rPr>
          <w:rFonts w:asciiTheme="minorHAnsi" w:hAnsiTheme="minorHAnsi"/>
          <w:bCs/>
          <w:snapToGrid w:val="0"/>
        </w:rPr>
        <w:t xml:space="preserve"> a</w:t>
      </w:r>
      <w:r w:rsidR="008A3BD7" w:rsidRPr="00B07FB9">
        <w:rPr>
          <w:rFonts w:asciiTheme="minorHAnsi" w:hAnsiTheme="minorHAnsi"/>
          <w:bCs/>
          <w:snapToGrid w:val="0"/>
        </w:rPr>
        <w:t>n unmet</w:t>
      </w:r>
      <w:r w:rsidR="003D56DD" w:rsidRPr="00B07FB9">
        <w:rPr>
          <w:rFonts w:asciiTheme="minorHAnsi" w:hAnsiTheme="minorHAnsi"/>
          <w:bCs/>
          <w:snapToGrid w:val="0"/>
        </w:rPr>
        <w:t xml:space="preserve"> clinical need for</w:t>
      </w:r>
      <w:r w:rsidR="002758E3" w:rsidRPr="00B07FB9">
        <w:rPr>
          <w:rFonts w:asciiTheme="minorHAnsi" w:hAnsiTheme="minorHAnsi"/>
          <w:bCs/>
          <w:snapToGrid w:val="0"/>
        </w:rPr>
        <w:t xml:space="preserve"> additional</w:t>
      </w:r>
      <w:r w:rsidR="003D56DD" w:rsidRPr="00B07FB9">
        <w:rPr>
          <w:rFonts w:asciiTheme="minorHAnsi" w:hAnsiTheme="minorHAnsi"/>
          <w:bCs/>
          <w:snapToGrid w:val="0"/>
        </w:rPr>
        <w:t xml:space="preserve"> treatment options</w:t>
      </w:r>
      <w:r w:rsidR="001D4E49" w:rsidRPr="00B07FB9">
        <w:rPr>
          <w:rFonts w:asciiTheme="minorHAnsi" w:hAnsiTheme="minorHAnsi"/>
          <w:bCs/>
          <w:snapToGrid w:val="0"/>
        </w:rPr>
        <w:t xml:space="preserve"> for women with ovarian cancer, especially</w:t>
      </w:r>
      <w:r w:rsidR="003D56DD" w:rsidRPr="00B07FB9">
        <w:rPr>
          <w:rFonts w:asciiTheme="minorHAnsi" w:hAnsiTheme="minorHAnsi"/>
          <w:bCs/>
          <w:snapToGrid w:val="0"/>
        </w:rPr>
        <w:t xml:space="preserve"> for </w:t>
      </w:r>
      <w:r w:rsidR="00092A37" w:rsidRPr="00B07FB9">
        <w:t>n</w:t>
      </w:r>
      <w:r w:rsidR="003D56DD" w:rsidRPr="00B07FB9">
        <w:t>on-</w:t>
      </w:r>
      <w:proofErr w:type="spellStart"/>
      <w:r w:rsidR="003D56DD" w:rsidRPr="00B07FB9">
        <w:t>BRCAm</w:t>
      </w:r>
      <w:proofErr w:type="spellEnd"/>
      <w:r w:rsidR="001D4E49" w:rsidRPr="00B07FB9">
        <w:t xml:space="preserve"> patients</w:t>
      </w:r>
      <w:r w:rsidR="003D56DD" w:rsidRPr="00B07FB9">
        <w:rPr>
          <w:rFonts w:asciiTheme="minorHAnsi" w:hAnsiTheme="minorHAnsi"/>
          <w:bCs/>
          <w:snapToGrid w:val="0"/>
        </w:rPr>
        <w:t xml:space="preserve">. </w:t>
      </w:r>
      <w:r w:rsidR="00746318" w:rsidRPr="00B07FB9">
        <w:rPr>
          <w:rFonts w:asciiTheme="minorHAnsi" w:hAnsiTheme="minorHAnsi"/>
          <w:bCs/>
          <w:snapToGrid w:val="0"/>
        </w:rPr>
        <w:t>Another commonly expressed concern related to the cost of treatment without PBS listing.</w:t>
      </w:r>
    </w:p>
    <w:p w14:paraId="21DCE4BF" w14:textId="04C13051" w:rsidR="00915A49" w:rsidRPr="00B07FB9" w:rsidRDefault="00ED7AB6" w:rsidP="001E7752">
      <w:pPr>
        <w:widowControl w:val="0"/>
        <w:numPr>
          <w:ilvl w:val="1"/>
          <w:numId w:val="1"/>
        </w:numPr>
        <w:spacing w:after="120"/>
        <w:rPr>
          <w:bCs/>
        </w:rPr>
      </w:pPr>
      <w:r w:rsidRPr="00B07FB9">
        <w:rPr>
          <w:rFonts w:asciiTheme="minorHAnsi" w:hAnsiTheme="minorHAnsi"/>
          <w:bCs/>
          <w:snapToGrid w:val="0"/>
        </w:rPr>
        <w:t xml:space="preserve">The PBAC noted </w:t>
      </w:r>
      <w:r w:rsidR="002A02E9" w:rsidRPr="00B07FB9">
        <w:rPr>
          <w:rFonts w:asciiTheme="minorHAnsi" w:hAnsiTheme="minorHAnsi"/>
          <w:bCs/>
          <w:snapToGrid w:val="0"/>
        </w:rPr>
        <w:t xml:space="preserve">the submission </w:t>
      </w:r>
      <w:r w:rsidRPr="00B07FB9">
        <w:rPr>
          <w:rFonts w:asciiTheme="minorHAnsi" w:hAnsiTheme="minorHAnsi"/>
          <w:bCs/>
          <w:snapToGrid w:val="0"/>
        </w:rPr>
        <w:t xml:space="preserve">received from </w:t>
      </w:r>
      <w:r w:rsidR="002A0E53" w:rsidRPr="00B07FB9">
        <w:rPr>
          <w:rFonts w:asciiTheme="minorHAnsi" w:hAnsiTheme="minorHAnsi"/>
          <w:bCs/>
          <w:snapToGrid w:val="0"/>
        </w:rPr>
        <w:t>Ovarian Cancer Australia</w:t>
      </w:r>
      <w:r w:rsidR="002A02E9" w:rsidRPr="00B07FB9">
        <w:rPr>
          <w:rFonts w:asciiTheme="minorHAnsi" w:hAnsiTheme="minorHAnsi"/>
          <w:bCs/>
          <w:snapToGrid w:val="0"/>
        </w:rPr>
        <w:t xml:space="preserve">, which supported the proposed listing. The submission included a summary of </w:t>
      </w:r>
      <w:r w:rsidR="002A02E9" w:rsidRPr="00B07FB9">
        <w:t xml:space="preserve">personal experiences from a survey of patients living with an ovarian cancer diagnosis, in which fear of recurrence was the most common concern reported. The also submission </w:t>
      </w:r>
      <w:r w:rsidR="002A02E9" w:rsidRPr="00B07FB9">
        <w:rPr>
          <w:rFonts w:asciiTheme="minorHAnsi" w:hAnsiTheme="minorHAnsi"/>
          <w:bCs/>
          <w:snapToGrid w:val="0"/>
        </w:rPr>
        <w:t xml:space="preserve">described the main advantages of </w:t>
      </w:r>
      <w:r w:rsidR="002A0E53" w:rsidRPr="00B07FB9">
        <w:rPr>
          <w:rFonts w:asciiTheme="minorHAnsi" w:hAnsiTheme="minorHAnsi"/>
          <w:bCs/>
          <w:snapToGrid w:val="0"/>
        </w:rPr>
        <w:t>niraparib</w:t>
      </w:r>
      <w:r w:rsidR="00F47D63" w:rsidRPr="00B07FB9">
        <w:rPr>
          <w:rFonts w:asciiTheme="minorHAnsi" w:hAnsiTheme="minorHAnsi"/>
          <w:bCs/>
          <w:snapToGrid w:val="0"/>
        </w:rPr>
        <w:t xml:space="preserve"> </w:t>
      </w:r>
      <w:r w:rsidR="002A02E9" w:rsidRPr="00B07FB9">
        <w:rPr>
          <w:rFonts w:asciiTheme="minorHAnsi" w:hAnsiTheme="minorHAnsi"/>
          <w:bCs/>
          <w:snapToGrid w:val="0"/>
        </w:rPr>
        <w:t xml:space="preserve">are that it </w:t>
      </w:r>
      <w:r w:rsidR="00F47D63" w:rsidRPr="00B07FB9">
        <w:rPr>
          <w:rFonts w:asciiTheme="minorHAnsi" w:hAnsiTheme="minorHAnsi"/>
          <w:bCs/>
          <w:snapToGrid w:val="0"/>
        </w:rPr>
        <w:t xml:space="preserve">may </w:t>
      </w:r>
      <w:r w:rsidR="00A4274A" w:rsidRPr="00B07FB9">
        <w:rPr>
          <w:rFonts w:asciiTheme="minorHAnsi" w:hAnsiTheme="minorHAnsi"/>
          <w:bCs/>
          <w:snapToGrid w:val="0"/>
        </w:rPr>
        <w:t>extend progression free survival</w:t>
      </w:r>
      <w:r w:rsidR="002A02E9" w:rsidRPr="00B07FB9">
        <w:rPr>
          <w:rFonts w:asciiTheme="minorHAnsi" w:hAnsiTheme="minorHAnsi"/>
          <w:bCs/>
          <w:snapToGrid w:val="0"/>
        </w:rPr>
        <w:t xml:space="preserve"> and</w:t>
      </w:r>
      <w:r w:rsidR="00435368" w:rsidRPr="00B07FB9">
        <w:rPr>
          <w:rFonts w:asciiTheme="minorHAnsi" w:hAnsiTheme="minorHAnsi"/>
          <w:bCs/>
          <w:snapToGrid w:val="0"/>
        </w:rPr>
        <w:t xml:space="preserve"> </w:t>
      </w:r>
      <w:r w:rsidR="00A4274A" w:rsidRPr="00B07FB9">
        <w:rPr>
          <w:rFonts w:asciiTheme="minorHAnsi" w:hAnsiTheme="minorHAnsi"/>
          <w:bCs/>
          <w:snapToGrid w:val="0"/>
        </w:rPr>
        <w:t>increase quality of life</w:t>
      </w:r>
      <w:r w:rsidR="002A02E9" w:rsidRPr="00B07FB9">
        <w:rPr>
          <w:rFonts w:asciiTheme="minorHAnsi" w:hAnsiTheme="minorHAnsi"/>
          <w:bCs/>
          <w:snapToGrid w:val="0"/>
        </w:rPr>
        <w:t>,</w:t>
      </w:r>
      <w:r w:rsidR="00435368" w:rsidRPr="00B07FB9">
        <w:rPr>
          <w:rFonts w:asciiTheme="minorHAnsi" w:hAnsiTheme="minorHAnsi"/>
          <w:bCs/>
          <w:snapToGrid w:val="0"/>
        </w:rPr>
        <w:t xml:space="preserve"> and </w:t>
      </w:r>
      <w:r w:rsidR="002A02E9" w:rsidRPr="00B07FB9">
        <w:rPr>
          <w:rFonts w:asciiTheme="minorHAnsi" w:hAnsiTheme="minorHAnsi"/>
          <w:bCs/>
          <w:snapToGrid w:val="0"/>
        </w:rPr>
        <w:t xml:space="preserve">that it would </w:t>
      </w:r>
      <w:r w:rsidR="00435368" w:rsidRPr="00B07FB9">
        <w:rPr>
          <w:rFonts w:asciiTheme="minorHAnsi" w:hAnsiTheme="minorHAnsi"/>
          <w:bCs/>
          <w:snapToGrid w:val="0"/>
        </w:rPr>
        <w:t>expan</w:t>
      </w:r>
      <w:r w:rsidR="002A02E9" w:rsidRPr="00B07FB9">
        <w:rPr>
          <w:rFonts w:asciiTheme="minorHAnsi" w:hAnsiTheme="minorHAnsi"/>
          <w:bCs/>
          <w:snapToGrid w:val="0"/>
        </w:rPr>
        <w:t>d</w:t>
      </w:r>
      <w:r w:rsidR="00435368" w:rsidRPr="00B07FB9">
        <w:rPr>
          <w:rFonts w:asciiTheme="minorHAnsi" w:hAnsiTheme="minorHAnsi"/>
          <w:bCs/>
          <w:snapToGrid w:val="0"/>
        </w:rPr>
        <w:t xml:space="preserve"> the current</w:t>
      </w:r>
      <w:r w:rsidR="00A4274A" w:rsidRPr="00B07FB9">
        <w:rPr>
          <w:rFonts w:asciiTheme="minorHAnsi" w:hAnsiTheme="minorHAnsi"/>
          <w:bCs/>
          <w:snapToGrid w:val="0"/>
        </w:rPr>
        <w:t xml:space="preserve"> treatment </w:t>
      </w:r>
      <w:r w:rsidR="00435368" w:rsidRPr="00B07FB9">
        <w:rPr>
          <w:rFonts w:asciiTheme="minorHAnsi" w:hAnsiTheme="minorHAnsi"/>
          <w:bCs/>
          <w:snapToGrid w:val="0"/>
        </w:rPr>
        <w:t xml:space="preserve">options </w:t>
      </w:r>
      <w:r w:rsidR="006D5CCD" w:rsidRPr="00B07FB9">
        <w:rPr>
          <w:rFonts w:asciiTheme="minorHAnsi" w:hAnsiTheme="minorHAnsi"/>
          <w:bCs/>
          <w:snapToGrid w:val="0"/>
        </w:rPr>
        <w:t xml:space="preserve">and provide hope for patients </w:t>
      </w:r>
      <w:r w:rsidR="00435368" w:rsidRPr="00B07FB9">
        <w:rPr>
          <w:rFonts w:asciiTheme="minorHAnsi" w:hAnsiTheme="minorHAnsi"/>
          <w:bCs/>
          <w:snapToGrid w:val="0"/>
        </w:rPr>
        <w:t xml:space="preserve">with ovarian cancer, including </w:t>
      </w:r>
      <w:r w:rsidR="000A39C4" w:rsidRPr="00B07FB9">
        <w:rPr>
          <w:rFonts w:asciiTheme="minorHAnsi" w:hAnsiTheme="minorHAnsi"/>
          <w:bCs/>
          <w:snapToGrid w:val="0"/>
        </w:rPr>
        <w:t>non-</w:t>
      </w:r>
      <w:proofErr w:type="spellStart"/>
      <w:r w:rsidR="000A39C4" w:rsidRPr="00B07FB9">
        <w:rPr>
          <w:rFonts w:asciiTheme="minorHAnsi" w:hAnsiTheme="minorHAnsi"/>
          <w:bCs/>
          <w:snapToGrid w:val="0"/>
        </w:rPr>
        <w:t>BRCAm</w:t>
      </w:r>
      <w:proofErr w:type="spellEnd"/>
      <w:r w:rsidR="000A39C4" w:rsidRPr="00B07FB9">
        <w:rPr>
          <w:rFonts w:asciiTheme="minorHAnsi" w:hAnsiTheme="minorHAnsi"/>
          <w:bCs/>
          <w:snapToGrid w:val="0"/>
        </w:rPr>
        <w:t xml:space="preserve"> </w:t>
      </w:r>
      <w:r w:rsidR="00A4274A" w:rsidRPr="00B07FB9">
        <w:rPr>
          <w:rFonts w:asciiTheme="minorHAnsi" w:hAnsiTheme="minorHAnsi"/>
          <w:bCs/>
          <w:snapToGrid w:val="0"/>
        </w:rPr>
        <w:t>patients</w:t>
      </w:r>
      <w:r w:rsidR="002A02E9" w:rsidRPr="00B07FB9">
        <w:rPr>
          <w:rFonts w:asciiTheme="minorHAnsi" w:hAnsiTheme="minorHAnsi"/>
          <w:bCs/>
          <w:snapToGrid w:val="0"/>
        </w:rPr>
        <w:t>.</w:t>
      </w:r>
      <w:bookmarkEnd w:id="14"/>
      <w:bookmarkEnd w:id="16"/>
    </w:p>
    <w:p w14:paraId="2495D975" w14:textId="5D0C6C0C" w:rsidR="00F47D63" w:rsidRPr="00B07FB9" w:rsidRDefault="00F47D63" w:rsidP="00ED7AB6">
      <w:pPr>
        <w:widowControl w:val="0"/>
        <w:numPr>
          <w:ilvl w:val="1"/>
          <w:numId w:val="1"/>
        </w:numPr>
        <w:spacing w:after="120"/>
        <w:rPr>
          <w:bCs/>
        </w:rPr>
      </w:pPr>
      <w:r w:rsidRPr="00B07FB9">
        <w:rPr>
          <w:bCs/>
          <w:snapToGrid w:val="0"/>
        </w:rPr>
        <w:t xml:space="preserve">The Medical Oncology Group of Australia (MOGA) expressed its strong support for the </w:t>
      </w:r>
      <w:r w:rsidR="00ED7AB6" w:rsidRPr="00B07FB9">
        <w:rPr>
          <w:rFonts w:asciiTheme="minorHAnsi" w:hAnsiTheme="minorHAnsi"/>
          <w:bCs/>
          <w:snapToGrid w:val="0"/>
        </w:rPr>
        <w:t xml:space="preserve">niraparib </w:t>
      </w:r>
      <w:r w:rsidRPr="00B07FB9">
        <w:rPr>
          <w:bCs/>
          <w:snapToGrid w:val="0"/>
        </w:rPr>
        <w:t xml:space="preserve">submission, categorising it as one of the therapies of “high priority for PBS listing” on the basis of the </w:t>
      </w:r>
      <w:r w:rsidR="00ED7AB6" w:rsidRPr="00B07FB9">
        <w:rPr>
          <w:bCs/>
          <w:snapToGrid w:val="0"/>
        </w:rPr>
        <w:t xml:space="preserve">PRIMA </w:t>
      </w:r>
      <w:r w:rsidRPr="00B07FB9">
        <w:rPr>
          <w:bCs/>
          <w:snapToGrid w:val="0"/>
        </w:rPr>
        <w:t xml:space="preserve">trial. The PBAC noted that the MOGA presented a European Society for Medical Oncology Magnitude of Clinical Benefit Scale (ESMO-MCBS) for </w:t>
      </w:r>
      <w:r w:rsidR="00ED7AB6" w:rsidRPr="00B07FB9">
        <w:rPr>
          <w:bCs/>
          <w:snapToGrid w:val="0"/>
        </w:rPr>
        <w:t>niraparib</w:t>
      </w:r>
      <w:r w:rsidRPr="00B07FB9">
        <w:rPr>
          <w:bCs/>
          <w:snapToGrid w:val="0"/>
        </w:rPr>
        <w:t xml:space="preserve">, which was limited to </w:t>
      </w:r>
      <w:r w:rsidR="00FC4CFA" w:rsidRPr="00B07FB9">
        <w:rPr>
          <w:bCs/>
          <w:snapToGrid w:val="0"/>
        </w:rPr>
        <w:t>3</w:t>
      </w:r>
      <w:r w:rsidRPr="00B07FB9">
        <w:rPr>
          <w:bCs/>
          <w:snapToGrid w:val="0"/>
        </w:rPr>
        <w:t xml:space="preserve"> (out of a maximum of 5, where 5 and 4 represent the grades with substantial improvement)</w:t>
      </w:r>
      <w:r w:rsidRPr="00B07FB9">
        <w:rPr>
          <w:bCs/>
          <w:snapToGrid w:val="0"/>
          <w:vertAlign w:val="superscript"/>
        </w:rPr>
        <w:t>[1]</w:t>
      </w:r>
      <w:r w:rsidRPr="00B07FB9">
        <w:rPr>
          <w:bCs/>
          <w:snapToGrid w:val="0"/>
        </w:rPr>
        <w:t xml:space="preserve">, based on a comparison with </w:t>
      </w:r>
      <w:r w:rsidR="00FC4CFA" w:rsidRPr="00B07FB9">
        <w:rPr>
          <w:bCs/>
          <w:snapToGrid w:val="0"/>
        </w:rPr>
        <w:t>placebo.</w:t>
      </w:r>
      <w:r w:rsidR="00FC4CFA" w:rsidRPr="00B07FB9">
        <w:rPr>
          <w:rStyle w:val="FootnoteReference"/>
          <w:bCs/>
          <w:snapToGrid w:val="0"/>
        </w:rPr>
        <w:footnoteReference w:id="4"/>
      </w:r>
    </w:p>
    <w:p w14:paraId="312F9334" w14:textId="77777777" w:rsidR="001B4E9C" w:rsidRPr="00B07FB9" w:rsidRDefault="001B4E9C" w:rsidP="00AB485A">
      <w:pPr>
        <w:pStyle w:val="4-SubsectionHeading"/>
        <w:keepLines/>
      </w:pPr>
      <w:bookmarkStart w:id="17" w:name="_Toc93404185"/>
      <w:r w:rsidRPr="00B07FB9">
        <w:t>Clinical studie</w:t>
      </w:r>
      <w:bookmarkEnd w:id="13"/>
      <w:r w:rsidRPr="00B07FB9">
        <w:t>s</w:t>
      </w:r>
      <w:bookmarkEnd w:id="17"/>
    </w:p>
    <w:p w14:paraId="3AFA7590" w14:textId="718DEB1F" w:rsidR="00E80F53" w:rsidRPr="00B07FB9" w:rsidRDefault="00E80F53" w:rsidP="00E80F53">
      <w:pPr>
        <w:pStyle w:val="3-BodyText"/>
        <w:widowControl w:val="0"/>
      </w:pPr>
      <w:r w:rsidRPr="00B07FB9">
        <w:t xml:space="preserve">In the previous submission, clinical evidence from the PRIMA trial formed the evidentiary basis for the claim of superior efficacy of niraparib versus no active treatment (placebo) and manageable safety profile of niraparib in the NDA HGEOC patients irrespective of BRCA status. The submission claimed that indirect comparisons between niraparib and </w:t>
      </w:r>
      <w:proofErr w:type="spellStart"/>
      <w:r w:rsidRPr="00B07FB9">
        <w:t>olaparib</w:t>
      </w:r>
      <w:proofErr w:type="spellEnd"/>
      <w:r w:rsidRPr="00B07FB9">
        <w:t xml:space="preserve"> or bevacizumab could not be performed due to significant heterogeneity between the trials. The PBAC </w:t>
      </w:r>
      <w:r w:rsidR="00550D6C" w:rsidRPr="00B07FB9">
        <w:t xml:space="preserve">previously </w:t>
      </w:r>
      <w:r w:rsidRPr="00B07FB9">
        <w:t>considered that the evidence presented in the submission to support the clinical and economic claim was not fully applicable to the Australian setting because it did not present an adequate comparison versus relevant comparators in respective patients (Paragraph 6.36, Niraparib PSD, July 2021 PBAC meeting). In addition, the Committee:</w:t>
      </w:r>
    </w:p>
    <w:p w14:paraId="357CEB1B" w14:textId="77777777" w:rsidR="00E80F53" w:rsidRPr="00B07FB9" w:rsidRDefault="00E80F53" w:rsidP="00E80F53">
      <w:pPr>
        <w:pStyle w:val="ListParagraph"/>
        <w:widowControl w:val="0"/>
        <w:ind w:left="1176" w:hanging="476"/>
      </w:pPr>
      <w:r w:rsidRPr="00B07FB9">
        <w:t xml:space="preserve">Acknowledged that formal quantitative indirect comparison between niraparib and bevacizumab based on the PRIMA and ICON-7 trials would be difficult because the ICON-7 was a considerably older study and included a substantially different patient population compared with the PRIMA trial. </w:t>
      </w:r>
    </w:p>
    <w:p w14:paraId="145443D4" w14:textId="77777777" w:rsidR="00E80F53" w:rsidRPr="00B07FB9" w:rsidRDefault="00E80F53" w:rsidP="00E80F53">
      <w:pPr>
        <w:pStyle w:val="ListParagraph"/>
        <w:widowControl w:val="0"/>
        <w:ind w:left="1176" w:hanging="476"/>
      </w:pPr>
      <w:r w:rsidRPr="00B07FB9">
        <w:lastRenderedPageBreak/>
        <w:t xml:space="preserve">Noted that the ESC considered a comparison between niraparib and </w:t>
      </w:r>
      <w:proofErr w:type="spellStart"/>
      <w:r w:rsidRPr="00B07FB9">
        <w:t>olaparib</w:t>
      </w:r>
      <w:proofErr w:type="spellEnd"/>
      <w:r w:rsidRPr="00B07FB9">
        <w:t xml:space="preserve"> may have been achievable with the PRIMA and SOLO-1 trials, noting that concerns regarding the transitivity of the studies would need to be considered in interpretation of the results. The PBAC considered that a comparison with </w:t>
      </w:r>
      <w:proofErr w:type="spellStart"/>
      <w:r w:rsidRPr="00B07FB9">
        <w:t>olaparib</w:t>
      </w:r>
      <w:proofErr w:type="spellEnd"/>
      <w:r w:rsidRPr="00B07FB9">
        <w:t xml:space="preserve"> would provide important evidence applicable to the Australian population requested for PBS listing (Paragraph 7.8, Niraparib PSD, July 2021 PBAC meeting).</w:t>
      </w:r>
    </w:p>
    <w:p w14:paraId="7FBAC765" w14:textId="29126B63" w:rsidR="00E80F53" w:rsidRPr="00B07FB9" w:rsidRDefault="00E80F53" w:rsidP="00E80F53">
      <w:pPr>
        <w:pStyle w:val="3-BodyText"/>
        <w:widowControl w:val="0"/>
      </w:pPr>
      <w:r w:rsidRPr="00B07FB9">
        <w:t xml:space="preserve">The resubmission addressed the above issues by presenting clinical and economic evidence comparing niraparib with its nominated comparators in the respective </w:t>
      </w:r>
      <w:proofErr w:type="spellStart"/>
      <w:r w:rsidRPr="00B07FB9">
        <w:t>BRCAm</w:t>
      </w:r>
      <w:proofErr w:type="spellEnd"/>
      <w:r w:rsidRPr="00B07FB9">
        <w:t xml:space="preserve"> and non-</w:t>
      </w:r>
      <w:proofErr w:type="spellStart"/>
      <w:r w:rsidRPr="00B07FB9">
        <w:t>BRCAm</w:t>
      </w:r>
      <w:proofErr w:type="spellEnd"/>
      <w:r w:rsidRPr="00B07FB9">
        <w:t xml:space="preserve"> populations, and a qualitative comparison with bevacizumab. In recognition of the major transitivity issues that prevented reliable quantification of the comparative effectiveness and safety of niraparib relative to bevacizumab, the indirect comparison between niraparib and bevacizumab did not form the basis for assessment of the cost-effectiveness of niraparib in the proposed PBS population. The ESC considered this was reasonable and noted that given the limited use of bevacizumab maintenance therapy in practice, this comparison was of less significance. </w:t>
      </w:r>
    </w:p>
    <w:p w14:paraId="092EF1E2" w14:textId="3207F3A3" w:rsidR="001B4E9C" w:rsidRPr="00B07FB9" w:rsidRDefault="001B4E9C" w:rsidP="00AB485A">
      <w:pPr>
        <w:pStyle w:val="3-BodyText"/>
        <w:keepNext/>
        <w:keepLines/>
      </w:pPr>
      <w:r w:rsidRPr="00B07FB9">
        <w:t>In accordance with previous PBAC advice, the resubmission performed separate clinical evaluations for niraparib in the non-</w:t>
      </w:r>
      <w:proofErr w:type="spellStart"/>
      <w:r w:rsidRPr="00B07FB9">
        <w:t>BRCAm</w:t>
      </w:r>
      <w:proofErr w:type="spellEnd"/>
      <w:r w:rsidRPr="00B07FB9">
        <w:t xml:space="preserve"> and </w:t>
      </w:r>
      <w:proofErr w:type="spellStart"/>
      <w:r w:rsidRPr="00B07FB9">
        <w:t>BRCAm</w:t>
      </w:r>
      <w:proofErr w:type="spellEnd"/>
      <w:r w:rsidRPr="00B07FB9">
        <w:t xml:space="preserve"> popul</w:t>
      </w:r>
      <w:r w:rsidR="00B1614A" w:rsidRPr="00B07FB9">
        <w:t>ations</w:t>
      </w:r>
      <w:r w:rsidR="007C26C4" w:rsidRPr="00B07FB9">
        <w:rPr>
          <w:rStyle w:val="FootnoteReference"/>
        </w:rPr>
        <w:footnoteReference w:id="5"/>
      </w:r>
      <w:r w:rsidRPr="00B07FB9">
        <w:t>:</w:t>
      </w:r>
    </w:p>
    <w:p w14:paraId="69022338" w14:textId="3F6CAC74" w:rsidR="001B4E9C" w:rsidRPr="00B07FB9" w:rsidRDefault="001B4E9C" w:rsidP="000C6F49">
      <w:pPr>
        <w:pStyle w:val="ListParagraph"/>
        <w:widowControl w:val="0"/>
        <w:ind w:left="1176" w:hanging="476"/>
      </w:pPr>
      <w:r w:rsidRPr="00B07FB9">
        <w:t>Non-</w:t>
      </w:r>
      <w:proofErr w:type="spellStart"/>
      <w:r w:rsidRPr="00B07FB9">
        <w:t>BRCAm</w:t>
      </w:r>
      <w:proofErr w:type="spellEnd"/>
      <w:r w:rsidRPr="00B07FB9">
        <w:t xml:space="preserve"> patients: based on the subgroup analysis of non-</w:t>
      </w:r>
      <w:proofErr w:type="spellStart"/>
      <w:r w:rsidRPr="00B07FB9">
        <w:t>BRCAm</w:t>
      </w:r>
      <w:proofErr w:type="spellEnd"/>
      <w:r w:rsidRPr="00B07FB9">
        <w:t xml:space="preserve"> patients in the PRIMA trial (niraparib vs. </w:t>
      </w:r>
      <w:r w:rsidR="00803F52" w:rsidRPr="00B07FB9">
        <w:t>no active treatment (</w:t>
      </w:r>
      <w:r w:rsidRPr="00B07FB9">
        <w:t>placebo</w:t>
      </w:r>
      <w:r w:rsidR="00803F52" w:rsidRPr="00B07FB9">
        <w:t>)</w:t>
      </w:r>
      <w:r w:rsidRPr="00B07FB9">
        <w:t xml:space="preserve">). </w:t>
      </w:r>
    </w:p>
    <w:p w14:paraId="120E1D6C" w14:textId="61C04DEE" w:rsidR="001B4E9C" w:rsidRPr="00B07FB9" w:rsidRDefault="001B4E9C" w:rsidP="000C6F49">
      <w:pPr>
        <w:pStyle w:val="ListParagraph"/>
        <w:widowControl w:val="0"/>
        <w:ind w:left="1176" w:hanging="476"/>
      </w:pPr>
      <w:proofErr w:type="spellStart"/>
      <w:r w:rsidRPr="00B07FB9">
        <w:t>BRCAm</w:t>
      </w:r>
      <w:proofErr w:type="spellEnd"/>
      <w:r w:rsidRPr="00B07FB9">
        <w:t xml:space="preserve"> patients: based on an indirect treatment comparison (ITC) of the </w:t>
      </w:r>
      <w:proofErr w:type="spellStart"/>
      <w:r w:rsidRPr="00B07FB9">
        <w:t>BRCAm</w:t>
      </w:r>
      <w:proofErr w:type="spellEnd"/>
      <w:r w:rsidRPr="00B07FB9">
        <w:t xml:space="preserve"> subgroup from the niraparib trial (PRIMA, niraparib vs. placebo) with one </w:t>
      </w:r>
      <w:proofErr w:type="spellStart"/>
      <w:r w:rsidRPr="00B07FB9">
        <w:t>olaparib</w:t>
      </w:r>
      <w:proofErr w:type="spellEnd"/>
      <w:r w:rsidRPr="00B07FB9">
        <w:t xml:space="preserve"> trial (SOLO-1, </w:t>
      </w:r>
      <w:proofErr w:type="spellStart"/>
      <w:r w:rsidRPr="00B07FB9">
        <w:t>olaparib</w:t>
      </w:r>
      <w:proofErr w:type="spellEnd"/>
      <w:r w:rsidRPr="00B07FB9">
        <w:t xml:space="preserve"> vs. placebo). The ITC was performed using the Bucher (1997) method</w:t>
      </w:r>
      <w:r w:rsidR="001A636A" w:rsidRPr="00B07FB9">
        <w:rPr>
          <w:rStyle w:val="FootnoteReference"/>
        </w:rPr>
        <w:footnoteReference w:id="6"/>
      </w:r>
      <w:r w:rsidR="001B6BA7" w:rsidRPr="00B07FB9">
        <w:t>,</w:t>
      </w:r>
      <w:r w:rsidRPr="00B07FB9">
        <w:t xml:space="preserve"> via placebo as the common reference</w:t>
      </w:r>
      <w:r w:rsidR="00FA265B">
        <w:rPr>
          <w:rStyle w:val="FootnoteReference"/>
        </w:rPr>
        <w:footnoteReference w:id="7"/>
      </w:r>
      <w:r w:rsidRPr="00B07FB9">
        <w:t xml:space="preserve">. </w:t>
      </w:r>
    </w:p>
    <w:p w14:paraId="428B784C" w14:textId="77777777" w:rsidR="001B4E9C" w:rsidRPr="00B07FB9" w:rsidRDefault="001B4E9C" w:rsidP="000C6F49">
      <w:pPr>
        <w:pStyle w:val="3-BodyText"/>
        <w:widowControl w:val="0"/>
      </w:pPr>
      <w:r w:rsidRPr="00B07FB9">
        <w:rPr>
          <w:snapToGrid/>
        </w:rPr>
        <w:t xml:space="preserve">Details of the studies presented in the submission are provided in the table below. </w:t>
      </w:r>
    </w:p>
    <w:p w14:paraId="7B92E10F" w14:textId="54683041" w:rsidR="001B4E9C" w:rsidRPr="00B07FB9" w:rsidRDefault="001B4E9C" w:rsidP="00F94AB9">
      <w:pPr>
        <w:pStyle w:val="TableFigureHeading"/>
        <w:widowControl w:val="0"/>
        <w:rPr>
          <w:rStyle w:val="CommentReference"/>
          <w:b/>
          <w:szCs w:val="24"/>
        </w:rPr>
      </w:pPr>
      <w:r w:rsidRPr="00B07FB9">
        <w:t xml:space="preserve">Table </w:t>
      </w:r>
      <w:r w:rsidR="00385E8C">
        <w:fldChar w:fldCharType="begin"/>
      </w:r>
      <w:r w:rsidR="00385E8C">
        <w:instrText xml:space="preserve"> SEQ Table \* ARABIC </w:instrText>
      </w:r>
      <w:r w:rsidR="00385E8C">
        <w:fldChar w:fldCharType="separate"/>
      </w:r>
      <w:r w:rsidR="00385E8C">
        <w:rPr>
          <w:noProof/>
        </w:rPr>
        <w:t>3</w:t>
      </w:r>
      <w:r w:rsidR="00385E8C">
        <w:fldChar w:fldCharType="end"/>
      </w:r>
      <w:r w:rsidRPr="00B07FB9">
        <w:t>:</w:t>
      </w:r>
      <w:r w:rsidRPr="00B07FB9">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A0" w:firstRow="1" w:lastRow="0" w:firstColumn="1" w:lastColumn="1" w:noHBand="0" w:noVBand="0"/>
        <w:tblCaption w:val="Table 3: Trials and associated reports presented in the submission"/>
      </w:tblPr>
      <w:tblGrid>
        <w:gridCol w:w="797"/>
        <w:gridCol w:w="5719"/>
        <w:gridCol w:w="2501"/>
      </w:tblGrid>
      <w:tr w:rsidR="001B4E9C" w:rsidRPr="00B07FB9" w14:paraId="389EA6AC" w14:textId="77777777" w:rsidTr="00602632">
        <w:trPr>
          <w:cantSplit/>
          <w:tblHeader/>
        </w:trPr>
        <w:tc>
          <w:tcPr>
            <w:tcW w:w="442" w:type="pct"/>
            <w:tcBorders>
              <w:bottom w:val="single" w:sz="4" w:space="0" w:color="auto"/>
            </w:tcBorders>
          </w:tcPr>
          <w:p w14:paraId="4CD0FA67" w14:textId="77777777" w:rsidR="001B4E9C" w:rsidRPr="00B07FB9" w:rsidRDefault="001B4E9C" w:rsidP="000C6F49">
            <w:pPr>
              <w:pStyle w:val="In-tableHeading"/>
              <w:keepNext w:val="0"/>
              <w:widowControl w:val="0"/>
              <w:rPr>
                <w:lang w:val="en-AU"/>
              </w:rPr>
            </w:pPr>
            <w:r w:rsidRPr="00B07FB9">
              <w:rPr>
                <w:lang w:val="en-AU"/>
              </w:rPr>
              <w:t>Trial ID</w:t>
            </w:r>
          </w:p>
        </w:tc>
        <w:tc>
          <w:tcPr>
            <w:tcW w:w="3171" w:type="pct"/>
            <w:tcBorders>
              <w:bottom w:val="single" w:sz="4" w:space="0" w:color="auto"/>
            </w:tcBorders>
          </w:tcPr>
          <w:p w14:paraId="0823284C" w14:textId="77777777" w:rsidR="001B4E9C" w:rsidRPr="00B07FB9" w:rsidRDefault="001B4E9C" w:rsidP="000C6F49">
            <w:pPr>
              <w:pStyle w:val="In-tableHeading"/>
              <w:keepNext w:val="0"/>
              <w:widowControl w:val="0"/>
              <w:rPr>
                <w:lang w:val="en-AU"/>
              </w:rPr>
            </w:pPr>
            <w:r w:rsidRPr="00B07FB9">
              <w:rPr>
                <w:lang w:val="en-AU"/>
              </w:rPr>
              <w:t>Protocol title/ Publication title</w:t>
            </w:r>
          </w:p>
        </w:tc>
        <w:tc>
          <w:tcPr>
            <w:tcW w:w="1387" w:type="pct"/>
            <w:tcBorders>
              <w:bottom w:val="single" w:sz="4" w:space="0" w:color="auto"/>
            </w:tcBorders>
          </w:tcPr>
          <w:p w14:paraId="47CDAE25" w14:textId="77777777" w:rsidR="001B4E9C" w:rsidRPr="00B07FB9" w:rsidRDefault="001B4E9C" w:rsidP="000C6F49">
            <w:pPr>
              <w:pStyle w:val="In-tableHeading"/>
              <w:keepNext w:val="0"/>
              <w:widowControl w:val="0"/>
              <w:rPr>
                <w:lang w:val="en-AU"/>
              </w:rPr>
            </w:pPr>
            <w:r w:rsidRPr="00B07FB9">
              <w:rPr>
                <w:lang w:val="en-AU"/>
              </w:rPr>
              <w:t>Publication citation</w:t>
            </w:r>
          </w:p>
        </w:tc>
      </w:tr>
      <w:tr w:rsidR="001B4E9C" w:rsidRPr="00B07FB9" w14:paraId="66CAEC90" w14:textId="77777777" w:rsidTr="00602632">
        <w:trPr>
          <w:cantSplit/>
        </w:trPr>
        <w:tc>
          <w:tcPr>
            <w:tcW w:w="442" w:type="pct"/>
            <w:vMerge w:val="restart"/>
          </w:tcPr>
          <w:p w14:paraId="396CD72C" w14:textId="77777777" w:rsidR="001B4E9C" w:rsidRPr="00B07FB9" w:rsidRDefault="001B4E9C" w:rsidP="000C6F49">
            <w:pPr>
              <w:pStyle w:val="TableText0"/>
              <w:keepNext w:val="0"/>
              <w:widowControl w:val="0"/>
            </w:pPr>
            <w:r w:rsidRPr="00B07FB9">
              <w:t xml:space="preserve">PRIMA </w:t>
            </w:r>
          </w:p>
        </w:tc>
        <w:tc>
          <w:tcPr>
            <w:tcW w:w="3171" w:type="pct"/>
            <w:tcBorders>
              <w:bottom w:val="nil"/>
            </w:tcBorders>
          </w:tcPr>
          <w:p w14:paraId="1F877FCA" w14:textId="77777777" w:rsidR="001B4E9C" w:rsidRPr="00B07FB9" w:rsidRDefault="001B4E9C" w:rsidP="000C6F49">
            <w:pPr>
              <w:pStyle w:val="TableText0"/>
              <w:keepNext w:val="0"/>
              <w:widowControl w:val="0"/>
              <w:spacing w:after="40"/>
              <w:rPr>
                <w:szCs w:val="18"/>
              </w:rPr>
            </w:pPr>
            <w:r w:rsidRPr="00B07FB9">
              <w:rPr>
                <w:szCs w:val="18"/>
              </w:rPr>
              <w:t>Clinical study report: Niraparib PR-30-5017-C A phase 3, randomised, double-blind, placebo-controlled, multicentre study of niraparib maintenance treatment in patients with advanced ovarian cancer following response of front-line platinum-based chemotherapy</w:t>
            </w:r>
          </w:p>
        </w:tc>
        <w:tc>
          <w:tcPr>
            <w:tcW w:w="1387" w:type="pct"/>
            <w:tcBorders>
              <w:bottom w:val="nil"/>
            </w:tcBorders>
          </w:tcPr>
          <w:p w14:paraId="2C3E22D4" w14:textId="77777777" w:rsidR="001B4E9C" w:rsidRPr="00B07FB9" w:rsidRDefault="001B4E9C" w:rsidP="000C6F49">
            <w:pPr>
              <w:pStyle w:val="TableText0"/>
              <w:keepNext w:val="0"/>
              <w:widowControl w:val="0"/>
              <w:spacing w:after="40"/>
            </w:pPr>
            <w:r w:rsidRPr="00B07FB9">
              <w:t>November 2019</w:t>
            </w:r>
          </w:p>
        </w:tc>
      </w:tr>
      <w:tr w:rsidR="001B4E9C" w:rsidRPr="00B07FB9" w14:paraId="07FF9DFB" w14:textId="77777777" w:rsidTr="00602632">
        <w:trPr>
          <w:cantSplit/>
        </w:trPr>
        <w:tc>
          <w:tcPr>
            <w:tcW w:w="442" w:type="pct"/>
            <w:vMerge/>
          </w:tcPr>
          <w:p w14:paraId="11E25071" w14:textId="77777777" w:rsidR="001B4E9C" w:rsidRPr="00B07FB9" w:rsidRDefault="001B4E9C" w:rsidP="000C6F49">
            <w:pPr>
              <w:pStyle w:val="TableText0"/>
              <w:keepNext w:val="0"/>
              <w:widowControl w:val="0"/>
            </w:pPr>
          </w:p>
        </w:tc>
        <w:tc>
          <w:tcPr>
            <w:tcW w:w="3171" w:type="pct"/>
            <w:tcBorders>
              <w:top w:val="nil"/>
              <w:bottom w:val="nil"/>
            </w:tcBorders>
          </w:tcPr>
          <w:p w14:paraId="3234C9C1" w14:textId="77777777" w:rsidR="001B4E9C" w:rsidRPr="00B07FB9" w:rsidRDefault="001B4E9C" w:rsidP="000C6F49">
            <w:pPr>
              <w:pStyle w:val="TableText0"/>
              <w:keepNext w:val="0"/>
              <w:widowControl w:val="0"/>
              <w:spacing w:after="40"/>
              <w:rPr>
                <w:szCs w:val="18"/>
              </w:rPr>
            </w:pPr>
            <w:r w:rsidRPr="00B07FB9">
              <w:rPr>
                <w:szCs w:val="18"/>
              </w:rPr>
              <w:t xml:space="preserve">European Medicines Agency (EMA) Committee for Medicinal Products for Human Use (CHMP) assessment report: </w:t>
            </w:r>
            <w:proofErr w:type="spellStart"/>
            <w:r w:rsidRPr="00B07FB9">
              <w:rPr>
                <w:szCs w:val="18"/>
              </w:rPr>
              <w:t>Zejula</w:t>
            </w:r>
            <w:proofErr w:type="spellEnd"/>
            <w:r w:rsidRPr="00B07FB9">
              <w:rPr>
                <w:szCs w:val="18"/>
              </w:rPr>
              <w:t xml:space="preserve"> (niraparib).</w:t>
            </w:r>
          </w:p>
        </w:tc>
        <w:tc>
          <w:tcPr>
            <w:tcW w:w="1387" w:type="pct"/>
            <w:tcBorders>
              <w:top w:val="nil"/>
              <w:bottom w:val="nil"/>
            </w:tcBorders>
          </w:tcPr>
          <w:p w14:paraId="2E2CCEA0" w14:textId="77777777" w:rsidR="001B4E9C" w:rsidRPr="00B07FB9" w:rsidRDefault="001B4E9C" w:rsidP="000C6F49">
            <w:pPr>
              <w:pStyle w:val="TableText0"/>
              <w:keepNext w:val="0"/>
              <w:widowControl w:val="0"/>
              <w:spacing w:after="40"/>
              <w:rPr>
                <w:szCs w:val="18"/>
              </w:rPr>
            </w:pPr>
            <w:r w:rsidRPr="00B07FB9">
              <w:rPr>
                <w:szCs w:val="18"/>
              </w:rPr>
              <w:t>September 2020</w:t>
            </w:r>
          </w:p>
        </w:tc>
      </w:tr>
      <w:tr w:rsidR="001B4E9C" w:rsidRPr="00B07FB9" w14:paraId="434CB72F" w14:textId="77777777" w:rsidTr="00602632">
        <w:trPr>
          <w:cantSplit/>
        </w:trPr>
        <w:tc>
          <w:tcPr>
            <w:tcW w:w="442" w:type="pct"/>
            <w:vMerge/>
          </w:tcPr>
          <w:p w14:paraId="745C4F17" w14:textId="77777777" w:rsidR="001B4E9C" w:rsidRPr="00B07FB9" w:rsidRDefault="001B4E9C" w:rsidP="000C6F49">
            <w:pPr>
              <w:pStyle w:val="TableText0"/>
              <w:keepNext w:val="0"/>
              <w:widowControl w:val="0"/>
            </w:pPr>
          </w:p>
        </w:tc>
        <w:tc>
          <w:tcPr>
            <w:tcW w:w="3171" w:type="pct"/>
            <w:tcBorders>
              <w:top w:val="nil"/>
              <w:bottom w:val="nil"/>
            </w:tcBorders>
          </w:tcPr>
          <w:p w14:paraId="14532C4E" w14:textId="77777777" w:rsidR="001B4E9C" w:rsidRPr="00B07FB9" w:rsidRDefault="001B4E9C" w:rsidP="000C6F49">
            <w:pPr>
              <w:pStyle w:val="TableText0"/>
              <w:keepNext w:val="0"/>
              <w:widowControl w:val="0"/>
              <w:spacing w:after="40"/>
              <w:rPr>
                <w:szCs w:val="18"/>
              </w:rPr>
            </w:pPr>
            <w:r w:rsidRPr="00B07FB9">
              <w:rPr>
                <w:szCs w:val="18"/>
              </w:rPr>
              <w:t xml:space="preserve">González-Martín A, </w:t>
            </w:r>
            <w:proofErr w:type="spellStart"/>
            <w:r w:rsidRPr="00B07FB9">
              <w:rPr>
                <w:szCs w:val="18"/>
              </w:rPr>
              <w:t>Pothuri</w:t>
            </w:r>
            <w:proofErr w:type="spellEnd"/>
            <w:r w:rsidRPr="00B07FB9">
              <w:rPr>
                <w:szCs w:val="18"/>
              </w:rPr>
              <w:t xml:space="preserve"> B, </w:t>
            </w:r>
            <w:proofErr w:type="spellStart"/>
            <w:r w:rsidRPr="00B07FB9">
              <w:rPr>
                <w:szCs w:val="18"/>
              </w:rPr>
              <w:t>Vergote</w:t>
            </w:r>
            <w:proofErr w:type="spellEnd"/>
            <w:r w:rsidRPr="00B07FB9">
              <w:rPr>
                <w:szCs w:val="18"/>
              </w:rPr>
              <w:t xml:space="preserve"> I, et al. Niraparib in patients with newly diagnosed advanced ovarian cancer.</w:t>
            </w:r>
          </w:p>
        </w:tc>
        <w:tc>
          <w:tcPr>
            <w:tcW w:w="1387" w:type="pct"/>
            <w:tcBorders>
              <w:top w:val="nil"/>
              <w:bottom w:val="nil"/>
            </w:tcBorders>
          </w:tcPr>
          <w:p w14:paraId="55D7650E" w14:textId="77777777" w:rsidR="001B4E9C" w:rsidRPr="00B07FB9" w:rsidRDefault="001B4E9C" w:rsidP="000C6F49">
            <w:pPr>
              <w:pStyle w:val="TableText0"/>
              <w:keepNext w:val="0"/>
              <w:widowControl w:val="0"/>
              <w:spacing w:after="40"/>
              <w:rPr>
                <w:szCs w:val="18"/>
              </w:rPr>
            </w:pPr>
            <w:r w:rsidRPr="00B07FB9">
              <w:rPr>
                <w:szCs w:val="18"/>
              </w:rPr>
              <w:t>New England Journal of Medicine 2019;381(25):2391-2402</w:t>
            </w:r>
          </w:p>
        </w:tc>
      </w:tr>
      <w:tr w:rsidR="001B4E9C" w:rsidRPr="00B07FB9" w14:paraId="3B7873C3" w14:textId="77777777" w:rsidTr="00602632">
        <w:trPr>
          <w:cantSplit/>
        </w:trPr>
        <w:tc>
          <w:tcPr>
            <w:tcW w:w="442" w:type="pct"/>
            <w:vMerge/>
          </w:tcPr>
          <w:p w14:paraId="711C4B88" w14:textId="77777777" w:rsidR="001B4E9C" w:rsidRPr="00B07FB9" w:rsidRDefault="001B4E9C" w:rsidP="000C6F49">
            <w:pPr>
              <w:pStyle w:val="TableText0"/>
              <w:keepNext w:val="0"/>
              <w:widowControl w:val="0"/>
            </w:pPr>
          </w:p>
        </w:tc>
        <w:tc>
          <w:tcPr>
            <w:tcW w:w="3171" w:type="pct"/>
            <w:tcBorders>
              <w:top w:val="nil"/>
              <w:bottom w:val="nil"/>
            </w:tcBorders>
          </w:tcPr>
          <w:p w14:paraId="658A88DB" w14:textId="77777777" w:rsidR="001B4E9C" w:rsidRPr="00B07FB9" w:rsidRDefault="001B4E9C" w:rsidP="000C6F49">
            <w:pPr>
              <w:pStyle w:val="TableText0"/>
              <w:keepNext w:val="0"/>
              <w:widowControl w:val="0"/>
              <w:spacing w:after="40"/>
              <w:rPr>
                <w:szCs w:val="18"/>
              </w:rPr>
            </w:pPr>
            <w:r w:rsidRPr="00B07FB9">
              <w:t xml:space="preserve">González-Martín A, Mirza MR, </w:t>
            </w:r>
            <w:proofErr w:type="spellStart"/>
            <w:r w:rsidRPr="00B07FB9">
              <w:t>Vergote</w:t>
            </w:r>
            <w:proofErr w:type="spellEnd"/>
            <w:r w:rsidRPr="00B07FB9">
              <w:t xml:space="preserve"> I, et al. A prospective evaluation of tolerability of niraparib dosing based upon baseline body weight (</w:t>
            </w:r>
            <w:proofErr w:type="spellStart"/>
            <w:r w:rsidRPr="00B07FB9">
              <w:t>wt</w:t>
            </w:r>
            <w:proofErr w:type="spellEnd"/>
            <w:r w:rsidRPr="00B07FB9">
              <w:t>) and platelet (</w:t>
            </w:r>
            <w:proofErr w:type="spellStart"/>
            <w:r w:rsidRPr="00B07FB9">
              <w:t>blplt</w:t>
            </w:r>
            <w:proofErr w:type="spellEnd"/>
            <w:r w:rsidRPr="00B07FB9">
              <w:t>) count: Blinded pooled interim safety data from the PRIMA Study. (abstract)</w:t>
            </w:r>
          </w:p>
        </w:tc>
        <w:tc>
          <w:tcPr>
            <w:tcW w:w="1387" w:type="pct"/>
            <w:tcBorders>
              <w:top w:val="nil"/>
              <w:bottom w:val="nil"/>
            </w:tcBorders>
          </w:tcPr>
          <w:p w14:paraId="0EB11B7E" w14:textId="77777777" w:rsidR="001B4E9C" w:rsidRPr="00B07FB9" w:rsidRDefault="001B4E9C" w:rsidP="000C6F49">
            <w:pPr>
              <w:pStyle w:val="TableText0"/>
              <w:keepNext w:val="0"/>
              <w:widowControl w:val="0"/>
              <w:spacing w:after="40"/>
              <w:rPr>
                <w:szCs w:val="18"/>
              </w:rPr>
            </w:pPr>
            <w:r w:rsidRPr="00B07FB9">
              <w:t>Annals of Oncology 2018;29:viii335-viii336</w:t>
            </w:r>
          </w:p>
        </w:tc>
      </w:tr>
      <w:tr w:rsidR="001B4E9C" w:rsidRPr="00B07FB9" w14:paraId="22020C55" w14:textId="77777777" w:rsidTr="00602632">
        <w:trPr>
          <w:cantSplit/>
        </w:trPr>
        <w:tc>
          <w:tcPr>
            <w:tcW w:w="442" w:type="pct"/>
            <w:vMerge/>
          </w:tcPr>
          <w:p w14:paraId="16FDC227" w14:textId="77777777" w:rsidR="001B4E9C" w:rsidRPr="00B07FB9" w:rsidRDefault="001B4E9C" w:rsidP="000C6F49">
            <w:pPr>
              <w:pStyle w:val="TableText0"/>
              <w:keepNext w:val="0"/>
              <w:widowControl w:val="0"/>
            </w:pPr>
          </w:p>
        </w:tc>
        <w:tc>
          <w:tcPr>
            <w:tcW w:w="3171" w:type="pct"/>
            <w:tcBorders>
              <w:top w:val="nil"/>
              <w:bottom w:val="nil"/>
            </w:tcBorders>
          </w:tcPr>
          <w:p w14:paraId="200E227E" w14:textId="77777777" w:rsidR="001B4E9C" w:rsidRPr="00B07FB9" w:rsidRDefault="001B4E9C" w:rsidP="000C6F49">
            <w:pPr>
              <w:pStyle w:val="TableText0"/>
              <w:keepNext w:val="0"/>
              <w:widowControl w:val="0"/>
              <w:spacing w:after="40"/>
            </w:pPr>
            <w:r w:rsidRPr="00B07FB9">
              <w:t xml:space="preserve">Monk BJ, Mirza MR, </w:t>
            </w:r>
            <w:proofErr w:type="spellStart"/>
            <w:r w:rsidRPr="00B07FB9">
              <w:t>Vergote</w:t>
            </w:r>
            <w:proofErr w:type="spellEnd"/>
            <w:r w:rsidRPr="00B07FB9">
              <w:t xml:space="preserve"> I, et al. A prospective evaluation of tolerability of niraparib dosing based upon baseline body weight and platelet count: Blinded pooled interim safety data from the ENGOT-OV26/PRIMA study. (abstract)</w:t>
            </w:r>
          </w:p>
        </w:tc>
        <w:tc>
          <w:tcPr>
            <w:tcW w:w="1387" w:type="pct"/>
            <w:tcBorders>
              <w:top w:val="nil"/>
              <w:bottom w:val="nil"/>
            </w:tcBorders>
          </w:tcPr>
          <w:p w14:paraId="594E0AD2" w14:textId="77777777" w:rsidR="001B4E9C" w:rsidRPr="00B07FB9" w:rsidRDefault="001B4E9C" w:rsidP="000C6F49">
            <w:pPr>
              <w:pStyle w:val="TableText0"/>
              <w:keepNext w:val="0"/>
              <w:widowControl w:val="0"/>
              <w:spacing w:after="40"/>
            </w:pPr>
            <w:proofErr w:type="spellStart"/>
            <w:r w:rsidRPr="00B07FB9">
              <w:t>Gynecologic</w:t>
            </w:r>
            <w:proofErr w:type="spellEnd"/>
            <w:r w:rsidRPr="00B07FB9">
              <w:t xml:space="preserve"> Oncology 2019;154:3-4</w:t>
            </w:r>
          </w:p>
        </w:tc>
      </w:tr>
      <w:tr w:rsidR="001B4E9C" w:rsidRPr="00B07FB9" w14:paraId="36B5A0D3" w14:textId="77777777" w:rsidTr="00602632">
        <w:trPr>
          <w:cantSplit/>
        </w:trPr>
        <w:tc>
          <w:tcPr>
            <w:tcW w:w="442" w:type="pct"/>
            <w:vMerge/>
          </w:tcPr>
          <w:p w14:paraId="439FDDE3" w14:textId="77777777" w:rsidR="001B4E9C" w:rsidRPr="00B07FB9" w:rsidRDefault="001B4E9C" w:rsidP="000C6F49">
            <w:pPr>
              <w:pStyle w:val="TableText0"/>
              <w:keepNext w:val="0"/>
              <w:widowControl w:val="0"/>
            </w:pPr>
          </w:p>
        </w:tc>
        <w:tc>
          <w:tcPr>
            <w:tcW w:w="3171" w:type="pct"/>
            <w:tcBorders>
              <w:top w:val="nil"/>
              <w:bottom w:val="nil"/>
            </w:tcBorders>
          </w:tcPr>
          <w:p w14:paraId="67103277" w14:textId="77777777" w:rsidR="001B4E9C" w:rsidRPr="00B07FB9" w:rsidRDefault="001B4E9C" w:rsidP="000C6F49">
            <w:pPr>
              <w:pStyle w:val="TableText0"/>
              <w:keepNext w:val="0"/>
              <w:widowControl w:val="0"/>
              <w:spacing w:after="40"/>
              <w:rPr>
                <w:szCs w:val="18"/>
              </w:rPr>
            </w:pPr>
            <w:proofErr w:type="spellStart"/>
            <w:r w:rsidRPr="00B07FB9">
              <w:t>Valabrega</w:t>
            </w:r>
            <w:proofErr w:type="spellEnd"/>
            <w:r w:rsidRPr="00B07FB9">
              <w:t xml:space="preserve"> G, </w:t>
            </w:r>
            <w:proofErr w:type="spellStart"/>
            <w:r w:rsidRPr="00B07FB9">
              <w:t>Pothuri</w:t>
            </w:r>
            <w:proofErr w:type="spellEnd"/>
            <w:r w:rsidRPr="00B07FB9">
              <w:t xml:space="preserve"> B, </w:t>
            </w:r>
            <w:proofErr w:type="spellStart"/>
            <w:r w:rsidRPr="00B07FB9">
              <w:t>Oaknin</w:t>
            </w:r>
            <w:proofErr w:type="spellEnd"/>
            <w:r w:rsidRPr="00B07FB9">
              <w:t xml:space="preserve"> A, et al. Efficacy and safety of niraparib in older patients (pts) with advanced ovarian cancer (OC): Results from the PRIMA/ENGOT-OV26/GOG-3012 trial. (abstract)</w:t>
            </w:r>
          </w:p>
        </w:tc>
        <w:tc>
          <w:tcPr>
            <w:tcW w:w="1387" w:type="pct"/>
            <w:tcBorders>
              <w:top w:val="nil"/>
              <w:bottom w:val="nil"/>
            </w:tcBorders>
          </w:tcPr>
          <w:p w14:paraId="736CF9BC" w14:textId="77777777" w:rsidR="001B4E9C" w:rsidRPr="00B07FB9" w:rsidRDefault="001B4E9C" w:rsidP="000C6F49">
            <w:pPr>
              <w:pStyle w:val="TableText0"/>
              <w:keepNext w:val="0"/>
              <w:widowControl w:val="0"/>
              <w:spacing w:after="40"/>
            </w:pPr>
            <w:r w:rsidRPr="00B07FB9">
              <w:t>Annals of Oncology 2020;31:S619</w:t>
            </w:r>
          </w:p>
        </w:tc>
      </w:tr>
      <w:tr w:rsidR="001B4E9C" w:rsidRPr="00B07FB9" w14:paraId="198E7607" w14:textId="77777777" w:rsidTr="00602632">
        <w:trPr>
          <w:cantSplit/>
        </w:trPr>
        <w:tc>
          <w:tcPr>
            <w:tcW w:w="442" w:type="pct"/>
            <w:vMerge/>
          </w:tcPr>
          <w:p w14:paraId="70E79E7C"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00B7E11A" w14:textId="77777777" w:rsidR="001B4E9C" w:rsidRPr="00B07FB9" w:rsidRDefault="001B4E9C" w:rsidP="000C6F49">
            <w:pPr>
              <w:pStyle w:val="TableText0"/>
              <w:keepNext w:val="0"/>
              <w:widowControl w:val="0"/>
              <w:spacing w:after="40"/>
            </w:pPr>
            <w:proofErr w:type="spellStart"/>
            <w:r w:rsidRPr="00B07FB9">
              <w:t>Dahlstrand</w:t>
            </w:r>
            <w:proofErr w:type="spellEnd"/>
            <w:r w:rsidRPr="00B07FB9">
              <w:t xml:space="preserve"> H, </w:t>
            </w:r>
            <w:proofErr w:type="spellStart"/>
            <w:r w:rsidRPr="00B07FB9">
              <w:t>Pothuri</w:t>
            </w:r>
            <w:proofErr w:type="spellEnd"/>
            <w:r w:rsidRPr="00B07FB9">
              <w:t xml:space="preserve"> B, Graybill W, et al. Efficacy and safety of niraparib in older patients (PTS) with advanced ovarian cancer (OC): Results from the prima/engot-OV26/GOG-3012 trial. (abstract)</w:t>
            </w:r>
          </w:p>
        </w:tc>
        <w:tc>
          <w:tcPr>
            <w:tcW w:w="1387" w:type="pct"/>
            <w:tcBorders>
              <w:top w:val="nil"/>
              <w:bottom w:val="nil"/>
            </w:tcBorders>
          </w:tcPr>
          <w:p w14:paraId="29436535" w14:textId="77777777" w:rsidR="001B4E9C" w:rsidRPr="00B07FB9" w:rsidRDefault="001B4E9C" w:rsidP="000C6F49">
            <w:pPr>
              <w:pStyle w:val="TableText0"/>
              <w:keepNext w:val="0"/>
              <w:widowControl w:val="0"/>
              <w:spacing w:after="40"/>
            </w:pPr>
            <w:r w:rsidRPr="00B07FB9">
              <w:t xml:space="preserve">International Journal of </w:t>
            </w:r>
            <w:proofErr w:type="spellStart"/>
            <w:r w:rsidRPr="00B07FB9">
              <w:t>Gynecological</w:t>
            </w:r>
            <w:proofErr w:type="spellEnd"/>
            <w:r w:rsidRPr="00B07FB9">
              <w:t xml:space="preserve"> Cancer 2020;30(Suppl 4):A69-A70</w:t>
            </w:r>
          </w:p>
        </w:tc>
      </w:tr>
      <w:tr w:rsidR="001B4E9C" w:rsidRPr="00B07FB9" w14:paraId="41F33891" w14:textId="77777777" w:rsidTr="00602632">
        <w:trPr>
          <w:cantSplit/>
        </w:trPr>
        <w:tc>
          <w:tcPr>
            <w:tcW w:w="442" w:type="pct"/>
            <w:vMerge/>
          </w:tcPr>
          <w:p w14:paraId="0952AC5F"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43AB6EB9" w14:textId="77777777" w:rsidR="001B4E9C" w:rsidRPr="00B07FB9" w:rsidRDefault="001B4E9C" w:rsidP="000C6F49">
            <w:pPr>
              <w:pStyle w:val="TableText0"/>
              <w:keepNext w:val="0"/>
              <w:widowControl w:val="0"/>
              <w:spacing w:after="40"/>
            </w:pPr>
            <w:r w:rsidRPr="00B07FB9">
              <w:t>Graybill W, Mirza M, Gonzalez-Martin A, et al. Efficacy on individualized starting dose (ISD) and fixed starting dose (FSD) of niraparib per investigator-assessment (IA) in newly diagnosed advanced ovarian cancer (OC). (abstract)</w:t>
            </w:r>
          </w:p>
        </w:tc>
        <w:tc>
          <w:tcPr>
            <w:tcW w:w="1387" w:type="pct"/>
            <w:tcBorders>
              <w:top w:val="nil"/>
              <w:bottom w:val="nil"/>
            </w:tcBorders>
          </w:tcPr>
          <w:p w14:paraId="22C385DD" w14:textId="77777777" w:rsidR="001B4E9C" w:rsidRPr="00B07FB9" w:rsidRDefault="001B4E9C" w:rsidP="000C6F49">
            <w:pPr>
              <w:pStyle w:val="TableText0"/>
              <w:keepNext w:val="0"/>
              <w:widowControl w:val="0"/>
              <w:spacing w:after="40"/>
            </w:pPr>
            <w:r w:rsidRPr="00B07FB9">
              <w:t xml:space="preserve">International Journal of </w:t>
            </w:r>
            <w:proofErr w:type="spellStart"/>
            <w:r w:rsidRPr="00B07FB9">
              <w:t>Gynecological</w:t>
            </w:r>
            <w:proofErr w:type="spellEnd"/>
            <w:r w:rsidRPr="00B07FB9">
              <w:t xml:space="preserve"> Cancer 2020;30 (Suppl 3):A10</w:t>
            </w:r>
          </w:p>
        </w:tc>
      </w:tr>
      <w:tr w:rsidR="001B4E9C" w:rsidRPr="00B07FB9" w14:paraId="5584F546" w14:textId="77777777" w:rsidTr="00602632">
        <w:trPr>
          <w:cantSplit/>
        </w:trPr>
        <w:tc>
          <w:tcPr>
            <w:tcW w:w="442" w:type="pct"/>
            <w:vMerge/>
          </w:tcPr>
          <w:p w14:paraId="2ACDDEE1" w14:textId="77777777" w:rsidR="001B4E9C" w:rsidRPr="00B07FB9" w:rsidRDefault="001B4E9C" w:rsidP="000C6F49">
            <w:pPr>
              <w:pStyle w:val="TableText0"/>
              <w:keepNext w:val="0"/>
              <w:widowControl w:val="0"/>
            </w:pPr>
          </w:p>
        </w:tc>
        <w:tc>
          <w:tcPr>
            <w:tcW w:w="3171" w:type="pct"/>
            <w:tcBorders>
              <w:top w:val="nil"/>
              <w:bottom w:val="nil"/>
            </w:tcBorders>
          </w:tcPr>
          <w:p w14:paraId="36EC2D2A" w14:textId="77777777" w:rsidR="001B4E9C" w:rsidRPr="00B07FB9" w:rsidRDefault="001B4E9C" w:rsidP="000C6F49">
            <w:pPr>
              <w:pStyle w:val="TableText0"/>
              <w:keepNext w:val="0"/>
              <w:widowControl w:val="0"/>
              <w:spacing w:after="40"/>
              <w:rPr>
                <w:szCs w:val="18"/>
              </w:rPr>
            </w:pPr>
            <w:r w:rsidRPr="00B07FB9">
              <w:t>Mirza MR, Martin AG, Graybill W, et al. Evaluation of an individualized starting-dose of niraparib in the PRIMA/ENGOT-OV26/GOG-3012 study. (abstract)</w:t>
            </w:r>
          </w:p>
        </w:tc>
        <w:tc>
          <w:tcPr>
            <w:tcW w:w="1387" w:type="pct"/>
            <w:tcBorders>
              <w:top w:val="nil"/>
              <w:bottom w:val="nil"/>
            </w:tcBorders>
          </w:tcPr>
          <w:p w14:paraId="1D8D6C6B" w14:textId="77777777" w:rsidR="001B4E9C" w:rsidRPr="00B07FB9" w:rsidRDefault="001B4E9C" w:rsidP="000C6F49">
            <w:pPr>
              <w:pStyle w:val="TableText0"/>
              <w:keepNext w:val="0"/>
              <w:widowControl w:val="0"/>
              <w:spacing w:after="40"/>
            </w:pPr>
            <w:r w:rsidRPr="00B07FB9">
              <w:t>Journal of Clinical Oncology 2020;38(15 Suppl)</w:t>
            </w:r>
          </w:p>
        </w:tc>
      </w:tr>
      <w:tr w:rsidR="001B4E9C" w:rsidRPr="00B07FB9" w14:paraId="71AC603A" w14:textId="77777777" w:rsidTr="00602632">
        <w:trPr>
          <w:cantSplit/>
        </w:trPr>
        <w:tc>
          <w:tcPr>
            <w:tcW w:w="442" w:type="pct"/>
            <w:vMerge/>
          </w:tcPr>
          <w:p w14:paraId="68C2654E" w14:textId="77777777" w:rsidR="001B4E9C" w:rsidRPr="00B07FB9" w:rsidRDefault="001B4E9C" w:rsidP="000C6F49">
            <w:pPr>
              <w:pStyle w:val="TableText0"/>
              <w:keepNext w:val="0"/>
              <w:widowControl w:val="0"/>
            </w:pPr>
          </w:p>
        </w:tc>
        <w:tc>
          <w:tcPr>
            <w:tcW w:w="3171" w:type="pct"/>
            <w:tcBorders>
              <w:top w:val="nil"/>
              <w:bottom w:val="nil"/>
            </w:tcBorders>
          </w:tcPr>
          <w:p w14:paraId="04B54A3D" w14:textId="77777777" w:rsidR="001B4E9C" w:rsidRPr="00B07FB9" w:rsidRDefault="001B4E9C" w:rsidP="000C6F49">
            <w:pPr>
              <w:pStyle w:val="TableText0"/>
              <w:keepNext w:val="0"/>
              <w:widowControl w:val="0"/>
              <w:spacing w:after="40"/>
              <w:rPr>
                <w:szCs w:val="18"/>
              </w:rPr>
            </w:pPr>
            <w:r w:rsidRPr="00B07FB9">
              <w:t>Han SN, Monk BJ, Gonzalez-Martin A. Time to first subsequent therapy (TFST) and progression-free survival 2 (PFS2) from the phase 3 randomized, double-blind PRIMA/ENGOT-OV26/GOG-3012 study in patients with newly diagnosed ovarian cancer. (abstract)</w:t>
            </w:r>
          </w:p>
        </w:tc>
        <w:tc>
          <w:tcPr>
            <w:tcW w:w="1387" w:type="pct"/>
            <w:tcBorders>
              <w:top w:val="nil"/>
              <w:bottom w:val="nil"/>
            </w:tcBorders>
          </w:tcPr>
          <w:p w14:paraId="39EDC507" w14:textId="77777777" w:rsidR="001B4E9C" w:rsidRPr="00B07FB9" w:rsidRDefault="001B4E9C" w:rsidP="000C6F49">
            <w:pPr>
              <w:pStyle w:val="TableText0"/>
              <w:keepNext w:val="0"/>
              <w:widowControl w:val="0"/>
              <w:spacing w:after="40"/>
            </w:pPr>
            <w:proofErr w:type="spellStart"/>
            <w:r w:rsidRPr="00B07FB9">
              <w:t>Gynecologic</w:t>
            </w:r>
            <w:proofErr w:type="spellEnd"/>
            <w:r w:rsidRPr="00B07FB9">
              <w:t xml:space="preserve"> Oncology 2020;159:18-19</w:t>
            </w:r>
          </w:p>
        </w:tc>
      </w:tr>
      <w:tr w:rsidR="001B4E9C" w:rsidRPr="00B07FB9" w14:paraId="0D8F8873" w14:textId="77777777" w:rsidTr="00602632">
        <w:trPr>
          <w:cantSplit/>
        </w:trPr>
        <w:tc>
          <w:tcPr>
            <w:tcW w:w="442" w:type="pct"/>
            <w:vMerge/>
          </w:tcPr>
          <w:p w14:paraId="7CF4843B"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4B81D2AE" w14:textId="775C3D99" w:rsidR="001B4E9C" w:rsidRPr="00B07FB9" w:rsidRDefault="001B4E9C" w:rsidP="000C6F49">
            <w:pPr>
              <w:pStyle w:val="TableText0"/>
              <w:keepNext w:val="0"/>
              <w:widowControl w:val="0"/>
              <w:spacing w:after="40"/>
            </w:pPr>
            <w:proofErr w:type="spellStart"/>
            <w:r w:rsidRPr="00B07FB9">
              <w:t>Braicu</w:t>
            </w:r>
            <w:proofErr w:type="spellEnd"/>
            <w:r w:rsidRPr="00B07FB9">
              <w:t xml:space="preserve"> EI, </w:t>
            </w:r>
            <w:proofErr w:type="spellStart"/>
            <w:r w:rsidRPr="00B07FB9">
              <w:t>Pothuri</w:t>
            </w:r>
            <w:proofErr w:type="spellEnd"/>
            <w:r w:rsidRPr="00B07FB9">
              <w:t xml:space="preserve"> B, Perez-</w:t>
            </w:r>
            <w:proofErr w:type="spellStart"/>
            <w:r w:rsidRPr="00B07FB9">
              <w:t>Fidalgo</w:t>
            </w:r>
            <w:proofErr w:type="spellEnd"/>
            <w:r w:rsidRPr="00B07FB9">
              <w:t xml:space="preserve"> JA, et al. Efficacy of niraparib therapy in patients with newly diagnosed advanced ovarian cancer by </w:t>
            </w:r>
            <w:proofErr w:type="spellStart"/>
            <w:r w:rsidR="00235952" w:rsidRPr="00B07FB9">
              <w:t>BRCAwt</w:t>
            </w:r>
            <w:proofErr w:type="spellEnd"/>
            <w:r w:rsidR="00235952" w:rsidRPr="00B07FB9">
              <w:t xml:space="preserve"> </w:t>
            </w:r>
            <w:r w:rsidRPr="00B07FB9">
              <w:t>status: Prima/engot-OV26/GOG-3012 study. (abstract)</w:t>
            </w:r>
          </w:p>
        </w:tc>
        <w:tc>
          <w:tcPr>
            <w:tcW w:w="1387" w:type="pct"/>
            <w:tcBorders>
              <w:top w:val="nil"/>
              <w:bottom w:val="nil"/>
            </w:tcBorders>
          </w:tcPr>
          <w:p w14:paraId="4E7C31CE" w14:textId="77777777" w:rsidR="001B4E9C" w:rsidRPr="00B07FB9" w:rsidRDefault="001B4E9C" w:rsidP="000C6F49">
            <w:pPr>
              <w:pStyle w:val="TableText0"/>
              <w:keepNext w:val="0"/>
              <w:widowControl w:val="0"/>
              <w:spacing w:after="40"/>
            </w:pPr>
            <w:r w:rsidRPr="00B07FB9">
              <w:t xml:space="preserve">International Journal of </w:t>
            </w:r>
            <w:proofErr w:type="spellStart"/>
            <w:r w:rsidRPr="00B07FB9">
              <w:t>Gynecological</w:t>
            </w:r>
            <w:proofErr w:type="spellEnd"/>
            <w:r w:rsidRPr="00B07FB9">
              <w:t xml:space="preserve"> Cancer 2020;30(Suppl 4):A70-A71</w:t>
            </w:r>
          </w:p>
        </w:tc>
      </w:tr>
      <w:tr w:rsidR="001B4E9C" w:rsidRPr="00B07FB9" w14:paraId="2AA82CAA" w14:textId="77777777" w:rsidTr="00602632">
        <w:trPr>
          <w:cantSplit/>
        </w:trPr>
        <w:tc>
          <w:tcPr>
            <w:tcW w:w="442" w:type="pct"/>
            <w:vMerge/>
          </w:tcPr>
          <w:p w14:paraId="56726ABC"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7E7588A8" w14:textId="77777777" w:rsidR="001B4E9C" w:rsidRPr="00B07FB9" w:rsidRDefault="001B4E9C" w:rsidP="000C6F49">
            <w:pPr>
              <w:pStyle w:val="TableText0"/>
              <w:keepNext w:val="0"/>
              <w:widowControl w:val="0"/>
              <w:spacing w:after="40"/>
            </w:pPr>
            <w:proofErr w:type="spellStart"/>
            <w:r w:rsidRPr="00B07FB9">
              <w:t>Korach</w:t>
            </w:r>
            <w:proofErr w:type="spellEnd"/>
            <w:r w:rsidRPr="00B07FB9">
              <w:t xml:space="preserve"> J, Graybill W, Redondo A, O’Malley DM, Han S, Cloven N et al. Niraparib in patients with newly diagnosed advanced ovarian </w:t>
            </w:r>
            <w:proofErr w:type="spellStart"/>
            <w:r w:rsidRPr="00B07FB9">
              <w:t>BRCAm</w:t>
            </w:r>
            <w:proofErr w:type="spellEnd"/>
            <w:r w:rsidRPr="00B07FB9">
              <w:t xml:space="preserve"> cancer: a post hoc analysis of the PRIMA/ENGOT-OV26/GOG-3012 trial. (abstract)</w:t>
            </w:r>
          </w:p>
        </w:tc>
        <w:tc>
          <w:tcPr>
            <w:tcW w:w="1387" w:type="pct"/>
            <w:tcBorders>
              <w:top w:val="nil"/>
              <w:bottom w:val="nil"/>
            </w:tcBorders>
          </w:tcPr>
          <w:p w14:paraId="7E08977A" w14:textId="77777777" w:rsidR="001B4E9C" w:rsidRPr="00B07FB9" w:rsidRDefault="001B4E9C" w:rsidP="000C6F49">
            <w:pPr>
              <w:pStyle w:val="TableText0"/>
              <w:keepNext w:val="0"/>
              <w:widowControl w:val="0"/>
              <w:spacing w:after="40"/>
            </w:pPr>
            <w:r w:rsidRPr="00B07FB9">
              <w:t xml:space="preserve">International Journal of </w:t>
            </w:r>
            <w:proofErr w:type="spellStart"/>
            <w:r w:rsidRPr="00B07FB9">
              <w:t>Gynecological</w:t>
            </w:r>
            <w:proofErr w:type="spellEnd"/>
            <w:r w:rsidRPr="00B07FB9">
              <w:t xml:space="preserve"> Cancer 2020;30(Suppl 4):A125-A126</w:t>
            </w:r>
          </w:p>
        </w:tc>
      </w:tr>
      <w:tr w:rsidR="001B4E9C" w:rsidRPr="00B07FB9" w14:paraId="09972C52" w14:textId="77777777" w:rsidTr="00602632">
        <w:trPr>
          <w:cantSplit/>
        </w:trPr>
        <w:tc>
          <w:tcPr>
            <w:tcW w:w="442" w:type="pct"/>
            <w:vMerge/>
          </w:tcPr>
          <w:p w14:paraId="10C64DA7"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229DB59E" w14:textId="77777777" w:rsidR="001B4E9C" w:rsidRPr="00B07FB9" w:rsidRDefault="001B4E9C" w:rsidP="000C6F49">
            <w:pPr>
              <w:pStyle w:val="TableText0"/>
              <w:keepNext w:val="0"/>
              <w:widowControl w:val="0"/>
              <w:spacing w:after="40"/>
            </w:pPr>
            <w:proofErr w:type="spellStart"/>
            <w:r w:rsidRPr="00B07FB9">
              <w:t>O’Cearbhaill</w:t>
            </w:r>
            <w:proofErr w:type="spellEnd"/>
            <w:r w:rsidRPr="00B07FB9">
              <w:t xml:space="preserve"> R, Pérez-</w:t>
            </w:r>
            <w:proofErr w:type="spellStart"/>
            <w:r w:rsidRPr="00B07FB9">
              <w:t>Fidalgo</w:t>
            </w:r>
            <w:proofErr w:type="spellEnd"/>
            <w:r w:rsidRPr="00B07FB9">
              <w:t xml:space="preserve"> JA, Monk B, et al. Efficacy of niraparib by timing of surgery and residual disease: a post-hoc analysis of patients in the PRIMA/ENGOT-OV26/GOG-3012 study. (abstract)</w:t>
            </w:r>
          </w:p>
        </w:tc>
        <w:tc>
          <w:tcPr>
            <w:tcW w:w="1387" w:type="pct"/>
            <w:tcBorders>
              <w:top w:val="nil"/>
              <w:bottom w:val="nil"/>
            </w:tcBorders>
          </w:tcPr>
          <w:p w14:paraId="174D3FD9" w14:textId="77777777" w:rsidR="001B4E9C" w:rsidRPr="00B07FB9" w:rsidRDefault="001B4E9C" w:rsidP="000C6F49">
            <w:pPr>
              <w:pStyle w:val="TableText0"/>
              <w:keepNext w:val="0"/>
              <w:widowControl w:val="0"/>
              <w:spacing w:after="40"/>
            </w:pPr>
            <w:proofErr w:type="spellStart"/>
            <w:r w:rsidRPr="00B07FB9">
              <w:t>Gynecologic</w:t>
            </w:r>
            <w:proofErr w:type="spellEnd"/>
            <w:r w:rsidRPr="00B07FB9">
              <w:t xml:space="preserve"> Oncology 2021;162:S65</w:t>
            </w:r>
          </w:p>
        </w:tc>
      </w:tr>
      <w:tr w:rsidR="001B4E9C" w:rsidRPr="00B07FB9" w14:paraId="1AAD5BF5" w14:textId="77777777" w:rsidTr="00602632">
        <w:trPr>
          <w:cantSplit/>
        </w:trPr>
        <w:tc>
          <w:tcPr>
            <w:tcW w:w="442" w:type="pct"/>
            <w:vMerge/>
            <w:tcBorders>
              <w:bottom w:val="single" w:sz="4" w:space="0" w:color="auto"/>
            </w:tcBorders>
          </w:tcPr>
          <w:p w14:paraId="078BFA05" w14:textId="77777777" w:rsidR="001B4E9C" w:rsidRPr="00B07FB9" w:rsidRDefault="001B4E9C" w:rsidP="000C6F49">
            <w:pPr>
              <w:pStyle w:val="TableText0"/>
              <w:keepNext w:val="0"/>
              <w:widowControl w:val="0"/>
            </w:pPr>
          </w:p>
        </w:tc>
        <w:tc>
          <w:tcPr>
            <w:tcW w:w="3171" w:type="pct"/>
            <w:tcBorders>
              <w:top w:val="nil"/>
              <w:bottom w:val="single" w:sz="4" w:space="0" w:color="auto"/>
            </w:tcBorders>
            <w:vAlign w:val="center"/>
          </w:tcPr>
          <w:p w14:paraId="20033615" w14:textId="77777777" w:rsidR="001B4E9C" w:rsidRPr="00B07FB9" w:rsidRDefault="001B4E9C" w:rsidP="000C6F49">
            <w:pPr>
              <w:pStyle w:val="TableText0"/>
              <w:keepNext w:val="0"/>
              <w:widowControl w:val="0"/>
              <w:spacing w:after="40"/>
            </w:pPr>
            <w:r w:rsidRPr="00B07FB9">
              <w:t>Whitney G, Mansoor MR, Antonio GM, et al. Efficacy of individualized starting dose (ISD) and fixed starting dose (FSD) of niraparib per investigator assessment (IA) in newly diagnosed advanced ovarian cancer (OC) patients. (abstract)</w:t>
            </w:r>
          </w:p>
        </w:tc>
        <w:tc>
          <w:tcPr>
            <w:tcW w:w="1387" w:type="pct"/>
            <w:tcBorders>
              <w:top w:val="nil"/>
              <w:bottom w:val="single" w:sz="4" w:space="0" w:color="auto"/>
            </w:tcBorders>
          </w:tcPr>
          <w:p w14:paraId="363E9A2C" w14:textId="77777777" w:rsidR="001B4E9C" w:rsidRPr="00B07FB9" w:rsidRDefault="001B4E9C" w:rsidP="000C6F49">
            <w:pPr>
              <w:pStyle w:val="TableText0"/>
              <w:keepNext w:val="0"/>
              <w:widowControl w:val="0"/>
              <w:spacing w:after="40"/>
            </w:pPr>
            <w:r w:rsidRPr="00B07FB9">
              <w:t>Journal of Obstetrics and Gynaecology Research 2021;47(8):2803-2804</w:t>
            </w:r>
          </w:p>
        </w:tc>
      </w:tr>
      <w:tr w:rsidR="001B4E9C" w:rsidRPr="00B07FB9" w14:paraId="1EF45D38" w14:textId="77777777" w:rsidTr="00602632">
        <w:trPr>
          <w:cantSplit/>
        </w:trPr>
        <w:tc>
          <w:tcPr>
            <w:tcW w:w="442" w:type="pct"/>
            <w:vMerge w:val="restart"/>
            <w:tcBorders>
              <w:top w:val="single" w:sz="4" w:space="0" w:color="auto"/>
            </w:tcBorders>
          </w:tcPr>
          <w:p w14:paraId="07AD94E8" w14:textId="77777777" w:rsidR="001B4E9C" w:rsidRPr="00B07FB9" w:rsidRDefault="001B4E9C" w:rsidP="000C6F49">
            <w:pPr>
              <w:pStyle w:val="TableText0"/>
              <w:keepNext w:val="0"/>
              <w:widowControl w:val="0"/>
            </w:pPr>
            <w:r w:rsidRPr="00B07FB9">
              <w:t>SOLO-1</w:t>
            </w:r>
          </w:p>
        </w:tc>
        <w:tc>
          <w:tcPr>
            <w:tcW w:w="3171" w:type="pct"/>
            <w:tcBorders>
              <w:bottom w:val="nil"/>
            </w:tcBorders>
          </w:tcPr>
          <w:p w14:paraId="29364606" w14:textId="77777777" w:rsidR="001B4E9C" w:rsidRPr="00B07FB9" w:rsidRDefault="001B4E9C" w:rsidP="000C6F49">
            <w:pPr>
              <w:pStyle w:val="TableText0"/>
              <w:keepNext w:val="0"/>
              <w:widowControl w:val="0"/>
              <w:spacing w:after="40"/>
              <w:rPr>
                <w:szCs w:val="18"/>
              </w:rPr>
            </w:pPr>
            <w:r w:rsidRPr="00B07FB9">
              <w:t xml:space="preserve">Moore K, Colombo N, </w:t>
            </w:r>
            <w:proofErr w:type="spellStart"/>
            <w:r w:rsidRPr="00B07FB9">
              <w:t>Scambia</w:t>
            </w:r>
            <w:proofErr w:type="spellEnd"/>
            <w:r w:rsidRPr="00B07FB9">
              <w:t xml:space="preserve"> G, et al. Maintenance </w:t>
            </w:r>
            <w:proofErr w:type="spellStart"/>
            <w:r w:rsidRPr="00B07FB9">
              <w:t>olaparib</w:t>
            </w:r>
            <w:proofErr w:type="spellEnd"/>
            <w:r w:rsidRPr="00B07FB9">
              <w:t xml:space="preserve"> in patients with newly diagnosed advanced ovarian cancer. </w:t>
            </w:r>
          </w:p>
        </w:tc>
        <w:tc>
          <w:tcPr>
            <w:tcW w:w="1387" w:type="pct"/>
            <w:tcBorders>
              <w:top w:val="single" w:sz="4" w:space="0" w:color="auto"/>
              <w:bottom w:val="nil"/>
            </w:tcBorders>
          </w:tcPr>
          <w:p w14:paraId="2229216F" w14:textId="77777777" w:rsidR="001B4E9C" w:rsidRPr="00B07FB9" w:rsidRDefault="001B4E9C" w:rsidP="000C6F49">
            <w:pPr>
              <w:pStyle w:val="TableText0"/>
              <w:keepNext w:val="0"/>
              <w:widowControl w:val="0"/>
              <w:spacing w:after="40"/>
            </w:pPr>
            <w:r w:rsidRPr="00B07FB9">
              <w:t>New England Journal of Medicine 2018;379(26):2495-2505</w:t>
            </w:r>
          </w:p>
        </w:tc>
      </w:tr>
      <w:tr w:rsidR="001B4E9C" w:rsidRPr="00B07FB9" w14:paraId="4491535A" w14:textId="77777777" w:rsidTr="00602632">
        <w:trPr>
          <w:cantSplit/>
        </w:trPr>
        <w:tc>
          <w:tcPr>
            <w:tcW w:w="442" w:type="pct"/>
            <w:vMerge/>
            <w:tcBorders>
              <w:top w:val="single" w:sz="4" w:space="0" w:color="auto"/>
            </w:tcBorders>
          </w:tcPr>
          <w:p w14:paraId="1FA8E22C" w14:textId="77777777" w:rsidR="001B4E9C" w:rsidRPr="00B07FB9" w:rsidRDefault="001B4E9C" w:rsidP="000C6F49">
            <w:pPr>
              <w:pStyle w:val="TableText0"/>
              <w:keepNext w:val="0"/>
              <w:widowControl w:val="0"/>
            </w:pPr>
          </w:p>
        </w:tc>
        <w:tc>
          <w:tcPr>
            <w:tcW w:w="3171" w:type="pct"/>
            <w:tcBorders>
              <w:top w:val="nil"/>
              <w:bottom w:val="nil"/>
            </w:tcBorders>
          </w:tcPr>
          <w:p w14:paraId="2CF967A2" w14:textId="77777777" w:rsidR="001B4E9C" w:rsidRPr="00B07FB9" w:rsidRDefault="001B4E9C" w:rsidP="000C6F49">
            <w:pPr>
              <w:pStyle w:val="TableText0"/>
              <w:keepNext w:val="0"/>
              <w:widowControl w:val="0"/>
              <w:spacing w:after="40"/>
            </w:pPr>
            <w:proofErr w:type="spellStart"/>
            <w:r w:rsidRPr="00B07FB9">
              <w:t>DiSilvestro</w:t>
            </w:r>
            <w:proofErr w:type="spellEnd"/>
            <w:r w:rsidRPr="00B07FB9">
              <w:t xml:space="preserve"> P, Colombo N, </w:t>
            </w:r>
            <w:proofErr w:type="spellStart"/>
            <w:r w:rsidRPr="00B07FB9">
              <w:t>Scambia</w:t>
            </w:r>
            <w:proofErr w:type="spellEnd"/>
            <w:r w:rsidRPr="00B07FB9">
              <w:t xml:space="preserve"> G, et al. Efficacy of Maintenance Olaparib for Patients with Newly Diagnosed Advanced Ovarian Cancer with a BRCA Mutation: Subgroup Analysis Findings from the SOLO1 Trial. </w:t>
            </w:r>
          </w:p>
        </w:tc>
        <w:tc>
          <w:tcPr>
            <w:tcW w:w="1387" w:type="pct"/>
            <w:tcBorders>
              <w:top w:val="nil"/>
              <w:bottom w:val="nil"/>
            </w:tcBorders>
          </w:tcPr>
          <w:p w14:paraId="77098DC9" w14:textId="77777777" w:rsidR="001B4E9C" w:rsidRPr="00B07FB9" w:rsidRDefault="001B4E9C" w:rsidP="000C6F49">
            <w:pPr>
              <w:pStyle w:val="TableText0"/>
              <w:keepNext w:val="0"/>
              <w:widowControl w:val="0"/>
              <w:spacing w:after="40"/>
            </w:pPr>
            <w:r w:rsidRPr="00B07FB9">
              <w:t>Journal of Clinical Oncology 2020;38(30):3528-3537</w:t>
            </w:r>
          </w:p>
        </w:tc>
      </w:tr>
      <w:tr w:rsidR="001B4E9C" w:rsidRPr="00B07FB9" w14:paraId="68DE35A7" w14:textId="77777777" w:rsidTr="00602632">
        <w:trPr>
          <w:cantSplit/>
        </w:trPr>
        <w:tc>
          <w:tcPr>
            <w:tcW w:w="442" w:type="pct"/>
            <w:vMerge/>
            <w:tcBorders>
              <w:top w:val="single" w:sz="4" w:space="0" w:color="auto"/>
            </w:tcBorders>
          </w:tcPr>
          <w:p w14:paraId="16377CF0" w14:textId="77777777" w:rsidR="001B4E9C" w:rsidRPr="00B07FB9" w:rsidRDefault="001B4E9C" w:rsidP="000C6F49">
            <w:pPr>
              <w:pStyle w:val="TableText0"/>
              <w:keepNext w:val="0"/>
              <w:widowControl w:val="0"/>
            </w:pPr>
          </w:p>
        </w:tc>
        <w:tc>
          <w:tcPr>
            <w:tcW w:w="3171" w:type="pct"/>
            <w:tcBorders>
              <w:top w:val="nil"/>
              <w:bottom w:val="nil"/>
            </w:tcBorders>
          </w:tcPr>
          <w:p w14:paraId="69C0C379" w14:textId="77777777" w:rsidR="001B4E9C" w:rsidRPr="00B07FB9" w:rsidRDefault="001B4E9C" w:rsidP="000C6F49">
            <w:pPr>
              <w:pStyle w:val="TableText0"/>
              <w:keepNext w:val="0"/>
              <w:widowControl w:val="0"/>
              <w:spacing w:after="40"/>
            </w:pPr>
            <w:r w:rsidRPr="00B07FB9">
              <w:t xml:space="preserve">Wu L, Zhu J, Yin R, Wu X, et al. Olaparib maintenance therapy in patients with newly diagnosed advanced ovarian cancer and a BRCA1 and/or BRCA2 mutation: SOLO1 China cohort. </w:t>
            </w:r>
          </w:p>
        </w:tc>
        <w:tc>
          <w:tcPr>
            <w:tcW w:w="1387" w:type="pct"/>
            <w:tcBorders>
              <w:top w:val="nil"/>
              <w:bottom w:val="nil"/>
            </w:tcBorders>
          </w:tcPr>
          <w:p w14:paraId="2317F351" w14:textId="77777777" w:rsidR="001B4E9C" w:rsidRPr="00B07FB9" w:rsidRDefault="001B4E9C" w:rsidP="000C6F49">
            <w:pPr>
              <w:pStyle w:val="TableText0"/>
              <w:keepNext w:val="0"/>
              <w:widowControl w:val="0"/>
              <w:spacing w:after="40"/>
            </w:pPr>
            <w:proofErr w:type="spellStart"/>
            <w:r w:rsidRPr="00B07FB9">
              <w:t>Gynecologic</w:t>
            </w:r>
            <w:proofErr w:type="spellEnd"/>
            <w:r w:rsidRPr="00B07FB9">
              <w:t xml:space="preserve"> Oncology 2021;160(1):175-181</w:t>
            </w:r>
          </w:p>
        </w:tc>
      </w:tr>
      <w:tr w:rsidR="001B4E9C" w:rsidRPr="00B07FB9" w14:paraId="293D5943" w14:textId="77777777" w:rsidTr="00602632">
        <w:trPr>
          <w:cantSplit/>
        </w:trPr>
        <w:tc>
          <w:tcPr>
            <w:tcW w:w="442" w:type="pct"/>
            <w:vMerge/>
            <w:tcBorders>
              <w:top w:val="single" w:sz="4" w:space="0" w:color="auto"/>
            </w:tcBorders>
          </w:tcPr>
          <w:p w14:paraId="2FBD2F98"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07D7B197" w14:textId="77777777" w:rsidR="001B4E9C" w:rsidRPr="00B07FB9" w:rsidRDefault="001B4E9C" w:rsidP="000C6F49">
            <w:pPr>
              <w:pStyle w:val="TableText0"/>
              <w:keepNext w:val="0"/>
              <w:widowControl w:val="0"/>
              <w:spacing w:after="40"/>
            </w:pPr>
            <w:r w:rsidRPr="00B07FB9">
              <w:t xml:space="preserve">Colombo N, Moore K, </w:t>
            </w:r>
            <w:proofErr w:type="spellStart"/>
            <w:r w:rsidRPr="00B07FB9">
              <w:t>Scambia</w:t>
            </w:r>
            <w:proofErr w:type="spellEnd"/>
            <w:r w:rsidRPr="00B07FB9">
              <w:t xml:space="preserve"> G, et al. Tolerability of maintenance </w:t>
            </w:r>
            <w:proofErr w:type="spellStart"/>
            <w:r w:rsidRPr="00B07FB9">
              <w:t>olaparib</w:t>
            </w:r>
            <w:proofErr w:type="spellEnd"/>
            <w:r w:rsidRPr="00B07FB9">
              <w:t xml:space="preserve"> in newly diagnosed patients with advanced ovarian cancer and a BRCA mutation in the randomized phase III SOLO1 trial. </w:t>
            </w:r>
          </w:p>
        </w:tc>
        <w:tc>
          <w:tcPr>
            <w:tcW w:w="1387" w:type="pct"/>
            <w:tcBorders>
              <w:top w:val="nil"/>
              <w:bottom w:val="nil"/>
            </w:tcBorders>
          </w:tcPr>
          <w:p w14:paraId="78C49963" w14:textId="77777777" w:rsidR="001B4E9C" w:rsidRPr="00B07FB9" w:rsidRDefault="001B4E9C" w:rsidP="000C6F49">
            <w:pPr>
              <w:pStyle w:val="TableText0"/>
              <w:keepNext w:val="0"/>
              <w:widowControl w:val="0"/>
              <w:spacing w:after="40"/>
            </w:pPr>
            <w:proofErr w:type="spellStart"/>
            <w:r w:rsidRPr="00B07FB9">
              <w:t>Gynecologic</w:t>
            </w:r>
            <w:proofErr w:type="spellEnd"/>
            <w:r w:rsidRPr="00B07FB9">
              <w:t xml:space="preserve"> Oncology 2021;163(1):41-49</w:t>
            </w:r>
          </w:p>
        </w:tc>
      </w:tr>
      <w:tr w:rsidR="001B4E9C" w:rsidRPr="00B07FB9" w14:paraId="544E089D" w14:textId="77777777" w:rsidTr="00602632">
        <w:trPr>
          <w:cantSplit/>
        </w:trPr>
        <w:tc>
          <w:tcPr>
            <w:tcW w:w="442" w:type="pct"/>
            <w:vMerge/>
            <w:tcBorders>
              <w:top w:val="single" w:sz="4" w:space="0" w:color="auto"/>
            </w:tcBorders>
          </w:tcPr>
          <w:p w14:paraId="31962134"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678494C4" w14:textId="77777777" w:rsidR="001B4E9C" w:rsidRPr="00B07FB9" w:rsidRDefault="001B4E9C" w:rsidP="000C6F49">
            <w:pPr>
              <w:pStyle w:val="TableText0"/>
              <w:keepNext w:val="0"/>
              <w:widowControl w:val="0"/>
              <w:spacing w:after="40"/>
            </w:pPr>
            <w:r w:rsidRPr="00B07FB9">
              <w:t xml:space="preserve">Friedlander M, Moore KN, Colombo N, et al. Patient-centred outcomes and effect of disease progression on health status in patients with newly diagnosed advanced ovarian cancer and a BRCA mutation receiving maintenance </w:t>
            </w:r>
            <w:proofErr w:type="spellStart"/>
            <w:r w:rsidRPr="00B07FB9">
              <w:t>olaparib</w:t>
            </w:r>
            <w:proofErr w:type="spellEnd"/>
            <w:r w:rsidRPr="00B07FB9">
              <w:t xml:space="preserve"> or placebo (SOLO1): a randomised, phase 3 trial. </w:t>
            </w:r>
          </w:p>
        </w:tc>
        <w:tc>
          <w:tcPr>
            <w:tcW w:w="1387" w:type="pct"/>
            <w:tcBorders>
              <w:top w:val="nil"/>
              <w:bottom w:val="nil"/>
            </w:tcBorders>
          </w:tcPr>
          <w:p w14:paraId="644C0AFA" w14:textId="77777777" w:rsidR="001B4E9C" w:rsidRPr="00B07FB9" w:rsidRDefault="001B4E9C" w:rsidP="000C6F49">
            <w:pPr>
              <w:pStyle w:val="TableText0"/>
              <w:keepNext w:val="0"/>
              <w:widowControl w:val="0"/>
              <w:spacing w:after="40"/>
            </w:pPr>
            <w:r w:rsidRPr="00B07FB9">
              <w:t>The Lancet Oncology 2021;22:632-642</w:t>
            </w:r>
          </w:p>
        </w:tc>
      </w:tr>
      <w:tr w:rsidR="001B4E9C" w:rsidRPr="00B07FB9" w14:paraId="684FE8C9" w14:textId="77777777" w:rsidTr="00602632">
        <w:trPr>
          <w:cantSplit/>
        </w:trPr>
        <w:tc>
          <w:tcPr>
            <w:tcW w:w="442" w:type="pct"/>
            <w:vMerge/>
            <w:tcBorders>
              <w:top w:val="single" w:sz="4" w:space="0" w:color="auto"/>
            </w:tcBorders>
          </w:tcPr>
          <w:p w14:paraId="50AD492C"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22DD0A88" w14:textId="77777777" w:rsidR="001B4E9C" w:rsidRPr="00B07FB9" w:rsidRDefault="001B4E9C" w:rsidP="000C6F49">
            <w:pPr>
              <w:pStyle w:val="TableText0"/>
              <w:keepNext w:val="0"/>
              <w:widowControl w:val="0"/>
              <w:spacing w:after="40"/>
            </w:pPr>
            <w:r w:rsidRPr="00B07FB9">
              <w:rPr>
                <w:szCs w:val="20"/>
              </w:rPr>
              <w:t>European Medicines Agency (EMA) Committee for Medicinal Products for Human Use (CHMP) assessment report on extension of marketing authorisation grouped with a variation: Lynparza (</w:t>
            </w:r>
            <w:proofErr w:type="spellStart"/>
            <w:r w:rsidRPr="00B07FB9">
              <w:rPr>
                <w:szCs w:val="20"/>
              </w:rPr>
              <w:t>olaparib</w:t>
            </w:r>
            <w:proofErr w:type="spellEnd"/>
            <w:r w:rsidRPr="00B07FB9">
              <w:rPr>
                <w:szCs w:val="20"/>
              </w:rPr>
              <w:t xml:space="preserve">). </w:t>
            </w:r>
          </w:p>
        </w:tc>
        <w:tc>
          <w:tcPr>
            <w:tcW w:w="1387" w:type="pct"/>
            <w:tcBorders>
              <w:top w:val="nil"/>
              <w:bottom w:val="nil"/>
            </w:tcBorders>
          </w:tcPr>
          <w:p w14:paraId="14E9CC50" w14:textId="77777777" w:rsidR="001B4E9C" w:rsidRPr="00B07FB9" w:rsidRDefault="001B4E9C" w:rsidP="000C6F49">
            <w:pPr>
              <w:pStyle w:val="TableText0"/>
              <w:keepNext w:val="0"/>
              <w:widowControl w:val="0"/>
              <w:spacing w:after="40"/>
            </w:pPr>
            <w:r w:rsidRPr="00B07FB9">
              <w:rPr>
                <w:szCs w:val="20"/>
              </w:rPr>
              <w:t>April 2019</w:t>
            </w:r>
          </w:p>
        </w:tc>
      </w:tr>
      <w:tr w:rsidR="001B4E9C" w:rsidRPr="00B07FB9" w14:paraId="6DE2FB79" w14:textId="77777777" w:rsidTr="00602632">
        <w:trPr>
          <w:cantSplit/>
        </w:trPr>
        <w:tc>
          <w:tcPr>
            <w:tcW w:w="442" w:type="pct"/>
            <w:vMerge/>
          </w:tcPr>
          <w:p w14:paraId="5CA24B0C" w14:textId="77777777" w:rsidR="001B4E9C" w:rsidRPr="00B07FB9" w:rsidRDefault="001B4E9C" w:rsidP="000C6F49">
            <w:pPr>
              <w:pStyle w:val="TableText0"/>
              <w:keepNext w:val="0"/>
              <w:widowControl w:val="0"/>
            </w:pPr>
          </w:p>
        </w:tc>
        <w:tc>
          <w:tcPr>
            <w:tcW w:w="3171" w:type="pct"/>
            <w:tcBorders>
              <w:top w:val="nil"/>
              <w:bottom w:val="nil"/>
            </w:tcBorders>
          </w:tcPr>
          <w:p w14:paraId="5925F801" w14:textId="77777777" w:rsidR="001B4E9C" w:rsidRPr="00B07FB9" w:rsidRDefault="001B4E9C" w:rsidP="000C6F49">
            <w:pPr>
              <w:pStyle w:val="TableText0"/>
              <w:keepNext w:val="0"/>
              <w:widowControl w:val="0"/>
              <w:spacing w:after="40"/>
              <w:rPr>
                <w:szCs w:val="18"/>
              </w:rPr>
            </w:pPr>
            <w:r w:rsidRPr="00B07FB9">
              <w:t xml:space="preserve">Colombo N, Moore KN, </w:t>
            </w:r>
            <w:proofErr w:type="spellStart"/>
            <w:r w:rsidRPr="00B07FB9">
              <w:t>Scambia</w:t>
            </w:r>
            <w:proofErr w:type="spellEnd"/>
            <w:r w:rsidRPr="00B07FB9">
              <w:t xml:space="preserve"> G, et al. Adverse events (AEs) with maintenance </w:t>
            </w:r>
            <w:proofErr w:type="spellStart"/>
            <w:r w:rsidRPr="00B07FB9">
              <w:t>olaparib</w:t>
            </w:r>
            <w:proofErr w:type="spellEnd"/>
            <w:r w:rsidRPr="00B07FB9">
              <w:t xml:space="preserve"> in newly diagnosed patients (pts) with advanced ovarian cancer (OC) and a BRCA mutation (</w:t>
            </w:r>
            <w:proofErr w:type="spellStart"/>
            <w:r w:rsidRPr="00B07FB9">
              <w:t>BRCAm</w:t>
            </w:r>
            <w:proofErr w:type="spellEnd"/>
            <w:r w:rsidRPr="00B07FB9">
              <w:t>): Phase III SOLO1 trial. (abstract)</w:t>
            </w:r>
          </w:p>
        </w:tc>
        <w:tc>
          <w:tcPr>
            <w:tcW w:w="1387" w:type="pct"/>
            <w:tcBorders>
              <w:top w:val="nil"/>
              <w:bottom w:val="nil"/>
            </w:tcBorders>
          </w:tcPr>
          <w:p w14:paraId="20A826BE" w14:textId="77777777" w:rsidR="001B4E9C" w:rsidRPr="00B07FB9" w:rsidRDefault="001B4E9C" w:rsidP="000C6F49">
            <w:pPr>
              <w:pStyle w:val="TableText0"/>
              <w:keepNext w:val="0"/>
              <w:widowControl w:val="0"/>
              <w:spacing w:after="40"/>
            </w:pPr>
            <w:r w:rsidRPr="00B07FB9">
              <w:rPr>
                <w:iCs/>
              </w:rPr>
              <w:t>Journal of Clinical Oncology</w:t>
            </w:r>
            <w:r w:rsidRPr="00B07FB9">
              <w:t xml:space="preserve"> 2019;37:S15</w:t>
            </w:r>
          </w:p>
        </w:tc>
      </w:tr>
      <w:tr w:rsidR="001B4E9C" w:rsidRPr="00B07FB9" w14:paraId="7DDDAAE2" w14:textId="77777777" w:rsidTr="00602632">
        <w:trPr>
          <w:cantSplit/>
        </w:trPr>
        <w:tc>
          <w:tcPr>
            <w:tcW w:w="442" w:type="pct"/>
            <w:vMerge/>
          </w:tcPr>
          <w:p w14:paraId="37D6307E" w14:textId="77777777" w:rsidR="001B4E9C" w:rsidRPr="00B07FB9" w:rsidRDefault="001B4E9C" w:rsidP="000C6F49">
            <w:pPr>
              <w:pStyle w:val="TableText0"/>
              <w:keepNext w:val="0"/>
              <w:widowControl w:val="0"/>
            </w:pPr>
          </w:p>
        </w:tc>
        <w:tc>
          <w:tcPr>
            <w:tcW w:w="3171" w:type="pct"/>
            <w:tcBorders>
              <w:top w:val="nil"/>
              <w:bottom w:val="nil"/>
            </w:tcBorders>
          </w:tcPr>
          <w:p w14:paraId="2F0F1C07" w14:textId="77777777" w:rsidR="001B4E9C" w:rsidRPr="00B07FB9" w:rsidRDefault="001B4E9C" w:rsidP="000C6F49">
            <w:pPr>
              <w:pStyle w:val="TableText0"/>
              <w:keepNext w:val="0"/>
              <w:widowControl w:val="0"/>
              <w:spacing w:after="40"/>
              <w:rPr>
                <w:szCs w:val="18"/>
              </w:rPr>
            </w:pPr>
            <w:proofErr w:type="spellStart"/>
            <w:r w:rsidRPr="00B07FB9">
              <w:t>Oaknin</w:t>
            </w:r>
            <w:proofErr w:type="spellEnd"/>
            <w:r w:rsidRPr="00B07FB9">
              <w:t xml:space="preserve"> A, Moore K, Colombo N, et al. Time to second progression (PFS2) and second subsequent therapy (TSST) for patients (pts) with newly diagnosed, advanced ovarian cancer (OC) and a BRCA mutation (</w:t>
            </w:r>
            <w:proofErr w:type="spellStart"/>
            <w:r w:rsidRPr="00B07FB9">
              <w:t>BRCAm</w:t>
            </w:r>
            <w:proofErr w:type="spellEnd"/>
            <w:r w:rsidRPr="00B07FB9">
              <w:t xml:space="preserve">) treated with maintenance (mt) </w:t>
            </w:r>
            <w:proofErr w:type="spellStart"/>
            <w:r w:rsidRPr="00B07FB9">
              <w:t>olaparib</w:t>
            </w:r>
            <w:proofErr w:type="spellEnd"/>
            <w:r w:rsidRPr="00B07FB9">
              <w:t xml:space="preserve"> (ola): Phase III SOLO1 trial. (abstract)</w:t>
            </w:r>
          </w:p>
        </w:tc>
        <w:tc>
          <w:tcPr>
            <w:tcW w:w="1387" w:type="pct"/>
            <w:tcBorders>
              <w:top w:val="nil"/>
              <w:bottom w:val="nil"/>
            </w:tcBorders>
          </w:tcPr>
          <w:p w14:paraId="71B3129B" w14:textId="77777777" w:rsidR="001B4E9C" w:rsidRPr="00B07FB9" w:rsidRDefault="001B4E9C" w:rsidP="000C6F49">
            <w:pPr>
              <w:pStyle w:val="TableText0"/>
              <w:keepNext w:val="0"/>
              <w:widowControl w:val="0"/>
              <w:spacing w:after="40"/>
            </w:pPr>
            <w:r w:rsidRPr="00B07FB9">
              <w:t>Annals of Oncology 2019;30:v405</w:t>
            </w:r>
          </w:p>
        </w:tc>
      </w:tr>
      <w:tr w:rsidR="001B4E9C" w:rsidRPr="00B07FB9" w14:paraId="4D05748B" w14:textId="77777777" w:rsidTr="00602632">
        <w:trPr>
          <w:cantSplit/>
        </w:trPr>
        <w:tc>
          <w:tcPr>
            <w:tcW w:w="442" w:type="pct"/>
            <w:vMerge/>
          </w:tcPr>
          <w:p w14:paraId="3BF19391"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3DB6F812" w14:textId="77777777" w:rsidR="001B4E9C" w:rsidRPr="00B07FB9" w:rsidRDefault="001B4E9C" w:rsidP="000C6F49">
            <w:pPr>
              <w:pStyle w:val="TableText0"/>
              <w:keepNext w:val="0"/>
              <w:widowControl w:val="0"/>
              <w:spacing w:after="40"/>
            </w:pPr>
            <w:r w:rsidRPr="00B07FB9">
              <w:rPr>
                <w:szCs w:val="20"/>
              </w:rPr>
              <w:t xml:space="preserve">Mathews CA, Moore KN, Colombo N, et al. Maintenance </w:t>
            </w:r>
            <w:proofErr w:type="spellStart"/>
            <w:r w:rsidRPr="00B07FB9">
              <w:rPr>
                <w:szCs w:val="20"/>
              </w:rPr>
              <w:t>olaparib</w:t>
            </w:r>
            <w:proofErr w:type="spellEnd"/>
            <w:r w:rsidRPr="00B07FB9">
              <w:rPr>
                <w:szCs w:val="20"/>
              </w:rPr>
              <w:t xml:space="preserve"> after platinum-based chemotherapy in patients (pts) with newly diagnosed advanced ovarian cancer (OC) and a BRCA mutation (</w:t>
            </w:r>
            <w:proofErr w:type="spellStart"/>
            <w:r w:rsidRPr="00B07FB9">
              <w:rPr>
                <w:szCs w:val="20"/>
              </w:rPr>
              <w:t>BRCAm</w:t>
            </w:r>
            <w:proofErr w:type="spellEnd"/>
            <w:r w:rsidRPr="00B07FB9">
              <w:rPr>
                <w:szCs w:val="20"/>
              </w:rPr>
              <w:t xml:space="preserve">): Efficacy by surgical and </w:t>
            </w:r>
            <w:proofErr w:type="spellStart"/>
            <w:r w:rsidRPr="00B07FB9">
              <w:rPr>
                <w:szCs w:val="20"/>
              </w:rPr>
              <w:t>tumor</w:t>
            </w:r>
            <w:proofErr w:type="spellEnd"/>
            <w:r w:rsidRPr="00B07FB9">
              <w:rPr>
                <w:szCs w:val="20"/>
              </w:rPr>
              <w:t xml:space="preserve"> status in the Phase III SOLO1 trial. (</w:t>
            </w:r>
            <w:r w:rsidRPr="00B07FB9">
              <w:t>abstract)</w:t>
            </w:r>
          </w:p>
        </w:tc>
        <w:tc>
          <w:tcPr>
            <w:tcW w:w="1387" w:type="pct"/>
            <w:tcBorders>
              <w:top w:val="nil"/>
              <w:bottom w:val="nil"/>
            </w:tcBorders>
          </w:tcPr>
          <w:p w14:paraId="2F578E93" w14:textId="77777777" w:rsidR="001B4E9C" w:rsidRPr="00B07FB9" w:rsidRDefault="001B4E9C" w:rsidP="000C6F49">
            <w:pPr>
              <w:pStyle w:val="TableText0"/>
              <w:keepNext w:val="0"/>
              <w:widowControl w:val="0"/>
              <w:spacing w:after="40"/>
            </w:pPr>
            <w:r w:rsidRPr="00B07FB9">
              <w:rPr>
                <w:szCs w:val="20"/>
              </w:rPr>
              <w:t>Journal of Clinical Oncology 2019;37:Suppl 15</w:t>
            </w:r>
          </w:p>
        </w:tc>
      </w:tr>
      <w:tr w:rsidR="001B4E9C" w:rsidRPr="00B07FB9" w14:paraId="1CE65109" w14:textId="77777777" w:rsidTr="00602632">
        <w:trPr>
          <w:cantSplit/>
        </w:trPr>
        <w:tc>
          <w:tcPr>
            <w:tcW w:w="442" w:type="pct"/>
            <w:vMerge/>
          </w:tcPr>
          <w:p w14:paraId="6554DBD9"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03830E7E" w14:textId="77777777" w:rsidR="001B4E9C" w:rsidRPr="00B07FB9" w:rsidRDefault="001B4E9C" w:rsidP="000C6F49">
            <w:pPr>
              <w:pStyle w:val="TableText0"/>
              <w:keepNext w:val="0"/>
              <w:widowControl w:val="0"/>
              <w:spacing w:after="40"/>
            </w:pPr>
            <w:r w:rsidRPr="00B07FB9">
              <w:rPr>
                <w:szCs w:val="20"/>
              </w:rPr>
              <w:t xml:space="preserve">Moore K, Colombo N, </w:t>
            </w:r>
            <w:proofErr w:type="spellStart"/>
            <w:r w:rsidRPr="00B07FB9">
              <w:rPr>
                <w:szCs w:val="20"/>
              </w:rPr>
              <w:t>Scambia</w:t>
            </w:r>
            <w:proofErr w:type="spellEnd"/>
            <w:r w:rsidRPr="00B07FB9">
              <w:rPr>
                <w:szCs w:val="20"/>
              </w:rPr>
              <w:t xml:space="preserve"> G, et al. Maintenance </w:t>
            </w:r>
            <w:proofErr w:type="spellStart"/>
            <w:r w:rsidRPr="00B07FB9">
              <w:rPr>
                <w:szCs w:val="20"/>
              </w:rPr>
              <w:t>olaparib</w:t>
            </w:r>
            <w:proofErr w:type="spellEnd"/>
            <w:r w:rsidRPr="00B07FB9">
              <w:rPr>
                <w:szCs w:val="20"/>
              </w:rPr>
              <w:t xml:space="preserve"> after platinum-based chemotherapy in patients with newly diagnosed advanced ovarian cancer and a BRCA mutation: Efficacy by the timing of surgery and residual tumour status following upfront or interval cytoreductive surgery in the phase III SOLO1 trial. (abstract)</w:t>
            </w:r>
          </w:p>
        </w:tc>
        <w:tc>
          <w:tcPr>
            <w:tcW w:w="1387" w:type="pct"/>
            <w:tcBorders>
              <w:top w:val="nil"/>
              <w:bottom w:val="nil"/>
            </w:tcBorders>
          </w:tcPr>
          <w:p w14:paraId="55CFB883" w14:textId="77777777" w:rsidR="001B4E9C" w:rsidRPr="00B07FB9" w:rsidRDefault="001B4E9C" w:rsidP="000C6F49">
            <w:pPr>
              <w:pStyle w:val="TableText0"/>
              <w:keepNext w:val="0"/>
              <w:widowControl w:val="0"/>
              <w:spacing w:after="40"/>
            </w:pPr>
            <w:r w:rsidRPr="00B07FB9">
              <w:rPr>
                <w:szCs w:val="20"/>
              </w:rPr>
              <w:t xml:space="preserve">International Journal of </w:t>
            </w:r>
            <w:proofErr w:type="spellStart"/>
            <w:r w:rsidRPr="00B07FB9">
              <w:rPr>
                <w:szCs w:val="20"/>
              </w:rPr>
              <w:t>Gynecological</w:t>
            </w:r>
            <w:proofErr w:type="spellEnd"/>
            <w:r w:rsidRPr="00B07FB9">
              <w:rPr>
                <w:szCs w:val="20"/>
              </w:rPr>
              <w:t xml:space="preserve"> Cancer 2019;39:A14-A15</w:t>
            </w:r>
          </w:p>
        </w:tc>
      </w:tr>
      <w:tr w:rsidR="001B4E9C" w:rsidRPr="00B07FB9" w14:paraId="0494C1B3" w14:textId="77777777" w:rsidTr="00602632">
        <w:trPr>
          <w:cantSplit/>
        </w:trPr>
        <w:tc>
          <w:tcPr>
            <w:tcW w:w="442" w:type="pct"/>
            <w:vMerge/>
          </w:tcPr>
          <w:p w14:paraId="4ABF78C5"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2E8907BE" w14:textId="77777777" w:rsidR="001B4E9C" w:rsidRPr="00B07FB9" w:rsidRDefault="001B4E9C" w:rsidP="000C6F49">
            <w:pPr>
              <w:pStyle w:val="TableText0"/>
              <w:keepNext w:val="0"/>
              <w:widowControl w:val="0"/>
              <w:spacing w:after="40"/>
            </w:pPr>
            <w:r w:rsidRPr="00B07FB9">
              <w:rPr>
                <w:szCs w:val="20"/>
              </w:rPr>
              <w:t>Gourley C, Brown JS, Lai Z, et al. Analysis of tumour samples from SOLO1: Frequency of BRCA specific loss of heterozygosity (LOH) and progression-free survival (PFS) according to homologous recombination repair deficiency (HRD)-LOH score. (abstract)</w:t>
            </w:r>
          </w:p>
        </w:tc>
        <w:tc>
          <w:tcPr>
            <w:tcW w:w="1387" w:type="pct"/>
            <w:tcBorders>
              <w:top w:val="nil"/>
              <w:bottom w:val="nil"/>
            </w:tcBorders>
          </w:tcPr>
          <w:p w14:paraId="59FAC642" w14:textId="77777777" w:rsidR="001B4E9C" w:rsidRPr="00B07FB9" w:rsidRDefault="001B4E9C" w:rsidP="000C6F49">
            <w:pPr>
              <w:pStyle w:val="TableText0"/>
              <w:keepNext w:val="0"/>
              <w:widowControl w:val="0"/>
              <w:spacing w:after="40"/>
            </w:pPr>
            <w:r w:rsidRPr="00B07FB9">
              <w:rPr>
                <w:szCs w:val="20"/>
              </w:rPr>
              <w:t>Annals of Oncology 2019;30:v407</w:t>
            </w:r>
          </w:p>
        </w:tc>
      </w:tr>
      <w:tr w:rsidR="001B4E9C" w:rsidRPr="00B07FB9" w14:paraId="38EB5313" w14:textId="77777777" w:rsidTr="00602632">
        <w:trPr>
          <w:cantSplit/>
        </w:trPr>
        <w:tc>
          <w:tcPr>
            <w:tcW w:w="442" w:type="pct"/>
            <w:vMerge/>
          </w:tcPr>
          <w:p w14:paraId="59D79CD5"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3FA8890C" w14:textId="77777777" w:rsidR="001B4E9C" w:rsidRPr="00B07FB9" w:rsidRDefault="001B4E9C" w:rsidP="000C6F49">
            <w:pPr>
              <w:pStyle w:val="TableText0"/>
              <w:keepNext w:val="0"/>
              <w:widowControl w:val="0"/>
              <w:spacing w:after="40"/>
            </w:pPr>
            <w:r w:rsidRPr="00B07FB9">
              <w:rPr>
                <w:szCs w:val="20"/>
              </w:rPr>
              <w:t xml:space="preserve">Friedlander ML, </w:t>
            </w:r>
            <w:proofErr w:type="spellStart"/>
            <w:r w:rsidRPr="00B07FB9">
              <w:rPr>
                <w:szCs w:val="20"/>
              </w:rPr>
              <w:t>Hettle</w:t>
            </w:r>
            <w:proofErr w:type="spellEnd"/>
            <w:r w:rsidRPr="00B07FB9">
              <w:rPr>
                <w:szCs w:val="20"/>
              </w:rPr>
              <w:t xml:space="preserve"> R, </w:t>
            </w:r>
            <w:proofErr w:type="spellStart"/>
            <w:r w:rsidRPr="00B07FB9">
              <w:rPr>
                <w:szCs w:val="20"/>
              </w:rPr>
              <w:t>Parkhomenko</w:t>
            </w:r>
            <w:proofErr w:type="spellEnd"/>
            <w:r w:rsidRPr="00B07FB9">
              <w:rPr>
                <w:szCs w:val="20"/>
              </w:rPr>
              <w:t xml:space="preserve"> E. Impact of radiological disease progression on the health status of patients (pts) with BRCA-mutated advanced ovarian cancer (OC) treated with maintenance </w:t>
            </w:r>
            <w:proofErr w:type="spellStart"/>
            <w:r w:rsidRPr="00B07FB9">
              <w:rPr>
                <w:szCs w:val="20"/>
              </w:rPr>
              <w:t>olaparib</w:t>
            </w:r>
            <w:proofErr w:type="spellEnd"/>
            <w:r w:rsidRPr="00B07FB9">
              <w:rPr>
                <w:szCs w:val="20"/>
              </w:rPr>
              <w:t xml:space="preserve"> (OL) or placebo (PL) after first-line platinum chemotherapy. (abstract)</w:t>
            </w:r>
          </w:p>
        </w:tc>
        <w:tc>
          <w:tcPr>
            <w:tcW w:w="1387" w:type="pct"/>
            <w:tcBorders>
              <w:top w:val="nil"/>
              <w:bottom w:val="nil"/>
            </w:tcBorders>
          </w:tcPr>
          <w:p w14:paraId="3F9E59E4" w14:textId="77777777" w:rsidR="001B4E9C" w:rsidRPr="00B07FB9" w:rsidRDefault="001B4E9C" w:rsidP="000C6F49">
            <w:pPr>
              <w:pStyle w:val="TableText0"/>
              <w:keepNext w:val="0"/>
              <w:widowControl w:val="0"/>
              <w:spacing w:after="40"/>
            </w:pPr>
            <w:r w:rsidRPr="00B07FB9">
              <w:rPr>
                <w:szCs w:val="20"/>
              </w:rPr>
              <w:t>Annals of Oncology 2019;30:ix77-ix78</w:t>
            </w:r>
          </w:p>
        </w:tc>
      </w:tr>
      <w:tr w:rsidR="001B4E9C" w:rsidRPr="00B07FB9" w14:paraId="152247D6" w14:textId="77777777" w:rsidTr="00602632">
        <w:trPr>
          <w:cantSplit/>
        </w:trPr>
        <w:tc>
          <w:tcPr>
            <w:tcW w:w="442" w:type="pct"/>
            <w:vMerge/>
          </w:tcPr>
          <w:p w14:paraId="36DED22D" w14:textId="77777777" w:rsidR="001B4E9C" w:rsidRPr="00B07FB9" w:rsidRDefault="001B4E9C" w:rsidP="000C6F49">
            <w:pPr>
              <w:pStyle w:val="TableText0"/>
              <w:keepNext w:val="0"/>
              <w:widowControl w:val="0"/>
            </w:pPr>
          </w:p>
        </w:tc>
        <w:tc>
          <w:tcPr>
            <w:tcW w:w="3171" w:type="pct"/>
            <w:tcBorders>
              <w:top w:val="nil"/>
              <w:bottom w:val="nil"/>
            </w:tcBorders>
          </w:tcPr>
          <w:p w14:paraId="1D31CCC2" w14:textId="77777777" w:rsidR="001B4E9C" w:rsidRPr="00B07FB9" w:rsidRDefault="001B4E9C" w:rsidP="000C6F49">
            <w:pPr>
              <w:pStyle w:val="TableText0"/>
              <w:keepNext w:val="0"/>
              <w:widowControl w:val="0"/>
              <w:spacing w:after="40"/>
              <w:rPr>
                <w:szCs w:val="18"/>
              </w:rPr>
            </w:pPr>
            <w:r w:rsidRPr="00B07FB9">
              <w:t xml:space="preserve">Friedlander ML, Moore K, Colombo N, et al. Patient-centred outcomes with maintenance </w:t>
            </w:r>
            <w:proofErr w:type="spellStart"/>
            <w:r w:rsidRPr="00B07FB9">
              <w:t>olaparib</w:t>
            </w:r>
            <w:proofErr w:type="spellEnd"/>
            <w:r w:rsidRPr="00B07FB9">
              <w:t xml:space="preserve"> in newly diagnosed patients with advanced ovarian cancer (OC) and a BRCA mutation (</w:t>
            </w:r>
            <w:proofErr w:type="spellStart"/>
            <w:r w:rsidRPr="00B07FB9">
              <w:t>BRCAm</w:t>
            </w:r>
            <w:proofErr w:type="spellEnd"/>
            <w:r w:rsidRPr="00B07FB9">
              <w:t xml:space="preserve">) in the phase III SOLO1 trial to support the clinical benefit of prolongation of progression-free survival (PFS). </w:t>
            </w:r>
            <w:r w:rsidRPr="00B07FB9">
              <w:rPr>
                <w:szCs w:val="20"/>
              </w:rPr>
              <w:t>(abstract)</w:t>
            </w:r>
          </w:p>
        </w:tc>
        <w:tc>
          <w:tcPr>
            <w:tcW w:w="1387" w:type="pct"/>
            <w:tcBorders>
              <w:top w:val="nil"/>
              <w:bottom w:val="nil"/>
            </w:tcBorders>
          </w:tcPr>
          <w:p w14:paraId="1A890219" w14:textId="77777777" w:rsidR="001B4E9C" w:rsidRPr="00B07FB9" w:rsidRDefault="001B4E9C" w:rsidP="000C6F49">
            <w:pPr>
              <w:pStyle w:val="TableText0"/>
              <w:keepNext w:val="0"/>
              <w:widowControl w:val="0"/>
              <w:spacing w:after="40"/>
            </w:pPr>
            <w:r w:rsidRPr="00B07FB9">
              <w:t>Annals of Oncology 2019;30:v405-v406</w:t>
            </w:r>
          </w:p>
        </w:tc>
      </w:tr>
      <w:tr w:rsidR="001B4E9C" w:rsidRPr="00B07FB9" w14:paraId="4F3A72C2" w14:textId="77777777" w:rsidTr="00602632">
        <w:trPr>
          <w:cantSplit/>
        </w:trPr>
        <w:tc>
          <w:tcPr>
            <w:tcW w:w="442" w:type="pct"/>
            <w:vMerge/>
          </w:tcPr>
          <w:p w14:paraId="5F2A8C8B" w14:textId="77777777" w:rsidR="001B4E9C" w:rsidRPr="00B07FB9" w:rsidRDefault="001B4E9C" w:rsidP="000C6F49">
            <w:pPr>
              <w:pStyle w:val="TableText0"/>
              <w:keepNext w:val="0"/>
              <w:widowControl w:val="0"/>
            </w:pPr>
          </w:p>
        </w:tc>
        <w:tc>
          <w:tcPr>
            <w:tcW w:w="3171" w:type="pct"/>
            <w:tcBorders>
              <w:top w:val="nil"/>
              <w:bottom w:val="nil"/>
            </w:tcBorders>
          </w:tcPr>
          <w:p w14:paraId="7E5EAC59" w14:textId="77777777" w:rsidR="001B4E9C" w:rsidRPr="00B07FB9" w:rsidRDefault="001B4E9C" w:rsidP="000C6F49">
            <w:pPr>
              <w:pStyle w:val="TableText0"/>
              <w:keepNext w:val="0"/>
              <w:widowControl w:val="0"/>
              <w:spacing w:after="40"/>
              <w:rPr>
                <w:szCs w:val="18"/>
              </w:rPr>
            </w:pPr>
            <w:r w:rsidRPr="00B07FB9">
              <w:t xml:space="preserve">Banerjee S, Moore KN, Colombo N, et al. Maintenance </w:t>
            </w:r>
            <w:proofErr w:type="spellStart"/>
            <w:r w:rsidRPr="00B07FB9">
              <w:t>olaparib</w:t>
            </w:r>
            <w:proofErr w:type="spellEnd"/>
            <w:r w:rsidRPr="00B07FB9">
              <w:t xml:space="preserve"> for patients (pts) with newly diagnosed, advanced ovarian cancer (OC) and a BRCA mutation (</w:t>
            </w:r>
            <w:proofErr w:type="spellStart"/>
            <w:r w:rsidRPr="00B07FB9">
              <w:t>BRCAm</w:t>
            </w:r>
            <w:proofErr w:type="spellEnd"/>
            <w:r w:rsidRPr="00B07FB9">
              <w:t xml:space="preserve">): 5-year (y) follow-up (f/u) from SOLO1. </w:t>
            </w:r>
            <w:r w:rsidRPr="00B07FB9">
              <w:rPr>
                <w:szCs w:val="20"/>
              </w:rPr>
              <w:t>(abstract)</w:t>
            </w:r>
          </w:p>
        </w:tc>
        <w:tc>
          <w:tcPr>
            <w:tcW w:w="1387" w:type="pct"/>
            <w:tcBorders>
              <w:top w:val="nil"/>
              <w:bottom w:val="nil"/>
            </w:tcBorders>
          </w:tcPr>
          <w:p w14:paraId="1106DC34" w14:textId="77777777" w:rsidR="001B4E9C" w:rsidRPr="00B07FB9" w:rsidRDefault="001B4E9C" w:rsidP="000C6F49">
            <w:pPr>
              <w:pStyle w:val="TableText0"/>
              <w:keepNext w:val="0"/>
              <w:widowControl w:val="0"/>
              <w:spacing w:after="40"/>
            </w:pPr>
            <w:r w:rsidRPr="00B07FB9">
              <w:rPr>
                <w:iCs/>
              </w:rPr>
              <w:t>Annals of Oncology</w:t>
            </w:r>
            <w:r w:rsidRPr="00B07FB9">
              <w:t xml:space="preserve"> 2020;31:S613</w:t>
            </w:r>
          </w:p>
        </w:tc>
      </w:tr>
      <w:tr w:rsidR="001B4E9C" w:rsidRPr="00B07FB9" w14:paraId="00EF30C6" w14:textId="77777777" w:rsidTr="00602632">
        <w:trPr>
          <w:cantSplit/>
        </w:trPr>
        <w:tc>
          <w:tcPr>
            <w:tcW w:w="442" w:type="pct"/>
            <w:vMerge/>
          </w:tcPr>
          <w:p w14:paraId="10515B57" w14:textId="77777777" w:rsidR="001B4E9C" w:rsidRPr="00B07FB9" w:rsidRDefault="001B4E9C" w:rsidP="000C6F49">
            <w:pPr>
              <w:pStyle w:val="TableText0"/>
              <w:keepNext w:val="0"/>
              <w:widowControl w:val="0"/>
            </w:pPr>
          </w:p>
        </w:tc>
        <w:tc>
          <w:tcPr>
            <w:tcW w:w="3171" w:type="pct"/>
            <w:tcBorders>
              <w:top w:val="nil"/>
              <w:bottom w:val="nil"/>
            </w:tcBorders>
          </w:tcPr>
          <w:p w14:paraId="1C29CA6F" w14:textId="77777777" w:rsidR="001B4E9C" w:rsidRPr="00B07FB9" w:rsidRDefault="001B4E9C" w:rsidP="000C6F49">
            <w:pPr>
              <w:pStyle w:val="TableText0"/>
              <w:keepNext w:val="0"/>
              <w:widowControl w:val="0"/>
              <w:spacing w:after="40"/>
              <w:rPr>
                <w:szCs w:val="18"/>
              </w:rPr>
            </w:pPr>
            <w:r w:rsidRPr="00B07FB9">
              <w:t xml:space="preserve">Friedlander ML, Moore K, Colombo N, </w:t>
            </w:r>
            <w:proofErr w:type="spellStart"/>
            <w:r w:rsidRPr="00B07FB9">
              <w:t>Scambia</w:t>
            </w:r>
            <w:proofErr w:type="spellEnd"/>
            <w:r w:rsidRPr="00B07FB9">
              <w:t xml:space="preserve"> G, Kim BG, </w:t>
            </w:r>
            <w:proofErr w:type="spellStart"/>
            <w:r w:rsidRPr="00B07FB9">
              <w:t>Oaknin</w:t>
            </w:r>
            <w:proofErr w:type="spellEnd"/>
            <w:r w:rsidRPr="00B07FB9">
              <w:t xml:space="preserve"> A et al. Maintenance </w:t>
            </w:r>
            <w:proofErr w:type="spellStart"/>
            <w:r w:rsidRPr="00B07FB9">
              <w:t>olaparib</w:t>
            </w:r>
            <w:proofErr w:type="spellEnd"/>
            <w:r w:rsidRPr="00B07FB9">
              <w:t xml:space="preserve"> for patients (pts) with newly diagnosed, advanced ovarian cancer (OC) and a BRCA mutation (</w:t>
            </w:r>
            <w:proofErr w:type="spellStart"/>
            <w:r w:rsidRPr="00B07FB9">
              <w:t>BRCAm</w:t>
            </w:r>
            <w:proofErr w:type="spellEnd"/>
            <w:r w:rsidRPr="00B07FB9">
              <w:t xml:space="preserve">): 5-year (y) follow-up (f/u) from SOLO1. </w:t>
            </w:r>
            <w:r w:rsidRPr="00B07FB9">
              <w:rPr>
                <w:szCs w:val="20"/>
              </w:rPr>
              <w:t>(abstract)</w:t>
            </w:r>
          </w:p>
        </w:tc>
        <w:tc>
          <w:tcPr>
            <w:tcW w:w="1387" w:type="pct"/>
            <w:tcBorders>
              <w:top w:val="nil"/>
              <w:bottom w:val="nil"/>
            </w:tcBorders>
          </w:tcPr>
          <w:p w14:paraId="0A47D626" w14:textId="77777777" w:rsidR="001B4E9C" w:rsidRPr="00B07FB9" w:rsidRDefault="001B4E9C" w:rsidP="000C6F49">
            <w:pPr>
              <w:pStyle w:val="TableText0"/>
              <w:keepNext w:val="0"/>
              <w:widowControl w:val="0"/>
              <w:spacing w:after="40"/>
            </w:pPr>
            <w:r w:rsidRPr="00B07FB9">
              <w:t>Annals of Oncology 2020;31:S1334</w:t>
            </w:r>
          </w:p>
        </w:tc>
      </w:tr>
      <w:tr w:rsidR="001B4E9C" w:rsidRPr="00B07FB9" w14:paraId="12970EDB" w14:textId="77777777" w:rsidTr="00602632">
        <w:trPr>
          <w:cantSplit/>
        </w:trPr>
        <w:tc>
          <w:tcPr>
            <w:tcW w:w="442" w:type="pct"/>
            <w:vMerge/>
          </w:tcPr>
          <w:p w14:paraId="732EBB8C" w14:textId="77777777" w:rsidR="001B4E9C" w:rsidRPr="00B07FB9" w:rsidRDefault="001B4E9C" w:rsidP="000C6F49">
            <w:pPr>
              <w:pStyle w:val="TableText0"/>
              <w:keepNext w:val="0"/>
              <w:widowControl w:val="0"/>
            </w:pPr>
          </w:p>
        </w:tc>
        <w:tc>
          <w:tcPr>
            <w:tcW w:w="3171" w:type="pct"/>
            <w:tcBorders>
              <w:top w:val="nil"/>
              <w:bottom w:val="nil"/>
            </w:tcBorders>
            <w:vAlign w:val="center"/>
          </w:tcPr>
          <w:p w14:paraId="62DDDCB9" w14:textId="53DD8C03" w:rsidR="001B4E9C" w:rsidRPr="00B07FB9" w:rsidRDefault="001B4E9C" w:rsidP="000C6F49">
            <w:pPr>
              <w:pStyle w:val="TableText0"/>
              <w:keepNext w:val="0"/>
              <w:widowControl w:val="0"/>
              <w:spacing w:after="40"/>
              <w:rPr>
                <w:szCs w:val="18"/>
              </w:rPr>
            </w:pPr>
            <w:r w:rsidRPr="00B07FB9">
              <w:t xml:space="preserve">Colombo N, Bradley W, Moore K, et al. Maintenance </w:t>
            </w:r>
            <w:proofErr w:type="spellStart"/>
            <w:r w:rsidRPr="00B07FB9">
              <w:t>olaparib</w:t>
            </w:r>
            <w:proofErr w:type="spellEnd"/>
            <w:r w:rsidRPr="00B07FB9">
              <w:t xml:space="preserve"> in patients with newly diagnosed advanced ovarian cancer and a </w:t>
            </w:r>
            <w:r w:rsidR="00235952" w:rsidRPr="00B07FB9">
              <w:t xml:space="preserve">BRCA </w:t>
            </w:r>
            <w:r w:rsidRPr="00B07FB9">
              <w:t xml:space="preserve">mutation: Subgroup analysis by risk in the phase iii solo1 study. </w:t>
            </w:r>
            <w:r w:rsidRPr="00B07FB9">
              <w:rPr>
                <w:szCs w:val="20"/>
              </w:rPr>
              <w:t>(abstract)</w:t>
            </w:r>
          </w:p>
        </w:tc>
        <w:tc>
          <w:tcPr>
            <w:tcW w:w="1387" w:type="pct"/>
            <w:tcBorders>
              <w:top w:val="nil"/>
              <w:bottom w:val="nil"/>
            </w:tcBorders>
          </w:tcPr>
          <w:p w14:paraId="74699C1E" w14:textId="77777777" w:rsidR="001B4E9C" w:rsidRPr="00B07FB9" w:rsidRDefault="001B4E9C" w:rsidP="000C6F49">
            <w:pPr>
              <w:pStyle w:val="TableText0"/>
              <w:keepNext w:val="0"/>
              <w:widowControl w:val="0"/>
              <w:spacing w:after="40"/>
            </w:pPr>
            <w:r w:rsidRPr="00B07FB9">
              <w:t xml:space="preserve">International Journal of </w:t>
            </w:r>
            <w:proofErr w:type="spellStart"/>
            <w:r w:rsidRPr="00B07FB9">
              <w:t>Gynecological</w:t>
            </w:r>
            <w:proofErr w:type="spellEnd"/>
            <w:r w:rsidRPr="00B07FB9">
              <w:t xml:space="preserve"> Cancer 2020;30(Suppl 4):A76</w:t>
            </w:r>
          </w:p>
        </w:tc>
      </w:tr>
      <w:tr w:rsidR="001B4E9C" w:rsidRPr="00B07FB9" w14:paraId="44116B38" w14:textId="77777777" w:rsidTr="00602632">
        <w:trPr>
          <w:cantSplit/>
        </w:trPr>
        <w:tc>
          <w:tcPr>
            <w:tcW w:w="442" w:type="pct"/>
            <w:vMerge/>
          </w:tcPr>
          <w:p w14:paraId="4821A706" w14:textId="77777777" w:rsidR="001B4E9C" w:rsidRPr="00B07FB9" w:rsidRDefault="001B4E9C" w:rsidP="000C6F49">
            <w:pPr>
              <w:pStyle w:val="TableText0"/>
              <w:keepNext w:val="0"/>
              <w:widowControl w:val="0"/>
            </w:pPr>
          </w:p>
        </w:tc>
        <w:tc>
          <w:tcPr>
            <w:tcW w:w="3171" w:type="pct"/>
            <w:tcBorders>
              <w:top w:val="nil"/>
            </w:tcBorders>
            <w:vAlign w:val="center"/>
          </w:tcPr>
          <w:p w14:paraId="4E116540" w14:textId="77777777" w:rsidR="001B4E9C" w:rsidRPr="00B07FB9" w:rsidRDefault="001B4E9C" w:rsidP="000C6F49">
            <w:pPr>
              <w:pStyle w:val="TableText0"/>
              <w:keepNext w:val="0"/>
              <w:widowControl w:val="0"/>
              <w:spacing w:after="40"/>
              <w:rPr>
                <w:szCs w:val="18"/>
              </w:rPr>
            </w:pPr>
            <w:r w:rsidRPr="00B07FB9">
              <w:rPr>
                <w:szCs w:val="20"/>
              </w:rPr>
              <w:t xml:space="preserve">Bradley W, Moore K, Colombo N, et al. Maintenance </w:t>
            </w:r>
            <w:proofErr w:type="spellStart"/>
            <w:r w:rsidRPr="00B07FB9">
              <w:rPr>
                <w:szCs w:val="20"/>
              </w:rPr>
              <w:t>olaparib</w:t>
            </w:r>
            <w:proofErr w:type="spellEnd"/>
            <w:r w:rsidRPr="00B07FB9">
              <w:rPr>
                <w:szCs w:val="20"/>
              </w:rPr>
              <w:t xml:space="preserve"> for patients with newly diagnosed, advanced ovarian cancer and a BRCA mutation: 5-year follow-up from SOLO1. (abstract) </w:t>
            </w:r>
          </w:p>
        </w:tc>
        <w:tc>
          <w:tcPr>
            <w:tcW w:w="1387" w:type="pct"/>
            <w:tcBorders>
              <w:top w:val="nil"/>
            </w:tcBorders>
          </w:tcPr>
          <w:p w14:paraId="0C661A73" w14:textId="77777777" w:rsidR="001B4E9C" w:rsidRPr="00B07FB9" w:rsidRDefault="001B4E9C" w:rsidP="000C6F49">
            <w:pPr>
              <w:pStyle w:val="TableText0"/>
              <w:keepNext w:val="0"/>
              <w:widowControl w:val="0"/>
              <w:spacing w:after="40"/>
            </w:pPr>
            <w:proofErr w:type="spellStart"/>
            <w:r w:rsidRPr="00B07FB9">
              <w:rPr>
                <w:szCs w:val="20"/>
              </w:rPr>
              <w:t>Gynecologic</w:t>
            </w:r>
            <w:proofErr w:type="spellEnd"/>
            <w:r w:rsidRPr="00B07FB9">
              <w:rPr>
                <w:szCs w:val="20"/>
              </w:rPr>
              <w:t xml:space="preserve"> Oncology 2021;162:S25-S26</w:t>
            </w:r>
          </w:p>
        </w:tc>
      </w:tr>
    </w:tbl>
    <w:p w14:paraId="6B4B1B15" w14:textId="4C7445DB" w:rsidR="001B4E9C" w:rsidRPr="00B07FB9" w:rsidRDefault="001B4E9C" w:rsidP="00425BFE">
      <w:pPr>
        <w:pStyle w:val="TableFigureFooter"/>
        <w:widowControl w:val="0"/>
        <w:spacing w:after="140"/>
        <w:rPr>
          <w:sz w:val="20"/>
        </w:rPr>
      </w:pPr>
      <w:r w:rsidRPr="00B07FB9">
        <w:t>Source: Table</w:t>
      </w:r>
      <w:r w:rsidR="007F53CC" w:rsidRPr="00B07FB9">
        <w:t xml:space="preserve"> </w:t>
      </w:r>
      <w:r w:rsidRPr="00B07FB9">
        <w:t>19, pp49-51 of the resubmission</w:t>
      </w:r>
    </w:p>
    <w:p w14:paraId="3B5AE95E" w14:textId="5DA8AD52" w:rsidR="001B4E9C" w:rsidRPr="00B07FB9" w:rsidRDefault="00235952" w:rsidP="000C6F49">
      <w:pPr>
        <w:pStyle w:val="3-BodyText"/>
        <w:widowControl w:val="0"/>
        <w:rPr>
          <w:sz w:val="20"/>
        </w:rPr>
      </w:pPr>
      <w:r w:rsidRPr="00B07FB9">
        <w:lastRenderedPageBreak/>
        <w:t xml:space="preserve">The </w:t>
      </w:r>
      <w:r w:rsidR="001B4E9C" w:rsidRPr="00B07FB9">
        <w:t xml:space="preserve">PRIMA and SOLO-1 trials have previously been reviewed by the PBAC. </w:t>
      </w:r>
      <w:r w:rsidR="00AB485A" w:rsidRPr="00B07FB9">
        <w:t>T</w:t>
      </w:r>
      <w:r w:rsidR="001B4E9C" w:rsidRPr="00B07FB9">
        <w:t xml:space="preserve">he trial information </w:t>
      </w:r>
      <w:r w:rsidR="00AB485A" w:rsidRPr="00B07FB9">
        <w:t xml:space="preserve">presented herein relates primarily </w:t>
      </w:r>
      <w:r w:rsidR="001B4E9C" w:rsidRPr="00B07FB9">
        <w:t xml:space="preserve">to </w:t>
      </w:r>
      <w:r w:rsidR="00B1614A" w:rsidRPr="00B07FB9">
        <w:t xml:space="preserve">the </w:t>
      </w:r>
      <w:r w:rsidR="001B4E9C" w:rsidRPr="00B07FB9">
        <w:t>assessment of the non-</w:t>
      </w:r>
      <w:proofErr w:type="spellStart"/>
      <w:r w:rsidR="001B4E9C" w:rsidRPr="00B07FB9">
        <w:t>BRCAm</w:t>
      </w:r>
      <w:proofErr w:type="spellEnd"/>
      <w:r w:rsidR="001B4E9C" w:rsidRPr="00B07FB9">
        <w:t xml:space="preserve"> subgroup analysis of PRIMA and the ITC of PRIMA and SOLO-1 in the </w:t>
      </w:r>
      <w:proofErr w:type="spellStart"/>
      <w:r w:rsidR="001B4E9C" w:rsidRPr="00B07FB9">
        <w:t>BRCAm</w:t>
      </w:r>
      <w:proofErr w:type="spellEnd"/>
      <w:r w:rsidR="001B4E9C" w:rsidRPr="00B07FB9">
        <w:t xml:space="preserve"> population. The key features of the included evidence are summarised in the </w:t>
      </w:r>
      <w:r w:rsidRPr="00B07FB9">
        <w:t xml:space="preserve">following </w:t>
      </w:r>
      <w:r w:rsidR="001B4E9C" w:rsidRPr="00B07FB9">
        <w:t xml:space="preserve">table. </w:t>
      </w:r>
    </w:p>
    <w:p w14:paraId="29B794FD" w14:textId="6343CC46" w:rsidR="001B4E9C" w:rsidRPr="00B07FB9" w:rsidRDefault="001B4E9C" w:rsidP="00C34837">
      <w:pPr>
        <w:pStyle w:val="TableFigureHeading"/>
        <w:widowControl w:val="0"/>
        <w:rPr>
          <w:rStyle w:val="CommentReference"/>
          <w:b/>
          <w:szCs w:val="24"/>
        </w:rPr>
      </w:pPr>
      <w:r w:rsidRPr="00B07FB9">
        <w:t xml:space="preserve">Table </w:t>
      </w:r>
      <w:r w:rsidR="00385E8C">
        <w:fldChar w:fldCharType="begin"/>
      </w:r>
      <w:r w:rsidR="00385E8C">
        <w:instrText xml:space="preserve"> SEQ Table \* ARABIC </w:instrText>
      </w:r>
      <w:r w:rsidR="00385E8C">
        <w:fldChar w:fldCharType="separate"/>
      </w:r>
      <w:r w:rsidR="00385E8C">
        <w:rPr>
          <w:noProof/>
        </w:rPr>
        <w:t>4</w:t>
      </w:r>
      <w:r w:rsidR="00385E8C">
        <w:fldChar w:fldCharType="end"/>
      </w:r>
      <w:r w:rsidRPr="00B07FB9">
        <w:t xml:space="preserve">: </w:t>
      </w:r>
      <w:r w:rsidRPr="00B07FB9">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included evidence"/>
      </w:tblPr>
      <w:tblGrid>
        <w:gridCol w:w="1310"/>
        <w:gridCol w:w="853"/>
        <w:gridCol w:w="1944"/>
        <w:gridCol w:w="849"/>
        <w:gridCol w:w="1558"/>
        <w:gridCol w:w="1134"/>
        <w:gridCol w:w="1369"/>
      </w:tblGrid>
      <w:tr w:rsidR="001B4E9C" w:rsidRPr="00B07FB9" w14:paraId="720C35D1" w14:textId="77777777" w:rsidTr="00FE32BA">
        <w:trPr>
          <w:tblHeader/>
        </w:trPr>
        <w:tc>
          <w:tcPr>
            <w:tcW w:w="726" w:type="pct"/>
            <w:shd w:val="clear" w:color="auto" w:fill="auto"/>
            <w:vAlign w:val="center"/>
          </w:tcPr>
          <w:p w14:paraId="02DB7F96" w14:textId="77777777" w:rsidR="001B4E9C" w:rsidRPr="00B07FB9" w:rsidRDefault="001B4E9C" w:rsidP="000C6F49">
            <w:pPr>
              <w:pStyle w:val="In-tableHeading"/>
              <w:keepNext w:val="0"/>
              <w:widowControl w:val="0"/>
              <w:rPr>
                <w:lang w:val="en-AU"/>
              </w:rPr>
            </w:pPr>
            <w:r w:rsidRPr="00B07FB9">
              <w:rPr>
                <w:lang w:val="en-AU"/>
              </w:rPr>
              <w:t>Trial</w:t>
            </w:r>
          </w:p>
        </w:tc>
        <w:tc>
          <w:tcPr>
            <w:tcW w:w="473" w:type="pct"/>
            <w:shd w:val="clear" w:color="auto" w:fill="auto"/>
            <w:vAlign w:val="center"/>
          </w:tcPr>
          <w:p w14:paraId="39BA5085" w14:textId="77777777" w:rsidR="001B4E9C" w:rsidRPr="00B07FB9" w:rsidRDefault="001B4E9C" w:rsidP="000C6F49">
            <w:pPr>
              <w:pStyle w:val="In-tableHeading"/>
              <w:keepNext w:val="0"/>
              <w:widowControl w:val="0"/>
              <w:jc w:val="center"/>
              <w:rPr>
                <w:lang w:val="en-AU"/>
              </w:rPr>
            </w:pPr>
            <w:r w:rsidRPr="00B07FB9">
              <w:rPr>
                <w:lang w:val="en-AU"/>
              </w:rPr>
              <w:t>N</w:t>
            </w:r>
          </w:p>
        </w:tc>
        <w:tc>
          <w:tcPr>
            <w:tcW w:w="1078" w:type="pct"/>
            <w:shd w:val="clear" w:color="auto" w:fill="auto"/>
            <w:vAlign w:val="center"/>
          </w:tcPr>
          <w:p w14:paraId="3BAFCC8B" w14:textId="77777777" w:rsidR="001B4E9C" w:rsidRPr="00B07FB9" w:rsidRDefault="001B4E9C" w:rsidP="000C6F49">
            <w:pPr>
              <w:pStyle w:val="In-tableHeading"/>
              <w:keepNext w:val="0"/>
              <w:widowControl w:val="0"/>
              <w:jc w:val="center"/>
              <w:rPr>
                <w:lang w:val="en-AU"/>
              </w:rPr>
            </w:pPr>
            <w:r w:rsidRPr="00B07FB9">
              <w:rPr>
                <w:lang w:val="en-AU"/>
              </w:rPr>
              <w:t>Design/ duration</w:t>
            </w:r>
          </w:p>
        </w:tc>
        <w:tc>
          <w:tcPr>
            <w:tcW w:w="471" w:type="pct"/>
            <w:shd w:val="clear" w:color="auto" w:fill="auto"/>
            <w:vAlign w:val="center"/>
          </w:tcPr>
          <w:p w14:paraId="6246D340" w14:textId="77777777" w:rsidR="001B4E9C" w:rsidRPr="00B07FB9" w:rsidRDefault="001B4E9C" w:rsidP="000C6F49">
            <w:pPr>
              <w:pStyle w:val="In-tableHeading"/>
              <w:keepNext w:val="0"/>
              <w:widowControl w:val="0"/>
              <w:jc w:val="center"/>
              <w:rPr>
                <w:lang w:val="en-AU"/>
              </w:rPr>
            </w:pPr>
            <w:r w:rsidRPr="00B07FB9">
              <w:rPr>
                <w:lang w:val="en-AU"/>
              </w:rPr>
              <w:t>Risk of bias</w:t>
            </w:r>
          </w:p>
        </w:tc>
        <w:tc>
          <w:tcPr>
            <w:tcW w:w="864" w:type="pct"/>
            <w:shd w:val="clear" w:color="auto" w:fill="auto"/>
            <w:vAlign w:val="center"/>
          </w:tcPr>
          <w:p w14:paraId="52232786" w14:textId="77777777" w:rsidR="001B4E9C" w:rsidRPr="00B07FB9" w:rsidRDefault="001B4E9C" w:rsidP="000C6F49">
            <w:pPr>
              <w:pStyle w:val="In-tableHeading"/>
              <w:keepNext w:val="0"/>
              <w:widowControl w:val="0"/>
              <w:jc w:val="center"/>
              <w:rPr>
                <w:lang w:val="en-AU"/>
              </w:rPr>
            </w:pPr>
            <w:r w:rsidRPr="00B07FB9">
              <w:rPr>
                <w:lang w:val="en-AU"/>
              </w:rPr>
              <w:t>Patient population</w:t>
            </w:r>
          </w:p>
        </w:tc>
        <w:tc>
          <w:tcPr>
            <w:tcW w:w="629" w:type="pct"/>
            <w:shd w:val="clear" w:color="auto" w:fill="auto"/>
            <w:vAlign w:val="center"/>
          </w:tcPr>
          <w:p w14:paraId="29B02163" w14:textId="77777777" w:rsidR="001B4E9C" w:rsidRPr="00B07FB9" w:rsidRDefault="001B4E9C" w:rsidP="000C6F49">
            <w:pPr>
              <w:pStyle w:val="In-tableHeading"/>
              <w:keepNext w:val="0"/>
              <w:widowControl w:val="0"/>
              <w:jc w:val="center"/>
              <w:rPr>
                <w:lang w:val="en-AU"/>
              </w:rPr>
            </w:pPr>
            <w:r w:rsidRPr="00B07FB9">
              <w:rPr>
                <w:lang w:val="en-AU"/>
              </w:rPr>
              <w:t>Outcomes</w:t>
            </w:r>
          </w:p>
        </w:tc>
        <w:tc>
          <w:tcPr>
            <w:tcW w:w="759" w:type="pct"/>
            <w:shd w:val="clear" w:color="auto" w:fill="auto"/>
            <w:vAlign w:val="center"/>
          </w:tcPr>
          <w:p w14:paraId="64FDA768" w14:textId="77777777" w:rsidR="001B4E9C" w:rsidRPr="00B07FB9" w:rsidRDefault="001B4E9C" w:rsidP="000C6F49">
            <w:pPr>
              <w:pStyle w:val="In-tableHeading"/>
              <w:keepNext w:val="0"/>
              <w:widowControl w:val="0"/>
              <w:jc w:val="center"/>
              <w:rPr>
                <w:lang w:val="en-AU"/>
              </w:rPr>
            </w:pPr>
            <w:r w:rsidRPr="00B07FB9">
              <w:rPr>
                <w:lang w:val="en-AU"/>
              </w:rPr>
              <w:t>Use in modelled evaluation</w:t>
            </w:r>
          </w:p>
        </w:tc>
      </w:tr>
      <w:tr w:rsidR="001B4E9C" w:rsidRPr="00B07FB9" w14:paraId="2675FD1A" w14:textId="77777777" w:rsidTr="00AD5350">
        <w:tc>
          <w:tcPr>
            <w:tcW w:w="5000" w:type="pct"/>
            <w:gridSpan w:val="7"/>
            <w:shd w:val="clear" w:color="auto" w:fill="auto"/>
            <w:vAlign w:val="center"/>
          </w:tcPr>
          <w:p w14:paraId="5979887D" w14:textId="77777777" w:rsidR="001B4E9C" w:rsidRPr="00B07FB9" w:rsidRDefault="001B4E9C" w:rsidP="000C6F49">
            <w:pPr>
              <w:pStyle w:val="In-tableHeading"/>
              <w:keepNext w:val="0"/>
              <w:widowControl w:val="0"/>
              <w:rPr>
                <w:lang w:val="en-AU"/>
              </w:rPr>
            </w:pPr>
            <w:proofErr w:type="spellStart"/>
            <w:r w:rsidRPr="00B07FB9">
              <w:rPr>
                <w:lang w:val="en-AU"/>
              </w:rPr>
              <w:t>BRCAm</w:t>
            </w:r>
            <w:proofErr w:type="spellEnd"/>
          </w:p>
        </w:tc>
      </w:tr>
      <w:tr w:rsidR="001B4E9C" w:rsidRPr="00B07FB9" w14:paraId="7AA3D057" w14:textId="77777777" w:rsidTr="00AD5350">
        <w:tc>
          <w:tcPr>
            <w:tcW w:w="5000" w:type="pct"/>
            <w:gridSpan w:val="7"/>
            <w:shd w:val="clear" w:color="auto" w:fill="auto"/>
            <w:vAlign w:val="center"/>
          </w:tcPr>
          <w:p w14:paraId="177B922F" w14:textId="4719802E" w:rsidR="001B4E9C" w:rsidRPr="00B07FB9" w:rsidRDefault="001B4E9C" w:rsidP="000C6F49">
            <w:pPr>
              <w:pStyle w:val="In-tableHeading"/>
              <w:keepNext w:val="0"/>
              <w:widowControl w:val="0"/>
              <w:rPr>
                <w:lang w:val="en-AU"/>
              </w:rPr>
            </w:pPr>
            <w:r w:rsidRPr="00B07FB9">
              <w:rPr>
                <w:lang w:val="en-AU"/>
              </w:rPr>
              <w:t>Niraparib vs. placebo</w:t>
            </w:r>
          </w:p>
        </w:tc>
      </w:tr>
      <w:tr w:rsidR="001B4E9C" w:rsidRPr="00B07FB9" w14:paraId="6BBAD3B4" w14:textId="77777777" w:rsidTr="00FE32BA">
        <w:tc>
          <w:tcPr>
            <w:tcW w:w="726" w:type="pct"/>
            <w:shd w:val="clear" w:color="auto" w:fill="auto"/>
            <w:vAlign w:val="center"/>
          </w:tcPr>
          <w:p w14:paraId="797C8D71" w14:textId="053D3693" w:rsidR="001B4E9C" w:rsidRPr="00B07FB9" w:rsidRDefault="001B4E9C" w:rsidP="000C6F49">
            <w:pPr>
              <w:pStyle w:val="TableText0"/>
              <w:keepNext w:val="0"/>
              <w:widowControl w:val="0"/>
              <w:rPr>
                <w:vertAlign w:val="superscript"/>
              </w:rPr>
            </w:pPr>
            <w:proofErr w:type="spellStart"/>
            <w:r w:rsidRPr="00B07FB9">
              <w:t>PRIM</w:t>
            </w:r>
            <w:r w:rsidR="001B6BA7" w:rsidRPr="00B07FB9">
              <w:t>A</w:t>
            </w:r>
            <w:r w:rsidR="001B6BA7" w:rsidRPr="00B07FB9">
              <w:rPr>
                <w:vertAlign w:val="superscript"/>
              </w:rPr>
              <w:t>a</w:t>
            </w:r>
            <w:proofErr w:type="spellEnd"/>
          </w:p>
        </w:tc>
        <w:tc>
          <w:tcPr>
            <w:tcW w:w="473" w:type="pct"/>
            <w:shd w:val="clear" w:color="auto" w:fill="auto"/>
            <w:vAlign w:val="center"/>
          </w:tcPr>
          <w:p w14:paraId="3A4B215C" w14:textId="77777777" w:rsidR="001B4E9C" w:rsidRPr="00B07FB9" w:rsidRDefault="001B4E9C" w:rsidP="000C6F49">
            <w:pPr>
              <w:pStyle w:val="TableText0"/>
              <w:keepNext w:val="0"/>
              <w:widowControl w:val="0"/>
              <w:jc w:val="center"/>
            </w:pPr>
            <w:r w:rsidRPr="00B07FB9">
              <w:t>223</w:t>
            </w:r>
          </w:p>
        </w:tc>
        <w:tc>
          <w:tcPr>
            <w:tcW w:w="1078" w:type="pct"/>
            <w:shd w:val="clear" w:color="auto" w:fill="auto"/>
            <w:vAlign w:val="center"/>
          </w:tcPr>
          <w:p w14:paraId="6F4BA341" w14:textId="6F24679F" w:rsidR="001B4E9C" w:rsidRPr="00B07FB9" w:rsidRDefault="001B4E9C" w:rsidP="00FE32BA">
            <w:pPr>
              <w:pStyle w:val="TableText0"/>
              <w:keepNext w:val="0"/>
              <w:widowControl w:val="0"/>
              <w:jc w:val="center"/>
            </w:pPr>
            <w:r w:rsidRPr="00B07FB9">
              <w:t>Subgroup analysis of RCT</w:t>
            </w:r>
            <w:r w:rsidR="00B075BE" w:rsidRPr="00B07FB9">
              <w:t>, DB</w:t>
            </w:r>
          </w:p>
          <w:p w14:paraId="09D93A24" w14:textId="4852B563" w:rsidR="00FE32BA" w:rsidRPr="00B07FB9" w:rsidRDefault="00FE32BA" w:rsidP="00FE32BA">
            <w:pPr>
              <w:ind w:left="-62"/>
              <w:contextualSpacing/>
              <w:jc w:val="center"/>
              <w:rPr>
                <w:rFonts w:ascii="Arial Narrow" w:hAnsi="Arial Narrow"/>
                <w:sz w:val="20"/>
              </w:rPr>
            </w:pPr>
            <w:r w:rsidRPr="00B07FB9">
              <w:rPr>
                <w:rFonts w:ascii="Arial Narrow" w:hAnsi="Arial Narrow"/>
                <w:sz w:val="20"/>
              </w:rPr>
              <w:t xml:space="preserve">Niraparib 16.2 </w:t>
            </w:r>
            <w:proofErr w:type="spellStart"/>
            <w:r w:rsidRPr="00B07FB9">
              <w:rPr>
                <w:rFonts w:ascii="Arial Narrow" w:hAnsi="Arial Narrow"/>
                <w:sz w:val="20"/>
              </w:rPr>
              <w:t>mths</w:t>
            </w:r>
            <w:proofErr w:type="spellEnd"/>
            <w:r w:rsidRPr="00B07FB9">
              <w:rPr>
                <w:rFonts w:ascii="Arial Narrow" w:hAnsi="Arial Narrow"/>
                <w:sz w:val="20"/>
              </w:rPr>
              <w:t xml:space="preserve"> Placebo 15.0 </w:t>
            </w:r>
            <w:proofErr w:type="spellStart"/>
            <w:r w:rsidRPr="00B07FB9">
              <w:rPr>
                <w:rFonts w:ascii="Arial Narrow" w:hAnsi="Arial Narrow"/>
                <w:sz w:val="20"/>
              </w:rPr>
              <w:t>mths</w:t>
            </w:r>
            <w:r w:rsidR="00D8575E" w:rsidRPr="00B07FB9">
              <w:rPr>
                <w:rFonts w:ascii="Arial Narrow" w:hAnsi="Arial Narrow"/>
                <w:sz w:val="20"/>
                <w:vertAlign w:val="superscript"/>
              </w:rPr>
              <w:t>b</w:t>
            </w:r>
            <w:proofErr w:type="spellEnd"/>
          </w:p>
          <w:p w14:paraId="43C2F6D7" w14:textId="5907DEFE" w:rsidR="001B4E9C" w:rsidRPr="00B07FB9" w:rsidRDefault="001B4E9C" w:rsidP="000C6F49">
            <w:pPr>
              <w:pStyle w:val="TableText0"/>
              <w:keepNext w:val="0"/>
              <w:widowControl w:val="0"/>
              <w:jc w:val="center"/>
              <w:rPr>
                <w:vertAlign w:val="superscript"/>
              </w:rPr>
            </w:pPr>
          </w:p>
        </w:tc>
        <w:tc>
          <w:tcPr>
            <w:tcW w:w="471" w:type="pct"/>
            <w:shd w:val="clear" w:color="auto" w:fill="auto"/>
            <w:vAlign w:val="center"/>
          </w:tcPr>
          <w:p w14:paraId="29846442" w14:textId="16BBD0A4" w:rsidR="001B4E9C" w:rsidRPr="00B07FB9" w:rsidRDefault="00B1614A" w:rsidP="000C6F49">
            <w:pPr>
              <w:pStyle w:val="TableText0"/>
              <w:keepNext w:val="0"/>
              <w:widowControl w:val="0"/>
              <w:jc w:val="center"/>
              <w:rPr>
                <w:vertAlign w:val="superscript"/>
              </w:rPr>
            </w:pPr>
            <w:proofErr w:type="spellStart"/>
            <w:r w:rsidRPr="00B07FB9">
              <w:t>Hi</w:t>
            </w:r>
            <w:r w:rsidR="001B4E9C" w:rsidRPr="00B07FB9">
              <w:t>gh</w:t>
            </w:r>
            <w:r w:rsidR="00D91669" w:rsidRPr="00B07FB9">
              <w:rPr>
                <w:vertAlign w:val="superscript"/>
              </w:rPr>
              <w:t>c</w:t>
            </w:r>
            <w:proofErr w:type="spellEnd"/>
          </w:p>
        </w:tc>
        <w:tc>
          <w:tcPr>
            <w:tcW w:w="864" w:type="pct"/>
            <w:shd w:val="clear" w:color="auto" w:fill="auto"/>
            <w:vAlign w:val="center"/>
          </w:tcPr>
          <w:p w14:paraId="5706FCC2" w14:textId="7C61645B" w:rsidR="001B4E9C" w:rsidRPr="00B07FB9" w:rsidRDefault="001B4E9C" w:rsidP="000C6F49">
            <w:pPr>
              <w:pStyle w:val="TableText0"/>
              <w:keepNext w:val="0"/>
              <w:widowControl w:val="0"/>
              <w:jc w:val="center"/>
            </w:pPr>
            <w:proofErr w:type="spellStart"/>
            <w:r w:rsidRPr="00B07FB9">
              <w:t>BRCAm</w:t>
            </w:r>
            <w:proofErr w:type="spellEnd"/>
            <w:r w:rsidRPr="00B07FB9">
              <w:t xml:space="preserve"> patients with NDA, high-grade ovarian cancer who </w:t>
            </w:r>
            <w:r w:rsidR="00D91669" w:rsidRPr="00B07FB9">
              <w:t>had</w:t>
            </w:r>
            <w:r w:rsidRPr="00B07FB9">
              <w:t xml:space="preserve"> PR or CR to PBC</w:t>
            </w:r>
          </w:p>
        </w:tc>
        <w:tc>
          <w:tcPr>
            <w:tcW w:w="629" w:type="pct"/>
            <w:shd w:val="clear" w:color="auto" w:fill="auto"/>
            <w:vAlign w:val="center"/>
          </w:tcPr>
          <w:p w14:paraId="421B94F0" w14:textId="77777777" w:rsidR="001B4E9C" w:rsidRPr="00B07FB9" w:rsidRDefault="001B4E9C" w:rsidP="000C6F49">
            <w:pPr>
              <w:pStyle w:val="TableText0"/>
              <w:keepNext w:val="0"/>
              <w:widowControl w:val="0"/>
              <w:jc w:val="center"/>
            </w:pPr>
            <w:r w:rsidRPr="00B07FB9">
              <w:t>PFS, OS, AEs</w:t>
            </w:r>
          </w:p>
        </w:tc>
        <w:tc>
          <w:tcPr>
            <w:tcW w:w="759" w:type="pct"/>
            <w:shd w:val="clear" w:color="auto" w:fill="auto"/>
            <w:vAlign w:val="center"/>
          </w:tcPr>
          <w:p w14:paraId="372D9BB2" w14:textId="77777777" w:rsidR="001B4E9C" w:rsidRPr="00B07FB9" w:rsidRDefault="001B4E9C" w:rsidP="000C6F49">
            <w:pPr>
              <w:pStyle w:val="TableText0"/>
              <w:keepNext w:val="0"/>
              <w:widowControl w:val="0"/>
              <w:jc w:val="center"/>
            </w:pPr>
            <w:r w:rsidRPr="00B07FB9">
              <w:t>N/A</w:t>
            </w:r>
          </w:p>
        </w:tc>
      </w:tr>
      <w:tr w:rsidR="001B4E9C" w:rsidRPr="00B07FB9" w14:paraId="54CB7EEF" w14:textId="77777777" w:rsidTr="00AD5350">
        <w:tc>
          <w:tcPr>
            <w:tcW w:w="5000" w:type="pct"/>
            <w:gridSpan w:val="7"/>
            <w:shd w:val="clear" w:color="auto" w:fill="auto"/>
            <w:vAlign w:val="center"/>
          </w:tcPr>
          <w:p w14:paraId="79588AA3" w14:textId="38573197" w:rsidR="001B4E9C" w:rsidRPr="00B07FB9" w:rsidRDefault="001B4E9C" w:rsidP="000C6F49">
            <w:pPr>
              <w:pStyle w:val="In-tableHeading"/>
              <w:keepNext w:val="0"/>
              <w:widowControl w:val="0"/>
              <w:rPr>
                <w:lang w:val="en-AU"/>
              </w:rPr>
            </w:pPr>
            <w:r w:rsidRPr="00B07FB9">
              <w:rPr>
                <w:lang w:val="en-AU"/>
              </w:rPr>
              <w:t>Olaparib vs. placebo</w:t>
            </w:r>
          </w:p>
        </w:tc>
      </w:tr>
      <w:tr w:rsidR="001B4E9C" w:rsidRPr="00B07FB9" w14:paraId="46FD1121" w14:textId="77777777" w:rsidTr="00FE32BA">
        <w:tc>
          <w:tcPr>
            <w:tcW w:w="726" w:type="pct"/>
            <w:shd w:val="clear" w:color="auto" w:fill="auto"/>
            <w:vAlign w:val="center"/>
          </w:tcPr>
          <w:p w14:paraId="1DD16A12" w14:textId="77777777" w:rsidR="001B4E9C" w:rsidRPr="00B07FB9" w:rsidRDefault="001B4E9C" w:rsidP="000C6F49">
            <w:pPr>
              <w:pStyle w:val="TableText0"/>
              <w:keepNext w:val="0"/>
              <w:widowControl w:val="0"/>
            </w:pPr>
            <w:r w:rsidRPr="00B07FB9">
              <w:t>SOLO-1</w:t>
            </w:r>
          </w:p>
        </w:tc>
        <w:tc>
          <w:tcPr>
            <w:tcW w:w="473" w:type="pct"/>
            <w:shd w:val="clear" w:color="auto" w:fill="auto"/>
            <w:vAlign w:val="center"/>
          </w:tcPr>
          <w:p w14:paraId="05DF06D0" w14:textId="77777777" w:rsidR="001B4E9C" w:rsidRPr="00B07FB9" w:rsidRDefault="001B4E9C" w:rsidP="000C6F49">
            <w:pPr>
              <w:pStyle w:val="TableText0"/>
              <w:keepNext w:val="0"/>
              <w:widowControl w:val="0"/>
              <w:jc w:val="center"/>
            </w:pPr>
            <w:r w:rsidRPr="00B07FB9">
              <w:t>391</w:t>
            </w:r>
          </w:p>
        </w:tc>
        <w:tc>
          <w:tcPr>
            <w:tcW w:w="1078" w:type="pct"/>
            <w:shd w:val="clear" w:color="auto" w:fill="auto"/>
            <w:vAlign w:val="center"/>
          </w:tcPr>
          <w:p w14:paraId="58151DF9" w14:textId="2F506BA7" w:rsidR="001B4E9C" w:rsidRPr="00B07FB9" w:rsidRDefault="001B4E9C" w:rsidP="000C6F49">
            <w:pPr>
              <w:pStyle w:val="TableText0"/>
              <w:keepNext w:val="0"/>
              <w:widowControl w:val="0"/>
              <w:jc w:val="center"/>
            </w:pPr>
            <w:r w:rsidRPr="00B07FB9">
              <w:t>R</w:t>
            </w:r>
            <w:r w:rsidR="00B075BE" w:rsidRPr="00B07FB9">
              <w:t>CT</w:t>
            </w:r>
            <w:r w:rsidRPr="00B07FB9">
              <w:t>, DB</w:t>
            </w:r>
          </w:p>
          <w:p w14:paraId="3D2BAD14" w14:textId="77777777" w:rsidR="001B4E9C" w:rsidRPr="00B07FB9" w:rsidRDefault="001B4E9C" w:rsidP="000C6F49">
            <w:pPr>
              <w:pStyle w:val="TableText0"/>
              <w:keepNext w:val="0"/>
              <w:widowControl w:val="0"/>
              <w:jc w:val="center"/>
            </w:pPr>
            <w:r w:rsidRPr="00B07FB9">
              <w:t xml:space="preserve">41 </w:t>
            </w:r>
            <w:proofErr w:type="spellStart"/>
            <w:r w:rsidRPr="00B07FB9">
              <w:t>mths</w:t>
            </w:r>
            <w:proofErr w:type="spellEnd"/>
          </w:p>
        </w:tc>
        <w:tc>
          <w:tcPr>
            <w:tcW w:w="471" w:type="pct"/>
            <w:shd w:val="clear" w:color="auto" w:fill="auto"/>
            <w:vAlign w:val="center"/>
          </w:tcPr>
          <w:p w14:paraId="4F9BA704" w14:textId="77777777" w:rsidR="001B4E9C" w:rsidRPr="00B07FB9" w:rsidRDefault="001B4E9C" w:rsidP="000C6F49">
            <w:pPr>
              <w:pStyle w:val="TableText0"/>
              <w:keepNext w:val="0"/>
              <w:widowControl w:val="0"/>
              <w:jc w:val="center"/>
            </w:pPr>
            <w:r w:rsidRPr="00B07FB9">
              <w:t>Low</w:t>
            </w:r>
          </w:p>
        </w:tc>
        <w:tc>
          <w:tcPr>
            <w:tcW w:w="864" w:type="pct"/>
            <w:shd w:val="clear" w:color="auto" w:fill="auto"/>
            <w:vAlign w:val="center"/>
          </w:tcPr>
          <w:p w14:paraId="21631A9F" w14:textId="36F1207E" w:rsidR="001B4E9C" w:rsidRPr="00B07FB9" w:rsidRDefault="001B4E9C" w:rsidP="000C6F49">
            <w:pPr>
              <w:pStyle w:val="TableText0"/>
              <w:keepNext w:val="0"/>
              <w:widowControl w:val="0"/>
            </w:pPr>
            <w:proofErr w:type="spellStart"/>
            <w:r w:rsidRPr="00B07FB9">
              <w:t>BRCAm</w:t>
            </w:r>
            <w:proofErr w:type="spellEnd"/>
            <w:r w:rsidRPr="00B07FB9">
              <w:t xml:space="preserve"> patients with NDA, high-grade ovarian cancer who </w:t>
            </w:r>
            <w:r w:rsidR="00D91669" w:rsidRPr="00B07FB9">
              <w:t>had</w:t>
            </w:r>
            <w:r w:rsidRPr="00B07FB9">
              <w:t xml:space="preserve"> PR or CR to PBC</w:t>
            </w:r>
          </w:p>
        </w:tc>
        <w:tc>
          <w:tcPr>
            <w:tcW w:w="629" w:type="pct"/>
            <w:shd w:val="clear" w:color="auto" w:fill="auto"/>
            <w:vAlign w:val="center"/>
          </w:tcPr>
          <w:p w14:paraId="72011B41" w14:textId="5588701C" w:rsidR="001B4E9C" w:rsidRPr="00B07FB9" w:rsidRDefault="001B4E9C" w:rsidP="000C6F49">
            <w:pPr>
              <w:pStyle w:val="TableText0"/>
              <w:keepNext w:val="0"/>
              <w:widowControl w:val="0"/>
            </w:pPr>
            <w:r w:rsidRPr="00B07FB9">
              <w:t>PFS, OS, AE</w:t>
            </w:r>
            <w:r w:rsidR="00D91669" w:rsidRPr="00B07FB9">
              <w:t>s</w:t>
            </w:r>
          </w:p>
        </w:tc>
        <w:tc>
          <w:tcPr>
            <w:tcW w:w="759" w:type="pct"/>
            <w:shd w:val="clear" w:color="auto" w:fill="auto"/>
            <w:vAlign w:val="center"/>
          </w:tcPr>
          <w:p w14:paraId="2F7F701F" w14:textId="77777777" w:rsidR="001B4E9C" w:rsidRPr="00B07FB9" w:rsidRDefault="001B4E9C" w:rsidP="000C6F49">
            <w:pPr>
              <w:pStyle w:val="TableText0"/>
              <w:keepNext w:val="0"/>
              <w:widowControl w:val="0"/>
              <w:jc w:val="center"/>
            </w:pPr>
            <w:r w:rsidRPr="00B07FB9">
              <w:t>N/A</w:t>
            </w:r>
          </w:p>
        </w:tc>
      </w:tr>
      <w:tr w:rsidR="001B4E9C" w:rsidRPr="00B07FB9" w14:paraId="56C54606" w14:textId="77777777" w:rsidTr="00AD5350">
        <w:tc>
          <w:tcPr>
            <w:tcW w:w="5000" w:type="pct"/>
            <w:gridSpan w:val="7"/>
            <w:shd w:val="clear" w:color="auto" w:fill="auto"/>
            <w:vAlign w:val="center"/>
          </w:tcPr>
          <w:p w14:paraId="7586FDD8" w14:textId="77777777" w:rsidR="001B4E9C" w:rsidRPr="00B07FB9" w:rsidRDefault="001B4E9C" w:rsidP="000C6F49">
            <w:pPr>
              <w:pStyle w:val="TableText0"/>
              <w:keepNext w:val="0"/>
              <w:widowControl w:val="0"/>
              <w:rPr>
                <w:b/>
              </w:rPr>
            </w:pPr>
            <w:r w:rsidRPr="00B07FB9">
              <w:rPr>
                <w:b/>
              </w:rPr>
              <w:t>Non-</w:t>
            </w:r>
            <w:proofErr w:type="spellStart"/>
            <w:r w:rsidRPr="00B07FB9">
              <w:rPr>
                <w:b/>
              </w:rPr>
              <w:t>BRCAm</w:t>
            </w:r>
            <w:proofErr w:type="spellEnd"/>
          </w:p>
        </w:tc>
      </w:tr>
      <w:tr w:rsidR="001B4E9C" w:rsidRPr="00B07FB9" w14:paraId="77ED9532" w14:textId="77777777" w:rsidTr="00AD5350">
        <w:tc>
          <w:tcPr>
            <w:tcW w:w="5000" w:type="pct"/>
            <w:gridSpan w:val="7"/>
            <w:shd w:val="clear" w:color="auto" w:fill="auto"/>
            <w:vAlign w:val="center"/>
          </w:tcPr>
          <w:p w14:paraId="691C2613" w14:textId="04162F46" w:rsidR="001B4E9C" w:rsidRPr="00B07FB9" w:rsidRDefault="001B4E9C" w:rsidP="000C6F49">
            <w:pPr>
              <w:pStyle w:val="TableText0"/>
              <w:keepNext w:val="0"/>
              <w:widowControl w:val="0"/>
              <w:rPr>
                <w:b/>
              </w:rPr>
            </w:pPr>
            <w:r w:rsidRPr="00B07FB9">
              <w:rPr>
                <w:b/>
              </w:rPr>
              <w:t>Niraparib vs. placebo</w:t>
            </w:r>
          </w:p>
        </w:tc>
      </w:tr>
      <w:tr w:rsidR="001B4E9C" w:rsidRPr="00B07FB9" w14:paraId="29BD5C30" w14:textId="77777777" w:rsidTr="00FE32BA">
        <w:tc>
          <w:tcPr>
            <w:tcW w:w="726" w:type="pct"/>
            <w:shd w:val="clear" w:color="auto" w:fill="auto"/>
            <w:vAlign w:val="center"/>
          </w:tcPr>
          <w:p w14:paraId="70818763" w14:textId="6A8157FB" w:rsidR="001B4E9C" w:rsidRPr="00B07FB9" w:rsidRDefault="001B6BA7" w:rsidP="000C6F49">
            <w:pPr>
              <w:pStyle w:val="TableText0"/>
              <w:keepNext w:val="0"/>
              <w:widowControl w:val="0"/>
              <w:rPr>
                <w:vertAlign w:val="superscript"/>
              </w:rPr>
            </w:pPr>
            <w:proofErr w:type="spellStart"/>
            <w:r w:rsidRPr="00B07FB9">
              <w:t>PRIMA</w:t>
            </w:r>
            <w:r w:rsidRPr="00B07FB9">
              <w:rPr>
                <w:vertAlign w:val="superscript"/>
              </w:rPr>
              <w:t>a</w:t>
            </w:r>
            <w:proofErr w:type="spellEnd"/>
          </w:p>
        </w:tc>
        <w:tc>
          <w:tcPr>
            <w:tcW w:w="473" w:type="pct"/>
            <w:shd w:val="clear" w:color="auto" w:fill="auto"/>
            <w:vAlign w:val="center"/>
          </w:tcPr>
          <w:p w14:paraId="3433D448" w14:textId="77777777" w:rsidR="001B4E9C" w:rsidRPr="00B07FB9" w:rsidRDefault="001B4E9C" w:rsidP="000C6F49">
            <w:pPr>
              <w:pStyle w:val="TableText0"/>
              <w:keepNext w:val="0"/>
              <w:widowControl w:val="0"/>
              <w:jc w:val="center"/>
            </w:pPr>
            <w:r w:rsidRPr="00B07FB9">
              <w:t>473</w:t>
            </w:r>
          </w:p>
        </w:tc>
        <w:tc>
          <w:tcPr>
            <w:tcW w:w="1078" w:type="pct"/>
            <w:shd w:val="clear" w:color="auto" w:fill="auto"/>
            <w:vAlign w:val="center"/>
          </w:tcPr>
          <w:p w14:paraId="4363969D" w14:textId="0D177ED8" w:rsidR="001B4E9C" w:rsidRPr="00B07FB9" w:rsidRDefault="001B4E9C" w:rsidP="000C6F49">
            <w:pPr>
              <w:pStyle w:val="TableText0"/>
              <w:keepNext w:val="0"/>
              <w:widowControl w:val="0"/>
              <w:jc w:val="center"/>
            </w:pPr>
            <w:r w:rsidRPr="00B07FB9">
              <w:t>Subgroup analysis of RCT</w:t>
            </w:r>
            <w:r w:rsidR="00B075BE" w:rsidRPr="00B07FB9">
              <w:t>, DB</w:t>
            </w:r>
          </w:p>
          <w:p w14:paraId="5E95D150" w14:textId="67D786BC" w:rsidR="001B4E9C" w:rsidRPr="00B07FB9" w:rsidRDefault="00FE32BA" w:rsidP="000C6F49">
            <w:pPr>
              <w:pStyle w:val="TableText0"/>
              <w:keepNext w:val="0"/>
              <w:widowControl w:val="0"/>
              <w:jc w:val="center"/>
              <w:rPr>
                <w:vertAlign w:val="superscript"/>
              </w:rPr>
            </w:pPr>
            <w:r w:rsidRPr="00B07FB9">
              <w:t xml:space="preserve">Niraparib 15.0 </w:t>
            </w:r>
            <w:proofErr w:type="spellStart"/>
            <w:r w:rsidRPr="00B07FB9">
              <w:t>mths</w:t>
            </w:r>
            <w:proofErr w:type="spellEnd"/>
            <w:r w:rsidRPr="00B07FB9">
              <w:t xml:space="preserve"> Placebo 15.4 </w:t>
            </w:r>
            <w:proofErr w:type="spellStart"/>
            <w:r w:rsidRPr="00B07FB9">
              <w:t>mths</w:t>
            </w:r>
            <w:r w:rsidR="00D8575E" w:rsidRPr="00B07FB9">
              <w:rPr>
                <w:vertAlign w:val="superscript"/>
              </w:rPr>
              <w:t>b</w:t>
            </w:r>
            <w:proofErr w:type="spellEnd"/>
          </w:p>
        </w:tc>
        <w:tc>
          <w:tcPr>
            <w:tcW w:w="471" w:type="pct"/>
            <w:shd w:val="clear" w:color="auto" w:fill="auto"/>
            <w:vAlign w:val="center"/>
          </w:tcPr>
          <w:p w14:paraId="348BC075" w14:textId="68F74260" w:rsidR="001B4E9C" w:rsidRPr="00B07FB9" w:rsidRDefault="001B4E9C" w:rsidP="000C6F49">
            <w:pPr>
              <w:pStyle w:val="TableText0"/>
              <w:keepNext w:val="0"/>
              <w:widowControl w:val="0"/>
              <w:jc w:val="center"/>
              <w:rPr>
                <w:vertAlign w:val="superscript"/>
              </w:rPr>
            </w:pPr>
            <w:proofErr w:type="spellStart"/>
            <w:r w:rsidRPr="00B07FB9">
              <w:t>High</w:t>
            </w:r>
            <w:r w:rsidR="00D91669" w:rsidRPr="00B07FB9">
              <w:rPr>
                <w:vertAlign w:val="superscript"/>
              </w:rPr>
              <w:t>c</w:t>
            </w:r>
            <w:proofErr w:type="spellEnd"/>
          </w:p>
        </w:tc>
        <w:tc>
          <w:tcPr>
            <w:tcW w:w="864" w:type="pct"/>
            <w:shd w:val="clear" w:color="auto" w:fill="auto"/>
            <w:vAlign w:val="center"/>
          </w:tcPr>
          <w:p w14:paraId="70630C89" w14:textId="512DC110" w:rsidR="001B4E9C" w:rsidRPr="00B07FB9" w:rsidRDefault="001B4E9C" w:rsidP="000C6F49">
            <w:pPr>
              <w:pStyle w:val="TableText0"/>
              <w:keepNext w:val="0"/>
              <w:widowControl w:val="0"/>
            </w:pPr>
            <w:r w:rsidRPr="00B07FB9">
              <w:t>Non-</w:t>
            </w:r>
            <w:proofErr w:type="spellStart"/>
            <w:r w:rsidRPr="00B07FB9">
              <w:t>BRCAm</w:t>
            </w:r>
            <w:proofErr w:type="spellEnd"/>
            <w:r w:rsidRPr="00B07FB9">
              <w:t xml:space="preserve"> patients with NDA, high-grade ovarian cancer who </w:t>
            </w:r>
            <w:r w:rsidR="00D91669" w:rsidRPr="00B07FB9">
              <w:t>had</w:t>
            </w:r>
            <w:r w:rsidRPr="00B07FB9">
              <w:t xml:space="preserve"> PR or CR to PBC</w:t>
            </w:r>
          </w:p>
        </w:tc>
        <w:tc>
          <w:tcPr>
            <w:tcW w:w="629" w:type="pct"/>
            <w:shd w:val="clear" w:color="auto" w:fill="auto"/>
            <w:vAlign w:val="center"/>
          </w:tcPr>
          <w:p w14:paraId="22E4E147" w14:textId="77777777" w:rsidR="001B4E9C" w:rsidRPr="00B07FB9" w:rsidRDefault="001B4E9C" w:rsidP="000C6F49">
            <w:pPr>
              <w:pStyle w:val="TableText0"/>
              <w:keepNext w:val="0"/>
              <w:widowControl w:val="0"/>
            </w:pPr>
            <w:r w:rsidRPr="00B07FB9">
              <w:t>PFS, OS, AEs</w:t>
            </w:r>
          </w:p>
        </w:tc>
        <w:tc>
          <w:tcPr>
            <w:tcW w:w="759" w:type="pct"/>
            <w:shd w:val="clear" w:color="auto" w:fill="auto"/>
            <w:vAlign w:val="center"/>
          </w:tcPr>
          <w:p w14:paraId="41A31DDC" w14:textId="77777777" w:rsidR="001B4E9C" w:rsidRPr="00B07FB9" w:rsidRDefault="001B4E9C" w:rsidP="000C6F49">
            <w:pPr>
              <w:pStyle w:val="TableText0"/>
              <w:keepNext w:val="0"/>
              <w:widowControl w:val="0"/>
              <w:jc w:val="center"/>
            </w:pPr>
            <w:r w:rsidRPr="00B07FB9">
              <w:t>Used</w:t>
            </w:r>
          </w:p>
        </w:tc>
      </w:tr>
    </w:tbl>
    <w:p w14:paraId="60865A0E" w14:textId="75A98FAE" w:rsidR="001B4E9C" w:rsidRPr="00B07FB9" w:rsidRDefault="00433E8F" w:rsidP="000C6F49">
      <w:pPr>
        <w:pStyle w:val="TableFigureFooter"/>
        <w:widowControl w:val="0"/>
      </w:pPr>
      <w:r w:rsidRPr="00B07FB9">
        <w:t>AE</w:t>
      </w:r>
      <w:r w:rsidR="00992C6D" w:rsidRPr="00B07FB9">
        <w:t>s</w:t>
      </w:r>
      <w:r w:rsidRPr="00B07FB9">
        <w:t xml:space="preserve"> = adverse event</w:t>
      </w:r>
      <w:r w:rsidR="00992C6D" w:rsidRPr="00B07FB9">
        <w:t>s</w:t>
      </w:r>
      <w:r w:rsidRPr="00B07FB9">
        <w:t xml:space="preserve">; CR = complete response; </w:t>
      </w:r>
      <w:r w:rsidR="001B4E9C" w:rsidRPr="00B07FB9">
        <w:t xml:space="preserve">DB = double blind; </w:t>
      </w:r>
      <w:proofErr w:type="spellStart"/>
      <w:r w:rsidR="001B4E9C" w:rsidRPr="00B07FB9">
        <w:t>mths</w:t>
      </w:r>
      <w:proofErr w:type="spellEnd"/>
      <w:r w:rsidR="001B4E9C" w:rsidRPr="00B07FB9">
        <w:t xml:space="preserve"> = months; NDA = newly diagnosed, advanced; </w:t>
      </w:r>
      <w:r w:rsidRPr="00B07FB9">
        <w:t>OS = overall survival; PBC = platinum</w:t>
      </w:r>
      <w:r w:rsidR="00B075BE" w:rsidRPr="00B07FB9">
        <w:t>-</w:t>
      </w:r>
      <w:r w:rsidRPr="00B07FB9">
        <w:t xml:space="preserve">based chemotherapy; PFS = progression-free survival; </w:t>
      </w:r>
      <w:r w:rsidR="001B4E9C" w:rsidRPr="00B07FB9">
        <w:t xml:space="preserve">PR = partial response; </w:t>
      </w:r>
      <w:r w:rsidRPr="00B07FB9">
        <w:t>RCT = randomised controlled trial</w:t>
      </w:r>
    </w:p>
    <w:p w14:paraId="1D39A2E8" w14:textId="3163C639" w:rsidR="001B4E9C" w:rsidRPr="00B07FB9" w:rsidRDefault="001B6BA7" w:rsidP="000C6F49">
      <w:pPr>
        <w:pStyle w:val="TableFigureFooter"/>
        <w:widowControl w:val="0"/>
      </w:pPr>
      <w:r w:rsidRPr="00B07FB9">
        <w:rPr>
          <w:vertAlign w:val="superscript"/>
        </w:rPr>
        <w:t xml:space="preserve">a </w:t>
      </w:r>
      <w:r w:rsidR="001B4E9C" w:rsidRPr="00B07FB9">
        <w:t>Patients were stratified by the use of neoadjuvant chemotherapy (yes or no), best response to platinum therapy (CR or PR), and homologous recombination deficiency test status (positive or negative/not determined)</w:t>
      </w:r>
    </w:p>
    <w:p w14:paraId="472B4D43" w14:textId="315C64DE" w:rsidR="001B4E9C" w:rsidRPr="00B07FB9" w:rsidRDefault="001B6BA7" w:rsidP="000C6F49">
      <w:pPr>
        <w:pStyle w:val="TableFigureFooter"/>
        <w:widowControl w:val="0"/>
      </w:pPr>
      <w:r w:rsidRPr="00B07FB9">
        <w:rPr>
          <w:vertAlign w:val="superscript"/>
        </w:rPr>
        <w:t xml:space="preserve">b </w:t>
      </w:r>
      <w:r w:rsidR="001B4E9C" w:rsidRPr="00B07FB9">
        <w:t>Median duration of follow up for OS</w:t>
      </w:r>
    </w:p>
    <w:p w14:paraId="633FD8E8" w14:textId="5AA9C716" w:rsidR="001B4E9C" w:rsidRPr="00B07FB9" w:rsidRDefault="00D91669" w:rsidP="00425BFE">
      <w:pPr>
        <w:pStyle w:val="TableFigureFooter"/>
        <w:widowControl w:val="0"/>
        <w:spacing w:after="140"/>
      </w:pPr>
      <w:r w:rsidRPr="00B07FB9">
        <w:rPr>
          <w:vertAlign w:val="superscript"/>
        </w:rPr>
        <w:t>c</w:t>
      </w:r>
      <w:r w:rsidRPr="00B07FB9">
        <w:t xml:space="preserve"> Subgroup was not pre-specified and there was no stratified randomisation.</w:t>
      </w:r>
    </w:p>
    <w:p w14:paraId="237126C2" w14:textId="0DD20C81" w:rsidR="001B4E9C" w:rsidRPr="00B07FB9" w:rsidRDefault="001B4E9C" w:rsidP="000C6F49">
      <w:pPr>
        <w:pStyle w:val="3-BodyText"/>
        <w:widowControl w:val="0"/>
        <w:rPr>
          <w:szCs w:val="18"/>
        </w:rPr>
      </w:pPr>
      <w:bookmarkStart w:id="18" w:name="_Ref99050809"/>
      <w:r w:rsidRPr="00B07FB9">
        <w:rPr>
          <w:szCs w:val="18"/>
        </w:rPr>
        <w:t xml:space="preserve">As BRCA status was not a stratification factor in the PRIMA trial, the </w:t>
      </w:r>
      <w:proofErr w:type="spellStart"/>
      <w:r w:rsidRPr="00B07FB9">
        <w:rPr>
          <w:szCs w:val="18"/>
        </w:rPr>
        <w:t>BRCAm</w:t>
      </w:r>
      <w:proofErr w:type="spellEnd"/>
      <w:r w:rsidRPr="00B07FB9">
        <w:rPr>
          <w:szCs w:val="18"/>
        </w:rPr>
        <w:t xml:space="preserve"> and non</w:t>
      </w:r>
      <w:r w:rsidR="00A437CA" w:rsidRPr="00B07FB9">
        <w:rPr>
          <w:szCs w:val="18"/>
        </w:rPr>
        <w:noBreakHyphen/>
      </w:r>
      <w:r w:rsidRPr="00B07FB9">
        <w:rPr>
          <w:szCs w:val="18"/>
        </w:rPr>
        <w:t>BRCA subgroups were effectively non-randomised</w:t>
      </w:r>
      <w:r w:rsidR="00D91669" w:rsidRPr="00B07FB9">
        <w:rPr>
          <w:szCs w:val="18"/>
        </w:rPr>
        <w:t xml:space="preserve"> and therefore at high risk of bias</w:t>
      </w:r>
      <w:r w:rsidRPr="00B07FB9">
        <w:rPr>
          <w:szCs w:val="18"/>
        </w:rPr>
        <w:t xml:space="preserve">. The subgroup analysis </w:t>
      </w:r>
      <w:r w:rsidR="00E4682D" w:rsidRPr="00B07FB9">
        <w:rPr>
          <w:szCs w:val="18"/>
        </w:rPr>
        <w:t>results were</w:t>
      </w:r>
      <w:r w:rsidRPr="00B07FB9">
        <w:rPr>
          <w:szCs w:val="18"/>
        </w:rPr>
        <w:t xml:space="preserve"> </w:t>
      </w:r>
      <w:r w:rsidR="00D91669" w:rsidRPr="00B07FB9">
        <w:rPr>
          <w:szCs w:val="18"/>
        </w:rPr>
        <w:t xml:space="preserve">likely </w:t>
      </w:r>
      <w:r w:rsidRPr="00B07FB9">
        <w:rPr>
          <w:szCs w:val="18"/>
        </w:rPr>
        <w:t>confound</w:t>
      </w:r>
      <w:r w:rsidR="00D91669" w:rsidRPr="00B07FB9">
        <w:rPr>
          <w:szCs w:val="18"/>
        </w:rPr>
        <w:t>ed</w:t>
      </w:r>
      <w:r w:rsidRPr="00B07FB9">
        <w:rPr>
          <w:szCs w:val="18"/>
        </w:rPr>
        <w:t>, given the observed differences in patient baseline characteristics between the two treatment arms in the</w:t>
      </w:r>
      <w:r w:rsidR="001B6BA7" w:rsidRPr="00B07FB9">
        <w:rPr>
          <w:szCs w:val="18"/>
        </w:rPr>
        <w:t>se</w:t>
      </w:r>
      <w:r w:rsidRPr="00B07FB9">
        <w:rPr>
          <w:szCs w:val="18"/>
        </w:rPr>
        <w:t xml:space="preserve"> subgroups.</w:t>
      </w:r>
      <w:bookmarkEnd w:id="18"/>
    </w:p>
    <w:p w14:paraId="46E89839" w14:textId="1060E2BD" w:rsidR="001B4E9C" w:rsidRPr="00B07FB9" w:rsidRDefault="001B4E9C" w:rsidP="000C6F49">
      <w:pPr>
        <w:pStyle w:val="3-BodyText"/>
        <w:widowControl w:val="0"/>
        <w:rPr>
          <w:szCs w:val="18"/>
        </w:rPr>
      </w:pPr>
      <w:r w:rsidRPr="00B07FB9">
        <w:rPr>
          <w:szCs w:val="18"/>
        </w:rPr>
        <w:t xml:space="preserve">The indirect comparison between niraparib and </w:t>
      </w:r>
      <w:proofErr w:type="spellStart"/>
      <w:r w:rsidRPr="00B07FB9">
        <w:rPr>
          <w:szCs w:val="18"/>
        </w:rPr>
        <w:t>olaparib</w:t>
      </w:r>
      <w:proofErr w:type="spellEnd"/>
      <w:r w:rsidRPr="00B07FB9">
        <w:rPr>
          <w:szCs w:val="18"/>
        </w:rPr>
        <w:t xml:space="preserve"> w</w:t>
      </w:r>
      <w:r w:rsidR="003A423F" w:rsidRPr="00B07FB9">
        <w:rPr>
          <w:szCs w:val="18"/>
        </w:rPr>
        <w:t>as</w:t>
      </w:r>
      <w:r w:rsidRPr="00B07FB9">
        <w:rPr>
          <w:szCs w:val="18"/>
        </w:rPr>
        <w:t xml:space="preserve"> based on the </w:t>
      </w:r>
      <w:proofErr w:type="spellStart"/>
      <w:r w:rsidRPr="00B07FB9">
        <w:rPr>
          <w:szCs w:val="18"/>
        </w:rPr>
        <w:t>BRCAm</w:t>
      </w:r>
      <w:proofErr w:type="spellEnd"/>
      <w:r w:rsidRPr="00B07FB9">
        <w:rPr>
          <w:szCs w:val="18"/>
        </w:rPr>
        <w:t xml:space="preserve"> subgroup in PRIMA and </w:t>
      </w:r>
      <w:r w:rsidR="001B6BA7" w:rsidRPr="00B07FB9">
        <w:rPr>
          <w:szCs w:val="18"/>
        </w:rPr>
        <w:t>intention-to-treatment (</w:t>
      </w:r>
      <w:r w:rsidRPr="00B07FB9">
        <w:rPr>
          <w:szCs w:val="18"/>
        </w:rPr>
        <w:t>ITT</w:t>
      </w:r>
      <w:r w:rsidR="001B6BA7" w:rsidRPr="00B07FB9">
        <w:rPr>
          <w:szCs w:val="18"/>
        </w:rPr>
        <w:t>) population</w:t>
      </w:r>
      <w:r w:rsidRPr="00B07FB9">
        <w:rPr>
          <w:szCs w:val="18"/>
        </w:rPr>
        <w:t xml:space="preserve"> in SOLO-1, or the subgroup of SOLO-1 (excluding Stage III R0 post PDS patients)</w:t>
      </w:r>
      <w:r w:rsidR="00433E8F" w:rsidRPr="00B07FB9">
        <w:rPr>
          <w:szCs w:val="18"/>
        </w:rPr>
        <w:t>;</w:t>
      </w:r>
      <w:r w:rsidRPr="00B07FB9">
        <w:rPr>
          <w:szCs w:val="18"/>
        </w:rPr>
        <w:t xml:space="preserve"> therefore</w:t>
      </w:r>
      <w:r w:rsidR="00433E8F" w:rsidRPr="00B07FB9">
        <w:rPr>
          <w:szCs w:val="18"/>
        </w:rPr>
        <w:t>,</w:t>
      </w:r>
      <w:r w:rsidRPr="00B07FB9">
        <w:rPr>
          <w:szCs w:val="18"/>
        </w:rPr>
        <w:t xml:space="preserve"> the comparison was </w:t>
      </w:r>
      <w:r w:rsidR="00D91669" w:rsidRPr="00B07FB9">
        <w:rPr>
          <w:szCs w:val="18"/>
        </w:rPr>
        <w:t>at risk of</w:t>
      </w:r>
      <w:r w:rsidRPr="00B07FB9">
        <w:rPr>
          <w:szCs w:val="18"/>
        </w:rPr>
        <w:t xml:space="preserve"> bias.</w:t>
      </w:r>
    </w:p>
    <w:p w14:paraId="6424A1F0" w14:textId="4096763C" w:rsidR="001B4E9C" w:rsidRPr="00B07FB9" w:rsidRDefault="001B4E9C" w:rsidP="000C6F49">
      <w:pPr>
        <w:pStyle w:val="3-BodyText"/>
        <w:widowControl w:val="0"/>
        <w:rPr>
          <w:szCs w:val="18"/>
        </w:rPr>
      </w:pPr>
      <w:bookmarkStart w:id="19" w:name="_Ref98863183"/>
      <w:r w:rsidRPr="00B07FB9">
        <w:rPr>
          <w:szCs w:val="18"/>
        </w:rPr>
        <w:t xml:space="preserve">In comparison with the placebo arm, the niraparib arm of the </w:t>
      </w:r>
      <w:proofErr w:type="spellStart"/>
      <w:r w:rsidRPr="00B07FB9">
        <w:rPr>
          <w:szCs w:val="18"/>
        </w:rPr>
        <w:t>BRCAm</w:t>
      </w:r>
      <w:proofErr w:type="spellEnd"/>
      <w:r w:rsidRPr="00B07FB9">
        <w:rPr>
          <w:szCs w:val="18"/>
        </w:rPr>
        <w:t xml:space="preserve"> subgroup had more patients with a performance status of 1 (27% vs. 17%), fewer patients ha</w:t>
      </w:r>
      <w:r w:rsidR="00D91669" w:rsidRPr="00B07FB9">
        <w:rPr>
          <w:szCs w:val="18"/>
        </w:rPr>
        <w:t>d</w:t>
      </w:r>
      <w:r w:rsidRPr="00B07FB9">
        <w:rPr>
          <w:szCs w:val="18"/>
        </w:rPr>
        <w:t xml:space="preserve"> Stage IV disease (34% vs 48%) and fewer patients </w:t>
      </w:r>
      <w:r w:rsidR="00D91669" w:rsidRPr="00B07FB9">
        <w:rPr>
          <w:szCs w:val="18"/>
        </w:rPr>
        <w:t xml:space="preserve">had </w:t>
      </w:r>
      <w:r w:rsidRPr="00B07FB9">
        <w:rPr>
          <w:szCs w:val="18"/>
        </w:rPr>
        <w:t xml:space="preserve">visible residual disease (R1 or R2) following prior cytoreductive surgery (32% vs. </w:t>
      </w:r>
      <w:r w:rsidR="001E521C" w:rsidRPr="00B07FB9">
        <w:rPr>
          <w:szCs w:val="18"/>
        </w:rPr>
        <w:t>3</w:t>
      </w:r>
      <w:r w:rsidRPr="00B07FB9">
        <w:rPr>
          <w:szCs w:val="18"/>
        </w:rPr>
        <w:t xml:space="preserve">9%). As all patients included in the PRIMA trial had a relatively good performance status (0 or 1), it is expected that the </w:t>
      </w:r>
      <w:r w:rsidRPr="00B07FB9">
        <w:rPr>
          <w:szCs w:val="18"/>
        </w:rPr>
        <w:lastRenderedPageBreak/>
        <w:t xml:space="preserve">impact of the difference in the proportion of patients with a performance status of 1 on prognosis would be modest. The presence of metastases and presence of residual disease after surgery are poor prognostic factors, the imbalanced distribution of these two characteristics between the niraparib and placebo arms </w:t>
      </w:r>
      <w:r w:rsidR="00AB3616" w:rsidRPr="00B07FB9">
        <w:rPr>
          <w:szCs w:val="18"/>
        </w:rPr>
        <w:t xml:space="preserve">in the </w:t>
      </w:r>
      <w:proofErr w:type="spellStart"/>
      <w:r w:rsidR="00AB3616" w:rsidRPr="00B07FB9">
        <w:rPr>
          <w:szCs w:val="18"/>
        </w:rPr>
        <w:t>BRCAm</w:t>
      </w:r>
      <w:proofErr w:type="spellEnd"/>
      <w:r w:rsidR="00AB3616" w:rsidRPr="00B07FB9">
        <w:rPr>
          <w:szCs w:val="18"/>
        </w:rPr>
        <w:t xml:space="preserve"> subgroup of</w:t>
      </w:r>
      <w:r w:rsidRPr="00B07FB9">
        <w:rPr>
          <w:szCs w:val="18"/>
        </w:rPr>
        <w:t xml:space="preserve"> PRIMA </w:t>
      </w:r>
      <w:r w:rsidR="00D91669" w:rsidRPr="00B07FB9">
        <w:rPr>
          <w:szCs w:val="18"/>
        </w:rPr>
        <w:t>likely</w:t>
      </w:r>
      <w:r w:rsidRPr="00B07FB9">
        <w:rPr>
          <w:szCs w:val="18"/>
        </w:rPr>
        <w:t xml:space="preserve"> favour</w:t>
      </w:r>
      <w:r w:rsidR="00D91669" w:rsidRPr="00B07FB9">
        <w:rPr>
          <w:szCs w:val="18"/>
        </w:rPr>
        <w:t>ed</w:t>
      </w:r>
      <w:r w:rsidRPr="00B07FB9">
        <w:rPr>
          <w:szCs w:val="18"/>
        </w:rPr>
        <w:t xml:space="preserve"> niraparib.</w:t>
      </w:r>
      <w:r w:rsidR="00433E8F" w:rsidRPr="00B07FB9">
        <w:rPr>
          <w:szCs w:val="18"/>
        </w:rPr>
        <w:t xml:space="preserve"> The</w:t>
      </w:r>
      <w:r w:rsidR="00D91669" w:rsidRPr="00B07FB9">
        <w:rPr>
          <w:szCs w:val="18"/>
        </w:rPr>
        <w:t>se prognostic</w:t>
      </w:r>
      <w:r w:rsidR="00433E8F" w:rsidRPr="00B07FB9">
        <w:rPr>
          <w:szCs w:val="18"/>
        </w:rPr>
        <w:t xml:space="preserve"> differences were in the opposite direction in the non-</w:t>
      </w:r>
      <w:proofErr w:type="spellStart"/>
      <w:r w:rsidR="00433E8F" w:rsidRPr="00B07FB9">
        <w:rPr>
          <w:szCs w:val="18"/>
        </w:rPr>
        <w:t>BRCAm</w:t>
      </w:r>
      <w:proofErr w:type="spellEnd"/>
      <w:r w:rsidR="00433E8F" w:rsidRPr="00B07FB9">
        <w:rPr>
          <w:szCs w:val="18"/>
        </w:rPr>
        <w:t xml:space="preserve"> patients, but </w:t>
      </w:r>
      <w:r w:rsidR="00D91669" w:rsidRPr="00B07FB9">
        <w:rPr>
          <w:szCs w:val="18"/>
        </w:rPr>
        <w:t>the differences were smaller</w:t>
      </w:r>
      <w:r w:rsidR="00433E8F" w:rsidRPr="00B07FB9">
        <w:rPr>
          <w:szCs w:val="18"/>
        </w:rPr>
        <w:t xml:space="preserve"> due to the relatively larger sample size of this subgroup.</w:t>
      </w:r>
      <w:bookmarkEnd w:id="19"/>
    </w:p>
    <w:p w14:paraId="6C656F38" w14:textId="64864B78" w:rsidR="001B4E9C" w:rsidRPr="00B07FB9" w:rsidRDefault="001B4E9C" w:rsidP="000C6F49">
      <w:pPr>
        <w:pStyle w:val="3-BodyText"/>
        <w:widowControl w:val="0"/>
        <w:rPr>
          <w:szCs w:val="18"/>
        </w:rPr>
      </w:pPr>
      <w:r w:rsidRPr="00B07FB9">
        <w:rPr>
          <w:szCs w:val="18"/>
        </w:rPr>
        <w:t xml:space="preserve">The resubmission noted that patients with Stage III R0 PDS were excluded from </w:t>
      </w:r>
      <w:r w:rsidR="00C515C5" w:rsidRPr="00B07FB9">
        <w:rPr>
          <w:szCs w:val="18"/>
        </w:rPr>
        <w:t>PRIMA</w:t>
      </w:r>
      <w:r w:rsidRPr="00B07FB9">
        <w:rPr>
          <w:szCs w:val="18"/>
        </w:rPr>
        <w:t xml:space="preserve">, while these patients were included in </w:t>
      </w:r>
      <w:r w:rsidR="00C515C5" w:rsidRPr="00B07FB9">
        <w:rPr>
          <w:szCs w:val="18"/>
        </w:rPr>
        <w:t>SOLO</w:t>
      </w:r>
      <w:r w:rsidR="00C515C5" w:rsidRPr="00B07FB9">
        <w:rPr>
          <w:szCs w:val="18"/>
        </w:rPr>
        <w:noBreakHyphen/>
      </w:r>
      <w:r w:rsidR="008D04C0" w:rsidRPr="00B07FB9">
        <w:rPr>
          <w:szCs w:val="18"/>
        </w:rPr>
        <w:t>1</w:t>
      </w:r>
      <w:r w:rsidRPr="00B07FB9">
        <w:rPr>
          <w:szCs w:val="18"/>
        </w:rPr>
        <w:t xml:space="preserve">. The resubmission thus performed a sensitivity analysis for the indirect comparison by excluding patients with Stage III R0 post PDS from SOLO-1. In the subgroup analysis that excluded Stage III R0 post PDS patients in SOLO-1, a higher proportion of placebo-treated patients had metastatic disease at baseline than those treated with </w:t>
      </w:r>
      <w:proofErr w:type="spellStart"/>
      <w:r w:rsidRPr="00B07FB9">
        <w:rPr>
          <w:szCs w:val="18"/>
        </w:rPr>
        <w:t>olaparib</w:t>
      </w:r>
      <w:proofErr w:type="spellEnd"/>
      <w:r w:rsidRPr="00B07FB9">
        <w:rPr>
          <w:szCs w:val="18"/>
        </w:rPr>
        <w:t xml:space="preserve"> (36% vs. 27%). Th</w:t>
      </w:r>
      <w:r w:rsidR="0004258D" w:rsidRPr="00B07FB9">
        <w:rPr>
          <w:szCs w:val="18"/>
        </w:rPr>
        <w:t>e</w:t>
      </w:r>
      <w:r w:rsidRPr="00B07FB9">
        <w:rPr>
          <w:szCs w:val="18"/>
        </w:rPr>
        <w:t>s</w:t>
      </w:r>
      <w:r w:rsidR="0004258D" w:rsidRPr="00B07FB9">
        <w:rPr>
          <w:szCs w:val="18"/>
        </w:rPr>
        <w:t>e</w:t>
      </w:r>
      <w:r w:rsidRPr="00B07FB9">
        <w:rPr>
          <w:szCs w:val="18"/>
        </w:rPr>
        <w:t xml:space="preserve"> subgroup results, therefore, </w:t>
      </w:r>
      <w:r w:rsidR="00D91669" w:rsidRPr="00B07FB9">
        <w:rPr>
          <w:szCs w:val="18"/>
        </w:rPr>
        <w:t>may have</w:t>
      </w:r>
      <w:r w:rsidRPr="00B07FB9">
        <w:rPr>
          <w:szCs w:val="18"/>
        </w:rPr>
        <w:t xml:space="preserve"> favour</w:t>
      </w:r>
      <w:r w:rsidR="00D91669" w:rsidRPr="00B07FB9">
        <w:rPr>
          <w:szCs w:val="18"/>
        </w:rPr>
        <w:t>ed</w:t>
      </w:r>
      <w:r w:rsidRPr="00B07FB9">
        <w:rPr>
          <w:szCs w:val="18"/>
        </w:rPr>
        <w:t xml:space="preserve"> </w:t>
      </w:r>
      <w:proofErr w:type="spellStart"/>
      <w:r w:rsidRPr="00B07FB9">
        <w:rPr>
          <w:szCs w:val="18"/>
        </w:rPr>
        <w:t>olaparib</w:t>
      </w:r>
      <w:proofErr w:type="spellEnd"/>
      <w:r w:rsidRPr="00B07FB9">
        <w:rPr>
          <w:szCs w:val="18"/>
        </w:rPr>
        <w:t>.</w:t>
      </w:r>
      <w:r w:rsidR="00C515C5" w:rsidRPr="00B07FB9">
        <w:rPr>
          <w:szCs w:val="18"/>
        </w:rPr>
        <w:t xml:space="preserve"> </w:t>
      </w:r>
    </w:p>
    <w:p w14:paraId="5179574B" w14:textId="3F6009F2" w:rsidR="00895BAC" w:rsidRPr="00B07FB9" w:rsidRDefault="001B4E9C" w:rsidP="000C6F49">
      <w:pPr>
        <w:pStyle w:val="3-BodyText"/>
        <w:widowControl w:val="0"/>
      </w:pPr>
      <w:r w:rsidRPr="00B07FB9">
        <w:rPr>
          <w:szCs w:val="18"/>
        </w:rPr>
        <w:t xml:space="preserve">The resubmission noted that </w:t>
      </w:r>
      <w:r w:rsidR="0004258D" w:rsidRPr="00B07FB9">
        <w:rPr>
          <w:szCs w:val="18"/>
        </w:rPr>
        <w:t xml:space="preserve">the </w:t>
      </w:r>
      <w:r w:rsidRPr="00B07FB9">
        <w:rPr>
          <w:szCs w:val="18"/>
        </w:rPr>
        <w:t xml:space="preserve">baseline risk in </w:t>
      </w:r>
      <w:r w:rsidR="0004258D" w:rsidRPr="00B07FB9">
        <w:rPr>
          <w:szCs w:val="18"/>
        </w:rPr>
        <w:t>patients in</w:t>
      </w:r>
      <w:r w:rsidRPr="00B07FB9">
        <w:rPr>
          <w:szCs w:val="18"/>
        </w:rPr>
        <w:t xml:space="preserve"> PRIMA was higher than that of SOLO-1. Such differences were largely attributable to the exclusion of Stage III R0 PDS patients from PRIMA. The inter-trial differences in disease stage, response to front-line treatment, type of debulking surgery and outcome of cytoreductive surgery became less evident or even disappeared when the </w:t>
      </w:r>
      <w:proofErr w:type="spellStart"/>
      <w:r w:rsidRPr="00B07FB9">
        <w:rPr>
          <w:szCs w:val="18"/>
        </w:rPr>
        <w:t>BRCAm</w:t>
      </w:r>
      <w:proofErr w:type="spellEnd"/>
      <w:r w:rsidRPr="00B07FB9">
        <w:rPr>
          <w:szCs w:val="18"/>
        </w:rPr>
        <w:t xml:space="preserve"> subgroup of PRIMA was compared with the subgroup of SOLO-1 after excluding the Stage III R0 PDS patients (Stage IV: 34-48% vs. 27%-36%; CR to primary treatment with chemotherapy: 74%-75% vs.73%-74%; PDS: 31% vs. 33%-37%; residual R1/R2 disease: 32%-39% vs. 38%-40%).</w:t>
      </w:r>
      <w:r w:rsidR="00427399" w:rsidRPr="00B07FB9">
        <w:rPr>
          <w:szCs w:val="18"/>
        </w:rPr>
        <w:t xml:space="preserve"> </w:t>
      </w:r>
    </w:p>
    <w:p w14:paraId="3FC7D8B9" w14:textId="25A4ABAF" w:rsidR="009E60E0" w:rsidRPr="00B07FB9" w:rsidRDefault="003A778A" w:rsidP="002365D7">
      <w:pPr>
        <w:pStyle w:val="3-BodyText"/>
        <w:widowControl w:val="0"/>
        <w:rPr>
          <w:szCs w:val="18"/>
        </w:rPr>
      </w:pPr>
      <w:bookmarkStart w:id="20" w:name="_Ref95730361"/>
      <w:r w:rsidRPr="00B07FB9">
        <w:rPr>
          <w:szCs w:val="18"/>
        </w:rPr>
        <w:t xml:space="preserve">The </w:t>
      </w:r>
      <w:r w:rsidR="00B231BB">
        <w:t>Pre-Sub-Committee Response</w:t>
      </w:r>
      <w:r w:rsidR="00B231BB" w:rsidRPr="00B07FB9">
        <w:rPr>
          <w:szCs w:val="18"/>
        </w:rPr>
        <w:t xml:space="preserve"> </w:t>
      </w:r>
      <w:r w:rsidR="00B231BB">
        <w:rPr>
          <w:szCs w:val="18"/>
        </w:rPr>
        <w:t>(</w:t>
      </w:r>
      <w:r w:rsidRPr="00B07FB9">
        <w:rPr>
          <w:szCs w:val="18"/>
        </w:rPr>
        <w:t>PSCR</w:t>
      </w:r>
      <w:r w:rsidR="00B231BB">
        <w:rPr>
          <w:szCs w:val="18"/>
        </w:rPr>
        <w:t>)</w:t>
      </w:r>
      <w:r w:rsidRPr="00B07FB9">
        <w:rPr>
          <w:szCs w:val="18"/>
        </w:rPr>
        <w:t xml:space="preserve"> </w:t>
      </w:r>
      <w:r w:rsidR="000248E0" w:rsidRPr="00B07FB9">
        <w:rPr>
          <w:szCs w:val="18"/>
        </w:rPr>
        <w:t>disagreed with the evaluation’s interpretation of potential imbalances in prognostic factors, including cytoreductive surgery and surgical outcome</w:t>
      </w:r>
      <w:r w:rsidR="00CF6F6F" w:rsidRPr="00B07FB9">
        <w:rPr>
          <w:szCs w:val="18"/>
        </w:rPr>
        <w:t>,</w:t>
      </w:r>
      <w:r w:rsidR="00E601DA" w:rsidRPr="00B07FB9">
        <w:rPr>
          <w:szCs w:val="18"/>
        </w:rPr>
        <w:t xml:space="preserve"> stating that </w:t>
      </w:r>
      <w:r w:rsidR="00CF6F6F" w:rsidRPr="00B07FB9">
        <w:rPr>
          <w:szCs w:val="18"/>
        </w:rPr>
        <w:t xml:space="preserve">it remains unknown whether the ITC is confounded by imbalances.  </w:t>
      </w:r>
    </w:p>
    <w:bookmarkEnd w:id="20"/>
    <w:p w14:paraId="2B4BCFCB" w14:textId="6A47B20C" w:rsidR="006963A7" w:rsidRPr="00B07FB9" w:rsidRDefault="006963A7" w:rsidP="003C6ACF">
      <w:pPr>
        <w:pStyle w:val="3-BodyText"/>
        <w:widowControl w:val="0"/>
        <w:numPr>
          <w:ilvl w:val="1"/>
          <w:numId w:val="11"/>
        </w:numPr>
        <w:ind w:hanging="294"/>
        <w:rPr>
          <w:szCs w:val="18"/>
        </w:rPr>
      </w:pPr>
      <w:r w:rsidRPr="00B07FB9">
        <w:rPr>
          <w:szCs w:val="18"/>
        </w:rPr>
        <w:t xml:space="preserve">The PSCR stated that baseline information regarding cytoreductive surgery (NACT-IDS and no surgery) and surgical outcome (R0, R1, R2 and unknown/missing) was not reported for SOLO-1 for the Stage III R0 PDS excluded subgroup. These values were calculated in the evaluation </w:t>
      </w:r>
      <w:r w:rsidRPr="00B07FB9">
        <w:t>by subtracting the Stage III R0 PDS patients (by definition, patients with R0 who underwent PDS)</w:t>
      </w:r>
      <w:r w:rsidRPr="00B07FB9">
        <w:rPr>
          <w:rFonts w:cstheme="minorHAnsi"/>
        </w:rPr>
        <w:t>.</w:t>
      </w:r>
      <w:r w:rsidRPr="00B07FB9">
        <w:rPr>
          <w:szCs w:val="18"/>
        </w:rPr>
        <w:t xml:space="preserve"> </w:t>
      </w:r>
    </w:p>
    <w:p w14:paraId="4ECCB0FB" w14:textId="518D6144" w:rsidR="0056295F" w:rsidRPr="00B07FB9" w:rsidRDefault="0056295F" w:rsidP="003C6ACF">
      <w:pPr>
        <w:pStyle w:val="3-BodyText"/>
        <w:widowControl w:val="0"/>
        <w:numPr>
          <w:ilvl w:val="1"/>
          <w:numId w:val="11"/>
        </w:numPr>
        <w:ind w:hanging="294"/>
        <w:rPr>
          <w:szCs w:val="18"/>
        </w:rPr>
      </w:pPr>
      <w:r w:rsidRPr="00B07FB9">
        <w:rPr>
          <w:szCs w:val="18"/>
        </w:rPr>
        <w:t xml:space="preserve">The ESC noted that there was </w:t>
      </w:r>
      <w:r w:rsidR="00CF6F6F" w:rsidRPr="00B07FB9">
        <w:rPr>
          <w:szCs w:val="18"/>
        </w:rPr>
        <w:t xml:space="preserve">also </w:t>
      </w:r>
      <w:r w:rsidRPr="00B07FB9">
        <w:rPr>
          <w:szCs w:val="18"/>
        </w:rPr>
        <w:t xml:space="preserve">some inconsistency with regard to </w:t>
      </w:r>
      <w:r w:rsidR="006746DE" w:rsidRPr="00B07FB9">
        <w:rPr>
          <w:szCs w:val="18"/>
        </w:rPr>
        <w:t>the reporting of surgical outcomes</w:t>
      </w:r>
      <w:r w:rsidR="001F45AD" w:rsidRPr="00B07FB9">
        <w:rPr>
          <w:szCs w:val="18"/>
        </w:rPr>
        <w:t xml:space="preserve"> between the SOLO-1 and PRIMA trials</w:t>
      </w:r>
      <w:r w:rsidR="006746DE" w:rsidRPr="00B07FB9">
        <w:rPr>
          <w:szCs w:val="18"/>
        </w:rPr>
        <w:t xml:space="preserve">. The PSCR noted that the UICC (8th Edition) classifies residual disease as: R0 = no residual tumour, R1 = microscopic residual tumour, R2 = macroscopic residual tumour. In the resubmission </w:t>
      </w:r>
      <w:r w:rsidR="0051351C" w:rsidRPr="00B07FB9">
        <w:rPr>
          <w:szCs w:val="18"/>
        </w:rPr>
        <w:t>residual disease was defined as:</w:t>
      </w:r>
      <w:r w:rsidR="006746DE" w:rsidRPr="00B07FB9">
        <w:rPr>
          <w:szCs w:val="18"/>
        </w:rPr>
        <w:t xml:space="preserve"> R0 </w:t>
      </w:r>
      <w:r w:rsidR="0051351C" w:rsidRPr="00B07FB9">
        <w:rPr>
          <w:szCs w:val="18"/>
        </w:rPr>
        <w:t>=</w:t>
      </w:r>
      <w:r w:rsidR="006746DE" w:rsidRPr="00B07FB9">
        <w:rPr>
          <w:szCs w:val="18"/>
        </w:rPr>
        <w:t xml:space="preserve"> nil visible residual disease</w:t>
      </w:r>
      <w:r w:rsidR="0051351C" w:rsidRPr="00B07FB9">
        <w:rPr>
          <w:szCs w:val="18"/>
        </w:rPr>
        <w:t xml:space="preserve">, </w:t>
      </w:r>
      <w:r w:rsidR="006746DE" w:rsidRPr="00B07FB9">
        <w:rPr>
          <w:szCs w:val="18"/>
        </w:rPr>
        <w:t xml:space="preserve">R1 </w:t>
      </w:r>
      <w:r w:rsidR="0051351C" w:rsidRPr="00B07FB9">
        <w:rPr>
          <w:szCs w:val="18"/>
        </w:rPr>
        <w:t>=</w:t>
      </w:r>
      <w:r w:rsidR="006746DE" w:rsidRPr="00B07FB9">
        <w:rPr>
          <w:szCs w:val="18"/>
        </w:rPr>
        <w:t xml:space="preserve"> &gt;0cm - ≤1cm residual disease </w:t>
      </w:r>
      <w:r w:rsidR="0051351C" w:rsidRPr="00B07FB9">
        <w:rPr>
          <w:szCs w:val="18"/>
        </w:rPr>
        <w:t xml:space="preserve">and </w:t>
      </w:r>
      <w:r w:rsidR="006746DE" w:rsidRPr="00B07FB9">
        <w:rPr>
          <w:szCs w:val="18"/>
        </w:rPr>
        <w:t xml:space="preserve">R2 </w:t>
      </w:r>
      <w:r w:rsidR="0051351C" w:rsidRPr="00B07FB9">
        <w:rPr>
          <w:szCs w:val="18"/>
        </w:rPr>
        <w:t>=</w:t>
      </w:r>
      <w:r w:rsidR="006746DE" w:rsidRPr="00B07FB9">
        <w:rPr>
          <w:szCs w:val="18"/>
        </w:rPr>
        <w:t xml:space="preserve"> &gt;1 cm disease</w:t>
      </w:r>
      <w:r w:rsidR="0051351C" w:rsidRPr="00B07FB9">
        <w:rPr>
          <w:szCs w:val="18"/>
        </w:rPr>
        <w:t xml:space="preserve">. The SOLO-1 trial publication reported results for patients with or without presence of macroscopic disease after debulking surgery. The evaluation interpreted the presence of macroscopic disease to include both R1 and R2, whereas the resubmission interpreted the presence of macroscopic disease </w:t>
      </w:r>
      <w:r w:rsidR="0051351C" w:rsidRPr="00B07FB9">
        <w:rPr>
          <w:szCs w:val="18"/>
        </w:rPr>
        <w:lastRenderedPageBreak/>
        <w:t xml:space="preserve">to include only R2. </w:t>
      </w:r>
      <w:r w:rsidR="001F45AD" w:rsidRPr="00B07FB9">
        <w:rPr>
          <w:szCs w:val="18"/>
        </w:rPr>
        <w:t>Based on this assumption</w:t>
      </w:r>
      <w:r w:rsidR="00354ECD" w:rsidRPr="00B07FB9">
        <w:rPr>
          <w:szCs w:val="18"/>
        </w:rPr>
        <w:t>,</w:t>
      </w:r>
      <w:r w:rsidR="001F45AD" w:rsidRPr="00B07FB9">
        <w:rPr>
          <w:szCs w:val="18"/>
        </w:rPr>
        <w:t xml:space="preserve"> t</w:t>
      </w:r>
      <w:r w:rsidR="00A72310" w:rsidRPr="00B07FB9">
        <w:rPr>
          <w:szCs w:val="18"/>
        </w:rPr>
        <w:t xml:space="preserve">he resubmission noted 4% of </w:t>
      </w:r>
      <w:proofErr w:type="spellStart"/>
      <w:r w:rsidR="001F45AD" w:rsidRPr="00B07FB9">
        <w:rPr>
          <w:szCs w:val="18"/>
        </w:rPr>
        <w:t>BRCAm</w:t>
      </w:r>
      <w:proofErr w:type="spellEnd"/>
      <w:r w:rsidR="001F45AD" w:rsidRPr="00B07FB9">
        <w:rPr>
          <w:szCs w:val="18"/>
        </w:rPr>
        <w:t xml:space="preserve"> </w:t>
      </w:r>
      <w:r w:rsidR="00A72310" w:rsidRPr="00B07FB9">
        <w:rPr>
          <w:szCs w:val="18"/>
        </w:rPr>
        <w:t>patients in PRIMA had R2, compared with 21-22% in SOLO</w:t>
      </w:r>
      <w:r w:rsidR="00A72310" w:rsidRPr="00B07FB9">
        <w:rPr>
          <w:szCs w:val="18"/>
        </w:rPr>
        <w:noBreakHyphen/>
        <w:t>2</w:t>
      </w:r>
      <w:r w:rsidR="00FB4FE8" w:rsidRPr="00B07FB9">
        <w:rPr>
          <w:szCs w:val="18"/>
        </w:rPr>
        <w:t xml:space="preserve"> (38-40% excluding stage III R0 PDS)</w:t>
      </w:r>
      <w:r w:rsidR="00A72310" w:rsidRPr="00B07FB9">
        <w:rPr>
          <w:szCs w:val="18"/>
        </w:rPr>
        <w:t xml:space="preserve">. </w:t>
      </w:r>
      <w:r w:rsidR="008D04C0" w:rsidRPr="00B07FB9">
        <w:rPr>
          <w:szCs w:val="18"/>
        </w:rPr>
        <w:t>This suggests that baseline risk may have been higher in SOLO-1</w:t>
      </w:r>
      <w:r w:rsidR="0051351C" w:rsidRPr="00B07FB9">
        <w:rPr>
          <w:szCs w:val="18"/>
        </w:rPr>
        <w:t xml:space="preserve"> </w:t>
      </w:r>
      <w:r w:rsidR="008D04C0" w:rsidRPr="00B07FB9">
        <w:rPr>
          <w:szCs w:val="18"/>
        </w:rPr>
        <w:t>on the basis of surgical outcomes.</w:t>
      </w:r>
    </w:p>
    <w:p w14:paraId="4A3337C2" w14:textId="37D9594E" w:rsidR="003A778A" w:rsidRPr="00B07FB9" w:rsidRDefault="003A778A" w:rsidP="002365D7">
      <w:pPr>
        <w:pStyle w:val="3-BodyText"/>
        <w:widowControl w:val="0"/>
      </w:pPr>
      <w:r w:rsidRPr="00B07FB9">
        <w:t xml:space="preserve">The PSCR also </w:t>
      </w:r>
      <w:r w:rsidR="00865284" w:rsidRPr="00B07FB9">
        <w:t xml:space="preserve">disagreed with the evaluation’s interpretation </w:t>
      </w:r>
      <w:r w:rsidR="00D23BCD" w:rsidRPr="00B07FB9">
        <w:t xml:space="preserve">in relation to the observed imbalance in Stage IV patients between the trials. The PSCR </w:t>
      </w:r>
      <w:r w:rsidRPr="00B07FB9">
        <w:t>noted that there was</w:t>
      </w:r>
      <w:r w:rsidRPr="00B07FB9">
        <w:rPr>
          <w:rFonts w:cstheme="minorHAnsi"/>
        </w:rPr>
        <w:t xml:space="preserve"> an increased representation of Stage IV patients in the PRIMA </w:t>
      </w:r>
      <w:proofErr w:type="spellStart"/>
      <w:r w:rsidRPr="00B07FB9">
        <w:rPr>
          <w:rFonts w:cstheme="minorHAnsi"/>
        </w:rPr>
        <w:t>BRCAm</w:t>
      </w:r>
      <w:proofErr w:type="spellEnd"/>
      <w:r w:rsidRPr="00B07FB9">
        <w:rPr>
          <w:rFonts w:cstheme="minorHAnsi"/>
        </w:rPr>
        <w:t xml:space="preserve"> subgroup even after Stage III R0 PDS patients were excluded (38% vs. 30%)</w:t>
      </w:r>
      <w:r w:rsidR="0049646B" w:rsidRPr="00B07FB9">
        <w:rPr>
          <w:rFonts w:cstheme="minorHAnsi"/>
        </w:rPr>
        <w:t xml:space="preserve">, which </w:t>
      </w:r>
      <w:r w:rsidR="00D23BCD" w:rsidRPr="00B07FB9">
        <w:rPr>
          <w:rFonts w:cstheme="minorHAnsi"/>
        </w:rPr>
        <w:t>may</w:t>
      </w:r>
      <w:r w:rsidR="0049646B" w:rsidRPr="00B07FB9">
        <w:rPr>
          <w:rFonts w:cstheme="minorHAnsi"/>
        </w:rPr>
        <w:t xml:space="preserve"> bias the comparison in favour of </w:t>
      </w:r>
      <w:proofErr w:type="spellStart"/>
      <w:r w:rsidR="0049646B" w:rsidRPr="00B07FB9">
        <w:rPr>
          <w:rFonts w:cstheme="minorHAnsi"/>
        </w:rPr>
        <w:t>olaparib</w:t>
      </w:r>
      <w:proofErr w:type="spellEnd"/>
      <w:r w:rsidRPr="00B07FB9">
        <w:rPr>
          <w:rFonts w:cstheme="minorHAnsi"/>
        </w:rPr>
        <w:t xml:space="preserve">. </w:t>
      </w:r>
      <w:r w:rsidR="00A74C90" w:rsidRPr="00B07FB9">
        <w:rPr>
          <w:rFonts w:cstheme="minorHAnsi"/>
        </w:rPr>
        <w:t>However</w:t>
      </w:r>
      <w:r w:rsidR="00D23BCD" w:rsidRPr="00B07FB9">
        <w:rPr>
          <w:rFonts w:cstheme="minorHAnsi"/>
        </w:rPr>
        <w:t xml:space="preserve">, </w:t>
      </w:r>
      <w:r w:rsidR="00FB4FE8" w:rsidRPr="00B07FB9">
        <w:t xml:space="preserve">in both trials </w:t>
      </w:r>
      <w:r w:rsidR="00A74C90" w:rsidRPr="00B07FB9">
        <w:t xml:space="preserve">the placebo arms had more patients with metastatic disease than </w:t>
      </w:r>
      <w:r w:rsidR="00950803" w:rsidRPr="00B07FB9">
        <w:t>the</w:t>
      </w:r>
      <w:r w:rsidR="00A74C90" w:rsidRPr="00B07FB9">
        <w:t xml:space="preserve"> respective </w:t>
      </w:r>
      <w:proofErr w:type="spellStart"/>
      <w:r w:rsidR="00A74C90" w:rsidRPr="00B07FB9">
        <w:t>PARPi</w:t>
      </w:r>
      <w:proofErr w:type="spellEnd"/>
      <w:r w:rsidR="00A74C90" w:rsidRPr="00B07FB9">
        <w:t xml:space="preserve"> arms, with a larger difference reported in the PRIMA trial (34% vs. 48% compared with 27% vs. 36% in SOLO-1 excluding </w:t>
      </w:r>
      <w:r w:rsidR="0049646B" w:rsidRPr="00B07FB9">
        <w:t xml:space="preserve">the </w:t>
      </w:r>
      <w:r w:rsidR="00A74C90" w:rsidRPr="00B07FB9">
        <w:t xml:space="preserve">Stage III R0 PDS subgroup). As disease stage is a known prognostic factor, there is a greater risk of bias in favour of </w:t>
      </w:r>
      <w:proofErr w:type="spellStart"/>
      <w:r w:rsidR="00A74C90" w:rsidRPr="00B07FB9">
        <w:t>PARPi</w:t>
      </w:r>
      <w:proofErr w:type="spellEnd"/>
      <w:r w:rsidR="00A74C90" w:rsidRPr="00B07FB9">
        <w:t xml:space="preserve"> therapy in the PRIMA trial than in the SOLO-1 trial.</w:t>
      </w:r>
      <w:r w:rsidR="0056295F" w:rsidRPr="00B07FB9">
        <w:t xml:space="preserve"> </w:t>
      </w:r>
    </w:p>
    <w:p w14:paraId="094B0D60" w14:textId="6204110F" w:rsidR="00E43FDB" w:rsidRPr="00B07FB9" w:rsidRDefault="0049646B" w:rsidP="00990236">
      <w:pPr>
        <w:pStyle w:val="3-BodyText"/>
        <w:widowControl w:val="0"/>
      </w:pPr>
      <w:bookmarkStart w:id="21" w:name="_Ref98863172"/>
      <w:r w:rsidRPr="00B07FB9">
        <w:t>T</w:t>
      </w:r>
      <w:r w:rsidR="00FB4FE8" w:rsidRPr="00B07FB9">
        <w:t xml:space="preserve">he ESC considered that overall it was uncertain whether differences in the </w:t>
      </w:r>
      <w:r w:rsidR="00E43FDB" w:rsidRPr="00B07FB9">
        <w:t xml:space="preserve">patient populations in the subgroups of the PRIMA and SOLO-1 trials included in the </w:t>
      </w:r>
      <w:r w:rsidR="008D04C0" w:rsidRPr="00B07FB9">
        <w:t>ITC</w:t>
      </w:r>
      <w:r w:rsidR="00E43FDB" w:rsidRPr="00B07FB9">
        <w:t xml:space="preserve"> had a meaningful impact on the outcome</w:t>
      </w:r>
      <w:r w:rsidR="008D04C0" w:rsidRPr="00B07FB9">
        <w:t xml:space="preserve"> of the ITC</w:t>
      </w:r>
      <w:r w:rsidR="00E43FDB" w:rsidRPr="00B07FB9">
        <w:t>. It was also difficult to ascertain the overall direction of potential bias based on these differences.</w:t>
      </w:r>
      <w:bookmarkEnd w:id="21"/>
    </w:p>
    <w:p w14:paraId="6A0C3902" w14:textId="77777777" w:rsidR="001B4E9C" w:rsidRPr="00B07FB9" w:rsidRDefault="001B4E9C" w:rsidP="000C6F49">
      <w:pPr>
        <w:pStyle w:val="4-SubsectionHeading"/>
        <w:keepNext w:val="0"/>
        <w:widowControl w:val="0"/>
      </w:pPr>
      <w:bookmarkStart w:id="22" w:name="_Toc22897641"/>
      <w:bookmarkStart w:id="23" w:name="_Toc93404186"/>
      <w:r w:rsidRPr="00B07FB9">
        <w:t>Comparative effectiveness</w:t>
      </w:r>
      <w:bookmarkEnd w:id="22"/>
      <w:bookmarkEnd w:id="23"/>
    </w:p>
    <w:p w14:paraId="71F3E36E" w14:textId="4C56BA27" w:rsidR="001B4E9C" w:rsidRPr="00B07FB9" w:rsidRDefault="001B4E9C" w:rsidP="000C6F49">
      <w:pPr>
        <w:pStyle w:val="5-SubsectionSubheading"/>
        <w:keepNext w:val="0"/>
        <w:keepLines w:val="0"/>
        <w:widowControl w:val="0"/>
        <w:rPr>
          <w:snapToGrid w:val="0"/>
        </w:rPr>
      </w:pPr>
      <w:bookmarkStart w:id="24" w:name="_Toc93404187"/>
      <w:r w:rsidRPr="00B07FB9">
        <w:rPr>
          <w:snapToGrid w:val="0"/>
        </w:rPr>
        <w:t>Subgroup analyses of non-</w:t>
      </w:r>
      <w:proofErr w:type="spellStart"/>
      <w:r w:rsidRPr="00B07FB9">
        <w:rPr>
          <w:snapToGrid w:val="0"/>
        </w:rPr>
        <w:t>BRCAm</w:t>
      </w:r>
      <w:proofErr w:type="spellEnd"/>
      <w:r w:rsidRPr="00B07FB9">
        <w:rPr>
          <w:snapToGrid w:val="0"/>
        </w:rPr>
        <w:t xml:space="preserve"> patients for niraparib versus </w:t>
      </w:r>
      <w:r w:rsidR="007A20BD" w:rsidRPr="00B07FB9">
        <w:rPr>
          <w:snapToGrid w:val="0"/>
        </w:rPr>
        <w:t>no active treatment (placebo)</w:t>
      </w:r>
      <w:bookmarkEnd w:id="24"/>
    </w:p>
    <w:p w14:paraId="3468EDC5" w14:textId="77777777" w:rsidR="001B4E9C" w:rsidRPr="00B07FB9" w:rsidRDefault="001B4E9C" w:rsidP="000C6F49">
      <w:pPr>
        <w:pStyle w:val="3-BodyText"/>
        <w:widowControl w:val="0"/>
      </w:pPr>
      <w:r w:rsidRPr="00B07FB9">
        <w:t>The PFS results (per blinded independent central review (BICR)) in the non-</w:t>
      </w:r>
      <w:proofErr w:type="spellStart"/>
      <w:r w:rsidRPr="00B07FB9">
        <w:t>BRCAm</w:t>
      </w:r>
      <w:proofErr w:type="spellEnd"/>
      <w:r w:rsidRPr="00B07FB9">
        <w:t xml:space="preserve"> patients enrolled in PRIMA are presented below.</w:t>
      </w:r>
      <w:r w:rsidRPr="00B07FB9">
        <w:rPr>
          <w:rFonts w:ascii="Calibri" w:hAnsi="Calibri"/>
          <w:snapToGrid/>
        </w:rPr>
        <w:t xml:space="preserve"> </w:t>
      </w:r>
    </w:p>
    <w:p w14:paraId="38766D51" w14:textId="707E8063" w:rsidR="001B4E9C" w:rsidRPr="00B07FB9" w:rsidRDefault="001B4E9C" w:rsidP="00F94AB9">
      <w:pPr>
        <w:pStyle w:val="TableFigureHeading"/>
        <w:widowControl w:val="0"/>
      </w:pPr>
      <w:r w:rsidRPr="00B07FB9">
        <w:t xml:space="preserve">Figure </w:t>
      </w:r>
      <w:r w:rsidR="00385E8C">
        <w:fldChar w:fldCharType="begin"/>
      </w:r>
      <w:r w:rsidR="00385E8C">
        <w:instrText xml:space="preserve"> SEQ Figure \* ARABIC </w:instrText>
      </w:r>
      <w:r w:rsidR="00385E8C">
        <w:fldChar w:fldCharType="separate"/>
      </w:r>
      <w:r w:rsidR="00385E8C">
        <w:rPr>
          <w:noProof/>
        </w:rPr>
        <w:t>1</w:t>
      </w:r>
      <w:r w:rsidR="00385E8C">
        <w:fldChar w:fldCharType="end"/>
      </w:r>
      <w:r w:rsidRPr="00B07FB9">
        <w:t>: Kaplan-Meier plot for PFS per BICR in the non-</w:t>
      </w:r>
      <w:proofErr w:type="spellStart"/>
      <w:r w:rsidRPr="00B07FB9">
        <w:t>BRCAm</w:t>
      </w:r>
      <w:proofErr w:type="spellEnd"/>
      <w:r w:rsidRPr="00B07FB9">
        <w:t xml:space="preserve"> cohort of PRIMA</w:t>
      </w:r>
    </w:p>
    <w:p w14:paraId="324C9298" w14:textId="77777777" w:rsidR="001B4E9C" w:rsidRPr="00B07FB9" w:rsidRDefault="001B4E9C" w:rsidP="000C6F49">
      <w:pPr>
        <w:pStyle w:val="In-tableHeading"/>
        <w:keepNext w:val="0"/>
        <w:widowControl w:val="0"/>
        <w:rPr>
          <w:lang w:val="en-AU"/>
        </w:rPr>
      </w:pPr>
      <w:r w:rsidRPr="00B07FB9">
        <w:rPr>
          <w:noProof/>
          <w:lang w:val="en-AU"/>
        </w:rPr>
        <w:drawing>
          <wp:inline distT="0" distB="0" distL="0" distR="0" wp14:anchorId="63BDB1BE" wp14:editId="23B763F2">
            <wp:extent cx="5343525" cy="2914650"/>
            <wp:effectExtent l="0" t="0" r="0" b="0"/>
            <wp:docPr id="2" name="Picture 2" descr="Figure 1: Kaplan-Meier plot for PFS per BICR in the non-BRCAm cohort of PR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Kaplan-Meier plot for PFS per BICR in the non-BRCAm cohort of PRIMA"/>
                    <pic:cNvPicPr/>
                  </pic:nvPicPr>
                  <pic:blipFill>
                    <a:blip r:embed="rId8"/>
                    <a:stretch>
                      <a:fillRect/>
                    </a:stretch>
                  </pic:blipFill>
                  <pic:spPr>
                    <a:xfrm>
                      <a:off x="0" y="0"/>
                      <a:ext cx="5343525" cy="2914650"/>
                    </a:xfrm>
                    <a:prstGeom prst="rect">
                      <a:avLst/>
                    </a:prstGeom>
                  </pic:spPr>
                </pic:pic>
              </a:graphicData>
            </a:graphic>
          </wp:inline>
        </w:drawing>
      </w:r>
    </w:p>
    <w:p w14:paraId="3EA0A6B6" w14:textId="77777777" w:rsidR="001B4E9C" w:rsidRPr="00B07FB9" w:rsidRDefault="001B4E9C" w:rsidP="000C6F49">
      <w:pPr>
        <w:widowControl w:val="0"/>
        <w:spacing w:after="120"/>
        <w:contextualSpacing/>
        <w:rPr>
          <w:rFonts w:ascii="Arial Narrow" w:hAnsi="Arial Narrow"/>
          <w:sz w:val="18"/>
          <w:szCs w:val="22"/>
        </w:rPr>
      </w:pPr>
      <w:r w:rsidRPr="00B07FB9">
        <w:rPr>
          <w:rFonts w:ascii="Arial Narrow" w:hAnsi="Arial Narrow"/>
          <w:sz w:val="18"/>
          <w:szCs w:val="22"/>
        </w:rPr>
        <w:t>Source: Figure 15, p74 of the resubmission</w:t>
      </w:r>
    </w:p>
    <w:p w14:paraId="3428779F" w14:textId="6C9B37C0" w:rsidR="001B4E9C" w:rsidRPr="00B07FB9" w:rsidRDefault="001B4E9C" w:rsidP="000C6F49">
      <w:pPr>
        <w:widowControl w:val="0"/>
        <w:spacing w:after="120"/>
        <w:contextualSpacing/>
        <w:rPr>
          <w:rFonts w:ascii="Arial Narrow" w:hAnsi="Arial Narrow"/>
          <w:sz w:val="18"/>
          <w:szCs w:val="22"/>
        </w:rPr>
      </w:pPr>
      <w:r w:rsidRPr="00B07FB9">
        <w:rPr>
          <w:rFonts w:ascii="Arial Narrow" w:hAnsi="Arial Narrow"/>
          <w:sz w:val="18"/>
          <w:szCs w:val="22"/>
        </w:rPr>
        <w:t xml:space="preserve">BICR = blinded independent central review; </w:t>
      </w:r>
      <w:proofErr w:type="spellStart"/>
      <w:r w:rsidR="00A20808" w:rsidRPr="00B07FB9">
        <w:rPr>
          <w:rFonts w:ascii="Arial Narrow" w:hAnsi="Arial Narrow"/>
          <w:sz w:val="18"/>
          <w:szCs w:val="22"/>
        </w:rPr>
        <w:t>BRCAm</w:t>
      </w:r>
      <w:proofErr w:type="spellEnd"/>
      <w:r w:rsidR="00A20808" w:rsidRPr="00B07FB9">
        <w:rPr>
          <w:rFonts w:ascii="Arial Narrow" w:hAnsi="Arial Narrow"/>
          <w:sz w:val="18"/>
          <w:szCs w:val="22"/>
        </w:rPr>
        <w:t xml:space="preserve"> = BRCA gene mutation</w:t>
      </w:r>
      <w:r w:rsidRPr="00B07FB9">
        <w:rPr>
          <w:rFonts w:ascii="Arial Narrow" w:hAnsi="Arial Narrow"/>
          <w:sz w:val="18"/>
          <w:szCs w:val="22"/>
        </w:rPr>
        <w:t>; PFS = progression-free survival</w:t>
      </w:r>
    </w:p>
    <w:p w14:paraId="0F81F0FF" w14:textId="77777777" w:rsidR="001B4E9C" w:rsidRPr="00B07FB9" w:rsidRDefault="001B4E9C" w:rsidP="00425BFE">
      <w:pPr>
        <w:widowControl w:val="0"/>
        <w:spacing w:after="160"/>
        <w:contextualSpacing/>
        <w:rPr>
          <w:rFonts w:ascii="Arial Narrow" w:hAnsi="Arial Narrow"/>
          <w:sz w:val="18"/>
          <w:szCs w:val="22"/>
        </w:rPr>
      </w:pPr>
      <w:r w:rsidRPr="00B07FB9">
        <w:rPr>
          <w:rFonts w:ascii="Arial Narrow" w:hAnsi="Arial Narrow"/>
          <w:sz w:val="18"/>
          <w:szCs w:val="22"/>
        </w:rPr>
        <w:lastRenderedPageBreak/>
        <w:t>Note: Data cut-off 17/05/2019</w:t>
      </w:r>
    </w:p>
    <w:p w14:paraId="07071F23" w14:textId="0E219514" w:rsidR="001B4E9C" w:rsidRPr="00B07FB9" w:rsidRDefault="001B4E9C" w:rsidP="00D564E8">
      <w:pPr>
        <w:pStyle w:val="TableFigureHeading"/>
        <w:keepLines/>
        <w:widowControl w:val="0"/>
      </w:pPr>
      <w:r w:rsidRPr="00B07FB9">
        <w:t xml:space="preserve">Table </w:t>
      </w:r>
      <w:r w:rsidR="00385E8C">
        <w:fldChar w:fldCharType="begin"/>
      </w:r>
      <w:r w:rsidR="00385E8C">
        <w:instrText xml:space="preserve"> SEQ Table \* ARABIC </w:instrText>
      </w:r>
      <w:r w:rsidR="00385E8C">
        <w:fldChar w:fldCharType="separate"/>
      </w:r>
      <w:r w:rsidR="00385E8C">
        <w:rPr>
          <w:noProof/>
        </w:rPr>
        <w:t>5</w:t>
      </w:r>
      <w:r w:rsidR="00385E8C">
        <w:fldChar w:fldCharType="end"/>
      </w:r>
      <w:r w:rsidRPr="00B07FB9">
        <w:t>: Results of PFS per BICR in the non-</w:t>
      </w:r>
      <w:proofErr w:type="spellStart"/>
      <w:r w:rsidRPr="00B07FB9">
        <w:t>BRCAm</w:t>
      </w:r>
      <w:proofErr w:type="spellEnd"/>
      <w:r w:rsidRPr="00B07FB9">
        <w:t xml:space="preserve"> cohort of PRIMA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5: Results of PFS per BICR in the non-BRCAm cohort of PRIMA"/>
      </w:tblPr>
      <w:tblGrid>
        <w:gridCol w:w="1033"/>
        <w:gridCol w:w="1149"/>
        <w:gridCol w:w="1861"/>
        <w:gridCol w:w="2487"/>
        <w:gridCol w:w="2487"/>
      </w:tblGrid>
      <w:tr w:rsidR="00E4682D" w:rsidRPr="00B07FB9" w14:paraId="4B63A25F" w14:textId="6D2D79B2" w:rsidTr="00E4682D">
        <w:trPr>
          <w:trHeight w:val="89"/>
        </w:trPr>
        <w:tc>
          <w:tcPr>
            <w:tcW w:w="1210" w:type="pct"/>
            <w:gridSpan w:val="2"/>
            <w:shd w:val="clear" w:color="auto" w:fill="FFFFFF" w:themeFill="background1"/>
            <w:vAlign w:val="center"/>
          </w:tcPr>
          <w:p w14:paraId="38BED7B4" w14:textId="77777777" w:rsidR="00E4682D" w:rsidRPr="00B07FB9" w:rsidRDefault="00E4682D" w:rsidP="00D564E8">
            <w:pPr>
              <w:keepNext/>
              <w:keepLines/>
              <w:widowControl w:val="0"/>
              <w:jc w:val="left"/>
              <w:rPr>
                <w:rFonts w:ascii="Arial Narrow" w:hAnsi="Arial Narrow" w:cs="Calibri"/>
                <w:b/>
                <w:bCs/>
                <w:color w:val="000000"/>
                <w:sz w:val="20"/>
                <w:szCs w:val="20"/>
              </w:rPr>
            </w:pPr>
          </w:p>
        </w:tc>
        <w:tc>
          <w:tcPr>
            <w:tcW w:w="1032" w:type="pct"/>
            <w:shd w:val="clear" w:color="auto" w:fill="FFFFFF" w:themeFill="background1"/>
            <w:vAlign w:val="center"/>
            <w:hideMark/>
          </w:tcPr>
          <w:p w14:paraId="78C85A71" w14:textId="32112F9C" w:rsidR="00E4682D" w:rsidRPr="00B07FB9" w:rsidRDefault="00E4682D" w:rsidP="00D564E8">
            <w:pPr>
              <w:keepNext/>
              <w:keepLines/>
              <w:widowControl w:val="0"/>
              <w:jc w:val="center"/>
              <w:rPr>
                <w:rFonts w:ascii="Arial Narrow" w:hAnsi="Arial Narrow" w:cs="Calibri"/>
                <w:b/>
                <w:bCs/>
                <w:color w:val="000000"/>
                <w:sz w:val="20"/>
                <w:szCs w:val="20"/>
                <w:vertAlign w:val="superscript"/>
              </w:rPr>
            </w:pPr>
            <w:r w:rsidRPr="00B07FB9">
              <w:rPr>
                <w:rFonts w:ascii="Arial Narrow" w:hAnsi="Arial Narrow" w:cs="Calibri"/>
                <w:b/>
                <w:bCs/>
                <w:color w:val="000000"/>
                <w:sz w:val="20"/>
                <w:szCs w:val="20"/>
              </w:rPr>
              <w:t>NIRA (n=310)</w:t>
            </w:r>
          </w:p>
        </w:tc>
        <w:tc>
          <w:tcPr>
            <w:tcW w:w="1379" w:type="pct"/>
            <w:shd w:val="clear" w:color="auto" w:fill="FFFFFF" w:themeFill="background1"/>
            <w:vAlign w:val="center"/>
          </w:tcPr>
          <w:p w14:paraId="0C65F0DB" w14:textId="366CC43D" w:rsidR="00E4682D" w:rsidRPr="00B07FB9" w:rsidRDefault="00E4682D" w:rsidP="00D564E8">
            <w:pPr>
              <w:keepNext/>
              <w:keepLines/>
              <w:widowControl w:val="0"/>
              <w:jc w:val="center"/>
              <w:rPr>
                <w:rFonts w:ascii="Arial Narrow" w:hAnsi="Arial Narrow" w:cs="Calibri"/>
                <w:b/>
                <w:bCs/>
                <w:color w:val="000000"/>
                <w:sz w:val="20"/>
                <w:szCs w:val="20"/>
                <w:vertAlign w:val="superscript"/>
              </w:rPr>
            </w:pPr>
            <w:r w:rsidRPr="00B07FB9">
              <w:rPr>
                <w:rFonts w:ascii="Arial Narrow" w:hAnsi="Arial Narrow" w:cs="Calibri"/>
                <w:b/>
                <w:bCs/>
                <w:color w:val="000000"/>
                <w:sz w:val="20"/>
                <w:szCs w:val="20"/>
              </w:rPr>
              <w:t>PBO (n=163)</w:t>
            </w:r>
          </w:p>
        </w:tc>
        <w:tc>
          <w:tcPr>
            <w:tcW w:w="1379" w:type="pct"/>
            <w:shd w:val="clear" w:color="auto" w:fill="FFFFFF" w:themeFill="background1"/>
          </w:tcPr>
          <w:p w14:paraId="04A298A7" w14:textId="26906465" w:rsidR="00E4682D" w:rsidRPr="00B07FB9" w:rsidRDefault="00841C44" w:rsidP="00D564E8">
            <w:pPr>
              <w:keepNext/>
              <w:keepLines/>
              <w:widowControl w:val="0"/>
              <w:jc w:val="center"/>
              <w:rPr>
                <w:rFonts w:ascii="Arial Narrow" w:hAnsi="Arial Narrow" w:cs="Calibri"/>
                <w:b/>
                <w:bCs/>
                <w:color w:val="000000"/>
                <w:sz w:val="20"/>
                <w:szCs w:val="20"/>
              </w:rPr>
            </w:pPr>
            <w:r>
              <w:rPr>
                <w:rFonts w:ascii="Arial Narrow" w:hAnsi="Arial Narrow" w:cs="Calibri"/>
                <w:b/>
                <w:bCs/>
                <w:color w:val="000000"/>
                <w:sz w:val="20"/>
                <w:szCs w:val="20"/>
              </w:rPr>
              <w:t xml:space="preserve">Absolute </w:t>
            </w:r>
            <w:r w:rsidR="00E4682D" w:rsidRPr="00B07FB9">
              <w:rPr>
                <w:rFonts w:ascii="Arial Narrow" w:hAnsi="Arial Narrow" w:cs="Calibri"/>
                <w:b/>
                <w:bCs/>
                <w:color w:val="000000"/>
                <w:sz w:val="20"/>
                <w:szCs w:val="20"/>
              </w:rPr>
              <w:t>Difference</w:t>
            </w:r>
            <w:r w:rsidR="008B7829" w:rsidRPr="00B07FB9">
              <w:rPr>
                <w:rFonts w:ascii="Arial Narrow" w:hAnsi="Arial Narrow" w:cs="Calibri"/>
                <w:b/>
                <w:bCs/>
                <w:color w:val="000000"/>
                <w:sz w:val="20"/>
                <w:szCs w:val="20"/>
              </w:rPr>
              <w:t xml:space="preserve"> (NIRA vs. PBO)</w:t>
            </w:r>
            <w:r>
              <w:rPr>
                <w:rFonts w:ascii="Arial Narrow" w:hAnsi="Arial Narrow" w:cs="Calibri"/>
                <w:b/>
                <w:bCs/>
                <w:color w:val="000000"/>
                <w:sz w:val="20"/>
                <w:szCs w:val="20"/>
              </w:rPr>
              <w:t xml:space="preserve"> </w:t>
            </w:r>
            <w:r w:rsidR="00FA265B" w:rsidRPr="00FA265B">
              <w:rPr>
                <w:rFonts w:ascii="Arial Narrow" w:hAnsi="Arial Narrow" w:cs="Calibri"/>
                <w:b/>
                <w:bCs/>
                <w:color w:val="000000"/>
                <w:sz w:val="20"/>
                <w:szCs w:val="20"/>
              </w:rPr>
              <w:t>#</w:t>
            </w:r>
          </w:p>
        </w:tc>
      </w:tr>
      <w:tr w:rsidR="00E4682D" w:rsidRPr="00B07FB9" w14:paraId="01BE63E8" w14:textId="6CC7033A" w:rsidTr="00E4682D">
        <w:trPr>
          <w:trHeight w:val="20"/>
        </w:trPr>
        <w:tc>
          <w:tcPr>
            <w:tcW w:w="1210" w:type="pct"/>
            <w:gridSpan w:val="2"/>
            <w:shd w:val="clear" w:color="auto" w:fill="FFFFFF" w:themeFill="background1"/>
            <w:vAlign w:val="center"/>
          </w:tcPr>
          <w:p w14:paraId="4B24FF38" w14:textId="77777777" w:rsidR="00E4682D" w:rsidRPr="00B07FB9" w:rsidRDefault="00E4682D" w:rsidP="00D564E8">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Events, n (%)</w:t>
            </w:r>
          </w:p>
        </w:tc>
        <w:tc>
          <w:tcPr>
            <w:tcW w:w="1032" w:type="pct"/>
            <w:shd w:val="clear" w:color="auto" w:fill="CCECFF"/>
            <w:vAlign w:val="center"/>
          </w:tcPr>
          <w:p w14:paraId="655FDA4A" w14:textId="73E48110"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170 (54.8)</w:t>
            </w:r>
          </w:p>
        </w:tc>
        <w:tc>
          <w:tcPr>
            <w:tcW w:w="1379" w:type="pct"/>
            <w:shd w:val="clear" w:color="auto" w:fill="CCECFF"/>
            <w:vAlign w:val="center"/>
          </w:tcPr>
          <w:p w14:paraId="29463CA6" w14:textId="1D8677CE"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108 (66.3)</w:t>
            </w:r>
          </w:p>
        </w:tc>
        <w:tc>
          <w:tcPr>
            <w:tcW w:w="1379" w:type="pct"/>
            <w:shd w:val="clear" w:color="auto" w:fill="CCECFF"/>
          </w:tcPr>
          <w:p w14:paraId="29D3A9A1" w14:textId="3C4ECA90"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-11.5%</w:t>
            </w:r>
          </w:p>
        </w:tc>
      </w:tr>
      <w:tr w:rsidR="00E4682D" w:rsidRPr="00B07FB9" w14:paraId="525B6A2E" w14:textId="381F4C25" w:rsidTr="00E4682D">
        <w:trPr>
          <w:trHeight w:val="20"/>
        </w:trPr>
        <w:tc>
          <w:tcPr>
            <w:tcW w:w="573" w:type="pct"/>
            <w:vMerge w:val="restart"/>
            <w:shd w:val="clear" w:color="auto" w:fill="FFFFFF" w:themeFill="background1"/>
            <w:vAlign w:val="center"/>
          </w:tcPr>
          <w:p w14:paraId="000B71C2" w14:textId="4262E960" w:rsidR="00E4682D" w:rsidRPr="00B07FB9" w:rsidRDefault="00AB3616" w:rsidP="00D564E8">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 xml:space="preserve">Probability of PFS </w:t>
            </w:r>
            <w:r w:rsidRPr="00B07FB9">
              <w:rPr>
                <w:rFonts w:ascii="Arial Narrow" w:hAnsi="Arial Narrow" w:cs="Calibri"/>
                <w:color w:val="000000"/>
                <w:sz w:val="20"/>
                <w:szCs w:val="20"/>
              </w:rPr>
              <w:br/>
              <w:t>(95</w:t>
            </w:r>
            <w:r w:rsidR="00E4682D" w:rsidRPr="00B07FB9">
              <w:rPr>
                <w:rFonts w:ascii="Arial Narrow" w:hAnsi="Arial Narrow" w:cs="Calibri"/>
                <w:color w:val="000000"/>
                <w:sz w:val="20"/>
                <w:szCs w:val="20"/>
              </w:rPr>
              <w:t>% CI)</w:t>
            </w:r>
            <w:r w:rsidR="00FA265B">
              <w:rPr>
                <w:rFonts w:ascii="Arial Narrow" w:hAnsi="Arial Narrow" w:cs="Calibri"/>
                <w:color w:val="000000"/>
                <w:sz w:val="20"/>
                <w:szCs w:val="20"/>
              </w:rPr>
              <w:t>*</w:t>
            </w:r>
          </w:p>
        </w:tc>
        <w:tc>
          <w:tcPr>
            <w:tcW w:w="637" w:type="pct"/>
            <w:shd w:val="clear" w:color="auto" w:fill="FFFFFF" w:themeFill="background1"/>
            <w:vAlign w:val="center"/>
          </w:tcPr>
          <w:p w14:paraId="5217D4FA" w14:textId="77777777" w:rsidR="00E4682D" w:rsidRPr="00B07FB9" w:rsidRDefault="00E4682D" w:rsidP="00D564E8">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6 months</w:t>
            </w:r>
          </w:p>
        </w:tc>
        <w:tc>
          <w:tcPr>
            <w:tcW w:w="1032" w:type="pct"/>
            <w:shd w:val="clear" w:color="auto" w:fill="FFFFFF" w:themeFill="background1"/>
            <w:vAlign w:val="center"/>
          </w:tcPr>
          <w:p w14:paraId="77525FD1" w14:textId="591EF879"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0.65 (0.60, 0.71)</w:t>
            </w:r>
          </w:p>
        </w:tc>
        <w:tc>
          <w:tcPr>
            <w:tcW w:w="1379" w:type="pct"/>
            <w:shd w:val="clear" w:color="auto" w:fill="FFFFFF" w:themeFill="background1"/>
            <w:vAlign w:val="center"/>
          </w:tcPr>
          <w:p w14:paraId="2E32BE80" w14:textId="070A215B"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0.56 (0.47, 0.63)</w:t>
            </w:r>
          </w:p>
        </w:tc>
        <w:tc>
          <w:tcPr>
            <w:tcW w:w="1379" w:type="pct"/>
            <w:shd w:val="clear" w:color="auto" w:fill="FFFFFF" w:themeFill="background1"/>
          </w:tcPr>
          <w:p w14:paraId="23B90C4C" w14:textId="4EE952F1"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9%</w:t>
            </w:r>
          </w:p>
        </w:tc>
      </w:tr>
      <w:tr w:rsidR="00E4682D" w:rsidRPr="00B07FB9" w14:paraId="21528D6A" w14:textId="0D1985D2" w:rsidTr="00E4682D">
        <w:trPr>
          <w:trHeight w:val="20"/>
        </w:trPr>
        <w:tc>
          <w:tcPr>
            <w:tcW w:w="573" w:type="pct"/>
            <w:vMerge/>
            <w:shd w:val="clear" w:color="auto" w:fill="auto"/>
            <w:vAlign w:val="center"/>
          </w:tcPr>
          <w:p w14:paraId="18053CBB" w14:textId="77777777" w:rsidR="00E4682D" w:rsidRPr="00B07FB9" w:rsidRDefault="00E4682D" w:rsidP="00D564E8">
            <w:pPr>
              <w:keepNext/>
              <w:keepLines/>
              <w:widowControl w:val="0"/>
              <w:jc w:val="left"/>
              <w:rPr>
                <w:rFonts w:ascii="Arial Narrow" w:hAnsi="Arial Narrow" w:cs="Calibri"/>
                <w:color w:val="000000"/>
                <w:sz w:val="20"/>
                <w:szCs w:val="20"/>
              </w:rPr>
            </w:pPr>
          </w:p>
        </w:tc>
        <w:tc>
          <w:tcPr>
            <w:tcW w:w="637" w:type="pct"/>
            <w:shd w:val="clear" w:color="auto" w:fill="auto"/>
            <w:vAlign w:val="center"/>
          </w:tcPr>
          <w:p w14:paraId="1BF7997E" w14:textId="77777777" w:rsidR="00E4682D" w:rsidRPr="00B07FB9" w:rsidRDefault="00E4682D" w:rsidP="00D564E8">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12 months</w:t>
            </w:r>
          </w:p>
        </w:tc>
        <w:tc>
          <w:tcPr>
            <w:tcW w:w="1032" w:type="pct"/>
            <w:shd w:val="clear" w:color="auto" w:fill="FFFFFF" w:themeFill="background1"/>
            <w:vAlign w:val="center"/>
          </w:tcPr>
          <w:p w14:paraId="04C83C29" w14:textId="41DBF511"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0.43 (0.37, 0.49)</w:t>
            </w:r>
          </w:p>
        </w:tc>
        <w:tc>
          <w:tcPr>
            <w:tcW w:w="1379" w:type="pct"/>
            <w:shd w:val="clear" w:color="auto" w:fill="FFFFFF" w:themeFill="background1"/>
            <w:vAlign w:val="center"/>
          </w:tcPr>
          <w:p w14:paraId="10B8AC04" w14:textId="1BBEA08C"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0.31 (0.24, 0.39)</w:t>
            </w:r>
          </w:p>
        </w:tc>
        <w:tc>
          <w:tcPr>
            <w:tcW w:w="1379" w:type="pct"/>
            <w:shd w:val="clear" w:color="auto" w:fill="FFFFFF" w:themeFill="background1"/>
          </w:tcPr>
          <w:p w14:paraId="272F8456" w14:textId="0727851A"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12%</w:t>
            </w:r>
          </w:p>
        </w:tc>
      </w:tr>
      <w:tr w:rsidR="00E4682D" w:rsidRPr="00B07FB9" w14:paraId="30022869" w14:textId="64F48FD0" w:rsidTr="00E4682D">
        <w:trPr>
          <w:trHeight w:val="20"/>
        </w:trPr>
        <w:tc>
          <w:tcPr>
            <w:tcW w:w="573" w:type="pct"/>
            <w:vMerge/>
            <w:shd w:val="clear" w:color="auto" w:fill="auto"/>
            <w:vAlign w:val="center"/>
          </w:tcPr>
          <w:p w14:paraId="7707D546" w14:textId="77777777" w:rsidR="00E4682D" w:rsidRPr="00B07FB9" w:rsidRDefault="00E4682D" w:rsidP="00D564E8">
            <w:pPr>
              <w:keepNext/>
              <w:keepLines/>
              <w:widowControl w:val="0"/>
              <w:jc w:val="left"/>
              <w:rPr>
                <w:rFonts w:ascii="Arial Narrow" w:hAnsi="Arial Narrow" w:cs="Calibri"/>
                <w:color w:val="000000"/>
                <w:sz w:val="20"/>
                <w:szCs w:val="20"/>
              </w:rPr>
            </w:pPr>
          </w:p>
        </w:tc>
        <w:tc>
          <w:tcPr>
            <w:tcW w:w="637" w:type="pct"/>
            <w:shd w:val="clear" w:color="auto" w:fill="auto"/>
            <w:vAlign w:val="center"/>
          </w:tcPr>
          <w:p w14:paraId="028DE05C" w14:textId="77777777" w:rsidR="00E4682D" w:rsidRPr="00B07FB9" w:rsidRDefault="00E4682D" w:rsidP="00D564E8">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18 months</w:t>
            </w:r>
          </w:p>
        </w:tc>
        <w:tc>
          <w:tcPr>
            <w:tcW w:w="1032" w:type="pct"/>
            <w:shd w:val="clear" w:color="auto" w:fill="FFFFFF" w:themeFill="background1"/>
          </w:tcPr>
          <w:p w14:paraId="17E4DBB4" w14:textId="2B9985A0"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0.30 (0.24, 0.37)</w:t>
            </w:r>
          </w:p>
        </w:tc>
        <w:tc>
          <w:tcPr>
            <w:tcW w:w="1379" w:type="pct"/>
            <w:shd w:val="clear" w:color="auto" w:fill="FFFFFF" w:themeFill="background1"/>
          </w:tcPr>
          <w:p w14:paraId="41CD374C" w14:textId="6C8AD221"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0.23 (0.15, 0.32)</w:t>
            </w:r>
          </w:p>
        </w:tc>
        <w:tc>
          <w:tcPr>
            <w:tcW w:w="1379" w:type="pct"/>
            <w:shd w:val="clear" w:color="auto" w:fill="FFFFFF" w:themeFill="background1"/>
          </w:tcPr>
          <w:p w14:paraId="153DFDB9" w14:textId="633BF0C5"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7%</w:t>
            </w:r>
          </w:p>
        </w:tc>
      </w:tr>
      <w:tr w:rsidR="00E4682D" w:rsidRPr="00B07FB9" w14:paraId="6C6D02E9" w14:textId="063B6FE9" w:rsidTr="00E4682D">
        <w:trPr>
          <w:trHeight w:val="20"/>
        </w:trPr>
        <w:tc>
          <w:tcPr>
            <w:tcW w:w="1210" w:type="pct"/>
            <w:gridSpan w:val="2"/>
            <w:shd w:val="clear" w:color="auto" w:fill="auto"/>
            <w:vAlign w:val="center"/>
          </w:tcPr>
          <w:p w14:paraId="5DD503FB" w14:textId="77777777" w:rsidR="00E4682D" w:rsidRPr="00B07FB9" w:rsidRDefault="00E4682D" w:rsidP="00D564E8">
            <w:pPr>
              <w:keepNext/>
              <w:keepLines/>
              <w:widowControl w:val="0"/>
              <w:ind w:right="-57"/>
              <w:jc w:val="left"/>
              <w:rPr>
                <w:rFonts w:ascii="Arial Narrow" w:hAnsi="Arial Narrow" w:cs="Calibri"/>
                <w:color w:val="000000"/>
                <w:sz w:val="20"/>
                <w:szCs w:val="20"/>
              </w:rPr>
            </w:pPr>
            <w:r w:rsidRPr="00B07FB9">
              <w:rPr>
                <w:rFonts w:ascii="Arial Narrow" w:hAnsi="Arial Narrow" w:cs="Calibri"/>
                <w:color w:val="000000"/>
                <w:sz w:val="20"/>
                <w:szCs w:val="20"/>
              </w:rPr>
              <w:t>Median, months (95% CI)</w:t>
            </w:r>
          </w:p>
        </w:tc>
        <w:tc>
          <w:tcPr>
            <w:tcW w:w="1032" w:type="pct"/>
            <w:shd w:val="clear" w:color="auto" w:fill="CCECFF"/>
            <w:vAlign w:val="center"/>
          </w:tcPr>
          <w:p w14:paraId="5006AB18" w14:textId="573A3366"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10.9 (8.3, 11.8)</w:t>
            </w:r>
          </w:p>
        </w:tc>
        <w:tc>
          <w:tcPr>
            <w:tcW w:w="1379" w:type="pct"/>
            <w:shd w:val="clear" w:color="auto" w:fill="CCECFF"/>
            <w:vAlign w:val="center"/>
          </w:tcPr>
          <w:p w14:paraId="2ADE9BAD" w14:textId="2DA5EE8F"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7.4 (5.6, 8.2)</w:t>
            </w:r>
          </w:p>
        </w:tc>
        <w:tc>
          <w:tcPr>
            <w:tcW w:w="1379" w:type="pct"/>
            <w:shd w:val="clear" w:color="auto" w:fill="CCECFF"/>
          </w:tcPr>
          <w:p w14:paraId="3140FEFC" w14:textId="335008DC" w:rsidR="00E4682D" w:rsidRPr="00B07FB9" w:rsidRDefault="00E4682D"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3.5 months</w:t>
            </w:r>
          </w:p>
        </w:tc>
      </w:tr>
      <w:tr w:rsidR="00E4682D" w:rsidRPr="00B07FB9" w14:paraId="1F78D19D" w14:textId="2582CC03" w:rsidTr="00E4682D">
        <w:trPr>
          <w:trHeight w:val="20"/>
        </w:trPr>
        <w:tc>
          <w:tcPr>
            <w:tcW w:w="1210" w:type="pct"/>
            <w:gridSpan w:val="2"/>
            <w:tcBorders>
              <w:bottom w:val="single" w:sz="4" w:space="0" w:color="auto"/>
            </w:tcBorders>
            <w:shd w:val="clear" w:color="auto" w:fill="auto"/>
            <w:vAlign w:val="center"/>
          </w:tcPr>
          <w:p w14:paraId="2D1583CE" w14:textId="77777777" w:rsidR="00E4682D" w:rsidRPr="00B07FB9" w:rsidRDefault="00E4682D" w:rsidP="00D564E8">
            <w:pPr>
              <w:keepNext/>
              <w:keepLines/>
              <w:widowControl w:val="0"/>
              <w:jc w:val="left"/>
              <w:rPr>
                <w:rFonts w:ascii="Arial Narrow" w:hAnsi="Arial Narrow" w:cs="Calibri"/>
                <w:b/>
                <w:color w:val="000000"/>
                <w:sz w:val="20"/>
                <w:szCs w:val="20"/>
              </w:rPr>
            </w:pPr>
            <w:r w:rsidRPr="00B07FB9">
              <w:rPr>
                <w:rFonts w:ascii="Arial Narrow" w:hAnsi="Arial Narrow" w:cs="Calibri"/>
                <w:b/>
                <w:color w:val="000000"/>
                <w:sz w:val="20"/>
                <w:szCs w:val="20"/>
              </w:rPr>
              <w:t>HR (95% CI), p-value</w:t>
            </w:r>
          </w:p>
        </w:tc>
        <w:tc>
          <w:tcPr>
            <w:tcW w:w="3790" w:type="pct"/>
            <w:gridSpan w:val="3"/>
            <w:tcBorders>
              <w:bottom w:val="single" w:sz="4" w:space="0" w:color="auto"/>
            </w:tcBorders>
            <w:shd w:val="clear" w:color="auto" w:fill="CCECFF"/>
            <w:vAlign w:val="center"/>
          </w:tcPr>
          <w:p w14:paraId="25D946FD" w14:textId="47B1E840" w:rsidR="00E4682D" w:rsidRPr="00B07FB9" w:rsidRDefault="00E4682D"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0.69 (0.54, 0.88), p=0.0029</w:t>
            </w:r>
          </w:p>
        </w:tc>
      </w:tr>
      <w:tr w:rsidR="00E4682D" w:rsidRPr="00B07FB9" w14:paraId="782C6AC9" w14:textId="1B851EB8" w:rsidTr="00E4682D">
        <w:trPr>
          <w:trHeight w:val="20"/>
        </w:trPr>
        <w:tc>
          <w:tcPr>
            <w:tcW w:w="1210" w:type="pct"/>
            <w:gridSpan w:val="2"/>
            <w:shd w:val="clear" w:color="auto" w:fill="D9D9D9" w:themeFill="background1" w:themeFillShade="D9"/>
            <w:vAlign w:val="center"/>
          </w:tcPr>
          <w:p w14:paraId="434388DE" w14:textId="2B43453A" w:rsidR="00E4682D" w:rsidRPr="00B07FB9" w:rsidRDefault="00E4682D" w:rsidP="00D564E8">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 xml:space="preserve">In the </w:t>
            </w:r>
            <w:proofErr w:type="spellStart"/>
            <w:r w:rsidRPr="00B07FB9">
              <w:rPr>
                <w:rFonts w:ascii="Arial Narrow" w:hAnsi="Arial Narrow" w:cs="Calibri"/>
                <w:b/>
                <w:color w:val="000000"/>
                <w:sz w:val="20"/>
                <w:szCs w:val="20"/>
              </w:rPr>
              <w:t>BRCAm</w:t>
            </w:r>
            <w:proofErr w:type="spellEnd"/>
            <w:r w:rsidRPr="00B07FB9">
              <w:rPr>
                <w:rFonts w:ascii="Arial Narrow" w:hAnsi="Arial Narrow" w:cs="Calibri"/>
                <w:b/>
                <w:color w:val="000000"/>
                <w:sz w:val="20"/>
                <w:szCs w:val="20"/>
              </w:rPr>
              <w:t xml:space="preserve"> subgroup</w:t>
            </w:r>
            <w:r w:rsidRPr="00B07FB9">
              <w:rPr>
                <w:rFonts w:ascii="Arial Narrow" w:hAnsi="Arial Narrow" w:cs="Calibri"/>
                <w:color w:val="000000"/>
                <w:sz w:val="20"/>
                <w:szCs w:val="20"/>
              </w:rPr>
              <w:t xml:space="preserve">, included for reference </w:t>
            </w:r>
          </w:p>
        </w:tc>
        <w:tc>
          <w:tcPr>
            <w:tcW w:w="3790" w:type="pct"/>
            <w:gridSpan w:val="3"/>
            <w:shd w:val="clear" w:color="auto" w:fill="D9D9D9" w:themeFill="background1" w:themeFillShade="D9"/>
            <w:vAlign w:val="center"/>
          </w:tcPr>
          <w:p w14:paraId="45D8434C" w14:textId="59D52FDB" w:rsidR="00E4682D" w:rsidRPr="00B07FB9" w:rsidRDefault="00E4682D" w:rsidP="00D564E8">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 xml:space="preserve">Difference in median PFS: </w:t>
            </w:r>
            <w:r w:rsidR="00012EFA" w:rsidRPr="00B07FB9">
              <w:rPr>
                <w:rFonts w:ascii="Arial Narrow" w:hAnsi="Arial Narrow" w:cs="Calibri"/>
                <w:bCs/>
                <w:color w:val="000000"/>
                <w:sz w:val="20"/>
                <w:szCs w:val="20"/>
              </w:rPr>
              <w:t xml:space="preserve">11.2 </w:t>
            </w:r>
            <w:r w:rsidRPr="00B07FB9">
              <w:rPr>
                <w:rFonts w:ascii="Arial Narrow" w:hAnsi="Arial Narrow" w:cs="Calibri"/>
                <w:bCs/>
                <w:color w:val="000000"/>
                <w:sz w:val="20"/>
                <w:szCs w:val="20"/>
              </w:rPr>
              <w:t>months (2</w:t>
            </w:r>
            <w:r w:rsidR="00012EFA" w:rsidRPr="00B07FB9">
              <w:rPr>
                <w:rFonts w:ascii="Arial Narrow" w:hAnsi="Arial Narrow" w:cs="Calibri"/>
                <w:bCs/>
                <w:color w:val="000000"/>
                <w:sz w:val="20"/>
                <w:szCs w:val="20"/>
              </w:rPr>
              <w:t>2.1</w:t>
            </w:r>
            <w:r w:rsidRPr="00B07FB9">
              <w:rPr>
                <w:rFonts w:ascii="Arial Narrow" w:hAnsi="Arial Narrow" w:cs="Calibri"/>
                <w:bCs/>
                <w:color w:val="000000"/>
                <w:sz w:val="20"/>
                <w:szCs w:val="20"/>
              </w:rPr>
              <w:t xml:space="preserve"> months vs. </w:t>
            </w:r>
            <w:r w:rsidR="00012EFA" w:rsidRPr="00B07FB9">
              <w:rPr>
                <w:rFonts w:ascii="Arial Narrow" w:hAnsi="Arial Narrow" w:cs="Calibri"/>
                <w:bCs/>
                <w:color w:val="000000"/>
                <w:sz w:val="20"/>
                <w:szCs w:val="20"/>
              </w:rPr>
              <w:t>10.9</w:t>
            </w:r>
            <w:r w:rsidRPr="00B07FB9">
              <w:rPr>
                <w:rFonts w:ascii="Arial Narrow" w:hAnsi="Arial Narrow" w:cs="Calibri"/>
                <w:bCs/>
                <w:color w:val="000000"/>
                <w:sz w:val="20"/>
                <w:szCs w:val="20"/>
              </w:rPr>
              <w:t xml:space="preserve"> months)</w:t>
            </w:r>
          </w:p>
          <w:p w14:paraId="5CF84545" w14:textId="149A8252" w:rsidR="00E4682D" w:rsidRPr="00B07FB9" w:rsidRDefault="00E4682D" w:rsidP="00D564E8">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HR: 0.40 (0.27, 0.62), p&lt;0.0001</w:t>
            </w:r>
          </w:p>
        </w:tc>
      </w:tr>
    </w:tbl>
    <w:p w14:paraId="505A25A7" w14:textId="00A7D526" w:rsidR="001B4E9C" w:rsidRPr="00B07FB9" w:rsidRDefault="001B4E9C" w:rsidP="00D564E8">
      <w:pPr>
        <w:pStyle w:val="TableFigureFooter"/>
        <w:keepNext/>
        <w:keepLines/>
        <w:widowControl w:val="0"/>
      </w:pPr>
      <w:r w:rsidRPr="00B07FB9">
        <w:t>Source: Table 37, p73 of the resubmission</w:t>
      </w:r>
    </w:p>
    <w:p w14:paraId="2D6358A0" w14:textId="73ED4D23" w:rsidR="001B4E9C" w:rsidRPr="00B07FB9" w:rsidRDefault="001B4E9C" w:rsidP="00D564E8">
      <w:pPr>
        <w:pStyle w:val="TableFigureFooter"/>
        <w:keepNext/>
        <w:keepLines/>
        <w:widowControl w:val="0"/>
      </w:pPr>
      <w:r w:rsidRPr="00B07FB9">
        <w:t xml:space="preserve">BICR=blinded independent central review; </w:t>
      </w:r>
      <w:proofErr w:type="spellStart"/>
      <w:r w:rsidRPr="00B07FB9">
        <w:t>BRCAm</w:t>
      </w:r>
      <w:proofErr w:type="spellEnd"/>
      <w:r w:rsidRPr="00B07FB9">
        <w:t xml:space="preserve"> = BRCA gene mutation; CI=confidence interval; </w:t>
      </w:r>
      <w:r w:rsidR="00602632" w:rsidRPr="00B07FB9">
        <w:t xml:space="preserve">HR = hazard ratio; </w:t>
      </w:r>
      <w:r w:rsidR="00910AE3" w:rsidRPr="00B07FB9">
        <w:t xml:space="preserve">NE = not evaluable; </w:t>
      </w:r>
      <w:r w:rsidRPr="00B07FB9">
        <w:t>NIRA = niraparib; PBO = placebo; PFS=progression-free survival</w:t>
      </w:r>
    </w:p>
    <w:p w14:paraId="5AE5D7E4" w14:textId="77777777" w:rsidR="001E521C" w:rsidRPr="00B07FB9" w:rsidRDefault="001E521C" w:rsidP="00D564E8">
      <w:pPr>
        <w:pStyle w:val="TableFigureFooter"/>
        <w:keepNext/>
        <w:keepLines/>
        <w:widowControl w:val="0"/>
      </w:pPr>
      <w:r w:rsidRPr="00B07FB9">
        <w:t xml:space="preserve">Note: </w:t>
      </w:r>
      <w:r w:rsidRPr="00B07FB9">
        <w:rPr>
          <w:shd w:val="clear" w:color="auto" w:fill="CCECFF"/>
        </w:rPr>
        <w:t>Blue shading</w:t>
      </w:r>
      <w:r w:rsidRPr="00B07FB9">
        <w:t xml:space="preserve"> indicates data previously seen by the PBAC.</w:t>
      </w:r>
    </w:p>
    <w:p w14:paraId="3E9832D9" w14:textId="417F8F61" w:rsidR="001E521C" w:rsidRDefault="001E521C" w:rsidP="00425BFE">
      <w:pPr>
        <w:pStyle w:val="TableFigureFooter"/>
        <w:keepNext/>
        <w:keepLines/>
        <w:widowControl w:val="0"/>
        <w:spacing w:after="160"/>
        <w:ind w:left="397"/>
        <w:rPr>
          <w:szCs w:val="18"/>
        </w:rPr>
      </w:pPr>
      <w:r w:rsidRPr="00B07FB9">
        <w:rPr>
          <w:szCs w:val="18"/>
        </w:rPr>
        <w:t>Data cut-off 17/05/2019</w:t>
      </w:r>
    </w:p>
    <w:p w14:paraId="369BF3B9" w14:textId="77777777" w:rsidR="00FA265B" w:rsidRDefault="00FA265B" w:rsidP="00FA265B">
      <w:pPr>
        <w:pStyle w:val="TableFigureFooter"/>
        <w:keepNext/>
        <w:keepLines/>
        <w:widowControl w:val="0"/>
        <w:spacing w:after="160"/>
      </w:pPr>
      <w:r w:rsidRPr="00FA265B">
        <w:t># Note that the results denoted by (#) are derived from post-hoc analyses conducted by the evaluation specifically for the purposes of informing the PBAC consideration. Interpretation of the results and their application should therefore be limited to seeking to understand the basis for the PBAC outcome and should not be used for any other purpose.</w:t>
      </w:r>
    </w:p>
    <w:p w14:paraId="751D0283" w14:textId="71D2949B" w:rsidR="00FA265B" w:rsidRPr="00FA265B" w:rsidRDefault="00FA265B" w:rsidP="00FA265B">
      <w:pPr>
        <w:pStyle w:val="TableFigureFooter"/>
        <w:keepNext/>
        <w:keepLines/>
        <w:widowControl w:val="0"/>
        <w:spacing w:after="160"/>
      </w:pPr>
      <w:r w:rsidRPr="00FA265B">
        <w:t>* Note that the results denoted by (*)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7ADCBB13" w14:textId="74F6514D" w:rsidR="00FA265B" w:rsidRPr="00FA265B" w:rsidRDefault="00FA265B" w:rsidP="00FA265B">
      <w:pPr>
        <w:pStyle w:val="TableFigureFooter"/>
        <w:keepNext/>
        <w:keepLines/>
        <w:widowControl w:val="0"/>
        <w:spacing w:after="160"/>
      </w:pPr>
    </w:p>
    <w:p w14:paraId="1878B679" w14:textId="381CD45F" w:rsidR="001B4E9C" w:rsidRPr="00B07FB9" w:rsidRDefault="001B4E9C" w:rsidP="000C6F49">
      <w:pPr>
        <w:pStyle w:val="3-BodyText"/>
        <w:widowControl w:val="0"/>
      </w:pPr>
      <w:r w:rsidRPr="00B07FB9">
        <w:t>Treatment with niraparib increased the median PFS by a modest 3.5 months, compared with placebo, among non-</w:t>
      </w:r>
      <w:proofErr w:type="spellStart"/>
      <w:r w:rsidRPr="00B07FB9">
        <w:t>BRCAm</w:t>
      </w:r>
      <w:proofErr w:type="spellEnd"/>
      <w:r w:rsidRPr="00B07FB9">
        <w:t xml:space="preserve"> patients. </w:t>
      </w:r>
      <w:r w:rsidRPr="00B07FB9">
        <w:rPr>
          <w:rFonts w:ascii="Calibri" w:hAnsi="Calibri"/>
          <w:snapToGrid/>
        </w:rPr>
        <w:t>The PBAC previously raised concern</w:t>
      </w:r>
      <w:r w:rsidR="0004258D" w:rsidRPr="00B07FB9">
        <w:rPr>
          <w:rFonts w:ascii="Calibri" w:hAnsi="Calibri"/>
          <w:snapToGrid/>
        </w:rPr>
        <w:t>s</w:t>
      </w:r>
      <w:r w:rsidRPr="00B07FB9">
        <w:rPr>
          <w:rFonts w:ascii="Calibri" w:hAnsi="Calibri"/>
          <w:snapToGrid/>
        </w:rPr>
        <w:t xml:space="preserve"> that </w:t>
      </w:r>
      <w:r w:rsidR="0004258D" w:rsidRPr="00B07FB9">
        <w:rPr>
          <w:rFonts w:ascii="Calibri" w:hAnsi="Calibri"/>
          <w:snapToGrid/>
        </w:rPr>
        <w:t xml:space="preserve">a </w:t>
      </w:r>
      <w:r w:rsidRPr="00B07FB9">
        <w:rPr>
          <w:rFonts w:ascii="Calibri" w:hAnsi="Calibri"/>
          <w:snapToGrid/>
        </w:rPr>
        <w:t xml:space="preserve">magnitude of PFS benefit of 2.7 months (in the HRD-negative and not determined subgroups) was small and may not be clinically meaningful </w:t>
      </w:r>
      <w:r w:rsidRPr="00B07FB9">
        <w:t>(</w:t>
      </w:r>
      <w:r w:rsidR="00D545C3" w:rsidRPr="00B07FB9">
        <w:t>P</w:t>
      </w:r>
      <w:r w:rsidRPr="00B07FB9">
        <w:t xml:space="preserve">aragraph 7.10, Niraparib PSD, July 2021 PBAC meeting). The clinical importance of 3.5 months </w:t>
      </w:r>
      <w:r w:rsidR="00DF47D0" w:rsidRPr="00B07FB9">
        <w:t xml:space="preserve">gained </w:t>
      </w:r>
      <w:r w:rsidR="0004258D" w:rsidRPr="00B07FB9">
        <w:t xml:space="preserve">in PFS </w:t>
      </w:r>
      <w:r w:rsidR="00DF47D0" w:rsidRPr="00B07FB9">
        <w:t>for non-</w:t>
      </w:r>
      <w:proofErr w:type="spellStart"/>
      <w:r w:rsidR="00DF47D0" w:rsidRPr="00B07FB9">
        <w:t>BRCAm</w:t>
      </w:r>
      <w:proofErr w:type="spellEnd"/>
      <w:r w:rsidR="00DF47D0" w:rsidRPr="00B07FB9">
        <w:t xml:space="preserve"> patients should be considered together with the </w:t>
      </w:r>
      <w:r w:rsidRPr="00B07FB9">
        <w:t xml:space="preserve">increased toxicity </w:t>
      </w:r>
      <w:r w:rsidR="0004258D" w:rsidRPr="00B07FB9">
        <w:t xml:space="preserve">observed </w:t>
      </w:r>
      <w:r w:rsidRPr="00B07FB9">
        <w:t>with niraparib compared with placebo</w:t>
      </w:r>
      <w:r w:rsidR="0004258D" w:rsidRPr="00B07FB9">
        <w:t xml:space="preserve"> (see </w:t>
      </w:r>
      <w:r w:rsidR="00E4682D" w:rsidRPr="00B07FB9">
        <w:t>the “Comparative harms” subsection below</w:t>
      </w:r>
      <w:r w:rsidR="0004258D" w:rsidRPr="00B07FB9">
        <w:t>)</w:t>
      </w:r>
      <w:r w:rsidRPr="00B07FB9">
        <w:t>.</w:t>
      </w:r>
      <w:r w:rsidR="00910AE3" w:rsidRPr="00B07FB9">
        <w:t xml:space="preserve"> </w:t>
      </w:r>
      <w:r w:rsidR="00E556C0" w:rsidRPr="00B07FB9">
        <w:t>The PBAC considered that although the</w:t>
      </w:r>
      <w:r w:rsidR="00F055DE" w:rsidRPr="00B07FB9">
        <w:t xml:space="preserve"> results indicated </w:t>
      </w:r>
      <w:r w:rsidR="00E556C0" w:rsidRPr="00B07FB9">
        <w:t xml:space="preserve">a small PFS benefit for the non-BRCA </w:t>
      </w:r>
      <w:r w:rsidR="00F055DE" w:rsidRPr="00B07FB9">
        <w:t>subgroup</w:t>
      </w:r>
      <w:r w:rsidR="00E556C0" w:rsidRPr="00B07FB9">
        <w:t>, there would be patients in this subgroup for whom there was no benefit from treatment with niraparib.</w:t>
      </w:r>
    </w:p>
    <w:p w14:paraId="050BA3AB" w14:textId="07157BE0" w:rsidR="00FC073C" w:rsidRPr="00B07FB9" w:rsidRDefault="00FC073C" w:rsidP="000C6F49">
      <w:pPr>
        <w:pStyle w:val="3-BodyText"/>
        <w:widowControl w:val="0"/>
      </w:pPr>
      <w:bookmarkStart w:id="25" w:name="_Ref95992783"/>
      <w:r w:rsidRPr="00B07FB9">
        <w:t>The PFS results by HRD status in the non-</w:t>
      </w:r>
      <w:proofErr w:type="spellStart"/>
      <w:r w:rsidRPr="00B07FB9">
        <w:t>BRCAm</w:t>
      </w:r>
      <w:proofErr w:type="spellEnd"/>
      <w:r w:rsidRPr="00B07FB9">
        <w:t xml:space="preserve"> </w:t>
      </w:r>
      <w:bookmarkStart w:id="26" w:name="_Hlk105079970"/>
      <w:r w:rsidR="0074457E">
        <w:t xml:space="preserve">and </w:t>
      </w:r>
      <w:proofErr w:type="spellStart"/>
      <w:r w:rsidR="0074457E">
        <w:t>HRDnd</w:t>
      </w:r>
      <w:proofErr w:type="spellEnd"/>
      <w:r w:rsidR="00CA09F2">
        <w:t xml:space="preserve"> patients</w:t>
      </w:r>
      <w:r w:rsidRPr="00B07FB9">
        <w:t xml:space="preserve"> </w:t>
      </w:r>
      <w:bookmarkEnd w:id="26"/>
      <w:r w:rsidRPr="00B07FB9">
        <w:t xml:space="preserve">of PRIMA are presented in the table below. </w:t>
      </w:r>
      <w:r w:rsidR="00D95E19" w:rsidRPr="00B07FB9">
        <w:t xml:space="preserve">The PSCR noted that </w:t>
      </w:r>
      <w:r w:rsidR="00694B4B" w:rsidRPr="00B07FB9">
        <w:t xml:space="preserve">the </w:t>
      </w:r>
      <w:r w:rsidR="009E1184" w:rsidRPr="00B07FB9">
        <w:t>non-</w:t>
      </w:r>
      <w:proofErr w:type="spellStart"/>
      <w:r w:rsidR="009E1184" w:rsidRPr="00B07FB9">
        <w:t>BRCAm</w:t>
      </w:r>
      <w:proofErr w:type="spellEnd"/>
      <w:r w:rsidR="009E1184" w:rsidRPr="00B07FB9">
        <w:t xml:space="preserve"> </w:t>
      </w:r>
      <w:r w:rsidR="00694B4B" w:rsidRPr="00B07FB9">
        <w:t>HRD</w:t>
      </w:r>
      <w:r w:rsidR="004D489E" w:rsidRPr="00B07FB9">
        <w:t xml:space="preserve"> and</w:t>
      </w:r>
      <w:r w:rsidR="009E1184" w:rsidRPr="00B07FB9">
        <w:t xml:space="preserve"> not determined </w:t>
      </w:r>
      <w:r w:rsidR="00694B4B" w:rsidRPr="00B07FB9">
        <w:t xml:space="preserve">population </w:t>
      </w:r>
      <w:r w:rsidR="00CF6F18" w:rsidRPr="00B07FB9">
        <w:t>(n=71 nirap</w:t>
      </w:r>
      <w:r w:rsidR="0043104F" w:rsidRPr="00B07FB9">
        <w:t>a</w:t>
      </w:r>
      <w:r w:rsidR="00CF6F18" w:rsidRPr="00B07FB9">
        <w:t xml:space="preserve">rib, n=40 placebo) </w:t>
      </w:r>
      <w:r w:rsidR="009E1184" w:rsidRPr="00B07FB9">
        <w:t>included</w:t>
      </w:r>
      <w:r w:rsidR="00694B4B" w:rsidRPr="00B07FB9">
        <w:t xml:space="preserve"> 28-30% of patients </w:t>
      </w:r>
      <w:r w:rsidR="009E1184" w:rsidRPr="00B07FB9">
        <w:t>for whom</w:t>
      </w:r>
      <w:r w:rsidR="00694B4B" w:rsidRPr="00B07FB9">
        <w:t xml:space="preserve"> BRCA status was also not determined</w:t>
      </w:r>
      <w:r w:rsidR="006E68F3" w:rsidRPr="00B07FB9">
        <w:t xml:space="preserve">, therefore results in this subgroup may not be representative of </w:t>
      </w:r>
      <w:proofErr w:type="spellStart"/>
      <w:r w:rsidR="006E68F3" w:rsidRPr="00B07FB9">
        <w:t>BRCAwt</w:t>
      </w:r>
      <w:proofErr w:type="spellEnd"/>
      <w:r w:rsidR="006E68F3" w:rsidRPr="00B07FB9">
        <w:t xml:space="preserve"> patients</w:t>
      </w:r>
      <w:r w:rsidR="00694B4B" w:rsidRPr="00B07FB9">
        <w:t>.</w:t>
      </w:r>
      <w:bookmarkEnd w:id="25"/>
    </w:p>
    <w:p w14:paraId="7482AC44" w14:textId="71769C22" w:rsidR="00602632" w:rsidRPr="00B07FB9" w:rsidRDefault="00602632" w:rsidP="00D564E8">
      <w:pPr>
        <w:pStyle w:val="TableFigureHeading"/>
        <w:keepLines/>
        <w:widowControl w:val="0"/>
      </w:pPr>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6</w:t>
      </w:r>
      <w:r w:rsidR="00385E8C">
        <w:fldChar w:fldCharType="end"/>
      </w:r>
      <w:r w:rsidRPr="00B07FB9">
        <w:t xml:space="preserve">: Results of PFS per BICR </w:t>
      </w:r>
      <w:r w:rsidR="002968E2" w:rsidRPr="00B07FB9">
        <w:t xml:space="preserve">by HRD status </w:t>
      </w:r>
      <w:r w:rsidRPr="00B07FB9">
        <w:t>in the non-</w:t>
      </w:r>
      <w:proofErr w:type="spellStart"/>
      <w:r w:rsidRPr="00B07FB9">
        <w:t>BRCAm</w:t>
      </w:r>
      <w:proofErr w:type="spellEnd"/>
      <w:r w:rsidRPr="00B07FB9">
        <w:t xml:space="preserve"> </w:t>
      </w:r>
      <w:r w:rsidR="00550D6C" w:rsidRPr="00B07FB9">
        <w:t xml:space="preserve">and </w:t>
      </w:r>
      <w:proofErr w:type="spellStart"/>
      <w:r w:rsidR="00550D6C" w:rsidRPr="00B07FB9">
        <w:t>HRDnd</w:t>
      </w:r>
      <w:proofErr w:type="spellEnd"/>
      <w:r w:rsidR="00550D6C" w:rsidRPr="00B07FB9">
        <w:t xml:space="preserve"> </w:t>
      </w:r>
      <w:r w:rsidRPr="00B07FB9">
        <w:t>cohort of PRIMA</w:t>
      </w:r>
      <w:r w:rsidR="00706D7E" w:rsidRPr="00B07FB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6: Results of PFS per BICR by HRD status in the non-BRCAm and HRDnd cohort of PRIMA "/>
      </w:tblPr>
      <w:tblGrid>
        <w:gridCol w:w="984"/>
        <w:gridCol w:w="1136"/>
        <w:gridCol w:w="1075"/>
        <w:gridCol w:w="1105"/>
        <w:gridCol w:w="1035"/>
        <w:gridCol w:w="1042"/>
        <w:gridCol w:w="1262"/>
        <w:gridCol w:w="1378"/>
      </w:tblGrid>
      <w:tr w:rsidR="00602632" w:rsidRPr="00B07FB9" w14:paraId="7DE3AE6E" w14:textId="77777777" w:rsidTr="002122F4">
        <w:trPr>
          <w:trHeight w:val="229"/>
        </w:trPr>
        <w:tc>
          <w:tcPr>
            <w:tcW w:w="1175" w:type="pct"/>
            <w:gridSpan w:val="2"/>
            <w:vMerge w:val="restart"/>
            <w:shd w:val="clear" w:color="auto" w:fill="FFFFFF" w:themeFill="background1"/>
            <w:vAlign w:val="center"/>
          </w:tcPr>
          <w:p w14:paraId="5417A15E" w14:textId="77777777" w:rsidR="00602632" w:rsidRPr="00B07FB9" w:rsidRDefault="00602632" w:rsidP="00D564E8">
            <w:pPr>
              <w:keepNext/>
              <w:keepLines/>
              <w:widowControl w:val="0"/>
              <w:jc w:val="left"/>
              <w:rPr>
                <w:rFonts w:ascii="Arial Narrow" w:hAnsi="Arial Narrow" w:cs="Calibri"/>
                <w:b/>
                <w:bCs/>
                <w:color w:val="000000"/>
                <w:sz w:val="20"/>
                <w:szCs w:val="20"/>
              </w:rPr>
            </w:pPr>
          </w:p>
        </w:tc>
        <w:tc>
          <w:tcPr>
            <w:tcW w:w="596" w:type="pct"/>
            <w:vMerge w:val="restart"/>
            <w:shd w:val="clear" w:color="auto" w:fill="FFFFFF" w:themeFill="background1"/>
            <w:vAlign w:val="center"/>
          </w:tcPr>
          <w:p w14:paraId="299665F2"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Events</w:t>
            </w:r>
          </w:p>
          <w:p w14:paraId="09D1C3BE"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n (%)</w:t>
            </w:r>
          </w:p>
        </w:tc>
        <w:tc>
          <w:tcPr>
            <w:tcW w:w="1765" w:type="pct"/>
            <w:gridSpan w:val="3"/>
            <w:shd w:val="clear" w:color="auto" w:fill="FFFFFF" w:themeFill="background1"/>
            <w:vAlign w:val="center"/>
          </w:tcPr>
          <w:p w14:paraId="4F4F06CC"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Survival Distribution (95% CI)</w:t>
            </w:r>
          </w:p>
        </w:tc>
        <w:tc>
          <w:tcPr>
            <w:tcW w:w="700" w:type="pct"/>
            <w:vMerge w:val="restart"/>
            <w:shd w:val="clear" w:color="auto" w:fill="FFFFFF" w:themeFill="background1"/>
            <w:vAlign w:val="center"/>
          </w:tcPr>
          <w:p w14:paraId="25C4917C"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Median, months (95% CI)</w:t>
            </w:r>
          </w:p>
        </w:tc>
        <w:tc>
          <w:tcPr>
            <w:tcW w:w="764" w:type="pct"/>
            <w:vMerge w:val="restart"/>
            <w:shd w:val="clear" w:color="auto" w:fill="FFFFFF" w:themeFill="background1"/>
            <w:vAlign w:val="center"/>
          </w:tcPr>
          <w:p w14:paraId="010DFF91"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HR (95% CI),</w:t>
            </w:r>
          </w:p>
          <w:p w14:paraId="11121606"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p value</w:t>
            </w:r>
          </w:p>
        </w:tc>
      </w:tr>
      <w:tr w:rsidR="00602632" w:rsidRPr="00B07FB9" w14:paraId="214F3744" w14:textId="77777777" w:rsidTr="002122F4">
        <w:trPr>
          <w:trHeight w:val="229"/>
        </w:trPr>
        <w:tc>
          <w:tcPr>
            <w:tcW w:w="1175" w:type="pct"/>
            <w:gridSpan w:val="2"/>
            <w:vMerge/>
            <w:shd w:val="clear" w:color="auto" w:fill="FFFFFF" w:themeFill="background1"/>
            <w:vAlign w:val="center"/>
          </w:tcPr>
          <w:p w14:paraId="22A7BDE4" w14:textId="77777777" w:rsidR="00602632" w:rsidRPr="00B07FB9" w:rsidRDefault="00602632" w:rsidP="00D564E8">
            <w:pPr>
              <w:keepNext/>
              <w:keepLines/>
              <w:widowControl w:val="0"/>
              <w:jc w:val="left"/>
              <w:rPr>
                <w:rFonts w:ascii="Arial Narrow" w:hAnsi="Arial Narrow" w:cs="Calibri"/>
                <w:b/>
                <w:bCs/>
                <w:color w:val="000000"/>
                <w:sz w:val="20"/>
                <w:szCs w:val="20"/>
              </w:rPr>
            </w:pPr>
          </w:p>
        </w:tc>
        <w:tc>
          <w:tcPr>
            <w:tcW w:w="596" w:type="pct"/>
            <w:vMerge/>
            <w:tcBorders>
              <w:bottom w:val="single" w:sz="4" w:space="0" w:color="auto"/>
            </w:tcBorders>
            <w:shd w:val="clear" w:color="auto" w:fill="FFFFFF" w:themeFill="background1"/>
            <w:vAlign w:val="center"/>
          </w:tcPr>
          <w:p w14:paraId="182CA2BB" w14:textId="77777777" w:rsidR="00602632" w:rsidRPr="00B07FB9" w:rsidRDefault="00602632" w:rsidP="00D564E8">
            <w:pPr>
              <w:keepNext/>
              <w:keepLines/>
              <w:widowControl w:val="0"/>
              <w:jc w:val="center"/>
              <w:rPr>
                <w:rFonts w:ascii="Arial Narrow" w:hAnsi="Arial Narrow" w:cs="Calibri"/>
                <w:b/>
                <w:bCs/>
                <w:color w:val="000000"/>
                <w:sz w:val="20"/>
                <w:szCs w:val="20"/>
              </w:rPr>
            </w:pPr>
          </w:p>
        </w:tc>
        <w:tc>
          <w:tcPr>
            <w:tcW w:w="613" w:type="pct"/>
            <w:shd w:val="clear" w:color="auto" w:fill="FFFFFF" w:themeFill="background1"/>
            <w:vAlign w:val="center"/>
          </w:tcPr>
          <w:p w14:paraId="036B9DAE"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6 months</w:t>
            </w:r>
          </w:p>
        </w:tc>
        <w:tc>
          <w:tcPr>
            <w:tcW w:w="574" w:type="pct"/>
            <w:shd w:val="clear" w:color="auto" w:fill="FFFFFF" w:themeFill="background1"/>
            <w:vAlign w:val="center"/>
          </w:tcPr>
          <w:p w14:paraId="528CC319"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12 months</w:t>
            </w:r>
          </w:p>
        </w:tc>
        <w:tc>
          <w:tcPr>
            <w:tcW w:w="578" w:type="pct"/>
            <w:shd w:val="clear" w:color="auto" w:fill="FFFFFF" w:themeFill="background1"/>
            <w:vAlign w:val="center"/>
          </w:tcPr>
          <w:p w14:paraId="7D257A55"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18 months</w:t>
            </w:r>
          </w:p>
        </w:tc>
        <w:tc>
          <w:tcPr>
            <w:tcW w:w="700" w:type="pct"/>
            <w:vMerge/>
            <w:tcBorders>
              <w:bottom w:val="single" w:sz="4" w:space="0" w:color="auto"/>
            </w:tcBorders>
            <w:shd w:val="clear" w:color="auto" w:fill="FFFFFF" w:themeFill="background1"/>
            <w:vAlign w:val="center"/>
          </w:tcPr>
          <w:p w14:paraId="21D3106F" w14:textId="77777777" w:rsidR="00602632" w:rsidRPr="00B07FB9" w:rsidRDefault="00602632" w:rsidP="00D564E8">
            <w:pPr>
              <w:keepNext/>
              <w:keepLines/>
              <w:widowControl w:val="0"/>
              <w:jc w:val="center"/>
              <w:rPr>
                <w:rFonts w:ascii="Arial Narrow" w:hAnsi="Arial Narrow" w:cs="Calibri"/>
                <w:b/>
                <w:bCs/>
                <w:color w:val="000000"/>
                <w:sz w:val="20"/>
                <w:szCs w:val="20"/>
              </w:rPr>
            </w:pPr>
          </w:p>
        </w:tc>
        <w:tc>
          <w:tcPr>
            <w:tcW w:w="764" w:type="pct"/>
            <w:vMerge/>
            <w:tcBorders>
              <w:bottom w:val="single" w:sz="4" w:space="0" w:color="auto"/>
            </w:tcBorders>
            <w:shd w:val="clear" w:color="auto" w:fill="FFFFFF" w:themeFill="background1"/>
            <w:vAlign w:val="center"/>
          </w:tcPr>
          <w:p w14:paraId="392A280C" w14:textId="77777777" w:rsidR="00602632" w:rsidRPr="00B07FB9" w:rsidRDefault="00602632" w:rsidP="00D564E8">
            <w:pPr>
              <w:keepNext/>
              <w:keepLines/>
              <w:widowControl w:val="0"/>
              <w:jc w:val="center"/>
              <w:rPr>
                <w:rFonts w:ascii="Arial Narrow" w:hAnsi="Arial Narrow" w:cs="Calibri"/>
                <w:b/>
                <w:bCs/>
                <w:color w:val="000000"/>
                <w:sz w:val="20"/>
                <w:szCs w:val="20"/>
              </w:rPr>
            </w:pPr>
          </w:p>
        </w:tc>
      </w:tr>
      <w:tr w:rsidR="00602632" w:rsidRPr="00B07FB9" w14:paraId="74592D9C" w14:textId="77777777" w:rsidTr="002122F4">
        <w:trPr>
          <w:trHeight w:val="20"/>
        </w:trPr>
        <w:tc>
          <w:tcPr>
            <w:tcW w:w="545" w:type="pct"/>
            <w:vMerge w:val="restart"/>
            <w:shd w:val="clear" w:color="auto" w:fill="FFFFFF" w:themeFill="background1"/>
            <w:vAlign w:val="center"/>
          </w:tcPr>
          <w:p w14:paraId="7707FC8C" w14:textId="5A054F81" w:rsidR="00602632" w:rsidRPr="00B07FB9" w:rsidRDefault="00602632" w:rsidP="00D564E8">
            <w:pPr>
              <w:keepNext/>
              <w:keepLines/>
              <w:widowControl w:val="0"/>
              <w:jc w:val="left"/>
              <w:rPr>
                <w:rFonts w:ascii="Arial Narrow" w:hAnsi="Arial Narrow" w:cs="Calibri"/>
                <w:color w:val="000000"/>
                <w:sz w:val="20"/>
                <w:szCs w:val="20"/>
                <w:vertAlign w:val="superscript"/>
              </w:rPr>
            </w:pPr>
            <w:r w:rsidRPr="00B07FB9">
              <w:rPr>
                <w:rFonts w:ascii="Arial Narrow" w:hAnsi="Arial Narrow" w:cs="Calibri"/>
                <w:color w:val="000000"/>
                <w:sz w:val="20"/>
                <w:szCs w:val="20"/>
              </w:rPr>
              <w:t>Non-</w:t>
            </w:r>
            <w:proofErr w:type="spellStart"/>
            <w:r w:rsidRPr="00B07FB9">
              <w:rPr>
                <w:rFonts w:ascii="Arial Narrow" w:hAnsi="Arial Narrow" w:cs="Calibri"/>
                <w:color w:val="000000"/>
                <w:sz w:val="20"/>
                <w:szCs w:val="20"/>
              </w:rPr>
              <w:t>BRCAm</w:t>
            </w:r>
            <w:r w:rsidR="002E2EEB" w:rsidRPr="00B07FB9">
              <w:rPr>
                <w:rFonts w:ascii="Arial Narrow" w:hAnsi="Arial Narrow" w:cs="Calibri"/>
                <w:color w:val="000000"/>
                <w:sz w:val="20"/>
                <w:szCs w:val="20"/>
                <w:vertAlign w:val="superscript"/>
              </w:rPr>
              <w:t>a</w:t>
            </w:r>
            <w:proofErr w:type="spellEnd"/>
          </w:p>
        </w:tc>
        <w:tc>
          <w:tcPr>
            <w:tcW w:w="630" w:type="pct"/>
            <w:shd w:val="clear" w:color="auto" w:fill="FFFFFF" w:themeFill="background1"/>
            <w:vAlign w:val="center"/>
          </w:tcPr>
          <w:p w14:paraId="087086B1"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NIRA (N=310)</w:t>
            </w:r>
          </w:p>
        </w:tc>
        <w:tc>
          <w:tcPr>
            <w:tcW w:w="596" w:type="pct"/>
            <w:shd w:val="clear" w:color="auto" w:fill="CCECFF"/>
            <w:vAlign w:val="center"/>
          </w:tcPr>
          <w:p w14:paraId="5FEBE347"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170 (54.8)</w:t>
            </w:r>
          </w:p>
        </w:tc>
        <w:tc>
          <w:tcPr>
            <w:tcW w:w="613" w:type="pct"/>
            <w:shd w:val="clear" w:color="auto" w:fill="FFFFFF" w:themeFill="background1"/>
            <w:vAlign w:val="center"/>
          </w:tcPr>
          <w:p w14:paraId="777B16B9" w14:textId="2FF47D51"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0.65</w:t>
            </w:r>
            <w:r w:rsidR="00010EA0">
              <w:rPr>
                <w:rFonts w:ascii="Arial Narrow" w:hAnsi="Arial Narrow" w:cs="Calibri"/>
                <w:color w:val="000000"/>
                <w:sz w:val="20"/>
                <w:szCs w:val="20"/>
              </w:rPr>
              <w:t>*</w:t>
            </w:r>
            <w:r w:rsidRPr="00B07FB9">
              <w:rPr>
                <w:rFonts w:ascii="Arial Narrow" w:hAnsi="Arial Narrow" w:cs="Calibri"/>
                <w:color w:val="000000"/>
                <w:sz w:val="20"/>
                <w:szCs w:val="20"/>
              </w:rPr>
              <w:t xml:space="preserve"> </w:t>
            </w:r>
          </w:p>
          <w:p w14:paraId="4823A1AE"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(0.60, 0.71)</w:t>
            </w:r>
          </w:p>
        </w:tc>
        <w:tc>
          <w:tcPr>
            <w:tcW w:w="574" w:type="pct"/>
            <w:shd w:val="clear" w:color="auto" w:fill="FFFFFF" w:themeFill="background1"/>
            <w:vAlign w:val="center"/>
          </w:tcPr>
          <w:p w14:paraId="19FE6E66" w14:textId="51786032"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0.43</w:t>
            </w:r>
            <w:r w:rsidR="00010EA0">
              <w:rPr>
                <w:rFonts w:ascii="Arial Narrow" w:hAnsi="Arial Narrow" w:cs="Calibri"/>
                <w:color w:val="000000"/>
                <w:sz w:val="20"/>
                <w:szCs w:val="20"/>
              </w:rPr>
              <w:t>*</w:t>
            </w:r>
          </w:p>
          <w:p w14:paraId="50DDFEE5"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(0.37, 0.49)</w:t>
            </w:r>
          </w:p>
        </w:tc>
        <w:tc>
          <w:tcPr>
            <w:tcW w:w="578" w:type="pct"/>
            <w:shd w:val="clear" w:color="auto" w:fill="FFFFFF" w:themeFill="background1"/>
            <w:vAlign w:val="center"/>
          </w:tcPr>
          <w:p w14:paraId="6F8867BD" w14:textId="120F3ADA"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0.30</w:t>
            </w:r>
            <w:r w:rsidR="00010EA0">
              <w:rPr>
                <w:rFonts w:ascii="Arial Narrow" w:hAnsi="Arial Narrow" w:cs="Calibri"/>
                <w:color w:val="000000"/>
                <w:sz w:val="20"/>
                <w:szCs w:val="20"/>
              </w:rPr>
              <w:t>*</w:t>
            </w:r>
          </w:p>
          <w:p w14:paraId="5F00A19D"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(0.24, 0.37)</w:t>
            </w:r>
          </w:p>
        </w:tc>
        <w:tc>
          <w:tcPr>
            <w:tcW w:w="700" w:type="pct"/>
            <w:shd w:val="clear" w:color="auto" w:fill="CCECFF"/>
            <w:vAlign w:val="center"/>
          </w:tcPr>
          <w:p w14:paraId="3644E9DD"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10.9 (8.3, 11.8)</w:t>
            </w:r>
          </w:p>
        </w:tc>
        <w:tc>
          <w:tcPr>
            <w:tcW w:w="764" w:type="pct"/>
            <w:vMerge w:val="restart"/>
            <w:shd w:val="clear" w:color="auto" w:fill="CCECFF"/>
            <w:vAlign w:val="center"/>
          </w:tcPr>
          <w:p w14:paraId="1FD75042" w14:textId="10C331B3" w:rsidR="00602632" w:rsidRPr="00B07FB9" w:rsidRDefault="00602632" w:rsidP="00D564E8">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0.69 (0.54, 0.88)</w:t>
            </w:r>
          </w:p>
          <w:p w14:paraId="222EB16B"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bCs/>
                <w:color w:val="000000"/>
                <w:sz w:val="20"/>
                <w:szCs w:val="20"/>
              </w:rPr>
              <w:t>p=0.0029</w:t>
            </w:r>
          </w:p>
        </w:tc>
      </w:tr>
      <w:tr w:rsidR="00602632" w:rsidRPr="00B07FB9" w14:paraId="06740912" w14:textId="77777777" w:rsidTr="002122F4">
        <w:trPr>
          <w:trHeight w:val="20"/>
        </w:trPr>
        <w:tc>
          <w:tcPr>
            <w:tcW w:w="545" w:type="pct"/>
            <w:vMerge/>
            <w:shd w:val="clear" w:color="auto" w:fill="FFFFFF" w:themeFill="background1"/>
            <w:vAlign w:val="center"/>
          </w:tcPr>
          <w:p w14:paraId="1C37AE6A" w14:textId="77777777" w:rsidR="00602632" w:rsidRPr="00B07FB9" w:rsidRDefault="00602632" w:rsidP="00D564E8">
            <w:pPr>
              <w:keepNext/>
              <w:keepLines/>
              <w:widowControl w:val="0"/>
              <w:jc w:val="left"/>
              <w:rPr>
                <w:rFonts w:ascii="Arial Narrow" w:hAnsi="Arial Narrow" w:cs="Calibri"/>
                <w:color w:val="000000"/>
                <w:sz w:val="20"/>
                <w:szCs w:val="20"/>
              </w:rPr>
            </w:pPr>
          </w:p>
        </w:tc>
        <w:tc>
          <w:tcPr>
            <w:tcW w:w="630" w:type="pct"/>
            <w:shd w:val="clear" w:color="auto" w:fill="FFFFFF" w:themeFill="background1"/>
            <w:vAlign w:val="center"/>
          </w:tcPr>
          <w:p w14:paraId="1F2ACBFC" w14:textId="20B142F2" w:rsidR="00602632" w:rsidRPr="00B07FB9" w:rsidRDefault="00602632" w:rsidP="00D564E8">
            <w:pPr>
              <w:keepNext/>
              <w:keepLines/>
              <w:widowControl w:val="0"/>
              <w:ind w:firstLine="23"/>
              <w:jc w:val="center"/>
              <w:rPr>
                <w:rFonts w:ascii="Arial Narrow" w:hAnsi="Arial Narrow" w:cs="Calibri"/>
                <w:color w:val="000000"/>
                <w:sz w:val="20"/>
                <w:szCs w:val="20"/>
              </w:rPr>
            </w:pPr>
            <w:r w:rsidRPr="00B07FB9">
              <w:rPr>
                <w:rFonts w:ascii="Arial Narrow" w:hAnsi="Arial Narrow" w:cs="Calibri"/>
                <w:color w:val="000000"/>
                <w:sz w:val="20"/>
                <w:szCs w:val="20"/>
              </w:rPr>
              <w:t>PBO (N=163)</w:t>
            </w:r>
          </w:p>
        </w:tc>
        <w:tc>
          <w:tcPr>
            <w:tcW w:w="596" w:type="pct"/>
            <w:shd w:val="clear" w:color="auto" w:fill="CCECFF"/>
            <w:vAlign w:val="center"/>
          </w:tcPr>
          <w:p w14:paraId="47E05438"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108 (66.3)</w:t>
            </w:r>
          </w:p>
        </w:tc>
        <w:tc>
          <w:tcPr>
            <w:tcW w:w="613" w:type="pct"/>
            <w:tcBorders>
              <w:bottom w:val="single" w:sz="4" w:space="0" w:color="auto"/>
            </w:tcBorders>
            <w:shd w:val="clear" w:color="auto" w:fill="FFFFFF" w:themeFill="background1"/>
            <w:vAlign w:val="center"/>
          </w:tcPr>
          <w:p w14:paraId="040BC1BD" w14:textId="6D518B1E"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0.56</w:t>
            </w:r>
            <w:r w:rsidR="00010EA0">
              <w:rPr>
                <w:rFonts w:ascii="Arial Narrow" w:hAnsi="Arial Narrow" w:cs="Calibri"/>
                <w:color w:val="000000"/>
                <w:sz w:val="20"/>
                <w:szCs w:val="20"/>
              </w:rPr>
              <w:t>*</w:t>
            </w:r>
          </w:p>
          <w:p w14:paraId="52141785"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(0.47, 0.63)</w:t>
            </w:r>
          </w:p>
        </w:tc>
        <w:tc>
          <w:tcPr>
            <w:tcW w:w="574" w:type="pct"/>
            <w:tcBorders>
              <w:bottom w:val="single" w:sz="4" w:space="0" w:color="auto"/>
            </w:tcBorders>
            <w:shd w:val="clear" w:color="auto" w:fill="FFFFFF" w:themeFill="background1"/>
            <w:vAlign w:val="center"/>
          </w:tcPr>
          <w:p w14:paraId="67D73B6E" w14:textId="6C52FA80"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0.31</w:t>
            </w:r>
            <w:r w:rsidR="00010EA0">
              <w:rPr>
                <w:rFonts w:ascii="Arial Narrow" w:hAnsi="Arial Narrow" w:cs="Calibri"/>
                <w:color w:val="000000"/>
                <w:sz w:val="20"/>
                <w:szCs w:val="20"/>
              </w:rPr>
              <w:t>*</w:t>
            </w:r>
          </w:p>
          <w:p w14:paraId="470FDD4D"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(0.24, 0.39)</w:t>
            </w:r>
          </w:p>
        </w:tc>
        <w:tc>
          <w:tcPr>
            <w:tcW w:w="578" w:type="pct"/>
            <w:tcBorders>
              <w:bottom w:val="single" w:sz="4" w:space="0" w:color="auto"/>
            </w:tcBorders>
            <w:shd w:val="clear" w:color="auto" w:fill="FFFFFF" w:themeFill="background1"/>
            <w:vAlign w:val="center"/>
          </w:tcPr>
          <w:p w14:paraId="46A9B3DB" w14:textId="46610366"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0.23</w:t>
            </w:r>
            <w:r w:rsidR="00010EA0">
              <w:rPr>
                <w:rFonts w:ascii="Arial Narrow" w:hAnsi="Arial Narrow" w:cs="Calibri"/>
                <w:color w:val="000000"/>
                <w:sz w:val="20"/>
                <w:szCs w:val="20"/>
              </w:rPr>
              <w:t>*</w:t>
            </w:r>
          </w:p>
          <w:p w14:paraId="7765AD13"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(0.15, 0.32)</w:t>
            </w:r>
          </w:p>
        </w:tc>
        <w:tc>
          <w:tcPr>
            <w:tcW w:w="700" w:type="pct"/>
            <w:shd w:val="clear" w:color="auto" w:fill="CCECFF"/>
            <w:vAlign w:val="center"/>
          </w:tcPr>
          <w:p w14:paraId="12ADADE9"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7.4 (5.6, 8.2)</w:t>
            </w:r>
          </w:p>
        </w:tc>
        <w:tc>
          <w:tcPr>
            <w:tcW w:w="764" w:type="pct"/>
            <w:vMerge/>
            <w:shd w:val="clear" w:color="auto" w:fill="CCECFF"/>
            <w:vAlign w:val="center"/>
          </w:tcPr>
          <w:p w14:paraId="2BF58ECD" w14:textId="77777777" w:rsidR="00602632" w:rsidRPr="00B07FB9" w:rsidRDefault="00602632" w:rsidP="00D564E8">
            <w:pPr>
              <w:keepNext/>
              <w:keepLines/>
              <w:widowControl w:val="0"/>
              <w:jc w:val="center"/>
              <w:rPr>
                <w:rFonts w:ascii="Arial Narrow" w:hAnsi="Arial Narrow" w:cs="Calibri"/>
                <w:color w:val="000000"/>
                <w:sz w:val="20"/>
                <w:szCs w:val="20"/>
              </w:rPr>
            </w:pPr>
          </w:p>
        </w:tc>
      </w:tr>
      <w:tr w:rsidR="00602632" w:rsidRPr="00B07FB9" w14:paraId="45814BFC" w14:textId="77777777" w:rsidTr="002122F4">
        <w:trPr>
          <w:trHeight w:val="20"/>
        </w:trPr>
        <w:tc>
          <w:tcPr>
            <w:tcW w:w="545" w:type="pct"/>
            <w:vMerge w:val="restart"/>
            <w:shd w:val="clear" w:color="auto" w:fill="FFFFFF" w:themeFill="background1"/>
            <w:vAlign w:val="center"/>
          </w:tcPr>
          <w:p w14:paraId="2C8CACAA" w14:textId="12CC467C" w:rsidR="00602632" w:rsidRPr="00010EA0" w:rsidRDefault="00602632" w:rsidP="00D564E8">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Non-</w:t>
            </w:r>
            <w:proofErr w:type="spellStart"/>
            <w:r w:rsidRPr="00B07FB9">
              <w:rPr>
                <w:rFonts w:ascii="Arial Narrow" w:hAnsi="Arial Narrow" w:cs="Calibri"/>
                <w:color w:val="000000"/>
                <w:sz w:val="20"/>
                <w:szCs w:val="20"/>
              </w:rPr>
              <w:t>BRCAm</w:t>
            </w:r>
            <w:proofErr w:type="spellEnd"/>
            <w:r w:rsidRPr="00B07FB9">
              <w:rPr>
                <w:rFonts w:ascii="Arial Narrow" w:hAnsi="Arial Narrow" w:cs="Calibri"/>
                <w:color w:val="000000"/>
                <w:sz w:val="20"/>
                <w:szCs w:val="20"/>
              </w:rPr>
              <w:t xml:space="preserve">, </w:t>
            </w:r>
            <w:proofErr w:type="spellStart"/>
            <w:r w:rsidRPr="00B07FB9">
              <w:rPr>
                <w:rFonts w:ascii="Arial Narrow" w:hAnsi="Arial Narrow" w:cs="Calibri"/>
                <w:color w:val="000000"/>
                <w:sz w:val="20"/>
                <w:szCs w:val="20"/>
              </w:rPr>
              <w:t>HRDpos</w:t>
            </w:r>
            <w:r w:rsidR="002E2EEB" w:rsidRPr="00B07FB9">
              <w:rPr>
                <w:rFonts w:ascii="Arial Narrow" w:hAnsi="Arial Narrow" w:cs="Calibri"/>
                <w:color w:val="000000"/>
                <w:sz w:val="20"/>
                <w:szCs w:val="20"/>
                <w:vertAlign w:val="superscript"/>
              </w:rPr>
              <w:t>b</w:t>
            </w:r>
            <w:proofErr w:type="spellEnd"/>
            <w:r w:rsidR="00010EA0">
              <w:rPr>
                <w:rFonts w:ascii="Arial Narrow" w:hAnsi="Arial Narrow" w:cs="Calibri"/>
                <w:color w:val="000000"/>
                <w:sz w:val="20"/>
                <w:szCs w:val="20"/>
              </w:rPr>
              <w:t>*</w:t>
            </w:r>
          </w:p>
        </w:tc>
        <w:tc>
          <w:tcPr>
            <w:tcW w:w="630" w:type="pct"/>
            <w:shd w:val="clear" w:color="auto" w:fill="FFFFFF" w:themeFill="background1"/>
            <w:vAlign w:val="center"/>
          </w:tcPr>
          <w:p w14:paraId="2BC8C748"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NIRA (N=95)</w:t>
            </w:r>
          </w:p>
        </w:tc>
        <w:tc>
          <w:tcPr>
            <w:tcW w:w="596" w:type="pct"/>
            <w:shd w:val="clear" w:color="auto" w:fill="CCECFF"/>
            <w:vAlign w:val="center"/>
          </w:tcPr>
          <w:p w14:paraId="5091E09C"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32 (33.7)</w:t>
            </w:r>
          </w:p>
        </w:tc>
        <w:tc>
          <w:tcPr>
            <w:tcW w:w="613" w:type="pct"/>
            <w:shd w:val="clear" w:color="auto" w:fill="CCECFF"/>
            <w:vAlign w:val="center"/>
          </w:tcPr>
          <w:p w14:paraId="07629725"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0.79</w:t>
            </w:r>
          </w:p>
          <w:p w14:paraId="6C4D0B14"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(0.69, 0.87)</w:t>
            </w:r>
          </w:p>
        </w:tc>
        <w:tc>
          <w:tcPr>
            <w:tcW w:w="574" w:type="pct"/>
            <w:shd w:val="clear" w:color="auto" w:fill="CCECFF"/>
            <w:vAlign w:val="center"/>
          </w:tcPr>
          <w:p w14:paraId="62AEF7A6"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0.66</w:t>
            </w:r>
          </w:p>
          <w:p w14:paraId="6D5F7F08"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(0.53, 0.75)</w:t>
            </w:r>
          </w:p>
        </w:tc>
        <w:tc>
          <w:tcPr>
            <w:tcW w:w="578" w:type="pct"/>
            <w:shd w:val="clear" w:color="auto" w:fill="CCECFF"/>
            <w:vAlign w:val="center"/>
          </w:tcPr>
          <w:p w14:paraId="03994D0C"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0.53</w:t>
            </w:r>
          </w:p>
          <w:p w14:paraId="2B2D71A5"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(0.39, 0.66)</w:t>
            </w:r>
          </w:p>
        </w:tc>
        <w:tc>
          <w:tcPr>
            <w:tcW w:w="700" w:type="pct"/>
            <w:shd w:val="clear" w:color="auto" w:fill="CCECFF"/>
            <w:vAlign w:val="center"/>
          </w:tcPr>
          <w:p w14:paraId="096D87D5"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19.6 (13.6, NE)</w:t>
            </w:r>
          </w:p>
        </w:tc>
        <w:tc>
          <w:tcPr>
            <w:tcW w:w="764" w:type="pct"/>
            <w:vMerge w:val="restart"/>
            <w:shd w:val="clear" w:color="auto" w:fill="CCECFF"/>
            <w:vAlign w:val="center"/>
          </w:tcPr>
          <w:p w14:paraId="183BB451" w14:textId="1D0CC5A1"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bCs/>
                <w:color w:val="000000"/>
                <w:sz w:val="20"/>
                <w:szCs w:val="20"/>
              </w:rPr>
              <w:t>0.50</w:t>
            </w:r>
            <w:r w:rsidR="00706D7E" w:rsidRPr="00B07FB9">
              <w:rPr>
                <w:rFonts w:ascii="Arial Narrow" w:hAnsi="Arial Narrow" w:cs="Calibri"/>
                <w:bCs/>
                <w:color w:val="000000"/>
                <w:sz w:val="20"/>
                <w:szCs w:val="20"/>
              </w:rPr>
              <w:t xml:space="preserve"> </w:t>
            </w:r>
            <w:r w:rsidRPr="00B07FB9">
              <w:rPr>
                <w:rFonts w:ascii="Arial Narrow" w:hAnsi="Arial Narrow" w:cs="Calibri"/>
                <w:bCs/>
                <w:color w:val="000000"/>
                <w:sz w:val="20"/>
                <w:szCs w:val="20"/>
              </w:rPr>
              <w:t>(0.31, 0.83), p=0.0064</w:t>
            </w:r>
          </w:p>
        </w:tc>
      </w:tr>
      <w:tr w:rsidR="00602632" w:rsidRPr="00B07FB9" w14:paraId="043CBB02" w14:textId="77777777" w:rsidTr="002122F4">
        <w:trPr>
          <w:trHeight w:val="20"/>
        </w:trPr>
        <w:tc>
          <w:tcPr>
            <w:tcW w:w="545" w:type="pct"/>
            <w:vMerge/>
            <w:shd w:val="clear" w:color="auto" w:fill="FFFFFF" w:themeFill="background1"/>
            <w:vAlign w:val="center"/>
          </w:tcPr>
          <w:p w14:paraId="0C4CE41B" w14:textId="77777777" w:rsidR="00602632" w:rsidRPr="00B07FB9" w:rsidRDefault="00602632" w:rsidP="00D564E8">
            <w:pPr>
              <w:keepNext/>
              <w:keepLines/>
              <w:widowControl w:val="0"/>
              <w:jc w:val="left"/>
              <w:rPr>
                <w:rFonts w:ascii="Arial Narrow" w:hAnsi="Arial Narrow" w:cs="Calibri"/>
                <w:color w:val="000000"/>
                <w:sz w:val="20"/>
                <w:szCs w:val="20"/>
              </w:rPr>
            </w:pPr>
          </w:p>
        </w:tc>
        <w:tc>
          <w:tcPr>
            <w:tcW w:w="630" w:type="pct"/>
            <w:shd w:val="clear" w:color="auto" w:fill="FFFFFF" w:themeFill="background1"/>
            <w:vAlign w:val="center"/>
          </w:tcPr>
          <w:p w14:paraId="7CD7A650" w14:textId="5A43CABE"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PBO (N=55)</w:t>
            </w:r>
          </w:p>
        </w:tc>
        <w:tc>
          <w:tcPr>
            <w:tcW w:w="596" w:type="pct"/>
            <w:shd w:val="clear" w:color="auto" w:fill="CCECFF"/>
            <w:vAlign w:val="center"/>
          </w:tcPr>
          <w:p w14:paraId="78144857"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33 (60.0)</w:t>
            </w:r>
          </w:p>
        </w:tc>
        <w:tc>
          <w:tcPr>
            <w:tcW w:w="613" w:type="pct"/>
            <w:shd w:val="clear" w:color="auto" w:fill="CCECFF"/>
            <w:vAlign w:val="center"/>
          </w:tcPr>
          <w:p w14:paraId="3D28266B"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0.68</w:t>
            </w:r>
          </w:p>
          <w:p w14:paraId="4856B79A"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(0.54, 0.79)</w:t>
            </w:r>
          </w:p>
        </w:tc>
        <w:tc>
          <w:tcPr>
            <w:tcW w:w="574" w:type="pct"/>
            <w:shd w:val="clear" w:color="auto" w:fill="CCECFF"/>
            <w:vAlign w:val="center"/>
          </w:tcPr>
          <w:p w14:paraId="41CE7BE4"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0.40</w:t>
            </w:r>
          </w:p>
          <w:p w14:paraId="2973B7B7"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(0.26, 0.53)</w:t>
            </w:r>
          </w:p>
        </w:tc>
        <w:tc>
          <w:tcPr>
            <w:tcW w:w="578" w:type="pct"/>
            <w:shd w:val="clear" w:color="auto" w:fill="CCECFF"/>
            <w:vAlign w:val="center"/>
          </w:tcPr>
          <w:p w14:paraId="575BB1CF"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0.31</w:t>
            </w:r>
          </w:p>
          <w:p w14:paraId="73C1333B"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(0.16, 0.47)</w:t>
            </w:r>
          </w:p>
        </w:tc>
        <w:tc>
          <w:tcPr>
            <w:tcW w:w="700" w:type="pct"/>
            <w:shd w:val="clear" w:color="auto" w:fill="CCECFF"/>
            <w:vAlign w:val="center"/>
          </w:tcPr>
          <w:p w14:paraId="55D740E3"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8.2 (6.7, 16.8)</w:t>
            </w:r>
          </w:p>
        </w:tc>
        <w:tc>
          <w:tcPr>
            <w:tcW w:w="764" w:type="pct"/>
            <w:vMerge/>
            <w:shd w:val="clear" w:color="auto" w:fill="CCECFF"/>
            <w:vAlign w:val="center"/>
          </w:tcPr>
          <w:p w14:paraId="3DE13861" w14:textId="77777777" w:rsidR="00602632" w:rsidRPr="00B07FB9" w:rsidRDefault="00602632" w:rsidP="00D564E8">
            <w:pPr>
              <w:keepNext/>
              <w:keepLines/>
              <w:widowControl w:val="0"/>
              <w:jc w:val="center"/>
              <w:rPr>
                <w:rFonts w:ascii="Arial Narrow" w:hAnsi="Arial Narrow" w:cs="Calibri"/>
                <w:color w:val="000000"/>
                <w:sz w:val="20"/>
                <w:szCs w:val="20"/>
              </w:rPr>
            </w:pPr>
          </w:p>
        </w:tc>
      </w:tr>
      <w:tr w:rsidR="00602632" w:rsidRPr="00B07FB9" w14:paraId="4841BBDE" w14:textId="77777777" w:rsidTr="002122F4">
        <w:trPr>
          <w:trHeight w:val="20"/>
        </w:trPr>
        <w:tc>
          <w:tcPr>
            <w:tcW w:w="545" w:type="pct"/>
            <w:vMerge w:val="restart"/>
            <w:shd w:val="clear" w:color="auto" w:fill="FFFFFF" w:themeFill="background1"/>
            <w:vAlign w:val="center"/>
          </w:tcPr>
          <w:p w14:paraId="28DEE012" w14:textId="77777777" w:rsidR="00602632" w:rsidRPr="00B07FB9" w:rsidRDefault="00602632" w:rsidP="00D564E8">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Non-</w:t>
            </w:r>
            <w:proofErr w:type="spellStart"/>
            <w:r w:rsidRPr="00B07FB9">
              <w:rPr>
                <w:rFonts w:ascii="Arial Narrow" w:hAnsi="Arial Narrow" w:cs="Calibri"/>
                <w:color w:val="000000"/>
                <w:sz w:val="20"/>
                <w:szCs w:val="20"/>
              </w:rPr>
              <w:t>BRCAm</w:t>
            </w:r>
            <w:proofErr w:type="spellEnd"/>
          </w:p>
          <w:p w14:paraId="0946C9B1" w14:textId="41B8C223" w:rsidR="00602632" w:rsidRPr="00010EA0" w:rsidRDefault="00602632" w:rsidP="00D564E8">
            <w:pPr>
              <w:keepNext/>
              <w:keepLines/>
              <w:widowControl w:val="0"/>
              <w:jc w:val="left"/>
              <w:rPr>
                <w:rFonts w:ascii="Arial Narrow" w:hAnsi="Arial Narrow" w:cs="Calibri"/>
                <w:color w:val="000000"/>
                <w:sz w:val="20"/>
                <w:szCs w:val="20"/>
              </w:rPr>
            </w:pPr>
            <w:proofErr w:type="spellStart"/>
            <w:r w:rsidRPr="00B07FB9">
              <w:rPr>
                <w:rFonts w:ascii="Arial Narrow" w:hAnsi="Arial Narrow" w:cs="Calibri"/>
                <w:color w:val="000000"/>
                <w:sz w:val="20"/>
                <w:szCs w:val="20"/>
              </w:rPr>
              <w:t>HRDneg</w:t>
            </w:r>
            <w:r w:rsidR="002E2EEB" w:rsidRPr="00B07FB9">
              <w:rPr>
                <w:rFonts w:ascii="Arial Narrow" w:hAnsi="Arial Narrow" w:cs="Calibri"/>
                <w:color w:val="000000"/>
                <w:sz w:val="20"/>
                <w:szCs w:val="20"/>
                <w:vertAlign w:val="superscript"/>
              </w:rPr>
              <w:t>b</w:t>
            </w:r>
            <w:proofErr w:type="spellEnd"/>
            <w:r w:rsidR="00010EA0">
              <w:rPr>
                <w:rFonts w:ascii="Arial Narrow" w:hAnsi="Arial Narrow" w:cs="Calibri"/>
                <w:color w:val="000000"/>
                <w:sz w:val="20"/>
                <w:szCs w:val="20"/>
              </w:rPr>
              <w:t>*</w:t>
            </w:r>
          </w:p>
        </w:tc>
        <w:tc>
          <w:tcPr>
            <w:tcW w:w="630" w:type="pct"/>
            <w:shd w:val="clear" w:color="auto" w:fill="FFFFFF" w:themeFill="background1"/>
            <w:vAlign w:val="center"/>
          </w:tcPr>
          <w:p w14:paraId="7BB432C9"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NIRA (N=169)</w:t>
            </w:r>
          </w:p>
        </w:tc>
        <w:tc>
          <w:tcPr>
            <w:tcW w:w="596" w:type="pct"/>
            <w:shd w:val="clear" w:color="auto" w:fill="CCECFF"/>
            <w:vAlign w:val="center"/>
          </w:tcPr>
          <w:p w14:paraId="4B0D3EA8"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111 (65.7)</w:t>
            </w:r>
          </w:p>
        </w:tc>
        <w:tc>
          <w:tcPr>
            <w:tcW w:w="613" w:type="pct"/>
            <w:shd w:val="clear" w:color="auto" w:fill="CCECFF"/>
            <w:vAlign w:val="center"/>
          </w:tcPr>
          <w:p w14:paraId="562993C3"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0.56</w:t>
            </w:r>
          </w:p>
          <w:p w14:paraId="14168CCA"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(0.47,0.63)</w:t>
            </w:r>
          </w:p>
        </w:tc>
        <w:tc>
          <w:tcPr>
            <w:tcW w:w="574" w:type="pct"/>
            <w:shd w:val="clear" w:color="auto" w:fill="CCECFF"/>
            <w:vAlign w:val="center"/>
          </w:tcPr>
          <w:p w14:paraId="4023D8E8"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0.30</w:t>
            </w:r>
          </w:p>
          <w:p w14:paraId="3A45069C"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(0.23,0.38)</w:t>
            </w:r>
          </w:p>
        </w:tc>
        <w:tc>
          <w:tcPr>
            <w:tcW w:w="578" w:type="pct"/>
            <w:shd w:val="clear" w:color="auto" w:fill="CCECFF"/>
            <w:vAlign w:val="center"/>
          </w:tcPr>
          <w:p w14:paraId="051B6FB5"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0.22</w:t>
            </w:r>
          </w:p>
          <w:p w14:paraId="08992EDA"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(0.14,0.30)</w:t>
            </w:r>
          </w:p>
        </w:tc>
        <w:tc>
          <w:tcPr>
            <w:tcW w:w="700" w:type="pct"/>
            <w:shd w:val="clear" w:color="auto" w:fill="CCECFF"/>
            <w:vAlign w:val="center"/>
          </w:tcPr>
          <w:p w14:paraId="77A7083B"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8.1 (5.7,9.4)</w:t>
            </w:r>
          </w:p>
        </w:tc>
        <w:tc>
          <w:tcPr>
            <w:tcW w:w="764" w:type="pct"/>
            <w:vMerge w:val="restart"/>
            <w:shd w:val="clear" w:color="auto" w:fill="CCECFF"/>
            <w:vAlign w:val="center"/>
          </w:tcPr>
          <w:p w14:paraId="68F21A12" w14:textId="7AE8C4AB" w:rsidR="00602632" w:rsidRPr="00B07FB9" w:rsidRDefault="00602632" w:rsidP="00D564E8">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0.68 (0.49,0.94)</w:t>
            </w:r>
          </w:p>
          <w:p w14:paraId="2ADF014D" w14:textId="77777777" w:rsidR="00602632" w:rsidRPr="00B07FB9" w:rsidRDefault="00602632" w:rsidP="00D564E8">
            <w:pPr>
              <w:keepNext/>
              <w:keepLines/>
              <w:widowControl w:val="0"/>
              <w:jc w:val="center"/>
              <w:rPr>
                <w:rFonts w:ascii="Arial Narrow" w:hAnsi="Arial Narrow" w:cs="Calibri"/>
                <w:b/>
                <w:bCs/>
                <w:color w:val="000000"/>
                <w:sz w:val="20"/>
                <w:szCs w:val="20"/>
              </w:rPr>
            </w:pPr>
            <w:r w:rsidRPr="00B07FB9">
              <w:rPr>
                <w:rFonts w:ascii="Arial Narrow" w:hAnsi="Arial Narrow" w:cs="Calibri"/>
                <w:bCs/>
                <w:color w:val="000000"/>
                <w:sz w:val="20"/>
                <w:szCs w:val="20"/>
              </w:rPr>
              <w:t>p=0.0203</w:t>
            </w:r>
          </w:p>
        </w:tc>
      </w:tr>
      <w:tr w:rsidR="00602632" w:rsidRPr="00B07FB9" w14:paraId="39AE72AA" w14:textId="77777777" w:rsidTr="002122F4">
        <w:trPr>
          <w:trHeight w:val="20"/>
        </w:trPr>
        <w:tc>
          <w:tcPr>
            <w:tcW w:w="545" w:type="pct"/>
            <w:vMerge/>
            <w:shd w:val="clear" w:color="auto" w:fill="FFFFFF" w:themeFill="background1"/>
            <w:vAlign w:val="center"/>
          </w:tcPr>
          <w:p w14:paraId="1CD105C6" w14:textId="77777777" w:rsidR="00602632" w:rsidRPr="00B07FB9" w:rsidRDefault="00602632" w:rsidP="00D564E8">
            <w:pPr>
              <w:keepNext/>
              <w:keepLines/>
              <w:widowControl w:val="0"/>
              <w:jc w:val="left"/>
              <w:rPr>
                <w:rFonts w:ascii="Arial Narrow" w:hAnsi="Arial Narrow" w:cs="Calibri"/>
                <w:color w:val="000000"/>
                <w:sz w:val="20"/>
                <w:szCs w:val="20"/>
              </w:rPr>
            </w:pPr>
          </w:p>
        </w:tc>
        <w:tc>
          <w:tcPr>
            <w:tcW w:w="630" w:type="pct"/>
            <w:shd w:val="clear" w:color="auto" w:fill="FFFFFF" w:themeFill="background1"/>
            <w:vAlign w:val="center"/>
          </w:tcPr>
          <w:p w14:paraId="19D73368" w14:textId="6E54E380"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PBO (N=80)</w:t>
            </w:r>
          </w:p>
        </w:tc>
        <w:tc>
          <w:tcPr>
            <w:tcW w:w="596" w:type="pct"/>
            <w:shd w:val="clear" w:color="auto" w:fill="CCECFF"/>
            <w:vAlign w:val="center"/>
          </w:tcPr>
          <w:p w14:paraId="6FDBD247"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56 (70.0)</w:t>
            </w:r>
          </w:p>
        </w:tc>
        <w:tc>
          <w:tcPr>
            <w:tcW w:w="613" w:type="pct"/>
            <w:shd w:val="clear" w:color="auto" w:fill="CCECFF"/>
            <w:vAlign w:val="center"/>
          </w:tcPr>
          <w:p w14:paraId="5F1EE228"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0.43</w:t>
            </w:r>
          </w:p>
          <w:p w14:paraId="3ED6F5D1"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(0.31,0.54)</w:t>
            </w:r>
          </w:p>
        </w:tc>
        <w:tc>
          <w:tcPr>
            <w:tcW w:w="574" w:type="pct"/>
            <w:shd w:val="clear" w:color="auto" w:fill="CCECFF"/>
            <w:vAlign w:val="center"/>
          </w:tcPr>
          <w:p w14:paraId="57A1323C"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0.24</w:t>
            </w:r>
          </w:p>
          <w:p w14:paraId="5E11036F"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(0.15,0.35)</w:t>
            </w:r>
          </w:p>
        </w:tc>
        <w:tc>
          <w:tcPr>
            <w:tcW w:w="578" w:type="pct"/>
            <w:shd w:val="clear" w:color="auto" w:fill="CCECFF"/>
            <w:vAlign w:val="center"/>
          </w:tcPr>
          <w:p w14:paraId="4DBD98C8"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0.20</w:t>
            </w:r>
          </w:p>
          <w:p w14:paraId="7D9B1A3A"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(0.11,0.31)</w:t>
            </w:r>
          </w:p>
        </w:tc>
        <w:tc>
          <w:tcPr>
            <w:tcW w:w="700" w:type="pct"/>
            <w:shd w:val="clear" w:color="auto" w:fill="CCECFF"/>
            <w:vAlign w:val="center"/>
          </w:tcPr>
          <w:p w14:paraId="424A20A6"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5.4 (4.0,7.3)</w:t>
            </w:r>
          </w:p>
        </w:tc>
        <w:tc>
          <w:tcPr>
            <w:tcW w:w="764" w:type="pct"/>
            <w:vMerge/>
            <w:shd w:val="clear" w:color="auto" w:fill="CCECFF"/>
            <w:vAlign w:val="center"/>
          </w:tcPr>
          <w:p w14:paraId="30D36AA1" w14:textId="77777777" w:rsidR="00602632" w:rsidRPr="00B07FB9" w:rsidRDefault="00602632" w:rsidP="00D564E8">
            <w:pPr>
              <w:keepNext/>
              <w:keepLines/>
              <w:widowControl w:val="0"/>
              <w:jc w:val="center"/>
              <w:rPr>
                <w:rFonts w:ascii="Arial Narrow" w:hAnsi="Arial Narrow" w:cs="Calibri"/>
                <w:b/>
                <w:bCs/>
                <w:color w:val="000000"/>
                <w:sz w:val="20"/>
                <w:szCs w:val="20"/>
              </w:rPr>
            </w:pPr>
          </w:p>
        </w:tc>
      </w:tr>
      <w:tr w:rsidR="00602632" w:rsidRPr="00B07FB9" w14:paraId="7FE98D8F" w14:textId="77777777" w:rsidTr="002122F4">
        <w:trPr>
          <w:trHeight w:val="20"/>
        </w:trPr>
        <w:tc>
          <w:tcPr>
            <w:tcW w:w="545" w:type="pct"/>
            <w:vMerge w:val="restart"/>
            <w:shd w:val="clear" w:color="auto" w:fill="FFFFFF" w:themeFill="background1"/>
            <w:vAlign w:val="center"/>
          </w:tcPr>
          <w:p w14:paraId="46CED2EE" w14:textId="67FC904E" w:rsidR="00602632" w:rsidRPr="00010EA0" w:rsidRDefault="00602632" w:rsidP="00D564E8">
            <w:pPr>
              <w:keepNext/>
              <w:keepLines/>
              <w:widowControl w:val="0"/>
              <w:jc w:val="left"/>
              <w:rPr>
                <w:rFonts w:ascii="Arial Narrow" w:hAnsi="Arial Narrow" w:cs="Calibri"/>
                <w:color w:val="000000"/>
                <w:sz w:val="20"/>
                <w:szCs w:val="20"/>
              </w:rPr>
            </w:pPr>
            <w:proofErr w:type="spellStart"/>
            <w:r w:rsidRPr="00B07FB9">
              <w:rPr>
                <w:rFonts w:ascii="Arial Narrow" w:hAnsi="Arial Narrow" w:cs="Calibri"/>
                <w:color w:val="000000"/>
                <w:sz w:val="20"/>
                <w:szCs w:val="20"/>
              </w:rPr>
              <w:t>HRDnd</w:t>
            </w:r>
            <w:r w:rsidR="002E2EEB" w:rsidRPr="00B07FB9">
              <w:rPr>
                <w:rFonts w:ascii="Arial Narrow" w:hAnsi="Arial Narrow" w:cs="Calibri"/>
                <w:color w:val="000000"/>
                <w:sz w:val="20"/>
                <w:szCs w:val="20"/>
                <w:vertAlign w:val="superscript"/>
              </w:rPr>
              <w:t>c</w:t>
            </w:r>
            <w:proofErr w:type="spellEnd"/>
            <w:r w:rsidR="00010EA0">
              <w:rPr>
                <w:rFonts w:ascii="Arial Narrow" w:hAnsi="Arial Narrow" w:cs="Calibri"/>
                <w:color w:val="000000"/>
                <w:sz w:val="20"/>
                <w:szCs w:val="20"/>
              </w:rPr>
              <w:t>*</w:t>
            </w:r>
          </w:p>
        </w:tc>
        <w:tc>
          <w:tcPr>
            <w:tcW w:w="630" w:type="pct"/>
            <w:shd w:val="clear" w:color="auto" w:fill="FFFFFF" w:themeFill="background1"/>
            <w:vAlign w:val="center"/>
          </w:tcPr>
          <w:p w14:paraId="077EDF16"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NIRA (N=71)</w:t>
            </w:r>
          </w:p>
        </w:tc>
        <w:tc>
          <w:tcPr>
            <w:tcW w:w="596" w:type="pct"/>
            <w:shd w:val="clear" w:color="auto" w:fill="CCECFF"/>
            <w:vAlign w:val="center"/>
          </w:tcPr>
          <w:p w14:paraId="294114AD"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40 (56.3)</w:t>
            </w:r>
          </w:p>
        </w:tc>
        <w:tc>
          <w:tcPr>
            <w:tcW w:w="613" w:type="pct"/>
            <w:shd w:val="clear" w:color="auto" w:fill="CCECFF"/>
            <w:vAlign w:val="center"/>
          </w:tcPr>
          <w:p w14:paraId="40C307D7"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0.70 (0.56,0.79)</w:t>
            </w:r>
          </w:p>
        </w:tc>
        <w:tc>
          <w:tcPr>
            <w:tcW w:w="574" w:type="pct"/>
            <w:shd w:val="clear" w:color="auto" w:fill="CCECFF"/>
            <w:vAlign w:val="center"/>
          </w:tcPr>
          <w:p w14:paraId="15109887"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0.43 (0.30,0.55)</w:t>
            </w:r>
          </w:p>
        </w:tc>
        <w:tc>
          <w:tcPr>
            <w:tcW w:w="578" w:type="pct"/>
            <w:shd w:val="clear" w:color="auto" w:fill="CCECFF"/>
            <w:vAlign w:val="center"/>
          </w:tcPr>
          <w:p w14:paraId="38B82938"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0.28 (0.16,0.42)</w:t>
            </w:r>
          </w:p>
        </w:tc>
        <w:tc>
          <w:tcPr>
            <w:tcW w:w="700" w:type="pct"/>
            <w:shd w:val="clear" w:color="auto" w:fill="CCECFF"/>
            <w:vAlign w:val="center"/>
          </w:tcPr>
          <w:p w14:paraId="0C120956"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11.0 (7.4,13.9)</w:t>
            </w:r>
          </w:p>
        </w:tc>
        <w:tc>
          <w:tcPr>
            <w:tcW w:w="764" w:type="pct"/>
            <w:vMerge w:val="restart"/>
            <w:shd w:val="clear" w:color="auto" w:fill="CCECFF"/>
            <w:vAlign w:val="center"/>
          </w:tcPr>
          <w:p w14:paraId="2AFCE05D" w14:textId="77777777" w:rsidR="00602632" w:rsidRPr="00B07FB9" w:rsidRDefault="00602632" w:rsidP="00D564E8">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0.85 (0.51,1.43)</w:t>
            </w:r>
          </w:p>
          <w:p w14:paraId="42382B7F" w14:textId="77777777" w:rsidR="00602632" w:rsidRPr="00B07FB9" w:rsidRDefault="00602632" w:rsidP="00D564E8">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P=0.5577</w:t>
            </w:r>
          </w:p>
        </w:tc>
      </w:tr>
      <w:tr w:rsidR="00602632" w:rsidRPr="00B07FB9" w14:paraId="25F97740" w14:textId="77777777" w:rsidTr="002122F4">
        <w:trPr>
          <w:trHeight w:val="20"/>
        </w:trPr>
        <w:tc>
          <w:tcPr>
            <w:tcW w:w="545" w:type="pct"/>
            <w:vMerge/>
            <w:shd w:val="clear" w:color="auto" w:fill="FFFFFF" w:themeFill="background1"/>
            <w:vAlign w:val="center"/>
          </w:tcPr>
          <w:p w14:paraId="3DE8B2C4" w14:textId="77777777" w:rsidR="00602632" w:rsidRPr="00B07FB9" w:rsidRDefault="00602632" w:rsidP="00D564E8">
            <w:pPr>
              <w:keepNext/>
              <w:keepLines/>
              <w:widowControl w:val="0"/>
              <w:jc w:val="left"/>
              <w:rPr>
                <w:rFonts w:ascii="Arial Narrow" w:hAnsi="Arial Narrow" w:cs="Calibri"/>
                <w:color w:val="000000"/>
                <w:sz w:val="20"/>
                <w:szCs w:val="20"/>
              </w:rPr>
            </w:pPr>
          </w:p>
        </w:tc>
        <w:tc>
          <w:tcPr>
            <w:tcW w:w="630" w:type="pct"/>
            <w:shd w:val="clear" w:color="auto" w:fill="FFFFFF" w:themeFill="background1"/>
            <w:vAlign w:val="center"/>
          </w:tcPr>
          <w:p w14:paraId="231EE0F2" w14:textId="544E227C"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PBO (N=40)</w:t>
            </w:r>
          </w:p>
        </w:tc>
        <w:tc>
          <w:tcPr>
            <w:tcW w:w="596" w:type="pct"/>
            <w:shd w:val="clear" w:color="auto" w:fill="CCECFF"/>
            <w:vAlign w:val="center"/>
          </w:tcPr>
          <w:p w14:paraId="72A87249"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26 (65.0)</w:t>
            </w:r>
          </w:p>
        </w:tc>
        <w:tc>
          <w:tcPr>
            <w:tcW w:w="613" w:type="pct"/>
            <w:shd w:val="clear" w:color="auto" w:fill="CCECFF"/>
            <w:vAlign w:val="center"/>
          </w:tcPr>
          <w:p w14:paraId="43355A92"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0.66</w:t>
            </w:r>
          </w:p>
          <w:p w14:paraId="70E07D36"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 xml:space="preserve"> (0.49,0.79)</w:t>
            </w:r>
          </w:p>
        </w:tc>
        <w:tc>
          <w:tcPr>
            <w:tcW w:w="574" w:type="pct"/>
            <w:shd w:val="clear" w:color="auto" w:fill="CCECFF"/>
            <w:vAlign w:val="center"/>
          </w:tcPr>
          <w:p w14:paraId="6F306937"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 xml:space="preserve">0.37 </w:t>
            </w:r>
          </w:p>
          <w:p w14:paraId="2F4152B3"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(0.22,0.52)</w:t>
            </w:r>
          </w:p>
        </w:tc>
        <w:tc>
          <w:tcPr>
            <w:tcW w:w="578" w:type="pct"/>
            <w:shd w:val="clear" w:color="auto" w:fill="CCECFF"/>
            <w:vAlign w:val="center"/>
          </w:tcPr>
          <w:p w14:paraId="780E7045"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 xml:space="preserve">0.17 </w:t>
            </w:r>
          </w:p>
          <w:p w14:paraId="5CF5FFB3"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(0.02,0.45)</w:t>
            </w:r>
          </w:p>
        </w:tc>
        <w:tc>
          <w:tcPr>
            <w:tcW w:w="700" w:type="pct"/>
            <w:shd w:val="clear" w:color="auto" w:fill="CCECFF"/>
            <w:vAlign w:val="center"/>
          </w:tcPr>
          <w:p w14:paraId="645F60F3" w14:textId="77777777" w:rsidR="00602632" w:rsidRPr="00B07FB9" w:rsidRDefault="00602632" w:rsidP="00D564E8">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8.3 (5.7,12.5)</w:t>
            </w:r>
          </w:p>
        </w:tc>
        <w:tc>
          <w:tcPr>
            <w:tcW w:w="764" w:type="pct"/>
            <w:vMerge/>
            <w:shd w:val="clear" w:color="auto" w:fill="CCECFF"/>
            <w:vAlign w:val="center"/>
          </w:tcPr>
          <w:p w14:paraId="3A172BD6" w14:textId="77777777" w:rsidR="00602632" w:rsidRPr="00B07FB9" w:rsidRDefault="00602632" w:rsidP="00D564E8">
            <w:pPr>
              <w:keepNext/>
              <w:keepLines/>
              <w:widowControl w:val="0"/>
              <w:jc w:val="center"/>
              <w:rPr>
                <w:rFonts w:ascii="Arial Narrow" w:hAnsi="Arial Narrow" w:cs="Calibri"/>
                <w:b/>
                <w:bCs/>
                <w:color w:val="000000"/>
                <w:sz w:val="20"/>
                <w:szCs w:val="20"/>
              </w:rPr>
            </w:pPr>
          </w:p>
        </w:tc>
      </w:tr>
    </w:tbl>
    <w:p w14:paraId="3A468CB7" w14:textId="77777777" w:rsidR="00602632" w:rsidRPr="00B07FB9" w:rsidRDefault="00602632" w:rsidP="000C6F49">
      <w:pPr>
        <w:pStyle w:val="TableFooter"/>
        <w:widowControl w:val="0"/>
      </w:pPr>
      <w:r w:rsidRPr="00B07FB9">
        <w:t>Source: Table 37, p73 of the resubmission; Table 14.2.1.9m, PRIMA clinical study report</w:t>
      </w:r>
    </w:p>
    <w:p w14:paraId="3F912684" w14:textId="736561AF" w:rsidR="00602632" w:rsidRPr="00B07FB9" w:rsidRDefault="00602632" w:rsidP="000C6F49">
      <w:pPr>
        <w:pStyle w:val="TableFooter"/>
        <w:widowControl w:val="0"/>
      </w:pPr>
      <w:r w:rsidRPr="00B07FB9">
        <w:t xml:space="preserve">BICR=blinded independent central review; </w:t>
      </w:r>
      <w:proofErr w:type="spellStart"/>
      <w:r w:rsidRPr="00B07FB9">
        <w:t>BRCAm</w:t>
      </w:r>
      <w:proofErr w:type="spellEnd"/>
      <w:r w:rsidRPr="00B07FB9">
        <w:t xml:space="preserve"> = BRCA gene mutation; CI=confidence interval; </w:t>
      </w:r>
      <w:r w:rsidR="00433E8F" w:rsidRPr="00B07FB9">
        <w:t xml:space="preserve">HR = hazard ratio; </w:t>
      </w:r>
      <w:proofErr w:type="spellStart"/>
      <w:r w:rsidRPr="00B07FB9">
        <w:t>HRDnd</w:t>
      </w:r>
      <w:proofErr w:type="spellEnd"/>
      <w:r w:rsidRPr="00B07FB9">
        <w:t xml:space="preserve"> = homologous recombination deficiency test status not determined; </w:t>
      </w:r>
      <w:proofErr w:type="spellStart"/>
      <w:r w:rsidRPr="00B07FB9">
        <w:t>HRDneg</w:t>
      </w:r>
      <w:proofErr w:type="spellEnd"/>
      <w:r w:rsidRPr="00B07FB9">
        <w:t xml:space="preserve">=homologous recombination deficiency test negative, referring to homologous recombination proficient (HR-proficient) tumours; </w:t>
      </w:r>
      <w:proofErr w:type="spellStart"/>
      <w:r w:rsidRPr="00B07FB9">
        <w:t>HRDpos</w:t>
      </w:r>
      <w:proofErr w:type="spellEnd"/>
      <w:r w:rsidRPr="00B07FB9">
        <w:t xml:space="preserve"> = homologous recombination deficiency test positive, referring to homologous recombination deficient (HR-deficient) tumours; NE=not estimated; NIRA = niraparib; PBO = placebo; PFS=progression-free survival</w:t>
      </w:r>
    </w:p>
    <w:p w14:paraId="3E7F6E38" w14:textId="77777777" w:rsidR="00602632" w:rsidRPr="00B07FB9" w:rsidRDefault="00602632" w:rsidP="000C6F49">
      <w:pPr>
        <w:pStyle w:val="TableFooter"/>
        <w:widowControl w:val="0"/>
      </w:pPr>
      <w:r w:rsidRPr="00B07FB9">
        <w:t xml:space="preserve">Note: </w:t>
      </w:r>
      <w:r w:rsidRPr="00B07FB9">
        <w:rPr>
          <w:shd w:val="clear" w:color="auto" w:fill="CCECFF"/>
        </w:rPr>
        <w:t>Blue shading</w:t>
      </w:r>
      <w:r w:rsidRPr="00B07FB9">
        <w:t xml:space="preserve"> indicates data previously seen by the PBAC.</w:t>
      </w:r>
    </w:p>
    <w:p w14:paraId="39B43322" w14:textId="77777777" w:rsidR="00602632" w:rsidRPr="00B07FB9" w:rsidRDefault="00602632" w:rsidP="000C6F49">
      <w:pPr>
        <w:pStyle w:val="TableFooter"/>
        <w:widowControl w:val="0"/>
      </w:pPr>
      <w:r w:rsidRPr="00B07FB9">
        <w:t>Data cut-off 17/05/2019</w:t>
      </w:r>
    </w:p>
    <w:p w14:paraId="2C301003" w14:textId="61C5491B" w:rsidR="002E2EEB" w:rsidRPr="00B07FB9" w:rsidRDefault="00602632" w:rsidP="000C6F49">
      <w:pPr>
        <w:pStyle w:val="TableFooter"/>
        <w:widowControl w:val="0"/>
      </w:pPr>
      <w:r w:rsidRPr="00B07FB9">
        <w:rPr>
          <w:vertAlign w:val="superscript"/>
        </w:rPr>
        <w:t>a</w:t>
      </w:r>
      <w:r w:rsidRPr="00B07FB9">
        <w:t xml:space="preserve"> </w:t>
      </w:r>
      <w:r w:rsidR="002E2EEB" w:rsidRPr="00B07FB9">
        <w:t xml:space="preserve">Not including patients whose BRCA status was not determined. </w:t>
      </w:r>
    </w:p>
    <w:p w14:paraId="511A828E" w14:textId="14A03CF9" w:rsidR="00602632" w:rsidRPr="00B07FB9" w:rsidRDefault="002E2EEB" w:rsidP="000C6F49">
      <w:pPr>
        <w:pStyle w:val="TableFooter"/>
        <w:widowControl w:val="0"/>
      </w:pPr>
      <w:r w:rsidRPr="00B07FB9">
        <w:rPr>
          <w:vertAlign w:val="superscript"/>
        </w:rPr>
        <w:t xml:space="preserve">b </w:t>
      </w:r>
      <w:r w:rsidR="00602632" w:rsidRPr="00B07FB9">
        <w:t>Inclusive of patients whose BRCA status was not determined</w:t>
      </w:r>
      <w:r w:rsidR="00CF6F18" w:rsidRPr="00B07FB9">
        <w:t xml:space="preserve"> (</w:t>
      </w:r>
      <w:r w:rsidR="006E68F3" w:rsidRPr="00B07FB9">
        <w:rPr>
          <w:i/>
          <w:iCs/>
        </w:rPr>
        <w:t>0</w:t>
      </w:r>
      <w:r w:rsidR="00CF6F18" w:rsidRPr="00B07FB9">
        <w:rPr>
          <w:i/>
          <w:iCs/>
        </w:rPr>
        <w:t>-2% of patients in each arm</w:t>
      </w:r>
      <w:r w:rsidR="00CF6F18" w:rsidRPr="00B07FB9">
        <w:t>)</w:t>
      </w:r>
      <w:r w:rsidR="00602632" w:rsidRPr="00B07FB9">
        <w:t>. Results for PFS per BICR excluding patients with unknown BRCA status from the analyses were:</w:t>
      </w:r>
    </w:p>
    <w:p w14:paraId="010F6E50" w14:textId="77777777" w:rsidR="00602632" w:rsidRPr="00B07FB9" w:rsidRDefault="00602632" w:rsidP="000C6F49">
      <w:pPr>
        <w:pStyle w:val="TableFooter"/>
        <w:widowControl w:val="0"/>
        <w:ind w:left="426"/>
      </w:pPr>
      <w:r w:rsidRPr="00B07FB9">
        <w:rPr>
          <w:u w:val="single"/>
        </w:rPr>
        <w:t>Non-</w:t>
      </w:r>
      <w:proofErr w:type="spellStart"/>
      <w:r w:rsidRPr="00B07FB9">
        <w:rPr>
          <w:u w:val="single"/>
        </w:rPr>
        <w:t>BRCAm</w:t>
      </w:r>
      <w:proofErr w:type="spellEnd"/>
      <w:r w:rsidRPr="00B07FB9">
        <w:rPr>
          <w:u w:val="single"/>
        </w:rPr>
        <w:t xml:space="preserve"> </w:t>
      </w:r>
      <w:proofErr w:type="spellStart"/>
      <w:r w:rsidRPr="00B07FB9">
        <w:rPr>
          <w:u w:val="single"/>
        </w:rPr>
        <w:t>HRDpos</w:t>
      </w:r>
      <w:proofErr w:type="spellEnd"/>
      <w:r w:rsidRPr="00B07FB9">
        <w:t>: (NIRA = 94, PBO = 55): HR = 0.51 [0.31, 0.85], p=0.0085, median PFS: 19.6 (13.6, NE) vs 8.2 (6.7, 16.8) months</w:t>
      </w:r>
    </w:p>
    <w:p w14:paraId="480795AE" w14:textId="77777777" w:rsidR="00602632" w:rsidRPr="00B07FB9" w:rsidRDefault="00602632" w:rsidP="000C6F49">
      <w:pPr>
        <w:pStyle w:val="TableFooter"/>
        <w:widowControl w:val="0"/>
        <w:ind w:left="426"/>
      </w:pPr>
      <w:r w:rsidRPr="00B07FB9">
        <w:rPr>
          <w:u w:val="single"/>
        </w:rPr>
        <w:t>Non-</w:t>
      </w:r>
      <w:proofErr w:type="spellStart"/>
      <w:r w:rsidRPr="00B07FB9">
        <w:rPr>
          <w:u w:val="single"/>
        </w:rPr>
        <w:t>BRCAm</w:t>
      </w:r>
      <w:proofErr w:type="spellEnd"/>
      <w:r w:rsidRPr="00B07FB9">
        <w:rPr>
          <w:u w:val="single"/>
        </w:rPr>
        <w:t xml:space="preserve"> </w:t>
      </w:r>
      <w:proofErr w:type="spellStart"/>
      <w:r w:rsidRPr="00B07FB9">
        <w:rPr>
          <w:u w:val="single"/>
        </w:rPr>
        <w:t>HRDneg</w:t>
      </w:r>
      <w:proofErr w:type="spellEnd"/>
      <w:r w:rsidRPr="00B07FB9">
        <w:t>: (NIRA = 166, PBO = 79): HR = 0.64 [0.46, 0.89], p=0.0079, median PFS: 8.2 (5.7, 9.5) vs 5.4 (4.0, 7.3) months</w:t>
      </w:r>
    </w:p>
    <w:p w14:paraId="688E1493" w14:textId="221C8AB6" w:rsidR="00602632" w:rsidRDefault="002E2EEB" w:rsidP="005417BF">
      <w:pPr>
        <w:pStyle w:val="TableFooter"/>
        <w:widowControl w:val="0"/>
        <w:spacing w:after="120"/>
      </w:pPr>
      <w:r w:rsidRPr="00B07FB9">
        <w:rPr>
          <w:vertAlign w:val="superscript"/>
        </w:rPr>
        <w:t>c</w:t>
      </w:r>
      <w:r w:rsidR="00602632" w:rsidRPr="00B07FB9">
        <w:t xml:space="preserve"> Data on the </w:t>
      </w:r>
      <w:proofErr w:type="spellStart"/>
      <w:r w:rsidR="00602632" w:rsidRPr="00B07FB9">
        <w:t>HRDnd</w:t>
      </w:r>
      <w:proofErr w:type="spellEnd"/>
      <w:r w:rsidR="00602632" w:rsidRPr="00B07FB9">
        <w:t xml:space="preserve"> subgroup were not provided by the submission, and were extracted from the PRIMA clinical study report</w:t>
      </w:r>
      <w:r w:rsidR="006E68F3" w:rsidRPr="00B07FB9">
        <w:t xml:space="preserve">. The PSCR indicated that for the </w:t>
      </w:r>
      <w:proofErr w:type="spellStart"/>
      <w:r w:rsidR="006E68F3" w:rsidRPr="00B07FB9">
        <w:t>HRDnd</w:t>
      </w:r>
      <w:proofErr w:type="spellEnd"/>
      <w:r w:rsidR="006E68F3" w:rsidRPr="00B07FB9">
        <w:t xml:space="preserve"> subgroup 21 (29.6%) of patients in the niraparib arm and 11 (27.5%) of patients in the placebo arm had unknown BRCA status.</w:t>
      </w:r>
    </w:p>
    <w:p w14:paraId="3C022F13" w14:textId="5F8FFA49" w:rsidR="00010EA0" w:rsidRPr="00B07FB9" w:rsidRDefault="00010EA0" w:rsidP="005417BF">
      <w:pPr>
        <w:pStyle w:val="TableFooter"/>
        <w:widowControl w:val="0"/>
        <w:spacing w:after="120"/>
      </w:pPr>
      <w:r>
        <w:t>*</w:t>
      </w:r>
      <w:r w:rsidRPr="00010EA0">
        <w:t>Note that the results denoted by (*)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270E26C4" w14:textId="624FD780" w:rsidR="001B4E9C" w:rsidRPr="00B07FB9" w:rsidRDefault="004D489E" w:rsidP="000C6F49">
      <w:pPr>
        <w:pStyle w:val="3-BodyText"/>
        <w:widowControl w:val="0"/>
      </w:pPr>
      <w:r w:rsidRPr="00B07FB9">
        <w:t>T</w:t>
      </w:r>
      <w:r w:rsidR="00FC073C" w:rsidRPr="00B07FB9">
        <w:t>he PBAC</w:t>
      </w:r>
      <w:r w:rsidRPr="00B07FB9">
        <w:t xml:space="preserve"> previously</w:t>
      </w:r>
      <w:r w:rsidR="00FC073C" w:rsidRPr="00B07FB9">
        <w:t xml:space="preserve"> </w:t>
      </w:r>
      <w:r w:rsidR="000A4C67" w:rsidRPr="00B07FB9">
        <w:t xml:space="preserve">noted the </w:t>
      </w:r>
      <w:r w:rsidR="00FC073C" w:rsidRPr="00B07FB9">
        <w:t>uncertain clinical benefit for niraparib in patients with HRD</w:t>
      </w:r>
      <w:r w:rsidR="000A4C67" w:rsidRPr="00B07FB9">
        <w:t xml:space="preserve"> negative </w:t>
      </w:r>
      <w:r w:rsidR="00FC073C" w:rsidRPr="00B07FB9">
        <w:t xml:space="preserve">HGEOC </w:t>
      </w:r>
      <w:r w:rsidR="000A4C67" w:rsidRPr="00B07FB9">
        <w:t>(Paragraph 7.17, Niraparib PSD, July 2021 PBAC meeting</w:t>
      </w:r>
      <w:r w:rsidR="00FC073C" w:rsidRPr="00B07FB9">
        <w:t>).</w:t>
      </w:r>
      <w:r w:rsidR="000A4C67" w:rsidRPr="00B07FB9">
        <w:t xml:space="preserve"> No further clinical evidence was presented </w:t>
      </w:r>
      <w:r w:rsidR="00D545C3" w:rsidRPr="00B07FB9">
        <w:t xml:space="preserve">by the resubmission </w:t>
      </w:r>
      <w:r w:rsidR="000A4C67" w:rsidRPr="00B07FB9">
        <w:t>to address this issue.</w:t>
      </w:r>
      <w:r w:rsidR="009E6BEB" w:rsidRPr="00B07FB9">
        <w:t xml:space="preserve"> </w:t>
      </w:r>
      <w:r w:rsidR="001B4E9C" w:rsidRPr="00B07FB9">
        <w:t>Of note, the stratification factors in PRIMA included HRD status (HRD positive vs. HRD negative</w:t>
      </w:r>
      <w:r w:rsidR="009E6BEB" w:rsidRPr="00B07FB9">
        <w:t>/</w:t>
      </w:r>
      <w:r w:rsidR="001B4E9C" w:rsidRPr="00B07FB9">
        <w:t xml:space="preserve">HRD not determined), but not BRCA status. Therefore, randomisation was not preserved in any of the </w:t>
      </w:r>
      <w:r w:rsidR="009E6BEB" w:rsidRPr="00B07FB9">
        <w:t xml:space="preserve">above </w:t>
      </w:r>
      <w:r w:rsidR="001B4E9C" w:rsidRPr="00B07FB9">
        <w:t>HRD subgroups in the non-</w:t>
      </w:r>
      <w:proofErr w:type="spellStart"/>
      <w:r w:rsidR="001B4E9C" w:rsidRPr="00B07FB9">
        <w:t>BRCAm</w:t>
      </w:r>
      <w:proofErr w:type="spellEnd"/>
      <w:r w:rsidR="001B4E9C" w:rsidRPr="00B07FB9">
        <w:t xml:space="preserve"> cohort. There was a lack of data on patient baseline characteristics in these subgroups to assess </w:t>
      </w:r>
      <w:r w:rsidR="003D34E7" w:rsidRPr="00B07FB9">
        <w:t xml:space="preserve">whether </w:t>
      </w:r>
      <w:r w:rsidR="001B4E9C" w:rsidRPr="00B07FB9">
        <w:t>the</w:t>
      </w:r>
      <w:r w:rsidR="003D34E7" w:rsidRPr="00B07FB9">
        <w:t>re was a</w:t>
      </w:r>
      <w:r w:rsidR="001B4E9C" w:rsidRPr="00B07FB9">
        <w:t xml:space="preserve"> risk of bias/confounding.</w:t>
      </w:r>
      <w:r w:rsidR="00706D7E" w:rsidRPr="00B07FB9">
        <w:t xml:space="preserve"> </w:t>
      </w:r>
    </w:p>
    <w:p w14:paraId="017B6040" w14:textId="03F7CF7B" w:rsidR="00CD623C" w:rsidRPr="00B07FB9" w:rsidRDefault="00CD623C" w:rsidP="000C6F49">
      <w:pPr>
        <w:pStyle w:val="3-BodyText"/>
        <w:widowControl w:val="0"/>
      </w:pPr>
      <w:r w:rsidRPr="00B07FB9">
        <w:t xml:space="preserve">In the PRIMA trial, the majority of patients (65%) received a fixed (300 mg) starting </w:t>
      </w:r>
      <w:r w:rsidRPr="00B07FB9">
        <w:lastRenderedPageBreak/>
        <w:t xml:space="preserve">dose (FSD) of niraparib, with the remaining </w:t>
      </w:r>
      <w:r w:rsidR="004D489E" w:rsidRPr="00B07FB9">
        <w:t xml:space="preserve">patients </w:t>
      </w:r>
      <w:r w:rsidRPr="00B07FB9">
        <w:t xml:space="preserve">initiating niraparib according to an ISD protocol as recommended by the TGA-approved Product information. </w:t>
      </w:r>
      <w:r w:rsidRPr="00B07FB9">
        <w:rPr>
          <w:szCs w:val="18"/>
        </w:rPr>
        <w:t>The hazard ratio (HR) for PFS was numerically lower (more favourable) in the FSD subgroup of non-</w:t>
      </w:r>
      <w:proofErr w:type="spellStart"/>
      <w:r w:rsidRPr="00B07FB9">
        <w:rPr>
          <w:szCs w:val="18"/>
        </w:rPr>
        <w:t>BRCAm</w:t>
      </w:r>
      <w:proofErr w:type="spellEnd"/>
      <w:r w:rsidRPr="00B07FB9">
        <w:rPr>
          <w:szCs w:val="18"/>
        </w:rPr>
        <w:t xml:space="preserve"> patients than in the non-</w:t>
      </w:r>
      <w:proofErr w:type="spellStart"/>
      <w:r w:rsidRPr="00B07FB9">
        <w:rPr>
          <w:szCs w:val="18"/>
        </w:rPr>
        <w:t>BRCAm</w:t>
      </w:r>
      <w:proofErr w:type="spellEnd"/>
      <w:r w:rsidRPr="00B07FB9">
        <w:rPr>
          <w:szCs w:val="18"/>
        </w:rPr>
        <w:t>, ISD subgroup (0.62 [0.46, 0.85] vs. 0.84 [0.55, 1.28])</w:t>
      </w:r>
      <w:r w:rsidRPr="00B07FB9">
        <w:rPr>
          <w:rStyle w:val="FootnoteReference"/>
          <w:szCs w:val="18"/>
        </w:rPr>
        <w:footnoteReference w:id="8"/>
      </w:r>
      <w:r w:rsidRPr="00B07FB9">
        <w:rPr>
          <w:szCs w:val="18"/>
        </w:rPr>
        <w:t>. Th</w:t>
      </w:r>
      <w:r w:rsidR="00D72CA1" w:rsidRPr="00B07FB9">
        <w:rPr>
          <w:szCs w:val="18"/>
        </w:rPr>
        <w:t>e</w:t>
      </w:r>
      <w:r w:rsidRPr="00B07FB9">
        <w:rPr>
          <w:szCs w:val="18"/>
        </w:rPr>
        <w:t>s</w:t>
      </w:r>
      <w:r w:rsidR="00D72CA1" w:rsidRPr="00B07FB9">
        <w:rPr>
          <w:szCs w:val="18"/>
        </w:rPr>
        <w:t>e</w:t>
      </w:r>
      <w:r w:rsidRPr="00B07FB9">
        <w:rPr>
          <w:szCs w:val="18"/>
        </w:rPr>
        <w:t xml:space="preserve"> results, however, should be interpreted with caution given the post hoc nature of the analysis and the small sample size of the subgroup (e.g. N=57 in the placebo arm of the non-</w:t>
      </w:r>
      <w:proofErr w:type="spellStart"/>
      <w:r w:rsidRPr="00B07FB9">
        <w:rPr>
          <w:szCs w:val="18"/>
        </w:rPr>
        <w:t>BRCAm</w:t>
      </w:r>
      <w:proofErr w:type="spellEnd"/>
      <w:r w:rsidRPr="00B07FB9">
        <w:rPr>
          <w:szCs w:val="18"/>
        </w:rPr>
        <w:t xml:space="preserve">, ISD subgroup. </w:t>
      </w:r>
      <w:r w:rsidR="000025DA" w:rsidRPr="00B07FB9">
        <w:rPr>
          <w:szCs w:val="18"/>
        </w:rPr>
        <w:t>Previously</w:t>
      </w:r>
      <w:r w:rsidRPr="00B07FB9">
        <w:rPr>
          <w:szCs w:val="18"/>
        </w:rPr>
        <w:t xml:space="preserve">, </w:t>
      </w:r>
      <w:r w:rsidR="000025DA" w:rsidRPr="00B07FB9">
        <w:rPr>
          <w:szCs w:val="18"/>
        </w:rPr>
        <w:t xml:space="preserve">on the basis of data from </w:t>
      </w:r>
      <w:r w:rsidRPr="00B07FB9">
        <w:rPr>
          <w:szCs w:val="18"/>
        </w:rPr>
        <w:t>the intention-to-treat (ITT) population (including both non-</w:t>
      </w:r>
      <w:proofErr w:type="spellStart"/>
      <w:r w:rsidRPr="00B07FB9">
        <w:rPr>
          <w:szCs w:val="18"/>
        </w:rPr>
        <w:t>BRCAm</w:t>
      </w:r>
      <w:proofErr w:type="spellEnd"/>
      <w:r w:rsidRPr="00B07FB9">
        <w:rPr>
          <w:szCs w:val="18"/>
        </w:rPr>
        <w:t xml:space="preserve"> and </w:t>
      </w:r>
      <w:proofErr w:type="spellStart"/>
      <w:r w:rsidRPr="00B07FB9">
        <w:rPr>
          <w:szCs w:val="18"/>
        </w:rPr>
        <w:t>BRCAm</w:t>
      </w:r>
      <w:proofErr w:type="spellEnd"/>
      <w:r w:rsidRPr="00B07FB9">
        <w:rPr>
          <w:szCs w:val="18"/>
        </w:rPr>
        <w:t>)</w:t>
      </w:r>
      <w:r w:rsidR="000025DA" w:rsidRPr="00B07FB9">
        <w:rPr>
          <w:szCs w:val="18"/>
        </w:rPr>
        <w:t>, the PBAC</w:t>
      </w:r>
      <w:r w:rsidR="00DB111D" w:rsidRPr="00B07FB9">
        <w:rPr>
          <w:szCs w:val="18"/>
        </w:rPr>
        <w:t xml:space="preserve"> </w:t>
      </w:r>
      <w:r w:rsidR="000025DA" w:rsidRPr="00B07FB9">
        <w:rPr>
          <w:szCs w:val="18"/>
        </w:rPr>
        <w:t xml:space="preserve">considered </w:t>
      </w:r>
      <w:r w:rsidRPr="00B07FB9">
        <w:rPr>
          <w:szCs w:val="18"/>
        </w:rPr>
        <w:t>that in clinical practice, efficacy is likely to be similar for ISD and FSD approaches because a high rate of dose reductions would be expected for the latter approach, as seen in PRIMA (Paragraph 6.19, Niraparib PSD, July 2021 PBAC meeting).</w:t>
      </w:r>
    </w:p>
    <w:p w14:paraId="64F1FDF9" w14:textId="77777777" w:rsidR="001B4E9C" w:rsidRPr="00B07FB9" w:rsidRDefault="001B4E9C" w:rsidP="000C6F49">
      <w:pPr>
        <w:pStyle w:val="3-BodyText"/>
        <w:widowControl w:val="0"/>
      </w:pPr>
      <w:r w:rsidRPr="00B07FB9">
        <w:t>A summary of OS results is presented below.</w:t>
      </w:r>
    </w:p>
    <w:p w14:paraId="32A93251" w14:textId="6F59205F" w:rsidR="001B4E9C" w:rsidRPr="00B07FB9" w:rsidRDefault="001B4E9C" w:rsidP="0006211B">
      <w:pPr>
        <w:pStyle w:val="TableFigureHeading"/>
        <w:keepNext w:val="0"/>
        <w:widowControl w:val="0"/>
      </w:pPr>
      <w:r w:rsidRPr="00B07FB9">
        <w:t xml:space="preserve">Figure </w:t>
      </w:r>
      <w:r w:rsidR="00385E8C">
        <w:fldChar w:fldCharType="begin"/>
      </w:r>
      <w:r w:rsidR="00385E8C">
        <w:instrText xml:space="preserve"> SEQ Figure \* ARABIC </w:instrText>
      </w:r>
      <w:r w:rsidR="00385E8C">
        <w:fldChar w:fldCharType="separate"/>
      </w:r>
      <w:r w:rsidR="00385E8C">
        <w:rPr>
          <w:noProof/>
        </w:rPr>
        <w:t>2</w:t>
      </w:r>
      <w:r w:rsidR="00385E8C">
        <w:fldChar w:fldCharType="end"/>
      </w:r>
      <w:r w:rsidRPr="00B07FB9">
        <w:t>: Kaplan-Meier plot for OS in the non-</w:t>
      </w:r>
      <w:proofErr w:type="spellStart"/>
      <w:r w:rsidRPr="00B07FB9">
        <w:t>BRCAm</w:t>
      </w:r>
      <w:proofErr w:type="spellEnd"/>
      <w:r w:rsidRPr="00B07FB9">
        <w:t xml:space="preserve"> cohort of PRIMA</w:t>
      </w:r>
      <w:r w:rsidR="00010EA0">
        <w:t>*</w:t>
      </w:r>
    </w:p>
    <w:p w14:paraId="21F53DC8" w14:textId="42D32ECF" w:rsidR="00D57783" w:rsidRDefault="001B4E9C" w:rsidP="00425BFE">
      <w:pPr>
        <w:pStyle w:val="3-BodyText"/>
        <w:widowControl w:val="0"/>
        <w:numPr>
          <w:ilvl w:val="0"/>
          <w:numId w:val="0"/>
        </w:numPr>
        <w:jc w:val="left"/>
        <w:rPr>
          <w:rFonts w:ascii="Arial Narrow" w:hAnsi="Arial Narrow"/>
          <w:sz w:val="18"/>
          <w:szCs w:val="18"/>
        </w:rPr>
      </w:pPr>
      <w:r w:rsidRPr="00B07FB9">
        <w:rPr>
          <w:noProof/>
        </w:rPr>
        <w:drawing>
          <wp:inline distT="0" distB="0" distL="0" distR="0" wp14:anchorId="0786611D" wp14:editId="1FAA385B">
            <wp:extent cx="5448300" cy="3105150"/>
            <wp:effectExtent l="0" t="0" r="0" b="0"/>
            <wp:docPr id="6" name="Picture 6" descr="Figure 2: Kaplan-Meier plot for OS in the non-BRCAm cohort of PR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Kaplan-Meier plot for OS in the non-BRCAm cohort of PRIMA"/>
                    <pic:cNvPicPr/>
                  </pic:nvPicPr>
                  <pic:blipFill>
                    <a:blip r:embed="rId9"/>
                    <a:stretch>
                      <a:fillRect/>
                    </a:stretch>
                  </pic:blipFill>
                  <pic:spPr>
                    <a:xfrm>
                      <a:off x="0" y="0"/>
                      <a:ext cx="5448300" cy="3105150"/>
                    </a:xfrm>
                    <a:prstGeom prst="rect">
                      <a:avLst/>
                    </a:prstGeom>
                  </pic:spPr>
                </pic:pic>
              </a:graphicData>
            </a:graphic>
          </wp:inline>
        </w:drawing>
      </w:r>
      <w:r w:rsidRPr="00425BFE">
        <w:rPr>
          <w:rFonts w:ascii="Arial Narrow" w:hAnsi="Arial Narrow"/>
          <w:sz w:val="18"/>
          <w:szCs w:val="18"/>
        </w:rPr>
        <w:t>Source: Figure 18, p76 of the resubmission</w:t>
      </w:r>
      <w:r w:rsidR="00425BFE">
        <w:rPr>
          <w:rFonts w:ascii="Arial Narrow" w:hAnsi="Arial Narrow"/>
          <w:sz w:val="18"/>
          <w:szCs w:val="18"/>
        </w:rPr>
        <w:br/>
      </w:r>
      <w:proofErr w:type="spellStart"/>
      <w:r w:rsidR="00A20808" w:rsidRPr="00425BFE">
        <w:rPr>
          <w:rFonts w:ascii="Arial Narrow" w:hAnsi="Arial Narrow"/>
          <w:sz w:val="18"/>
          <w:szCs w:val="18"/>
        </w:rPr>
        <w:t>BRCAm</w:t>
      </w:r>
      <w:proofErr w:type="spellEnd"/>
      <w:r w:rsidR="00A20808" w:rsidRPr="00425BFE">
        <w:rPr>
          <w:rFonts w:ascii="Arial Narrow" w:hAnsi="Arial Narrow"/>
          <w:sz w:val="18"/>
          <w:szCs w:val="18"/>
        </w:rPr>
        <w:t xml:space="preserve"> = BRCA gene mutation</w:t>
      </w:r>
      <w:r w:rsidRPr="00425BFE">
        <w:rPr>
          <w:rFonts w:ascii="Arial Narrow" w:hAnsi="Arial Narrow"/>
          <w:sz w:val="18"/>
          <w:szCs w:val="18"/>
        </w:rPr>
        <w:t>; OS = overall survival</w:t>
      </w:r>
      <w:r w:rsidR="00425BFE">
        <w:rPr>
          <w:rFonts w:ascii="Arial Narrow" w:hAnsi="Arial Narrow"/>
          <w:sz w:val="18"/>
          <w:szCs w:val="18"/>
        </w:rPr>
        <w:br/>
      </w:r>
      <w:r w:rsidRPr="00425BFE">
        <w:rPr>
          <w:rFonts w:ascii="Arial Narrow" w:hAnsi="Arial Narrow"/>
          <w:sz w:val="18"/>
          <w:szCs w:val="18"/>
        </w:rPr>
        <w:t>Note: Data cut-off 17/05/2019</w:t>
      </w:r>
    </w:p>
    <w:p w14:paraId="3AB79B08" w14:textId="53780AFA" w:rsidR="00010EA0" w:rsidRPr="00425BFE" w:rsidRDefault="00010EA0" w:rsidP="00425BFE">
      <w:pPr>
        <w:pStyle w:val="3-BodyText"/>
        <w:widowControl w:val="0"/>
        <w:numPr>
          <w:ilvl w:val="0"/>
          <w:numId w:val="0"/>
        </w:numPr>
        <w:jc w:val="left"/>
        <w:rPr>
          <w:rFonts w:ascii="Arial Narrow" w:hAnsi="Arial Narrow"/>
          <w:sz w:val="18"/>
          <w:szCs w:val="18"/>
        </w:rPr>
      </w:pPr>
      <w:r>
        <w:rPr>
          <w:rFonts w:ascii="Arial Narrow" w:hAnsi="Arial Narrow"/>
          <w:sz w:val="18"/>
          <w:szCs w:val="18"/>
        </w:rPr>
        <w:t>*</w:t>
      </w:r>
      <w:r w:rsidRPr="00010EA0">
        <w:rPr>
          <w:rFonts w:ascii="Arial Narrow" w:hAnsi="Arial Narrow"/>
          <w:sz w:val="18"/>
          <w:szCs w:val="18"/>
        </w:rPr>
        <w:t>Note that the Figure 2 depicts results that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6D16D5A1" w14:textId="086C5E78" w:rsidR="001B4E9C" w:rsidRPr="00B07FB9" w:rsidRDefault="001B4E9C" w:rsidP="00D72CA1">
      <w:pPr>
        <w:pStyle w:val="TableFigureHeading"/>
        <w:keepLines/>
        <w:widowControl w:val="0"/>
      </w:pPr>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7</w:t>
      </w:r>
      <w:r w:rsidR="00385E8C">
        <w:fldChar w:fldCharType="end"/>
      </w:r>
      <w:r w:rsidRPr="00B07FB9">
        <w:t>: Results of OS in the non-</w:t>
      </w:r>
      <w:proofErr w:type="spellStart"/>
      <w:r w:rsidRPr="00B07FB9">
        <w:t>BRCAm</w:t>
      </w:r>
      <w:proofErr w:type="spellEnd"/>
      <w:r w:rsidRPr="00B07FB9">
        <w:t xml:space="preserve"> cohort of PRIMA</w:t>
      </w:r>
      <w:r w:rsidR="00010EA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7: Results of OS in the non-BRCAm cohort of PRIMA"/>
      </w:tblPr>
      <w:tblGrid>
        <w:gridCol w:w="1059"/>
        <w:gridCol w:w="1818"/>
        <w:gridCol w:w="1908"/>
        <w:gridCol w:w="2117"/>
        <w:gridCol w:w="2115"/>
      </w:tblGrid>
      <w:tr w:rsidR="00D545C3" w:rsidRPr="00B07FB9" w14:paraId="7320F77E" w14:textId="75FCBC10" w:rsidTr="002122F4">
        <w:tc>
          <w:tcPr>
            <w:tcW w:w="1595" w:type="pct"/>
            <w:gridSpan w:val="2"/>
            <w:shd w:val="clear" w:color="auto" w:fill="FFFFFF" w:themeFill="background1"/>
            <w:vAlign w:val="center"/>
          </w:tcPr>
          <w:p w14:paraId="200E6A9D" w14:textId="77777777" w:rsidR="00D545C3" w:rsidRPr="00B07FB9" w:rsidRDefault="00D545C3" w:rsidP="00D72CA1">
            <w:pPr>
              <w:keepNext/>
              <w:keepLines/>
              <w:widowControl w:val="0"/>
              <w:jc w:val="left"/>
              <w:rPr>
                <w:rFonts w:ascii="Arial Narrow" w:hAnsi="Arial Narrow" w:cs="Calibri"/>
                <w:b/>
                <w:bCs/>
                <w:color w:val="000000"/>
                <w:sz w:val="20"/>
                <w:szCs w:val="20"/>
              </w:rPr>
            </w:pPr>
          </w:p>
        </w:tc>
        <w:tc>
          <w:tcPr>
            <w:tcW w:w="1058" w:type="pct"/>
            <w:shd w:val="clear" w:color="auto" w:fill="FFFFFF" w:themeFill="background1"/>
            <w:vAlign w:val="center"/>
            <w:hideMark/>
          </w:tcPr>
          <w:p w14:paraId="641CDCE1" w14:textId="30C5DC4B" w:rsidR="00D545C3" w:rsidRPr="00B07FB9" w:rsidRDefault="007A20BD"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NIRA</w:t>
            </w:r>
            <w:r w:rsidR="00D545C3" w:rsidRPr="00B07FB9">
              <w:rPr>
                <w:rFonts w:ascii="Arial Narrow" w:hAnsi="Arial Narrow" w:cs="Calibri"/>
                <w:b/>
                <w:bCs/>
                <w:color w:val="000000"/>
                <w:sz w:val="20"/>
                <w:szCs w:val="20"/>
              </w:rPr>
              <w:t xml:space="preserve"> (n=310)</w:t>
            </w:r>
          </w:p>
        </w:tc>
        <w:tc>
          <w:tcPr>
            <w:tcW w:w="1174" w:type="pct"/>
            <w:shd w:val="clear" w:color="auto" w:fill="FFFFFF" w:themeFill="background1"/>
            <w:vAlign w:val="center"/>
          </w:tcPr>
          <w:p w14:paraId="42528765" w14:textId="729D06B2" w:rsidR="00D545C3" w:rsidRPr="00B07FB9" w:rsidRDefault="007A20BD"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PBO</w:t>
            </w:r>
            <w:r w:rsidR="00D545C3" w:rsidRPr="00B07FB9">
              <w:rPr>
                <w:rFonts w:ascii="Arial Narrow" w:hAnsi="Arial Narrow" w:cs="Calibri"/>
                <w:b/>
                <w:bCs/>
                <w:color w:val="000000"/>
                <w:sz w:val="20"/>
                <w:szCs w:val="20"/>
              </w:rPr>
              <w:t xml:space="preserve"> (n=163)</w:t>
            </w:r>
          </w:p>
        </w:tc>
        <w:tc>
          <w:tcPr>
            <w:tcW w:w="1173" w:type="pct"/>
            <w:shd w:val="clear" w:color="auto" w:fill="FFFFFF" w:themeFill="background1"/>
          </w:tcPr>
          <w:p w14:paraId="7BC79A56" w14:textId="78A43544" w:rsidR="00D545C3" w:rsidRPr="00B07FB9" w:rsidRDefault="00717C1B" w:rsidP="00D72CA1">
            <w:pPr>
              <w:keepNext/>
              <w:keepLines/>
              <w:widowControl w:val="0"/>
              <w:jc w:val="center"/>
              <w:rPr>
                <w:rFonts w:ascii="Arial Narrow" w:hAnsi="Arial Narrow" w:cs="Calibri"/>
                <w:b/>
                <w:bCs/>
                <w:color w:val="000000"/>
                <w:sz w:val="20"/>
                <w:szCs w:val="20"/>
              </w:rPr>
            </w:pPr>
            <w:r>
              <w:rPr>
                <w:rFonts w:ascii="Arial Narrow" w:hAnsi="Arial Narrow" w:cs="Calibri"/>
                <w:b/>
                <w:bCs/>
                <w:color w:val="000000"/>
                <w:sz w:val="20"/>
                <w:szCs w:val="20"/>
              </w:rPr>
              <w:t xml:space="preserve">Absolute </w:t>
            </w:r>
            <w:r w:rsidR="007A20BD" w:rsidRPr="00B07FB9">
              <w:rPr>
                <w:rFonts w:ascii="Arial Narrow" w:hAnsi="Arial Narrow" w:cs="Calibri"/>
                <w:b/>
                <w:bCs/>
                <w:color w:val="000000"/>
                <w:sz w:val="20"/>
                <w:szCs w:val="20"/>
              </w:rPr>
              <w:t>Difference (NIRA vs. PBO)</w:t>
            </w:r>
            <w:r w:rsidR="00010EA0">
              <w:rPr>
                <w:rFonts w:ascii="Arial Narrow" w:hAnsi="Arial Narrow" w:cs="Calibri"/>
                <w:b/>
                <w:bCs/>
                <w:color w:val="000000"/>
                <w:sz w:val="20"/>
                <w:szCs w:val="20"/>
              </w:rPr>
              <w:t>#</w:t>
            </w:r>
          </w:p>
        </w:tc>
      </w:tr>
      <w:tr w:rsidR="00D545C3" w:rsidRPr="00B07FB9" w14:paraId="52DF23C3" w14:textId="3378BE11" w:rsidTr="002122F4">
        <w:tc>
          <w:tcPr>
            <w:tcW w:w="1595" w:type="pct"/>
            <w:gridSpan w:val="2"/>
            <w:shd w:val="clear" w:color="auto" w:fill="FFFFFF" w:themeFill="background1"/>
            <w:vAlign w:val="center"/>
          </w:tcPr>
          <w:p w14:paraId="52C399C1" w14:textId="313CF430" w:rsidR="00D545C3" w:rsidRPr="00B07FB9" w:rsidRDefault="00D545C3"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Events, n (%)</w:t>
            </w:r>
            <w:r w:rsidR="00841C44">
              <w:rPr>
                <w:rFonts w:ascii="Arial Narrow" w:hAnsi="Arial Narrow" w:cs="Calibri"/>
                <w:color w:val="000000"/>
                <w:sz w:val="20"/>
                <w:szCs w:val="20"/>
              </w:rPr>
              <w:t>*</w:t>
            </w:r>
          </w:p>
        </w:tc>
        <w:tc>
          <w:tcPr>
            <w:tcW w:w="1058" w:type="pct"/>
            <w:shd w:val="clear" w:color="auto" w:fill="FFFFFF" w:themeFill="background1"/>
            <w:vAlign w:val="center"/>
          </w:tcPr>
          <w:p w14:paraId="34EE5A0E"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35 (11.3)</w:t>
            </w:r>
          </w:p>
        </w:tc>
        <w:tc>
          <w:tcPr>
            <w:tcW w:w="1174" w:type="pct"/>
            <w:shd w:val="clear" w:color="auto" w:fill="FFFFFF" w:themeFill="background1"/>
            <w:vAlign w:val="center"/>
          </w:tcPr>
          <w:p w14:paraId="370195DE"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27 (16.6)</w:t>
            </w:r>
          </w:p>
        </w:tc>
        <w:tc>
          <w:tcPr>
            <w:tcW w:w="1173" w:type="pct"/>
            <w:shd w:val="clear" w:color="auto" w:fill="FFFFFF" w:themeFill="background1"/>
          </w:tcPr>
          <w:p w14:paraId="3A207083" w14:textId="2B57E524" w:rsidR="00D545C3" w:rsidRPr="00B07FB9" w:rsidRDefault="007A20BD"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-5.3%</w:t>
            </w:r>
          </w:p>
        </w:tc>
      </w:tr>
      <w:tr w:rsidR="00D545C3" w:rsidRPr="00B07FB9" w14:paraId="48D2D458" w14:textId="09891F5E" w:rsidTr="002122F4">
        <w:tc>
          <w:tcPr>
            <w:tcW w:w="587" w:type="pct"/>
            <w:vMerge w:val="restart"/>
            <w:shd w:val="clear" w:color="auto" w:fill="FFFFFF" w:themeFill="background1"/>
            <w:vAlign w:val="center"/>
          </w:tcPr>
          <w:p w14:paraId="556BDFEE" w14:textId="0A70A8FC" w:rsidR="00D545C3" w:rsidRPr="00B07FB9" w:rsidRDefault="00D545C3"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Probability of being event-free</w:t>
            </w:r>
            <w:r w:rsidR="00841C44">
              <w:rPr>
                <w:rFonts w:ascii="Arial Narrow" w:hAnsi="Arial Narrow" w:cs="Calibri"/>
                <w:color w:val="000000"/>
                <w:sz w:val="20"/>
                <w:szCs w:val="20"/>
              </w:rPr>
              <w:t>*</w:t>
            </w:r>
            <w:r w:rsidRPr="00B07FB9">
              <w:rPr>
                <w:rFonts w:ascii="Arial Narrow" w:hAnsi="Arial Narrow" w:cs="Calibri"/>
                <w:color w:val="000000"/>
                <w:sz w:val="20"/>
                <w:szCs w:val="20"/>
              </w:rPr>
              <w:t xml:space="preserve"> (95 % CI)</w:t>
            </w:r>
          </w:p>
        </w:tc>
        <w:tc>
          <w:tcPr>
            <w:tcW w:w="1008" w:type="pct"/>
            <w:shd w:val="clear" w:color="auto" w:fill="FFFFFF" w:themeFill="background1"/>
            <w:vAlign w:val="center"/>
          </w:tcPr>
          <w:p w14:paraId="267AA37A" w14:textId="77777777" w:rsidR="00D545C3" w:rsidRPr="00B07FB9" w:rsidRDefault="00D545C3"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6 months</w:t>
            </w:r>
          </w:p>
        </w:tc>
        <w:tc>
          <w:tcPr>
            <w:tcW w:w="1058" w:type="pct"/>
            <w:shd w:val="clear" w:color="auto" w:fill="FFFFFF" w:themeFill="background1"/>
          </w:tcPr>
          <w:p w14:paraId="49DE3605"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1.00 (0.98, 1.00)</w:t>
            </w:r>
          </w:p>
        </w:tc>
        <w:tc>
          <w:tcPr>
            <w:tcW w:w="1174" w:type="pct"/>
            <w:shd w:val="clear" w:color="auto" w:fill="FFFFFF" w:themeFill="background1"/>
          </w:tcPr>
          <w:p w14:paraId="6CCB2838"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0.99 (0.95, 1.00)</w:t>
            </w:r>
          </w:p>
        </w:tc>
        <w:tc>
          <w:tcPr>
            <w:tcW w:w="1173" w:type="pct"/>
            <w:shd w:val="clear" w:color="auto" w:fill="FFFFFF" w:themeFill="background1"/>
          </w:tcPr>
          <w:p w14:paraId="6C852174" w14:textId="74DFB2DE" w:rsidR="00D545C3" w:rsidRPr="00B07FB9" w:rsidRDefault="007A20BD"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w:t>
            </w:r>
          </w:p>
        </w:tc>
      </w:tr>
      <w:tr w:rsidR="00D545C3" w:rsidRPr="00B07FB9" w14:paraId="287957D6" w14:textId="4A6143D8" w:rsidTr="002122F4">
        <w:tc>
          <w:tcPr>
            <w:tcW w:w="587" w:type="pct"/>
            <w:vMerge/>
            <w:shd w:val="clear" w:color="auto" w:fill="FFFFFF" w:themeFill="background1"/>
            <w:vAlign w:val="center"/>
          </w:tcPr>
          <w:p w14:paraId="5B29124D" w14:textId="77777777" w:rsidR="00D545C3" w:rsidRPr="00B07FB9" w:rsidRDefault="00D545C3" w:rsidP="00D72CA1">
            <w:pPr>
              <w:keepNext/>
              <w:keepLines/>
              <w:widowControl w:val="0"/>
              <w:jc w:val="left"/>
              <w:rPr>
                <w:rFonts w:ascii="Arial Narrow" w:hAnsi="Arial Narrow" w:cs="Calibri"/>
                <w:color w:val="000000"/>
                <w:sz w:val="20"/>
                <w:szCs w:val="20"/>
              </w:rPr>
            </w:pPr>
          </w:p>
        </w:tc>
        <w:tc>
          <w:tcPr>
            <w:tcW w:w="1008" w:type="pct"/>
            <w:shd w:val="clear" w:color="auto" w:fill="FFFFFF" w:themeFill="background1"/>
            <w:vAlign w:val="center"/>
          </w:tcPr>
          <w:p w14:paraId="51B0081C" w14:textId="77777777" w:rsidR="00D545C3" w:rsidRPr="00B07FB9" w:rsidRDefault="00D545C3"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12 months</w:t>
            </w:r>
          </w:p>
        </w:tc>
        <w:tc>
          <w:tcPr>
            <w:tcW w:w="1058" w:type="pct"/>
            <w:shd w:val="clear" w:color="auto" w:fill="FFFFFF" w:themeFill="background1"/>
          </w:tcPr>
          <w:p w14:paraId="693408D7"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0.92 (0.88, 0.95)</w:t>
            </w:r>
          </w:p>
        </w:tc>
        <w:tc>
          <w:tcPr>
            <w:tcW w:w="1174" w:type="pct"/>
            <w:shd w:val="clear" w:color="auto" w:fill="FFFFFF" w:themeFill="background1"/>
          </w:tcPr>
          <w:p w14:paraId="0C4404D0"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0.89 (0.83, 0.93)</w:t>
            </w:r>
          </w:p>
        </w:tc>
        <w:tc>
          <w:tcPr>
            <w:tcW w:w="1173" w:type="pct"/>
            <w:shd w:val="clear" w:color="auto" w:fill="FFFFFF" w:themeFill="background1"/>
          </w:tcPr>
          <w:p w14:paraId="1074941B" w14:textId="75EB70B4" w:rsidR="00D545C3" w:rsidRPr="00B07FB9" w:rsidRDefault="007A20BD"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3%</w:t>
            </w:r>
          </w:p>
        </w:tc>
      </w:tr>
      <w:tr w:rsidR="00D545C3" w:rsidRPr="00B07FB9" w14:paraId="0305E747" w14:textId="63629318" w:rsidTr="002122F4">
        <w:tc>
          <w:tcPr>
            <w:tcW w:w="587" w:type="pct"/>
            <w:vMerge/>
            <w:shd w:val="clear" w:color="auto" w:fill="FFFFFF" w:themeFill="background1"/>
            <w:vAlign w:val="center"/>
          </w:tcPr>
          <w:p w14:paraId="522B7007" w14:textId="77777777" w:rsidR="00D545C3" w:rsidRPr="00B07FB9" w:rsidRDefault="00D545C3" w:rsidP="00D72CA1">
            <w:pPr>
              <w:keepNext/>
              <w:keepLines/>
              <w:widowControl w:val="0"/>
              <w:jc w:val="left"/>
              <w:rPr>
                <w:rFonts w:ascii="Arial Narrow" w:hAnsi="Arial Narrow" w:cs="Calibri"/>
                <w:color w:val="000000"/>
                <w:sz w:val="20"/>
                <w:szCs w:val="20"/>
              </w:rPr>
            </w:pPr>
          </w:p>
        </w:tc>
        <w:tc>
          <w:tcPr>
            <w:tcW w:w="1008" w:type="pct"/>
            <w:shd w:val="clear" w:color="auto" w:fill="FFFFFF" w:themeFill="background1"/>
            <w:vAlign w:val="center"/>
          </w:tcPr>
          <w:p w14:paraId="67759ABA" w14:textId="77777777" w:rsidR="00D545C3" w:rsidRPr="00B07FB9" w:rsidRDefault="00D545C3"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18 months</w:t>
            </w:r>
          </w:p>
        </w:tc>
        <w:tc>
          <w:tcPr>
            <w:tcW w:w="1058" w:type="pct"/>
            <w:shd w:val="clear" w:color="auto" w:fill="FFFFFF" w:themeFill="background1"/>
          </w:tcPr>
          <w:p w14:paraId="25BDB7C6"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0.87 (0.81, 0.91)</w:t>
            </w:r>
          </w:p>
        </w:tc>
        <w:tc>
          <w:tcPr>
            <w:tcW w:w="1174" w:type="pct"/>
            <w:shd w:val="clear" w:color="auto" w:fill="FFFFFF" w:themeFill="background1"/>
          </w:tcPr>
          <w:p w14:paraId="7A3FF779"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0.78 (0.68, 0.85)</w:t>
            </w:r>
          </w:p>
        </w:tc>
        <w:tc>
          <w:tcPr>
            <w:tcW w:w="1173" w:type="pct"/>
            <w:shd w:val="clear" w:color="auto" w:fill="FFFFFF" w:themeFill="background1"/>
          </w:tcPr>
          <w:p w14:paraId="57B1DDE7" w14:textId="62C2F283" w:rsidR="00D545C3" w:rsidRPr="00B07FB9" w:rsidRDefault="007A20BD"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9%</w:t>
            </w:r>
          </w:p>
        </w:tc>
      </w:tr>
      <w:tr w:rsidR="00D545C3" w:rsidRPr="00B07FB9" w14:paraId="2CB1C381" w14:textId="5D9ACD1E" w:rsidTr="002122F4">
        <w:tc>
          <w:tcPr>
            <w:tcW w:w="587" w:type="pct"/>
            <w:vMerge/>
            <w:shd w:val="clear" w:color="auto" w:fill="FFFFFF" w:themeFill="background1"/>
            <w:vAlign w:val="center"/>
          </w:tcPr>
          <w:p w14:paraId="14864E43" w14:textId="77777777" w:rsidR="00D545C3" w:rsidRPr="00B07FB9" w:rsidRDefault="00D545C3" w:rsidP="00D72CA1">
            <w:pPr>
              <w:keepNext/>
              <w:keepLines/>
              <w:widowControl w:val="0"/>
              <w:jc w:val="left"/>
              <w:rPr>
                <w:rFonts w:ascii="Arial Narrow" w:hAnsi="Arial Narrow" w:cs="Calibri"/>
                <w:color w:val="000000"/>
                <w:sz w:val="20"/>
                <w:szCs w:val="20"/>
              </w:rPr>
            </w:pPr>
          </w:p>
        </w:tc>
        <w:tc>
          <w:tcPr>
            <w:tcW w:w="1008" w:type="pct"/>
            <w:shd w:val="clear" w:color="auto" w:fill="FFFFFF" w:themeFill="background1"/>
            <w:vAlign w:val="center"/>
          </w:tcPr>
          <w:p w14:paraId="7F750E0B" w14:textId="77777777" w:rsidR="00D545C3" w:rsidRPr="00B07FB9" w:rsidRDefault="00D545C3"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24 months</w:t>
            </w:r>
          </w:p>
        </w:tc>
        <w:tc>
          <w:tcPr>
            <w:tcW w:w="1058" w:type="pct"/>
            <w:shd w:val="clear" w:color="auto" w:fill="FFFFFF" w:themeFill="background1"/>
          </w:tcPr>
          <w:p w14:paraId="48A8CB8F"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0.80 (0.69, 0.87)</w:t>
            </w:r>
          </w:p>
        </w:tc>
        <w:tc>
          <w:tcPr>
            <w:tcW w:w="1174" w:type="pct"/>
            <w:shd w:val="clear" w:color="auto" w:fill="FFFFFF" w:themeFill="background1"/>
          </w:tcPr>
          <w:p w14:paraId="0E9607B1"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0.67 (0.46, 0.81)</w:t>
            </w:r>
          </w:p>
        </w:tc>
        <w:tc>
          <w:tcPr>
            <w:tcW w:w="1173" w:type="pct"/>
            <w:shd w:val="clear" w:color="auto" w:fill="FFFFFF" w:themeFill="background1"/>
          </w:tcPr>
          <w:p w14:paraId="16BBEED0" w14:textId="0A17A621" w:rsidR="00D545C3" w:rsidRPr="00B07FB9" w:rsidRDefault="007A20BD"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13%</w:t>
            </w:r>
          </w:p>
        </w:tc>
      </w:tr>
      <w:tr w:rsidR="00D545C3" w:rsidRPr="00B07FB9" w14:paraId="5753B8E3" w14:textId="42C55F27" w:rsidTr="002122F4">
        <w:tc>
          <w:tcPr>
            <w:tcW w:w="1595" w:type="pct"/>
            <w:gridSpan w:val="2"/>
            <w:shd w:val="clear" w:color="auto" w:fill="FFFFFF" w:themeFill="background1"/>
            <w:vAlign w:val="center"/>
          </w:tcPr>
          <w:p w14:paraId="3AA5FA2A" w14:textId="1F0F9355" w:rsidR="00D545C3" w:rsidRPr="00B07FB9" w:rsidRDefault="00D545C3"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Median</w:t>
            </w:r>
            <w:r w:rsidR="00841C44">
              <w:rPr>
                <w:rFonts w:ascii="Arial Narrow" w:hAnsi="Arial Narrow" w:cs="Calibri"/>
                <w:color w:val="000000"/>
                <w:sz w:val="20"/>
                <w:szCs w:val="20"/>
              </w:rPr>
              <w:t>*</w:t>
            </w:r>
            <w:r w:rsidRPr="00B07FB9">
              <w:rPr>
                <w:rFonts w:ascii="Arial Narrow" w:hAnsi="Arial Narrow" w:cs="Calibri"/>
                <w:color w:val="000000"/>
                <w:sz w:val="20"/>
                <w:szCs w:val="20"/>
              </w:rPr>
              <w:t>, months (95% CI)</w:t>
            </w:r>
          </w:p>
        </w:tc>
        <w:tc>
          <w:tcPr>
            <w:tcW w:w="1058" w:type="pct"/>
            <w:shd w:val="clear" w:color="auto" w:fill="FFFFFF" w:themeFill="background1"/>
            <w:vAlign w:val="center"/>
          </w:tcPr>
          <w:p w14:paraId="0C7AEFFB"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NR</w:t>
            </w:r>
          </w:p>
        </w:tc>
        <w:tc>
          <w:tcPr>
            <w:tcW w:w="1174" w:type="pct"/>
            <w:shd w:val="clear" w:color="auto" w:fill="FFFFFF" w:themeFill="background1"/>
            <w:vAlign w:val="center"/>
          </w:tcPr>
          <w:p w14:paraId="6355380A" w14:textId="77777777" w:rsidR="00D545C3" w:rsidRPr="00B07FB9" w:rsidRDefault="00D545C3"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NR</w:t>
            </w:r>
          </w:p>
        </w:tc>
        <w:tc>
          <w:tcPr>
            <w:tcW w:w="1173" w:type="pct"/>
            <w:shd w:val="clear" w:color="auto" w:fill="FFFFFF" w:themeFill="background1"/>
          </w:tcPr>
          <w:p w14:paraId="28E040D9" w14:textId="4355FA8D" w:rsidR="00D545C3" w:rsidRPr="00B07FB9" w:rsidRDefault="007A20BD"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w:t>
            </w:r>
          </w:p>
        </w:tc>
      </w:tr>
      <w:tr w:rsidR="007A20BD" w:rsidRPr="00B07FB9" w14:paraId="26B43F0A" w14:textId="3E248AF7" w:rsidTr="002122F4">
        <w:tc>
          <w:tcPr>
            <w:tcW w:w="1595" w:type="pct"/>
            <w:gridSpan w:val="2"/>
            <w:shd w:val="clear" w:color="auto" w:fill="FFFFFF" w:themeFill="background1"/>
            <w:vAlign w:val="center"/>
          </w:tcPr>
          <w:p w14:paraId="41E8D3D3" w14:textId="3393D7CE" w:rsidR="007A20BD" w:rsidRPr="00B07FB9" w:rsidRDefault="007A20BD"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HR</w:t>
            </w:r>
            <w:r w:rsidR="00841C44">
              <w:rPr>
                <w:rFonts w:ascii="Arial Narrow" w:hAnsi="Arial Narrow" w:cs="Calibri"/>
                <w:color w:val="000000"/>
                <w:sz w:val="20"/>
                <w:szCs w:val="20"/>
              </w:rPr>
              <w:t>*</w:t>
            </w:r>
            <w:r w:rsidRPr="00B07FB9">
              <w:rPr>
                <w:rFonts w:ascii="Arial Narrow" w:hAnsi="Arial Narrow" w:cs="Calibri"/>
                <w:color w:val="000000"/>
                <w:sz w:val="20"/>
                <w:szCs w:val="20"/>
              </w:rPr>
              <w:t xml:space="preserve"> (95% CI), p value</w:t>
            </w:r>
          </w:p>
        </w:tc>
        <w:tc>
          <w:tcPr>
            <w:tcW w:w="3405" w:type="pct"/>
            <w:gridSpan w:val="3"/>
            <w:shd w:val="clear" w:color="auto" w:fill="FFFFFF" w:themeFill="background1"/>
            <w:vAlign w:val="center"/>
          </w:tcPr>
          <w:p w14:paraId="1AF4002C" w14:textId="44ECB86B" w:rsidR="007A20BD" w:rsidRPr="00B07FB9" w:rsidRDefault="007A20BD"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0.62 (0.37, 1.03), p=0.0629</w:t>
            </w:r>
          </w:p>
        </w:tc>
      </w:tr>
    </w:tbl>
    <w:p w14:paraId="6BE32B03" w14:textId="77777777" w:rsidR="001B4E9C" w:rsidRPr="00B07FB9" w:rsidRDefault="001B4E9C" w:rsidP="00D72CA1">
      <w:pPr>
        <w:keepNext/>
        <w:keepLines/>
        <w:widowControl w:val="0"/>
        <w:spacing w:after="120"/>
        <w:contextualSpacing/>
        <w:rPr>
          <w:rFonts w:ascii="Arial Narrow" w:hAnsi="Arial Narrow"/>
          <w:sz w:val="18"/>
          <w:szCs w:val="22"/>
        </w:rPr>
      </w:pPr>
      <w:r w:rsidRPr="00B07FB9">
        <w:rPr>
          <w:rFonts w:ascii="Arial Narrow" w:hAnsi="Arial Narrow"/>
          <w:sz w:val="18"/>
          <w:szCs w:val="22"/>
        </w:rPr>
        <w:t xml:space="preserve">Source: Table 38-p76 of the resubmission.  </w:t>
      </w:r>
    </w:p>
    <w:p w14:paraId="04F5FDC4" w14:textId="1E8D3F36" w:rsidR="001B4E9C" w:rsidRPr="00B07FB9" w:rsidRDefault="00A20808" w:rsidP="00D72CA1">
      <w:pPr>
        <w:keepNext/>
        <w:keepLines/>
        <w:widowControl w:val="0"/>
        <w:spacing w:after="120"/>
        <w:contextualSpacing/>
        <w:rPr>
          <w:rFonts w:ascii="Arial Narrow" w:hAnsi="Arial Narrow"/>
          <w:sz w:val="18"/>
          <w:szCs w:val="22"/>
        </w:rPr>
      </w:pPr>
      <w:proofErr w:type="spellStart"/>
      <w:r w:rsidRPr="00B07FB9">
        <w:rPr>
          <w:rFonts w:ascii="Arial Narrow" w:hAnsi="Arial Narrow"/>
          <w:sz w:val="18"/>
          <w:szCs w:val="22"/>
        </w:rPr>
        <w:t>BRCAm</w:t>
      </w:r>
      <w:proofErr w:type="spellEnd"/>
      <w:r w:rsidRPr="00B07FB9">
        <w:rPr>
          <w:rFonts w:ascii="Arial Narrow" w:hAnsi="Arial Narrow"/>
          <w:sz w:val="18"/>
          <w:szCs w:val="22"/>
        </w:rPr>
        <w:t xml:space="preserve"> = BRCA gene mutation</w:t>
      </w:r>
      <w:r w:rsidR="001B4E9C" w:rsidRPr="00B07FB9">
        <w:rPr>
          <w:rFonts w:ascii="Arial Narrow" w:hAnsi="Arial Narrow"/>
          <w:sz w:val="18"/>
          <w:szCs w:val="22"/>
        </w:rPr>
        <w:t xml:space="preserve">; CI = confidence interval; HR = hazard ratio; </w:t>
      </w:r>
      <w:r w:rsidR="007A20BD" w:rsidRPr="00B07FB9">
        <w:rPr>
          <w:rFonts w:ascii="Arial Narrow" w:hAnsi="Arial Narrow"/>
          <w:sz w:val="18"/>
          <w:szCs w:val="22"/>
        </w:rPr>
        <w:t xml:space="preserve">NIRA = niraparib; </w:t>
      </w:r>
      <w:r w:rsidR="001B4E9C" w:rsidRPr="00B07FB9">
        <w:rPr>
          <w:rFonts w:ascii="Arial Narrow" w:hAnsi="Arial Narrow"/>
          <w:sz w:val="18"/>
          <w:szCs w:val="22"/>
        </w:rPr>
        <w:t>NR = not reached</w:t>
      </w:r>
      <w:r w:rsidR="007A20BD" w:rsidRPr="00B07FB9">
        <w:rPr>
          <w:rFonts w:ascii="Arial Narrow" w:hAnsi="Arial Narrow"/>
          <w:sz w:val="18"/>
          <w:szCs w:val="22"/>
        </w:rPr>
        <w:t>;</w:t>
      </w:r>
      <w:r w:rsidR="007A20BD" w:rsidRPr="00B07FB9">
        <w:t xml:space="preserve"> </w:t>
      </w:r>
      <w:r w:rsidR="001B4E9C" w:rsidRPr="00B07FB9">
        <w:rPr>
          <w:rFonts w:ascii="Arial Narrow" w:hAnsi="Arial Narrow"/>
          <w:sz w:val="18"/>
          <w:szCs w:val="22"/>
        </w:rPr>
        <w:t>OS = overall survival</w:t>
      </w:r>
      <w:r w:rsidR="007A20BD" w:rsidRPr="00B07FB9">
        <w:rPr>
          <w:rFonts w:ascii="Arial Narrow" w:hAnsi="Arial Narrow"/>
          <w:sz w:val="18"/>
          <w:szCs w:val="22"/>
        </w:rPr>
        <w:t>; PBO = placebo</w:t>
      </w:r>
    </w:p>
    <w:p w14:paraId="6C14FC6D" w14:textId="54846FE6" w:rsidR="001B4E9C" w:rsidRDefault="001B4E9C" w:rsidP="00D72CA1">
      <w:pPr>
        <w:keepNext/>
        <w:keepLines/>
        <w:widowControl w:val="0"/>
        <w:spacing w:after="120"/>
        <w:contextualSpacing/>
        <w:rPr>
          <w:rFonts w:ascii="Arial Narrow" w:hAnsi="Arial Narrow"/>
          <w:sz w:val="18"/>
          <w:szCs w:val="18"/>
        </w:rPr>
      </w:pPr>
      <w:r w:rsidRPr="00B07FB9">
        <w:rPr>
          <w:rFonts w:ascii="Arial Narrow" w:hAnsi="Arial Narrow"/>
          <w:sz w:val="18"/>
          <w:szCs w:val="18"/>
        </w:rPr>
        <w:t>Note: Data cut-off 17/05/2019</w:t>
      </w:r>
    </w:p>
    <w:p w14:paraId="77C5B8EC" w14:textId="39FCB3CD" w:rsidR="00010EA0" w:rsidRDefault="00010EA0" w:rsidP="00D72CA1">
      <w:pPr>
        <w:keepNext/>
        <w:keepLines/>
        <w:widowControl w:val="0"/>
        <w:spacing w:after="120"/>
        <w:contextualSpacing/>
        <w:rPr>
          <w:rFonts w:ascii="Arial Narrow" w:hAnsi="Arial Narrow"/>
          <w:sz w:val="18"/>
          <w:szCs w:val="18"/>
        </w:rPr>
      </w:pPr>
      <w:r>
        <w:rPr>
          <w:rFonts w:ascii="Arial Narrow" w:hAnsi="Arial Narrow"/>
          <w:sz w:val="18"/>
          <w:szCs w:val="18"/>
        </w:rPr>
        <w:t>*</w:t>
      </w:r>
      <w:r w:rsidR="00841C44">
        <w:rPr>
          <w:rFonts w:ascii="Arial Narrow" w:hAnsi="Arial Narrow"/>
          <w:sz w:val="18"/>
          <w:szCs w:val="18"/>
        </w:rPr>
        <w:t xml:space="preserve"> </w:t>
      </w:r>
      <w:r w:rsidRPr="00010EA0">
        <w:rPr>
          <w:rFonts w:ascii="Arial Narrow" w:hAnsi="Arial Narrow"/>
          <w:sz w:val="18"/>
          <w:szCs w:val="18"/>
        </w:rPr>
        <w:t>Note that the results denoted by (*)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6C6A2C65" w14:textId="4FA2F779" w:rsidR="00010EA0" w:rsidRPr="00B07FB9" w:rsidRDefault="00010EA0" w:rsidP="00D72CA1">
      <w:pPr>
        <w:keepNext/>
        <w:keepLines/>
        <w:widowControl w:val="0"/>
        <w:spacing w:after="120"/>
        <w:contextualSpacing/>
        <w:rPr>
          <w:rFonts w:ascii="Arial Narrow" w:hAnsi="Arial Narrow"/>
          <w:sz w:val="18"/>
          <w:szCs w:val="18"/>
        </w:rPr>
      </w:pPr>
      <w:r w:rsidRPr="00010EA0">
        <w:rPr>
          <w:rFonts w:ascii="Arial Narrow" w:hAnsi="Arial Narrow"/>
          <w:sz w:val="18"/>
          <w:szCs w:val="18"/>
        </w:rPr>
        <w:t>#</w:t>
      </w:r>
      <w:r w:rsidR="00841C44">
        <w:rPr>
          <w:rFonts w:ascii="Arial Narrow" w:hAnsi="Arial Narrow"/>
          <w:sz w:val="18"/>
          <w:szCs w:val="18"/>
        </w:rPr>
        <w:t xml:space="preserve"> </w:t>
      </w:r>
      <w:r w:rsidRPr="00010EA0">
        <w:rPr>
          <w:rFonts w:ascii="Arial Narrow" w:hAnsi="Arial Narrow"/>
          <w:sz w:val="18"/>
          <w:szCs w:val="18"/>
        </w:rPr>
        <w:t xml:space="preserve">Note that the results denoted by (#) are derived from post-hoc </w:t>
      </w:r>
      <w:proofErr w:type="spellStart"/>
      <w:r w:rsidRPr="00010EA0">
        <w:rPr>
          <w:rFonts w:ascii="Arial Narrow" w:hAnsi="Arial Narrow"/>
          <w:sz w:val="18"/>
          <w:szCs w:val="18"/>
        </w:rPr>
        <w:t>analyes</w:t>
      </w:r>
      <w:proofErr w:type="spellEnd"/>
      <w:r w:rsidRPr="00010EA0">
        <w:rPr>
          <w:rFonts w:ascii="Arial Narrow" w:hAnsi="Arial Narrow"/>
          <w:sz w:val="18"/>
          <w:szCs w:val="18"/>
        </w:rPr>
        <w:t xml:space="preserve"> conducted by the evaluation specifically for the purposes of informing the PBAC consideration. Interpretation of the results and their application should therefore be limited to seeking to understand the basis for the PBAC outcome and should not be used for any other purpose.</w:t>
      </w:r>
    </w:p>
    <w:p w14:paraId="2BAFC166" w14:textId="768B0562" w:rsidR="001B4E9C" w:rsidRPr="00B07FB9" w:rsidRDefault="001B4E9C" w:rsidP="000C6F49">
      <w:pPr>
        <w:pStyle w:val="3-BodyText"/>
        <w:widowControl w:val="0"/>
      </w:pPr>
      <w:r w:rsidRPr="00B07FB9">
        <w:t>The OS data</w:t>
      </w:r>
      <w:r w:rsidR="00972C9E">
        <w:rPr>
          <w:rStyle w:val="FootnoteReference"/>
        </w:rPr>
        <w:footnoteReference w:id="9"/>
      </w:r>
      <w:r w:rsidRPr="00B07FB9">
        <w:t xml:space="preserve"> were immature </w:t>
      </w:r>
      <w:r w:rsidR="00A0044D" w:rsidRPr="00B07FB9">
        <w:t xml:space="preserve">(62 </w:t>
      </w:r>
      <w:r w:rsidR="00DE743C" w:rsidRPr="00B07FB9">
        <w:t xml:space="preserve">(13.1%) </w:t>
      </w:r>
      <w:r w:rsidR="00A0044D" w:rsidRPr="00B07FB9">
        <w:t xml:space="preserve">deaths to date) </w:t>
      </w:r>
      <w:r w:rsidRPr="00B07FB9">
        <w:t xml:space="preserve">and </w:t>
      </w:r>
      <w:r w:rsidR="00A0044D" w:rsidRPr="00B07FB9">
        <w:t xml:space="preserve">so the </w:t>
      </w:r>
      <w:r w:rsidRPr="00B07FB9">
        <w:t xml:space="preserve">OS benefit </w:t>
      </w:r>
      <w:r w:rsidR="00A0044D" w:rsidRPr="00B07FB9">
        <w:t>from</w:t>
      </w:r>
      <w:r w:rsidRPr="00B07FB9">
        <w:t xml:space="preserve"> niraparib cannot be reliably assessed in the non-</w:t>
      </w:r>
      <w:proofErr w:type="spellStart"/>
      <w:r w:rsidRPr="00B07FB9">
        <w:t>BRCAm</w:t>
      </w:r>
      <w:proofErr w:type="spellEnd"/>
      <w:r w:rsidRPr="00B07FB9">
        <w:t xml:space="preserve"> cohort. The </w:t>
      </w:r>
      <w:r w:rsidR="00E556C0" w:rsidRPr="00B07FB9">
        <w:t>PBAC noted that there appeared to be a trend toward improved survival</w:t>
      </w:r>
      <w:r w:rsidR="00F80072" w:rsidRPr="00B07FB9">
        <w:t xml:space="preserve"> for the </w:t>
      </w:r>
      <w:r w:rsidR="00AC28BD" w:rsidRPr="00B07FB9">
        <w:t>non-</w:t>
      </w:r>
      <w:proofErr w:type="spellStart"/>
      <w:r w:rsidR="00AC28BD" w:rsidRPr="00B07FB9">
        <w:t>BRCAm</w:t>
      </w:r>
      <w:proofErr w:type="spellEnd"/>
      <w:r w:rsidR="00F80072" w:rsidRPr="00B07FB9">
        <w:t xml:space="preserve"> subgroup</w:t>
      </w:r>
      <w:r w:rsidR="00AC28BD" w:rsidRPr="00B07FB9">
        <w:t xml:space="preserve"> HR 0.62 (95%CI: 0.37, 1.03) with a difference in survival of 13% at 24 months</w:t>
      </w:r>
      <w:r w:rsidR="00F80072" w:rsidRPr="00B07FB9">
        <w:t>. However</w:t>
      </w:r>
      <w:r w:rsidR="00AC28BD" w:rsidRPr="00B07FB9">
        <w:t>,</w:t>
      </w:r>
      <w:r w:rsidR="00F80072" w:rsidRPr="00B07FB9">
        <w:t xml:space="preserve"> the PBAC considered</w:t>
      </w:r>
      <w:r w:rsidR="00E556C0" w:rsidRPr="00B07FB9">
        <w:t xml:space="preserve"> </w:t>
      </w:r>
      <w:r w:rsidR="00AC28BD" w:rsidRPr="00B07FB9">
        <w:t>as the data were immature the OS benefit remained uncertain and</w:t>
      </w:r>
      <w:r w:rsidR="008643A3" w:rsidRPr="00B07FB9">
        <w:t xml:space="preserve"> </w:t>
      </w:r>
      <w:r w:rsidR="00E556C0" w:rsidRPr="00B07FB9">
        <w:t>it</w:t>
      </w:r>
      <w:r w:rsidR="00A31B7C" w:rsidRPr="00B07FB9">
        <w:t>s</w:t>
      </w:r>
      <w:r w:rsidRPr="00B07FB9">
        <w:t xml:space="preserve"> previous concern that the PFS benefit may not translate into an OS benefit (</w:t>
      </w:r>
      <w:r w:rsidR="009E6BEB" w:rsidRPr="00B07FB9">
        <w:t>P</w:t>
      </w:r>
      <w:r w:rsidRPr="00B07FB9">
        <w:t xml:space="preserve">aragraph 7.10, </w:t>
      </w:r>
      <w:r w:rsidR="009E6BEB" w:rsidRPr="00B07FB9">
        <w:t>Niraparib PSD</w:t>
      </w:r>
      <w:r w:rsidRPr="00B07FB9">
        <w:t>, July 2021 PBAC meeting) remain</w:t>
      </w:r>
      <w:r w:rsidR="00E556C0" w:rsidRPr="00B07FB9">
        <w:t>ed</w:t>
      </w:r>
      <w:r w:rsidRPr="00B07FB9">
        <w:t xml:space="preserve"> outstanding. </w:t>
      </w:r>
      <w:r w:rsidR="00A31B7C" w:rsidRPr="00B07FB9">
        <w:t>The PSCR confirmed that updated OS data from PRIMA is not expected until 2025</w:t>
      </w:r>
      <w:r w:rsidR="001940B5" w:rsidRPr="00B07FB9">
        <w:t>.</w:t>
      </w:r>
      <w:r w:rsidR="00A31B7C" w:rsidRPr="00B07FB9">
        <w:t xml:space="preserve"> </w:t>
      </w:r>
    </w:p>
    <w:p w14:paraId="2DC41351" w14:textId="77777777" w:rsidR="001B4E9C" w:rsidRPr="00B07FB9" w:rsidRDefault="001B4E9C" w:rsidP="000C6F49">
      <w:pPr>
        <w:pStyle w:val="5-SubsectionSubheading"/>
        <w:keepNext w:val="0"/>
        <w:keepLines w:val="0"/>
        <w:widowControl w:val="0"/>
      </w:pPr>
      <w:bookmarkStart w:id="27" w:name="_Toc93404188"/>
      <w:r w:rsidRPr="00B07FB9">
        <w:t xml:space="preserve">Indirect comparison of niraparib versus </w:t>
      </w:r>
      <w:proofErr w:type="spellStart"/>
      <w:r w:rsidRPr="00B07FB9">
        <w:t>olaparib</w:t>
      </w:r>
      <w:proofErr w:type="spellEnd"/>
      <w:r w:rsidRPr="00B07FB9">
        <w:t xml:space="preserve"> in </w:t>
      </w:r>
      <w:proofErr w:type="spellStart"/>
      <w:r w:rsidRPr="00B07FB9">
        <w:t>BRCAm</w:t>
      </w:r>
      <w:proofErr w:type="spellEnd"/>
      <w:r w:rsidRPr="00B07FB9">
        <w:t xml:space="preserve"> patients</w:t>
      </w:r>
      <w:bookmarkEnd w:id="27"/>
    </w:p>
    <w:p w14:paraId="5625C40B" w14:textId="2779B6E1" w:rsidR="001B4E9C" w:rsidRPr="00B07FB9" w:rsidRDefault="001B4E9C" w:rsidP="000C6F49">
      <w:pPr>
        <w:pStyle w:val="3-BodyText"/>
        <w:widowControl w:val="0"/>
      </w:pPr>
      <w:r w:rsidRPr="00B07FB9">
        <w:t xml:space="preserve">The resubmission presented indirect comparisons of niraparib and </w:t>
      </w:r>
      <w:proofErr w:type="spellStart"/>
      <w:r w:rsidRPr="00B07FB9">
        <w:t>olaparib</w:t>
      </w:r>
      <w:proofErr w:type="spellEnd"/>
      <w:r w:rsidRPr="00B07FB9">
        <w:t xml:space="preserve"> using data from the </w:t>
      </w:r>
      <w:proofErr w:type="spellStart"/>
      <w:r w:rsidRPr="00B07FB9">
        <w:t>BRCAm</w:t>
      </w:r>
      <w:proofErr w:type="spellEnd"/>
      <w:r w:rsidRPr="00B07FB9">
        <w:t xml:space="preserve"> cohort of PRIMA and that from the SOLO-1 overall population, or that from the subgroup of SOLO-1 excluding Stage III R0 post PDS</w:t>
      </w:r>
      <w:r w:rsidR="00972C9E">
        <w:rPr>
          <w:rStyle w:val="FootnoteReference"/>
        </w:rPr>
        <w:footnoteReference w:id="10"/>
      </w:r>
      <w:r w:rsidRPr="00B07FB9">
        <w:t>. The results of the indirect comparisons are presented below.</w:t>
      </w:r>
    </w:p>
    <w:p w14:paraId="01DECDFD" w14:textId="5E21DF1B" w:rsidR="001B4E9C" w:rsidRPr="00B07FB9" w:rsidRDefault="001B4E9C" w:rsidP="00D72CA1">
      <w:pPr>
        <w:pStyle w:val="TableFigureHeading"/>
        <w:keepLines/>
        <w:widowControl w:val="0"/>
      </w:pPr>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8</w:t>
      </w:r>
      <w:r w:rsidR="00385E8C">
        <w:fldChar w:fldCharType="end"/>
      </w:r>
      <w:r w:rsidRPr="00B07FB9">
        <w:t xml:space="preserve">: Results of the indirect comparison of niraparib versus </w:t>
      </w:r>
      <w:proofErr w:type="spellStart"/>
      <w:r w:rsidRPr="00B07FB9">
        <w:t>olaparib</w:t>
      </w:r>
      <w:proofErr w:type="spellEnd"/>
      <w:r w:rsidRPr="00B07FB9">
        <w:t xml:space="preserve"> for PFS in </w:t>
      </w:r>
      <w:proofErr w:type="spellStart"/>
      <w:r w:rsidRPr="00B07FB9">
        <w:t>BRCAm</w:t>
      </w:r>
      <w:proofErr w:type="spellEnd"/>
      <w:r w:rsidRPr="00B07FB9">
        <w:t xml:space="preserve">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8: Results of the indirect comparison of niraparib versus olaparib for PFS in BRCAm patients"/>
      </w:tblPr>
      <w:tblGrid>
        <w:gridCol w:w="822"/>
        <w:gridCol w:w="1092"/>
        <w:gridCol w:w="1223"/>
        <w:gridCol w:w="1389"/>
        <w:gridCol w:w="1151"/>
        <w:gridCol w:w="1160"/>
        <w:gridCol w:w="7"/>
        <w:gridCol w:w="1147"/>
        <w:gridCol w:w="1026"/>
      </w:tblGrid>
      <w:tr w:rsidR="001B4E9C" w:rsidRPr="00B07FB9" w14:paraId="43F84E7C" w14:textId="77777777" w:rsidTr="002122F4">
        <w:trPr>
          <w:trHeight w:val="20"/>
        </w:trPr>
        <w:tc>
          <w:tcPr>
            <w:tcW w:w="1061" w:type="pct"/>
            <w:gridSpan w:val="2"/>
            <w:vMerge w:val="restart"/>
            <w:shd w:val="clear" w:color="auto" w:fill="FFFFFF" w:themeFill="background1"/>
            <w:vAlign w:val="center"/>
          </w:tcPr>
          <w:p w14:paraId="5B911D47" w14:textId="77777777" w:rsidR="001B4E9C" w:rsidRPr="00B07FB9" w:rsidRDefault="001B4E9C" w:rsidP="00D72CA1">
            <w:pPr>
              <w:keepNext/>
              <w:keepLines/>
              <w:widowControl w:val="0"/>
              <w:jc w:val="left"/>
              <w:rPr>
                <w:rFonts w:ascii="Arial Narrow" w:hAnsi="Arial Narrow" w:cs="Calibri"/>
                <w:b/>
                <w:bCs/>
                <w:color w:val="000000"/>
                <w:sz w:val="20"/>
                <w:szCs w:val="20"/>
              </w:rPr>
            </w:pPr>
          </w:p>
        </w:tc>
        <w:tc>
          <w:tcPr>
            <w:tcW w:w="1447" w:type="pct"/>
            <w:gridSpan w:val="2"/>
            <w:vMerge w:val="restart"/>
            <w:shd w:val="clear" w:color="auto" w:fill="FFFFFF" w:themeFill="background1"/>
            <w:vAlign w:val="center"/>
            <w:hideMark/>
          </w:tcPr>
          <w:p w14:paraId="691D19BD" w14:textId="77777777" w:rsidR="001B4E9C" w:rsidRPr="00B07FB9" w:rsidRDefault="001B4E9C" w:rsidP="00D72CA1">
            <w:pPr>
              <w:keepNext/>
              <w:keepLines/>
              <w:widowControl w:val="0"/>
              <w:jc w:val="center"/>
              <w:rPr>
                <w:rFonts w:ascii="Arial Narrow" w:hAnsi="Arial Narrow" w:cs="Calibri"/>
                <w:b/>
                <w:bCs/>
                <w:color w:val="000000"/>
                <w:sz w:val="20"/>
                <w:szCs w:val="20"/>
                <w:vertAlign w:val="superscript"/>
              </w:rPr>
            </w:pPr>
            <w:r w:rsidRPr="00B07FB9">
              <w:rPr>
                <w:rFonts w:ascii="Arial Narrow" w:hAnsi="Arial Narrow" w:cs="Calibri"/>
                <w:b/>
                <w:bCs/>
                <w:color w:val="000000"/>
                <w:sz w:val="20"/>
                <w:szCs w:val="20"/>
              </w:rPr>
              <w:t xml:space="preserve">PRIMA </w:t>
            </w:r>
            <w:proofErr w:type="spellStart"/>
            <w:r w:rsidRPr="00B07FB9">
              <w:rPr>
                <w:rFonts w:ascii="Arial Narrow" w:hAnsi="Arial Narrow" w:cs="Calibri"/>
                <w:b/>
                <w:bCs/>
                <w:color w:val="000000"/>
                <w:sz w:val="20"/>
                <w:szCs w:val="20"/>
              </w:rPr>
              <w:t>BRCAm</w:t>
            </w:r>
            <w:proofErr w:type="spellEnd"/>
            <w:r w:rsidRPr="00B07FB9">
              <w:rPr>
                <w:rFonts w:ascii="Arial Narrow" w:hAnsi="Arial Narrow" w:cs="Calibri"/>
                <w:b/>
                <w:bCs/>
                <w:color w:val="000000"/>
                <w:sz w:val="20"/>
                <w:szCs w:val="20"/>
              </w:rPr>
              <w:t xml:space="preserve"> </w:t>
            </w:r>
            <w:proofErr w:type="spellStart"/>
            <w:r w:rsidRPr="00B07FB9">
              <w:rPr>
                <w:rFonts w:ascii="Arial Narrow" w:hAnsi="Arial Narrow" w:cs="Calibri"/>
                <w:b/>
                <w:bCs/>
                <w:color w:val="000000"/>
                <w:sz w:val="20"/>
                <w:szCs w:val="20"/>
              </w:rPr>
              <w:t>subgroup</w:t>
            </w:r>
            <w:r w:rsidRPr="00B07FB9">
              <w:rPr>
                <w:rFonts w:ascii="Arial Narrow" w:hAnsi="Arial Narrow" w:cs="Calibri"/>
                <w:b/>
                <w:bCs/>
                <w:color w:val="000000"/>
                <w:sz w:val="20"/>
                <w:szCs w:val="20"/>
                <w:vertAlign w:val="superscript"/>
              </w:rPr>
              <w:t>a</w:t>
            </w:r>
            <w:proofErr w:type="spellEnd"/>
          </w:p>
        </w:tc>
        <w:tc>
          <w:tcPr>
            <w:tcW w:w="2491" w:type="pct"/>
            <w:gridSpan w:val="5"/>
            <w:shd w:val="clear" w:color="auto" w:fill="FFFFFF" w:themeFill="background1"/>
          </w:tcPr>
          <w:p w14:paraId="1C715C8D" w14:textId="77777777" w:rsidR="001B4E9C" w:rsidRPr="00B07FB9" w:rsidRDefault="001B4E9C"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SOLO-1</w:t>
            </w:r>
            <w:r w:rsidRPr="00B07FB9">
              <w:rPr>
                <w:rFonts w:ascii="Arial Narrow" w:hAnsi="Arial Narrow" w:cs="Calibri"/>
                <w:b/>
                <w:bCs/>
                <w:color w:val="000000"/>
                <w:sz w:val="20"/>
                <w:szCs w:val="20"/>
                <w:vertAlign w:val="superscript"/>
              </w:rPr>
              <w:t>b</w:t>
            </w:r>
            <w:r w:rsidRPr="00B07FB9">
              <w:rPr>
                <w:rFonts w:ascii="Arial Narrow" w:hAnsi="Arial Narrow" w:cs="Calibri"/>
                <w:b/>
                <w:bCs/>
                <w:color w:val="000000"/>
                <w:sz w:val="20"/>
                <w:szCs w:val="20"/>
              </w:rPr>
              <w:t xml:space="preserve"> </w:t>
            </w:r>
          </w:p>
        </w:tc>
      </w:tr>
      <w:tr w:rsidR="001B4E9C" w:rsidRPr="00B07FB9" w14:paraId="0FDD7C83" w14:textId="77777777" w:rsidTr="002122F4">
        <w:trPr>
          <w:trHeight w:val="20"/>
        </w:trPr>
        <w:tc>
          <w:tcPr>
            <w:tcW w:w="1061" w:type="pct"/>
            <w:gridSpan w:val="2"/>
            <w:vMerge/>
            <w:shd w:val="clear" w:color="auto" w:fill="FFFFFF" w:themeFill="background1"/>
            <w:vAlign w:val="center"/>
          </w:tcPr>
          <w:p w14:paraId="27E7CCE8" w14:textId="77777777" w:rsidR="001B4E9C" w:rsidRPr="00B07FB9" w:rsidRDefault="001B4E9C" w:rsidP="00D72CA1">
            <w:pPr>
              <w:keepNext/>
              <w:keepLines/>
              <w:widowControl w:val="0"/>
              <w:jc w:val="left"/>
              <w:rPr>
                <w:rFonts w:ascii="Arial Narrow" w:hAnsi="Arial Narrow" w:cs="Calibri"/>
                <w:b/>
                <w:bCs/>
                <w:color w:val="000000"/>
                <w:sz w:val="20"/>
                <w:szCs w:val="20"/>
              </w:rPr>
            </w:pPr>
          </w:p>
        </w:tc>
        <w:tc>
          <w:tcPr>
            <w:tcW w:w="1447" w:type="pct"/>
            <w:gridSpan w:val="2"/>
            <w:vMerge/>
            <w:shd w:val="clear" w:color="auto" w:fill="FFFFFF" w:themeFill="background1"/>
            <w:vAlign w:val="center"/>
          </w:tcPr>
          <w:p w14:paraId="02AC9C4E" w14:textId="77777777" w:rsidR="001B4E9C" w:rsidRPr="00B07FB9" w:rsidRDefault="001B4E9C" w:rsidP="00D72CA1">
            <w:pPr>
              <w:keepNext/>
              <w:keepLines/>
              <w:widowControl w:val="0"/>
              <w:jc w:val="center"/>
              <w:rPr>
                <w:rFonts w:ascii="Arial Narrow" w:hAnsi="Arial Narrow" w:cs="Calibri"/>
                <w:b/>
                <w:bCs/>
                <w:color w:val="000000"/>
                <w:sz w:val="20"/>
                <w:szCs w:val="20"/>
              </w:rPr>
            </w:pPr>
          </w:p>
        </w:tc>
        <w:tc>
          <w:tcPr>
            <w:tcW w:w="1281" w:type="pct"/>
            <w:gridSpan w:val="2"/>
            <w:shd w:val="clear" w:color="auto" w:fill="FFFFFF" w:themeFill="background1"/>
          </w:tcPr>
          <w:p w14:paraId="32F4FC68" w14:textId="77777777" w:rsidR="001B4E9C" w:rsidRPr="00B07FB9" w:rsidRDefault="001B4E9C"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Overall population</w:t>
            </w:r>
          </w:p>
        </w:tc>
        <w:tc>
          <w:tcPr>
            <w:tcW w:w="1210" w:type="pct"/>
            <w:gridSpan w:val="3"/>
            <w:shd w:val="clear" w:color="auto" w:fill="FFFFFF" w:themeFill="background1"/>
            <w:vAlign w:val="center"/>
          </w:tcPr>
          <w:p w14:paraId="7B83F1BB" w14:textId="77777777" w:rsidR="001B4E9C" w:rsidRPr="00B07FB9" w:rsidRDefault="001B4E9C" w:rsidP="00D72CA1">
            <w:pPr>
              <w:keepNext/>
              <w:keepLines/>
              <w:widowControl w:val="0"/>
              <w:ind w:left="-57" w:right="-57"/>
              <w:jc w:val="center"/>
              <w:rPr>
                <w:rFonts w:ascii="Arial Narrow" w:hAnsi="Arial Narrow" w:cs="Calibri"/>
                <w:b/>
                <w:bCs/>
                <w:color w:val="000000"/>
                <w:sz w:val="20"/>
                <w:szCs w:val="20"/>
              </w:rPr>
            </w:pPr>
            <w:r w:rsidRPr="00B07FB9">
              <w:rPr>
                <w:rFonts w:ascii="Arial Narrow" w:hAnsi="Arial Narrow" w:cs="Calibri"/>
                <w:b/>
                <w:bCs/>
                <w:color w:val="000000"/>
                <w:sz w:val="20"/>
                <w:szCs w:val="20"/>
              </w:rPr>
              <w:t>Excl Stage III R0 PDS</w:t>
            </w:r>
          </w:p>
        </w:tc>
      </w:tr>
      <w:tr w:rsidR="001B4E9C" w:rsidRPr="00B07FB9" w14:paraId="4E2D6B6A" w14:textId="77777777" w:rsidTr="002122F4">
        <w:trPr>
          <w:trHeight w:val="20"/>
        </w:trPr>
        <w:tc>
          <w:tcPr>
            <w:tcW w:w="1061" w:type="pct"/>
            <w:gridSpan w:val="2"/>
            <w:vMerge/>
            <w:shd w:val="clear" w:color="auto" w:fill="FFFFFF" w:themeFill="background1"/>
            <w:vAlign w:val="center"/>
          </w:tcPr>
          <w:p w14:paraId="3EFE5E85" w14:textId="77777777" w:rsidR="001B4E9C" w:rsidRPr="00B07FB9" w:rsidRDefault="001B4E9C" w:rsidP="00D72CA1">
            <w:pPr>
              <w:keepNext/>
              <w:keepLines/>
              <w:widowControl w:val="0"/>
              <w:jc w:val="left"/>
              <w:rPr>
                <w:rFonts w:ascii="Arial Narrow" w:hAnsi="Arial Narrow" w:cs="Calibri"/>
                <w:b/>
                <w:bCs/>
                <w:color w:val="000000"/>
                <w:sz w:val="20"/>
                <w:szCs w:val="20"/>
              </w:rPr>
            </w:pPr>
          </w:p>
        </w:tc>
        <w:tc>
          <w:tcPr>
            <w:tcW w:w="678" w:type="pct"/>
            <w:shd w:val="clear" w:color="auto" w:fill="FFFFFF" w:themeFill="background1"/>
            <w:vAlign w:val="center"/>
            <w:hideMark/>
          </w:tcPr>
          <w:p w14:paraId="3F7CDF3F" w14:textId="77777777" w:rsidR="001B4E9C" w:rsidRPr="00B07FB9" w:rsidRDefault="001B4E9C"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NIRA (n=152)</w:t>
            </w:r>
          </w:p>
        </w:tc>
        <w:tc>
          <w:tcPr>
            <w:tcW w:w="770" w:type="pct"/>
            <w:shd w:val="clear" w:color="auto" w:fill="FFFFFF" w:themeFill="background1"/>
            <w:vAlign w:val="center"/>
            <w:hideMark/>
          </w:tcPr>
          <w:p w14:paraId="348D3FF1" w14:textId="64068547" w:rsidR="001B4E9C" w:rsidRPr="00B07FB9" w:rsidRDefault="001B4E9C"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PBO (n=71)</w:t>
            </w:r>
          </w:p>
        </w:tc>
        <w:tc>
          <w:tcPr>
            <w:tcW w:w="638" w:type="pct"/>
            <w:shd w:val="clear" w:color="auto" w:fill="FFFFFF" w:themeFill="background1"/>
          </w:tcPr>
          <w:p w14:paraId="29DAC20A" w14:textId="77777777" w:rsidR="001B4E9C" w:rsidRPr="00B07FB9" w:rsidRDefault="001B4E9C"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OLA (n=260)</w:t>
            </w:r>
          </w:p>
        </w:tc>
        <w:tc>
          <w:tcPr>
            <w:tcW w:w="643" w:type="pct"/>
            <w:shd w:val="clear" w:color="auto" w:fill="FFFFFF" w:themeFill="background1"/>
          </w:tcPr>
          <w:p w14:paraId="4852CA08" w14:textId="563A1AC6" w:rsidR="001B4E9C" w:rsidRPr="00B07FB9" w:rsidRDefault="001B4E9C"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PBO (n=131)</w:t>
            </w:r>
          </w:p>
        </w:tc>
        <w:tc>
          <w:tcPr>
            <w:tcW w:w="640" w:type="pct"/>
            <w:gridSpan w:val="2"/>
            <w:shd w:val="clear" w:color="auto" w:fill="FFFFFF" w:themeFill="background1"/>
          </w:tcPr>
          <w:p w14:paraId="2B1D6AED" w14:textId="77777777" w:rsidR="001B4E9C" w:rsidRPr="00B07FB9" w:rsidRDefault="001B4E9C"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OLA (n=146)</w:t>
            </w:r>
          </w:p>
        </w:tc>
        <w:tc>
          <w:tcPr>
            <w:tcW w:w="570" w:type="pct"/>
            <w:shd w:val="clear" w:color="auto" w:fill="FFFFFF" w:themeFill="background1"/>
          </w:tcPr>
          <w:p w14:paraId="229BCDA8" w14:textId="6FFEE1C0" w:rsidR="001B4E9C" w:rsidRPr="00B07FB9" w:rsidRDefault="001B4E9C" w:rsidP="00D72CA1">
            <w:pPr>
              <w:keepNext/>
              <w:keepLines/>
              <w:widowControl w:val="0"/>
              <w:jc w:val="center"/>
              <w:rPr>
                <w:rFonts w:ascii="Arial Narrow" w:hAnsi="Arial Narrow" w:cs="Calibri"/>
                <w:b/>
                <w:bCs/>
                <w:color w:val="000000"/>
                <w:sz w:val="20"/>
                <w:szCs w:val="20"/>
              </w:rPr>
            </w:pPr>
            <w:r w:rsidRPr="00B07FB9">
              <w:rPr>
                <w:rFonts w:ascii="Arial Narrow" w:hAnsi="Arial Narrow" w:cs="Calibri"/>
                <w:b/>
                <w:bCs/>
                <w:color w:val="000000"/>
                <w:sz w:val="20"/>
                <w:szCs w:val="20"/>
              </w:rPr>
              <w:t>PBO (n=73)</w:t>
            </w:r>
          </w:p>
        </w:tc>
      </w:tr>
      <w:tr w:rsidR="001B4E9C" w:rsidRPr="00B07FB9" w14:paraId="783FA9CF" w14:textId="77777777" w:rsidTr="002122F4">
        <w:trPr>
          <w:trHeight w:val="20"/>
        </w:trPr>
        <w:tc>
          <w:tcPr>
            <w:tcW w:w="5000" w:type="pct"/>
            <w:gridSpan w:val="9"/>
            <w:shd w:val="clear" w:color="auto" w:fill="FFFFFF" w:themeFill="background1"/>
            <w:vAlign w:val="center"/>
          </w:tcPr>
          <w:p w14:paraId="3F7EA2FD" w14:textId="77777777" w:rsidR="001B4E9C" w:rsidRPr="00B07FB9" w:rsidRDefault="001B4E9C" w:rsidP="00D72CA1">
            <w:pPr>
              <w:keepNext/>
              <w:keepLines/>
              <w:widowControl w:val="0"/>
              <w:rPr>
                <w:rFonts w:ascii="Arial Narrow" w:hAnsi="Arial Narrow" w:cs="Calibri"/>
                <w:b/>
                <w:color w:val="000000"/>
                <w:sz w:val="20"/>
                <w:szCs w:val="20"/>
              </w:rPr>
            </w:pPr>
            <w:r w:rsidRPr="00B07FB9">
              <w:rPr>
                <w:rFonts w:ascii="Arial Narrow" w:hAnsi="Arial Narrow" w:cs="Calibri"/>
                <w:b/>
                <w:color w:val="000000"/>
                <w:sz w:val="20"/>
                <w:szCs w:val="20"/>
              </w:rPr>
              <w:t>PFS per BICR</w:t>
            </w:r>
          </w:p>
        </w:tc>
      </w:tr>
      <w:tr w:rsidR="001B4E9C" w:rsidRPr="00B07FB9" w14:paraId="23B4900F" w14:textId="77777777" w:rsidTr="002122F4">
        <w:trPr>
          <w:trHeight w:val="20"/>
        </w:trPr>
        <w:tc>
          <w:tcPr>
            <w:tcW w:w="1061" w:type="pct"/>
            <w:gridSpan w:val="2"/>
            <w:shd w:val="clear" w:color="auto" w:fill="FFFFFF" w:themeFill="background1"/>
            <w:vAlign w:val="center"/>
          </w:tcPr>
          <w:p w14:paraId="3D626B9A" w14:textId="58E811E1" w:rsidR="001B4E9C" w:rsidRPr="00B07FB9" w:rsidRDefault="001B4E9C"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Events, n (%)</w:t>
            </w:r>
            <w:r w:rsidR="000B4EF8">
              <w:rPr>
                <w:rFonts w:ascii="Arial Narrow" w:hAnsi="Arial Narrow" w:cs="Calibri"/>
                <w:color w:val="000000"/>
                <w:sz w:val="20"/>
                <w:szCs w:val="20"/>
              </w:rPr>
              <w:t>*</w:t>
            </w:r>
          </w:p>
        </w:tc>
        <w:tc>
          <w:tcPr>
            <w:tcW w:w="678" w:type="pct"/>
            <w:shd w:val="clear" w:color="auto" w:fill="CCECFF"/>
            <w:vAlign w:val="center"/>
          </w:tcPr>
          <w:p w14:paraId="03C6C119"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49 (32.2)</w:t>
            </w:r>
          </w:p>
        </w:tc>
        <w:tc>
          <w:tcPr>
            <w:tcW w:w="770" w:type="pct"/>
            <w:shd w:val="clear" w:color="auto" w:fill="CCECFF"/>
            <w:vAlign w:val="center"/>
          </w:tcPr>
          <w:p w14:paraId="7AEAA0DD"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40 (56.3)</w:t>
            </w:r>
          </w:p>
        </w:tc>
        <w:tc>
          <w:tcPr>
            <w:tcW w:w="638" w:type="pct"/>
            <w:shd w:val="clear" w:color="auto" w:fill="CCECFF"/>
            <w:vAlign w:val="center"/>
          </w:tcPr>
          <w:p w14:paraId="162A34C0"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75 (28.8)</w:t>
            </w:r>
          </w:p>
        </w:tc>
        <w:tc>
          <w:tcPr>
            <w:tcW w:w="643" w:type="pct"/>
            <w:shd w:val="clear" w:color="auto" w:fill="CCECFF"/>
            <w:vAlign w:val="center"/>
          </w:tcPr>
          <w:p w14:paraId="6C3663F8"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75 (57.3)</w:t>
            </w:r>
          </w:p>
        </w:tc>
        <w:tc>
          <w:tcPr>
            <w:tcW w:w="640" w:type="pct"/>
            <w:gridSpan w:val="2"/>
            <w:shd w:val="clear" w:color="auto" w:fill="FFFFFF" w:themeFill="background1"/>
          </w:tcPr>
          <w:p w14:paraId="7DA60019" w14:textId="3C254F67" w:rsidR="001B4E9C"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570" w:type="pct"/>
            <w:shd w:val="clear" w:color="auto" w:fill="FFFFFF" w:themeFill="background1"/>
          </w:tcPr>
          <w:p w14:paraId="645ECB92" w14:textId="1EEC112C" w:rsidR="001B4E9C"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r>
      <w:tr w:rsidR="001B4E9C" w:rsidRPr="00B07FB9" w14:paraId="7A2ADC42" w14:textId="77777777" w:rsidTr="002122F4">
        <w:trPr>
          <w:trHeight w:val="20"/>
        </w:trPr>
        <w:tc>
          <w:tcPr>
            <w:tcW w:w="456" w:type="pct"/>
            <w:vMerge w:val="restart"/>
            <w:shd w:val="clear" w:color="auto" w:fill="FFFFFF" w:themeFill="background1"/>
            <w:vAlign w:val="center"/>
          </w:tcPr>
          <w:p w14:paraId="61075821" w14:textId="18F053A2" w:rsidR="001B4E9C" w:rsidRPr="00B07FB9" w:rsidRDefault="001B4E9C"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 xml:space="preserve">Probability of PFS </w:t>
            </w:r>
            <w:r w:rsidRPr="00B07FB9">
              <w:rPr>
                <w:rFonts w:ascii="Arial Narrow" w:hAnsi="Arial Narrow" w:cs="Calibri"/>
                <w:color w:val="000000"/>
                <w:sz w:val="20"/>
                <w:szCs w:val="20"/>
              </w:rPr>
              <w:br/>
              <w:t>(95 % CI</w:t>
            </w:r>
            <w:r w:rsidR="000B4EF8">
              <w:rPr>
                <w:rFonts w:ascii="Arial Narrow" w:hAnsi="Arial Narrow" w:cs="Calibri"/>
                <w:color w:val="000000"/>
                <w:sz w:val="20"/>
                <w:szCs w:val="20"/>
              </w:rPr>
              <w:t>*</w:t>
            </w:r>
          </w:p>
        </w:tc>
        <w:tc>
          <w:tcPr>
            <w:tcW w:w="606" w:type="pct"/>
            <w:shd w:val="clear" w:color="auto" w:fill="FFFFFF" w:themeFill="background1"/>
            <w:vAlign w:val="center"/>
          </w:tcPr>
          <w:p w14:paraId="71CCCB2B" w14:textId="77777777" w:rsidR="001B4E9C" w:rsidRPr="00B07FB9" w:rsidRDefault="001B4E9C"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6 months</w:t>
            </w:r>
          </w:p>
        </w:tc>
        <w:tc>
          <w:tcPr>
            <w:tcW w:w="678" w:type="pct"/>
            <w:shd w:val="clear" w:color="auto" w:fill="CCECFF"/>
            <w:vAlign w:val="center"/>
          </w:tcPr>
          <w:p w14:paraId="589B2103" w14:textId="77777777" w:rsidR="001B4E9C" w:rsidRPr="00B07FB9" w:rsidRDefault="001B4E9C"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0.90 (0.84, 0.94)</w:t>
            </w:r>
          </w:p>
        </w:tc>
        <w:tc>
          <w:tcPr>
            <w:tcW w:w="770" w:type="pct"/>
            <w:shd w:val="clear" w:color="auto" w:fill="CCECFF"/>
            <w:vAlign w:val="center"/>
          </w:tcPr>
          <w:p w14:paraId="524E5B9C" w14:textId="77777777" w:rsidR="001B4E9C" w:rsidRPr="00B07FB9" w:rsidRDefault="001B4E9C"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0.69 (0.56, 0.78)</w:t>
            </w:r>
          </w:p>
        </w:tc>
        <w:tc>
          <w:tcPr>
            <w:tcW w:w="638" w:type="pct"/>
            <w:vMerge w:val="restart"/>
            <w:shd w:val="clear" w:color="auto" w:fill="CCECFF"/>
            <w:vAlign w:val="center"/>
          </w:tcPr>
          <w:p w14:paraId="231D629D" w14:textId="74ECD5AA" w:rsidR="001B4E9C"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643" w:type="pct"/>
            <w:vMerge w:val="restart"/>
            <w:shd w:val="clear" w:color="auto" w:fill="CCECFF"/>
            <w:vAlign w:val="center"/>
          </w:tcPr>
          <w:p w14:paraId="395CECF0" w14:textId="0E032EEF" w:rsidR="001B4E9C"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640" w:type="pct"/>
            <w:gridSpan w:val="2"/>
            <w:shd w:val="clear" w:color="auto" w:fill="FFFFFF" w:themeFill="background1"/>
          </w:tcPr>
          <w:p w14:paraId="3CFA8D1A" w14:textId="7A5A1610" w:rsidR="001B4E9C"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570" w:type="pct"/>
            <w:shd w:val="clear" w:color="auto" w:fill="FFFFFF" w:themeFill="background1"/>
          </w:tcPr>
          <w:p w14:paraId="7303F715" w14:textId="493A4085" w:rsidR="001B4E9C"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r>
      <w:tr w:rsidR="001B4E9C" w:rsidRPr="00B07FB9" w14:paraId="70DD5445" w14:textId="77777777" w:rsidTr="002122F4">
        <w:trPr>
          <w:trHeight w:val="20"/>
        </w:trPr>
        <w:tc>
          <w:tcPr>
            <w:tcW w:w="456" w:type="pct"/>
            <w:vMerge/>
            <w:shd w:val="clear" w:color="auto" w:fill="auto"/>
            <w:vAlign w:val="center"/>
          </w:tcPr>
          <w:p w14:paraId="5950C517" w14:textId="77777777" w:rsidR="001B4E9C" w:rsidRPr="00B07FB9" w:rsidRDefault="001B4E9C" w:rsidP="00D72CA1">
            <w:pPr>
              <w:keepNext/>
              <w:keepLines/>
              <w:widowControl w:val="0"/>
              <w:jc w:val="left"/>
              <w:rPr>
                <w:rFonts w:ascii="Arial Narrow" w:hAnsi="Arial Narrow" w:cs="Calibri"/>
                <w:color w:val="000000"/>
                <w:sz w:val="20"/>
                <w:szCs w:val="20"/>
              </w:rPr>
            </w:pPr>
          </w:p>
        </w:tc>
        <w:tc>
          <w:tcPr>
            <w:tcW w:w="606" w:type="pct"/>
            <w:shd w:val="clear" w:color="auto" w:fill="auto"/>
            <w:vAlign w:val="center"/>
          </w:tcPr>
          <w:p w14:paraId="0AA5D99A" w14:textId="77777777" w:rsidR="001B4E9C" w:rsidRPr="00B07FB9" w:rsidRDefault="001B4E9C"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12 months</w:t>
            </w:r>
          </w:p>
        </w:tc>
        <w:tc>
          <w:tcPr>
            <w:tcW w:w="678" w:type="pct"/>
            <w:tcBorders>
              <w:bottom w:val="single" w:sz="4" w:space="0" w:color="auto"/>
            </w:tcBorders>
            <w:shd w:val="clear" w:color="auto" w:fill="CCECFF"/>
            <w:vAlign w:val="center"/>
          </w:tcPr>
          <w:p w14:paraId="17999F0C" w14:textId="77777777" w:rsidR="001B4E9C" w:rsidRPr="00B07FB9" w:rsidRDefault="001B4E9C"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0.75 (0.67, 0.82)</w:t>
            </w:r>
          </w:p>
        </w:tc>
        <w:tc>
          <w:tcPr>
            <w:tcW w:w="770" w:type="pct"/>
            <w:tcBorders>
              <w:bottom w:val="single" w:sz="4" w:space="0" w:color="auto"/>
            </w:tcBorders>
            <w:shd w:val="clear" w:color="auto" w:fill="CCECFF"/>
            <w:vAlign w:val="center"/>
          </w:tcPr>
          <w:p w14:paraId="7B774860" w14:textId="77777777" w:rsidR="001B4E9C" w:rsidRPr="00B07FB9" w:rsidRDefault="001B4E9C"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0.44 (0.31, 0.56)</w:t>
            </w:r>
          </w:p>
        </w:tc>
        <w:tc>
          <w:tcPr>
            <w:tcW w:w="638" w:type="pct"/>
            <w:vMerge/>
            <w:shd w:val="clear" w:color="auto" w:fill="CCECFF"/>
          </w:tcPr>
          <w:p w14:paraId="2A2093D8" w14:textId="77777777" w:rsidR="001B4E9C" w:rsidRPr="00B07FB9" w:rsidRDefault="001B4E9C" w:rsidP="00D72CA1">
            <w:pPr>
              <w:keepNext/>
              <w:keepLines/>
              <w:widowControl w:val="0"/>
              <w:jc w:val="center"/>
              <w:rPr>
                <w:rFonts w:ascii="Arial Narrow" w:hAnsi="Arial Narrow" w:cs="Calibri"/>
                <w:color w:val="000000"/>
                <w:sz w:val="20"/>
                <w:szCs w:val="20"/>
              </w:rPr>
            </w:pPr>
          </w:p>
        </w:tc>
        <w:tc>
          <w:tcPr>
            <w:tcW w:w="643" w:type="pct"/>
            <w:vMerge/>
            <w:shd w:val="clear" w:color="auto" w:fill="CCECFF"/>
          </w:tcPr>
          <w:p w14:paraId="3ED4A0CF" w14:textId="77777777" w:rsidR="001B4E9C" w:rsidRPr="00B07FB9" w:rsidRDefault="001B4E9C" w:rsidP="00D72CA1">
            <w:pPr>
              <w:keepNext/>
              <w:keepLines/>
              <w:widowControl w:val="0"/>
              <w:jc w:val="center"/>
              <w:rPr>
                <w:rFonts w:ascii="Arial Narrow" w:hAnsi="Arial Narrow" w:cs="Calibri"/>
                <w:color w:val="000000"/>
                <w:sz w:val="20"/>
                <w:szCs w:val="20"/>
              </w:rPr>
            </w:pPr>
          </w:p>
        </w:tc>
        <w:tc>
          <w:tcPr>
            <w:tcW w:w="640" w:type="pct"/>
            <w:gridSpan w:val="2"/>
          </w:tcPr>
          <w:p w14:paraId="7E29E8C8"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0.85</w:t>
            </w:r>
          </w:p>
        </w:tc>
        <w:tc>
          <w:tcPr>
            <w:tcW w:w="570" w:type="pct"/>
          </w:tcPr>
          <w:p w14:paraId="28D43AB7"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0.47</w:t>
            </w:r>
          </w:p>
        </w:tc>
      </w:tr>
      <w:tr w:rsidR="001B4E9C" w:rsidRPr="00B07FB9" w14:paraId="6C60C332" w14:textId="77777777" w:rsidTr="002122F4">
        <w:trPr>
          <w:trHeight w:val="20"/>
        </w:trPr>
        <w:tc>
          <w:tcPr>
            <w:tcW w:w="456" w:type="pct"/>
            <w:vMerge/>
            <w:shd w:val="clear" w:color="auto" w:fill="auto"/>
            <w:vAlign w:val="center"/>
          </w:tcPr>
          <w:p w14:paraId="75F6DA71" w14:textId="77777777" w:rsidR="001B4E9C" w:rsidRPr="00B07FB9" w:rsidRDefault="001B4E9C" w:rsidP="00D72CA1">
            <w:pPr>
              <w:keepNext/>
              <w:keepLines/>
              <w:widowControl w:val="0"/>
              <w:jc w:val="left"/>
              <w:rPr>
                <w:rFonts w:ascii="Arial Narrow" w:hAnsi="Arial Narrow" w:cs="Calibri"/>
                <w:color w:val="000000"/>
                <w:sz w:val="20"/>
                <w:szCs w:val="20"/>
              </w:rPr>
            </w:pPr>
          </w:p>
        </w:tc>
        <w:tc>
          <w:tcPr>
            <w:tcW w:w="606" w:type="pct"/>
            <w:shd w:val="clear" w:color="auto" w:fill="auto"/>
            <w:vAlign w:val="center"/>
          </w:tcPr>
          <w:p w14:paraId="1A27192A" w14:textId="77777777" w:rsidR="001B4E9C" w:rsidRPr="00B07FB9" w:rsidRDefault="001B4E9C"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18 months</w:t>
            </w:r>
          </w:p>
        </w:tc>
        <w:tc>
          <w:tcPr>
            <w:tcW w:w="678" w:type="pct"/>
            <w:tcBorders>
              <w:top w:val="single" w:sz="4" w:space="0" w:color="auto"/>
              <w:left w:val="nil"/>
              <w:bottom w:val="single" w:sz="4" w:space="0" w:color="auto"/>
              <w:right w:val="single" w:sz="4" w:space="0" w:color="auto"/>
            </w:tcBorders>
            <w:shd w:val="clear" w:color="auto" w:fill="CCECFF"/>
          </w:tcPr>
          <w:p w14:paraId="68FD1A53" w14:textId="77777777" w:rsidR="001B4E9C" w:rsidRPr="00B07FB9" w:rsidRDefault="001B4E9C"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0.59 (0.50,0.66)</w:t>
            </w:r>
          </w:p>
        </w:tc>
        <w:tc>
          <w:tcPr>
            <w:tcW w:w="770" w:type="pct"/>
            <w:tcBorders>
              <w:top w:val="single" w:sz="4" w:space="0" w:color="auto"/>
              <w:left w:val="single" w:sz="4" w:space="0" w:color="auto"/>
              <w:bottom w:val="single" w:sz="4" w:space="0" w:color="auto"/>
              <w:right w:val="nil"/>
            </w:tcBorders>
            <w:shd w:val="clear" w:color="auto" w:fill="CCECFF"/>
          </w:tcPr>
          <w:p w14:paraId="50E7D996" w14:textId="77777777" w:rsidR="001B4E9C" w:rsidRPr="00B07FB9" w:rsidRDefault="001B4E9C"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0.35 (0.25,0.45)</w:t>
            </w:r>
          </w:p>
        </w:tc>
        <w:tc>
          <w:tcPr>
            <w:tcW w:w="638" w:type="pct"/>
            <w:vMerge/>
            <w:shd w:val="clear" w:color="auto" w:fill="CCECFF"/>
          </w:tcPr>
          <w:p w14:paraId="69933DDC" w14:textId="77777777" w:rsidR="001B4E9C" w:rsidRPr="00B07FB9" w:rsidRDefault="001B4E9C" w:rsidP="00D72CA1">
            <w:pPr>
              <w:keepNext/>
              <w:keepLines/>
              <w:widowControl w:val="0"/>
              <w:jc w:val="center"/>
              <w:rPr>
                <w:rFonts w:ascii="Arial Narrow" w:hAnsi="Arial Narrow" w:cs="Calibri"/>
                <w:color w:val="000000"/>
                <w:sz w:val="20"/>
                <w:szCs w:val="20"/>
              </w:rPr>
            </w:pPr>
          </w:p>
        </w:tc>
        <w:tc>
          <w:tcPr>
            <w:tcW w:w="643" w:type="pct"/>
            <w:vMerge/>
            <w:shd w:val="clear" w:color="auto" w:fill="CCECFF"/>
          </w:tcPr>
          <w:p w14:paraId="50B9101D" w14:textId="77777777" w:rsidR="001B4E9C" w:rsidRPr="00B07FB9" w:rsidRDefault="001B4E9C" w:rsidP="00D72CA1">
            <w:pPr>
              <w:keepNext/>
              <w:keepLines/>
              <w:widowControl w:val="0"/>
              <w:jc w:val="center"/>
              <w:rPr>
                <w:rFonts w:ascii="Arial Narrow" w:hAnsi="Arial Narrow" w:cs="Calibri"/>
                <w:color w:val="000000"/>
                <w:sz w:val="20"/>
                <w:szCs w:val="20"/>
              </w:rPr>
            </w:pPr>
          </w:p>
        </w:tc>
        <w:tc>
          <w:tcPr>
            <w:tcW w:w="640" w:type="pct"/>
            <w:gridSpan w:val="2"/>
          </w:tcPr>
          <w:p w14:paraId="66AC17A7" w14:textId="45D19CF1" w:rsidR="001B4E9C"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570" w:type="pct"/>
          </w:tcPr>
          <w:p w14:paraId="731449D1" w14:textId="75A67CB7" w:rsidR="001B4E9C"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r>
      <w:tr w:rsidR="001B4E9C" w:rsidRPr="00B07FB9" w14:paraId="0ED8DF50" w14:textId="77777777" w:rsidTr="002122F4">
        <w:trPr>
          <w:trHeight w:val="20"/>
        </w:trPr>
        <w:tc>
          <w:tcPr>
            <w:tcW w:w="1061" w:type="pct"/>
            <w:gridSpan w:val="2"/>
            <w:shd w:val="clear" w:color="auto" w:fill="auto"/>
            <w:vAlign w:val="center"/>
          </w:tcPr>
          <w:p w14:paraId="572D4122" w14:textId="56C51D6E" w:rsidR="001B4E9C" w:rsidRPr="00B07FB9" w:rsidRDefault="001B4E9C" w:rsidP="00D72CA1">
            <w:pPr>
              <w:keepNext/>
              <w:keepLines/>
              <w:widowControl w:val="0"/>
              <w:ind w:right="-57"/>
              <w:jc w:val="left"/>
              <w:rPr>
                <w:rFonts w:ascii="Arial Narrow" w:hAnsi="Arial Narrow" w:cs="Calibri"/>
                <w:color w:val="000000"/>
                <w:sz w:val="20"/>
                <w:szCs w:val="20"/>
              </w:rPr>
            </w:pPr>
            <w:r w:rsidRPr="00B07FB9">
              <w:rPr>
                <w:rFonts w:ascii="Arial Narrow" w:hAnsi="Arial Narrow" w:cs="Calibri"/>
                <w:color w:val="000000"/>
                <w:sz w:val="20"/>
                <w:szCs w:val="20"/>
              </w:rPr>
              <w:t>Median, months</w:t>
            </w:r>
            <w:r w:rsidR="000B4EF8">
              <w:rPr>
                <w:rFonts w:ascii="Arial Narrow" w:hAnsi="Arial Narrow" w:cs="Calibri"/>
                <w:color w:val="000000"/>
                <w:sz w:val="20"/>
                <w:szCs w:val="20"/>
              </w:rPr>
              <w:t>*</w:t>
            </w:r>
            <w:r w:rsidRPr="00B07FB9">
              <w:rPr>
                <w:rFonts w:ascii="Arial Narrow" w:hAnsi="Arial Narrow" w:cs="Calibri"/>
                <w:color w:val="000000"/>
                <w:sz w:val="20"/>
                <w:szCs w:val="20"/>
              </w:rPr>
              <w:t xml:space="preserve"> (95% CI)</w:t>
            </w:r>
          </w:p>
        </w:tc>
        <w:tc>
          <w:tcPr>
            <w:tcW w:w="678" w:type="pct"/>
            <w:tcBorders>
              <w:top w:val="single" w:sz="4" w:space="0" w:color="auto"/>
            </w:tcBorders>
            <w:shd w:val="clear" w:color="auto" w:fill="CCECFF"/>
            <w:vAlign w:val="center"/>
          </w:tcPr>
          <w:p w14:paraId="7E28ABCF"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22.1 (19.3, NE)</w:t>
            </w:r>
          </w:p>
        </w:tc>
        <w:tc>
          <w:tcPr>
            <w:tcW w:w="770" w:type="pct"/>
            <w:tcBorders>
              <w:top w:val="single" w:sz="4" w:space="0" w:color="auto"/>
            </w:tcBorders>
            <w:shd w:val="clear" w:color="auto" w:fill="CCECFF"/>
            <w:vAlign w:val="center"/>
          </w:tcPr>
          <w:p w14:paraId="79542B11"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10.9 (8.0, 19.4)</w:t>
            </w:r>
          </w:p>
        </w:tc>
        <w:tc>
          <w:tcPr>
            <w:tcW w:w="638" w:type="pct"/>
            <w:shd w:val="clear" w:color="auto" w:fill="CCECFF"/>
          </w:tcPr>
          <w:p w14:paraId="2D052995" w14:textId="539ED419" w:rsidR="001B4E9C"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reached</w:t>
            </w:r>
          </w:p>
        </w:tc>
        <w:tc>
          <w:tcPr>
            <w:tcW w:w="643" w:type="pct"/>
            <w:shd w:val="clear" w:color="auto" w:fill="CCECFF"/>
            <w:vAlign w:val="center"/>
          </w:tcPr>
          <w:p w14:paraId="3A18FD17"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14.1</w:t>
            </w:r>
          </w:p>
        </w:tc>
        <w:tc>
          <w:tcPr>
            <w:tcW w:w="640" w:type="pct"/>
            <w:gridSpan w:val="2"/>
          </w:tcPr>
          <w:p w14:paraId="6BB22B87" w14:textId="1EC074A6" w:rsidR="001B4E9C"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reached</w:t>
            </w:r>
          </w:p>
        </w:tc>
        <w:tc>
          <w:tcPr>
            <w:tcW w:w="570" w:type="pct"/>
          </w:tcPr>
          <w:p w14:paraId="2D3CC185"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11.3</w:t>
            </w:r>
          </w:p>
        </w:tc>
      </w:tr>
      <w:tr w:rsidR="001B4E9C" w:rsidRPr="00B07FB9" w14:paraId="3E791855" w14:textId="77777777" w:rsidTr="002122F4">
        <w:trPr>
          <w:trHeight w:val="20"/>
        </w:trPr>
        <w:tc>
          <w:tcPr>
            <w:tcW w:w="1061" w:type="pct"/>
            <w:gridSpan w:val="2"/>
            <w:shd w:val="clear" w:color="auto" w:fill="auto"/>
            <w:vAlign w:val="center"/>
          </w:tcPr>
          <w:p w14:paraId="30FBCB4B" w14:textId="77777777" w:rsidR="001B4E9C" w:rsidRPr="00B07FB9" w:rsidRDefault="001B4E9C"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HR (95% CI), p-value</w:t>
            </w:r>
          </w:p>
        </w:tc>
        <w:tc>
          <w:tcPr>
            <w:tcW w:w="1447" w:type="pct"/>
            <w:gridSpan w:val="2"/>
            <w:shd w:val="clear" w:color="auto" w:fill="CCECFF"/>
            <w:vAlign w:val="center"/>
          </w:tcPr>
          <w:p w14:paraId="46B2BDCF" w14:textId="6C16D760" w:rsidR="001B4E9C" w:rsidRPr="00B07FB9" w:rsidRDefault="001B4E9C" w:rsidP="00D72CA1">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0.40 (0.2</w:t>
            </w:r>
            <w:r w:rsidR="00433E8F" w:rsidRPr="00B07FB9">
              <w:rPr>
                <w:rFonts w:ascii="Arial Narrow" w:hAnsi="Arial Narrow" w:cs="Calibri"/>
                <w:bCs/>
                <w:color w:val="000000"/>
                <w:sz w:val="20"/>
                <w:szCs w:val="20"/>
              </w:rPr>
              <w:t>7</w:t>
            </w:r>
            <w:r w:rsidRPr="00B07FB9">
              <w:rPr>
                <w:rFonts w:ascii="Arial Narrow" w:hAnsi="Arial Narrow" w:cs="Calibri"/>
                <w:bCs/>
                <w:color w:val="000000"/>
                <w:sz w:val="20"/>
                <w:szCs w:val="20"/>
              </w:rPr>
              <w:t>, 0.6</w:t>
            </w:r>
            <w:r w:rsidR="00433E8F" w:rsidRPr="00B07FB9">
              <w:rPr>
                <w:rFonts w:ascii="Arial Narrow" w:hAnsi="Arial Narrow" w:cs="Calibri"/>
                <w:bCs/>
                <w:color w:val="000000"/>
                <w:sz w:val="20"/>
                <w:szCs w:val="20"/>
              </w:rPr>
              <w:t>2</w:t>
            </w:r>
            <w:r w:rsidRPr="00B07FB9">
              <w:rPr>
                <w:rFonts w:ascii="Arial Narrow" w:hAnsi="Arial Narrow" w:cs="Calibri"/>
                <w:bCs/>
                <w:color w:val="000000"/>
                <w:sz w:val="20"/>
                <w:szCs w:val="20"/>
              </w:rPr>
              <w:t>) p&lt;0.0001</w:t>
            </w:r>
          </w:p>
        </w:tc>
        <w:tc>
          <w:tcPr>
            <w:tcW w:w="1281" w:type="pct"/>
            <w:gridSpan w:val="2"/>
            <w:shd w:val="clear" w:color="auto" w:fill="CCECFF"/>
          </w:tcPr>
          <w:p w14:paraId="52288591" w14:textId="77777777" w:rsidR="001B4E9C" w:rsidRPr="00B07FB9" w:rsidRDefault="001B4E9C" w:rsidP="00D72CA1">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0.28 (0.20, 0.39) p&lt;0.0001</w:t>
            </w:r>
          </w:p>
        </w:tc>
        <w:tc>
          <w:tcPr>
            <w:tcW w:w="1210" w:type="pct"/>
            <w:gridSpan w:val="3"/>
          </w:tcPr>
          <w:p w14:paraId="7798DD92" w14:textId="77777777" w:rsidR="001B4E9C" w:rsidRPr="00B07FB9" w:rsidRDefault="001B4E9C" w:rsidP="00D72CA1">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0.32 (0.22, 0.49)</w:t>
            </w:r>
          </w:p>
        </w:tc>
      </w:tr>
      <w:tr w:rsidR="001B4E9C" w:rsidRPr="00B07FB9" w14:paraId="67D5AC1F" w14:textId="77777777" w:rsidTr="002122F4">
        <w:trPr>
          <w:trHeight w:val="20"/>
        </w:trPr>
        <w:tc>
          <w:tcPr>
            <w:tcW w:w="1061" w:type="pct"/>
            <w:gridSpan w:val="2"/>
            <w:shd w:val="clear" w:color="auto" w:fill="auto"/>
            <w:vAlign w:val="center"/>
          </w:tcPr>
          <w:p w14:paraId="46A75D1B" w14:textId="77777777" w:rsidR="001B4E9C" w:rsidRPr="00B07FB9" w:rsidRDefault="001B4E9C" w:rsidP="00D72CA1">
            <w:pPr>
              <w:keepNext/>
              <w:keepLines/>
              <w:widowControl w:val="0"/>
              <w:ind w:right="-57"/>
              <w:jc w:val="left"/>
              <w:rPr>
                <w:rFonts w:ascii="Arial Narrow" w:hAnsi="Arial Narrow" w:cs="Calibri"/>
                <w:color w:val="000000"/>
                <w:sz w:val="20"/>
                <w:szCs w:val="20"/>
              </w:rPr>
            </w:pPr>
            <w:r w:rsidRPr="00B07FB9">
              <w:rPr>
                <w:rFonts w:ascii="Arial Narrow" w:hAnsi="Arial Narrow" w:cs="Calibri"/>
                <w:color w:val="000000"/>
                <w:sz w:val="20"/>
                <w:szCs w:val="20"/>
              </w:rPr>
              <w:t>ITC: NIRA vs. OLA</w:t>
            </w:r>
          </w:p>
        </w:tc>
        <w:tc>
          <w:tcPr>
            <w:tcW w:w="2733" w:type="pct"/>
            <w:gridSpan w:val="5"/>
            <w:shd w:val="clear" w:color="auto" w:fill="CCECFF"/>
            <w:vAlign w:val="center"/>
          </w:tcPr>
          <w:p w14:paraId="1DABA1B0" w14:textId="4C85CE83" w:rsidR="001B4E9C" w:rsidRPr="00B07FB9" w:rsidRDefault="001B4E9C" w:rsidP="00D72CA1">
            <w:pPr>
              <w:keepNext/>
              <w:keepLines/>
              <w:widowControl w:val="0"/>
              <w:jc w:val="center"/>
              <w:rPr>
                <w:rFonts w:ascii="Arial Narrow" w:hAnsi="Arial Narrow" w:cs="Calibri"/>
                <w:color w:val="000000"/>
                <w:sz w:val="20"/>
                <w:szCs w:val="20"/>
                <w:vertAlign w:val="superscript"/>
              </w:rPr>
            </w:pPr>
            <w:r w:rsidRPr="00B07FB9">
              <w:rPr>
                <w:rFonts w:ascii="Arial Narrow" w:hAnsi="Arial Narrow" w:cs="Calibri"/>
                <w:color w:val="000000"/>
                <w:sz w:val="20"/>
                <w:szCs w:val="20"/>
              </w:rPr>
              <w:t>1.43 (0.83, 2.45)</w:t>
            </w:r>
          </w:p>
        </w:tc>
        <w:tc>
          <w:tcPr>
            <w:tcW w:w="1206" w:type="pct"/>
            <w:gridSpan w:val="2"/>
          </w:tcPr>
          <w:p w14:paraId="5C669E59" w14:textId="77777777" w:rsidR="001B4E9C" w:rsidRPr="00B07FB9" w:rsidRDefault="001B4E9C"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1.25 (0.71, 2.21)</w:t>
            </w:r>
          </w:p>
        </w:tc>
      </w:tr>
      <w:tr w:rsidR="001B4E9C" w:rsidRPr="00B07FB9" w14:paraId="29D12363" w14:textId="77777777" w:rsidTr="002122F4">
        <w:trPr>
          <w:trHeight w:val="20"/>
        </w:trPr>
        <w:tc>
          <w:tcPr>
            <w:tcW w:w="5000" w:type="pct"/>
            <w:gridSpan w:val="9"/>
            <w:shd w:val="clear" w:color="auto" w:fill="FFFFFF" w:themeFill="background1"/>
            <w:vAlign w:val="center"/>
          </w:tcPr>
          <w:p w14:paraId="0B3921C4" w14:textId="6306EBE9" w:rsidR="001B4E9C" w:rsidRPr="00B07FB9" w:rsidRDefault="001B4E9C" w:rsidP="00D72CA1">
            <w:pPr>
              <w:keepNext/>
              <w:keepLines/>
              <w:widowControl w:val="0"/>
              <w:rPr>
                <w:rFonts w:ascii="Arial Narrow" w:hAnsi="Arial Narrow" w:cs="Calibri"/>
                <w:b/>
                <w:color w:val="000000"/>
                <w:sz w:val="20"/>
                <w:szCs w:val="20"/>
              </w:rPr>
            </w:pPr>
            <w:r w:rsidRPr="00B07FB9">
              <w:rPr>
                <w:rFonts w:ascii="Arial Narrow" w:hAnsi="Arial Narrow" w:cs="Calibri"/>
                <w:b/>
                <w:color w:val="000000"/>
                <w:sz w:val="20"/>
                <w:szCs w:val="20"/>
              </w:rPr>
              <w:t>PFS per investigator</w:t>
            </w:r>
            <w:r w:rsidR="000B4EF8">
              <w:rPr>
                <w:rFonts w:ascii="Arial Narrow" w:hAnsi="Arial Narrow" w:cs="Calibri"/>
                <w:b/>
                <w:color w:val="000000"/>
                <w:sz w:val="20"/>
                <w:szCs w:val="20"/>
              </w:rPr>
              <w:t>*</w:t>
            </w:r>
          </w:p>
        </w:tc>
      </w:tr>
      <w:tr w:rsidR="000A4C67" w:rsidRPr="00B07FB9" w14:paraId="33472617" w14:textId="77777777" w:rsidTr="002122F4">
        <w:trPr>
          <w:trHeight w:val="20"/>
        </w:trPr>
        <w:tc>
          <w:tcPr>
            <w:tcW w:w="1061" w:type="pct"/>
            <w:gridSpan w:val="2"/>
            <w:shd w:val="clear" w:color="auto" w:fill="FFFFFF" w:themeFill="background1"/>
            <w:vAlign w:val="center"/>
          </w:tcPr>
          <w:p w14:paraId="574755DE" w14:textId="77777777" w:rsidR="000A4C67" w:rsidRPr="00B07FB9" w:rsidRDefault="000A4C67"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Events, n (%)</w:t>
            </w:r>
          </w:p>
        </w:tc>
        <w:tc>
          <w:tcPr>
            <w:tcW w:w="678" w:type="pct"/>
            <w:shd w:val="clear" w:color="auto" w:fill="FFFFFF" w:themeFill="background1"/>
          </w:tcPr>
          <w:p w14:paraId="66B61BBC" w14:textId="77777777"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53 (34.9)</w:t>
            </w:r>
          </w:p>
        </w:tc>
        <w:tc>
          <w:tcPr>
            <w:tcW w:w="770" w:type="pct"/>
            <w:shd w:val="clear" w:color="auto" w:fill="FFFFFF" w:themeFill="background1"/>
          </w:tcPr>
          <w:p w14:paraId="7352DF53" w14:textId="77777777"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45 (63.4)</w:t>
            </w:r>
          </w:p>
        </w:tc>
        <w:tc>
          <w:tcPr>
            <w:tcW w:w="638" w:type="pct"/>
            <w:shd w:val="clear" w:color="auto" w:fill="CCECFF"/>
            <w:vAlign w:val="center"/>
          </w:tcPr>
          <w:p w14:paraId="4D4E5FCC" w14:textId="77777777"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102 (39.2)</w:t>
            </w:r>
          </w:p>
        </w:tc>
        <w:tc>
          <w:tcPr>
            <w:tcW w:w="643" w:type="pct"/>
            <w:shd w:val="clear" w:color="auto" w:fill="CCECFF"/>
            <w:vAlign w:val="center"/>
          </w:tcPr>
          <w:p w14:paraId="52BDFDA2" w14:textId="77777777"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96 (73.3)</w:t>
            </w:r>
          </w:p>
        </w:tc>
        <w:tc>
          <w:tcPr>
            <w:tcW w:w="640" w:type="pct"/>
            <w:gridSpan w:val="2"/>
            <w:shd w:val="clear" w:color="auto" w:fill="FFFFFF" w:themeFill="background1"/>
          </w:tcPr>
          <w:p w14:paraId="5DB8189A" w14:textId="78246D57"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570" w:type="pct"/>
            <w:shd w:val="clear" w:color="auto" w:fill="FFFFFF" w:themeFill="background1"/>
          </w:tcPr>
          <w:p w14:paraId="7A94A33C" w14:textId="2883952C"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r>
      <w:tr w:rsidR="000A4C67" w:rsidRPr="00B07FB9" w14:paraId="6EE585F9" w14:textId="77777777" w:rsidTr="002122F4">
        <w:trPr>
          <w:trHeight w:val="142"/>
        </w:trPr>
        <w:tc>
          <w:tcPr>
            <w:tcW w:w="456" w:type="pct"/>
            <w:vMerge w:val="restart"/>
            <w:shd w:val="clear" w:color="auto" w:fill="FFFFFF" w:themeFill="background1"/>
            <w:vAlign w:val="center"/>
          </w:tcPr>
          <w:p w14:paraId="4B8D0C68" w14:textId="77777777" w:rsidR="000A4C67" w:rsidRPr="00B07FB9" w:rsidRDefault="000A4C67"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 xml:space="preserve">Probability of PFS </w:t>
            </w:r>
            <w:r w:rsidRPr="00B07FB9">
              <w:rPr>
                <w:rFonts w:ascii="Arial Narrow" w:hAnsi="Arial Narrow" w:cs="Calibri"/>
                <w:color w:val="000000"/>
                <w:sz w:val="20"/>
                <w:szCs w:val="20"/>
              </w:rPr>
              <w:br/>
              <w:t>(95 % CI)</w:t>
            </w:r>
          </w:p>
        </w:tc>
        <w:tc>
          <w:tcPr>
            <w:tcW w:w="606" w:type="pct"/>
            <w:shd w:val="clear" w:color="auto" w:fill="FFFFFF" w:themeFill="background1"/>
            <w:vAlign w:val="center"/>
          </w:tcPr>
          <w:p w14:paraId="7D21D9A1" w14:textId="77777777" w:rsidR="000A4C67" w:rsidRPr="00B07FB9" w:rsidRDefault="000A4C67"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6 months</w:t>
            </w:r>
          </w:p>
        </w:tc>
        <w:tc>
          <w:tcPr>
            <w:tcW w:w="678" w:type="pct"/>
            <w:shd w:val="clear" w:color="auto" w:fill="FFFFFF" w:themeFill="background1"/>
          </w:tcPr>
          <w:p w14:paraId="16A6EC41" w14:textId="77777777" w:rsidR="000A4C67" w:rsidRPr="00B07FB9" w:rsidRDefault="000A4C67"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0.90 (0.84,0.94)</w:t>
            </w:r>
          </w:p>
        </w:tc>
        <w:tc>
          <w:tcPr>
            <w:tcW w:w="770" w:type="pct"/>
            <w:shd w:val="clear" w:color="auto" w:fill="FFFFFF" w:themeFill="background1"/>
          </w:tcPr>
          <w:p w14:paraId="1CC22958" w14:textId="77777777" w:rsidR="000A4C67" w:rsidRPr="00B07FB9" w:rsidRDefault="000A4C67"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0.75 (0.63,0.84)</w:t>
            </w:r>
          </w:p>
        </w:tc>
        <w:tc>
          <w:tcPr>
            <w:tcW w:w="638" w:type="pct"/>
            <w:shd w:val="clear" w:color="auto" w:fill="CCECFF"/>
            <w:vAlign w:val="center"/>
          </w:tcPr>
          <w:p w14:paraId="5FB8E37E" w14:textId="6779F450" w:rsidR="000A4C67"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0.94</w:t>
            </w:r>
          </w:p>
        </w:tc>
        <w:tc>
          <w:tcPr>
            <w:tcW w:w="643" w:type="pct"/>
            <w:shd w:val="clear" w:color="auto" w:fill="CCECFF"/>
            <w:vAlign w:val="center"/>
          </w:tcPr>
          <w:p w14:paraId="52FC4066" w14:textId="043EC6EA" w:rsidR="000A4C67"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0.81</w:t>
            </w:r>
          </w:p>
        </w:tc>
        <w:tc>
          <w:tcPr>
            <w:tcW w:w="640" w:type="pct"/>
            <w:gridSpan w:val="2"/>
            <w:shd w:val="clear" w:color="auto" w:fill="FFFFFF" w:themeFill="background1"/>
          </w:tcPr>
          <w:p w14:paraId="323F6AEA" w14:textId="7D42D916"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570" w:type="pct"/>
            <w:shd w:val="clear" w:color="auto" w:fill="FFFFFF" w:themeFill="background1"/>
          </w:tcPr>
          <w:p w14:paraId="45F54F06" w14:textId="088F1309"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r>
      <w:tr w:rsidR="000A4C67" w:rsidRPr="00B07FB9" w14:paraId="18C6F77A" w14:textId="77777777" w:rsidTr="002122F4">
        <w:trPr>
          <w:trHeight w:val="20"/>
        </w:trPr>
        <w:tc>
          <w:tcPr>
            <w:tcW w:w="456" w:type="pct"/>
            <w:vMerge/>
            <w:shd w:val="clear" w:color="auto" w:fill="auto"/>
            <w:vAlign w:val="center"/>
          </w:tcPr>
          <w:p w14:paraId="765197C4" w14:textId="77777777" w:rsidR="000A4C67" w:rsidRPr="00B07FB9" w:rsidRDefault="000A4C67" w:rsidP="00D72CA1">
            <w:pPr>
              <w:keepNext/>
              <w:keepLines/>
              <w:widowControl w:val="0"/>
              <w:jc w:val="left"/>
              <w:rPr>
                <w:rFonts w:ascii="Arial Narrow" w:hAnsi="Arial Narrow" w:cs="Calibri"/>
                <w:color w:val="000000"/>
                <w:sz w:val="20"/>
                <w:szCs w:val="20"/>
              </w:rPr>
            </w:pPr>
          </w:p>
        </w:tc>
        <w:tc>
          <w:tcPr>
            <w:tcW w:w="606" w:type="pct"/>
            <w:shd w:val="clear" w:color="auto" w:fill="auto"/>
            <w:vAlign w:val="center"/>
          </w:tcPr>
          <w:p w14:paraId="33383337" w14:textId="77777777" w:rsidR="000A4C67" w:rsidRPr="00B07FB9" w:rsidRDefault="000A4C67"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12 months</w:t>
            </w:r>
          </w:p>
        </w:tc>
        <w:tc>
          <w:tcPr>
            <w:tcW w:w="678" w:type="pct"/>
            <w:tcBorders>
              <w:bottom w:val="single" w:sz="4" w:space="0" w:color="auto"/>
            </w:tcBorders>
            <w:shd w:val="clear" w:color="auto" w:fill="auto"/>
          </w:tcPr>
          <w:p w14:paraId="0E1185F2" w14:textId="77777777" w:rsidR="000A4C67" w:rsidRPr="00B07FB9" w:rsidRDefault="000A4C67"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0.74 (0.66,0.80)</w:t>
            </w:r>
          </w:p>
        </w:tc>
        <w:tc>
          <w:tcPr>
            <w:tcW w:w="770" w:type="pct"/>
            <w:tcBorders>
              <w:bottom w:val="single" w:sz="4" w:space="0" w:color="auto"/>
            </w:tcBorders>
            <w:shd w:val="clear" w:color="auto" w:fill="auto"/>
          </w:tcPr>
          <w:p w14:paraId="514C5AE5" w14:textId="77777777" w:rsidR="000A4C67" w:rsidRPr="00B07FB9" w:rsidRDefault="000A4C67"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0.49 (0.36,0.60)</w:t>
            </w:r>
          </w:p>
        </w:tc>
        <w:tc>
          <w:tcPr>
            <w:tcW w:w="638" w:type="pct"/>
            <w:shd w:val="clear" w:color="auto" w:fill="CCECFF"/>
            <w:vAlign w:val="center"/>
          </w:tcPr>
          <w:p w14:paraId="7947F60E" w14:textId="7581C32D"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0.8</w:t>
            </w:r>
            <w:r w:rsidR="00701EFB" w:rsidRPr="00B07FB9">
              <w:rPr>
                <w:rFonts w:ascii="Arial Narrow" w:hAnsi="Arial Narrow" w:cs="Calibri"/>
                <w:color w:val="000000"/>
                <w:sz w:val="20"/>
                <w:szCs w:val="20"/>
              </w:rPr>
              <w:t>8</w:t>
            </w:r>
          </w:p>
        </w:tc>
        <w:tc>
          <w:tcPr>
            <w:tcW w:w="643" w:type="pct"/>
            <w:shd w:val="clear" w:color="auto" w:fill="CCECFF"/>
            <w:vAlign w:val="center"/>
          </w:tcPr>
          <w:p w14:paraId="58B76262" w14:textId="5CFF3583"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w:t>
            </w:r>
            <w:r w:rsidR="00701EFB" w:rsidRPr="00B07FB9">
              <w:rPr>
                <w:rFonts w:ascii="Arial Narrow" w:hAnsi="Arial Narrow" w:cs="Calibri"/>
                <w:color w:val="000000"/>
                <w:sz w:val="20"/>
                <w:szCs w:val="20"/>
              </w:rPr>
              <w:t>.51</w:t>
            </w:r>
          </w:p>
        </w:tc>
        <w:tc>
          <w:tcPr>
            <w:tcW w:w="640" w:type="pct"/>
            <w:gridSpan w:val="2"/>
          </w:tcPr>
          <w:p w14:paraId="0E4627A4" w14:textId="77777777"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0.85</w:t>
            </w:r>
          </w:p>
        </w:tc>
        <w:tc>
          <w:tcPr>
            <w:tcW w:w="570" w:type="pct"/>
          </w:tcPr>
          <w:p w14:paraId="346B707B" w14:textId="77777777" w:rsidR="000A4C67" w:rsidRPr="00B07FB9" w:rsidRDefault="000A4C67"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0.40</w:t>
            </w:r>
          </w:p>
        </w:tc>
      </w:tr>
      <w:tr w:rsidR="00701EFB" w:rsidRPr="00B07FB9" w14:paraId="5D17CF31" w14:textId="77777777" w:rsidTr="002122F4">
        <w:trPr>
          <w:trHeight w:val="20"/>
        </w:trPr>
        <w:tc>
          <w:tcPr>
            <w:tcW w:w="456" w:type="pct"/>
            <w:vMerge/>
            <w:shd w:val="clear" w:color="auto" w:fill="auto"/>
            <w:vAlign w:val="center"/>
          </w:tcPr>
          <w:p w14:paraId="2410C02A" w14:textId="77777777" w:rsidR="00701EFB" w:rsidRPr="00B07FB9" w:rsidRDefault="00701EFB" w:rsidP="00D72CA1">
            <w:pPr>
              <w:keepNext/>
              <w:keepLines/>
              <w:widowControl w:val="0"/>
              <w:jc w:val="left"/>
              <w:rPr>
                <w:rFonts w:ascii="Arial Narrow" w:hAnsi="Arial Narrow" w:cs="Calibri"/>
                <w:color w:val="000000"/>
                <w:sz w:val="20"/>
                <w:szCs w:val="20"/>
              </w:rPr>
            </w:pPr>
          </w:p>
        </w:tc>
        <w:tc>
          <w:tcPr>
            <w:tcW w:w="606" w:type="pct"/>
            <w:shd w:val="clear" w:color="auto" w:fill="auto"/>
            <w:vAlign w:val="center"/>
          </w:tcPr>
          <w:p w14:paraId="31A8D19E" w14:textId="77777777" w:rsidR="00701EFB" w:rsidRPr="00B07FB9" w:rsidRDefault="00701EFB"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18 months</w:t>
            </w:r>
          </w:p>
        </w:tc>
        <w:tc>
          <w:tcPr>
            <w:tcW w:w="678" w:type="pct"/>
            <w:tcBorders>
              <w:top w:val="single" w:sz="4" w:space="0" w:color="auto"/>
              <w:left w:val="nil"/>
              <w:bottom w:val="single" w:sz="4" w:space="0" w:color="auto"/>
              <w:right w:val="single" w:sz="4" w:space="0" w:color="auto"/>
            </w:tcBorders>
            <w:shd w:val="clear" w:color="auto" w:fill="FFFFFF"/>
          </w:tcPr>
          <w:p w14:paraId="347E6361" w14:textId="77777777" w:rsidR="00701EFB" w:rsidRPr="00B07FB9" w:rsidRDefault="00701EFB"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0.61 (0.51,0.70)</w:t>
            </w:r>
          </w:p>
        </w:tc>
        <w:tc>
          <w:tcPr>
            <w:tcW w:w="770" w:type="pct"/>
            <w:tcBorders>
              <w:top w:val="single" w:sz="4" w:space="0" w:color="auto"/>
              <w:left w:val="single" w:sz="4" w:space="0" w:color="auto"/>
              <w:bottom w:val="single" w:sz="4" w:space="0" w:color="auto"/>
              <w:right w:val="nil"/>
            </w:tcBorders>
            <w:shd w:val="clear" w:color="auto" w:fill="FFFFFF"/>
          </w:tcPr>
          <w:p w14:paraId="6FB756ED" w14:textId="77777777" w:rsidR="00701EFB" w:rsidRPr="00B07FB9" w:rsidRDefault="00701EFB" w:rsidP="00D72CA1">
            <w:pPr>
              <w:keepNext/>
              <w:keepLines/>
              <w:widowControl w:val="0"/>
              <w:ind w:left="-57" w:right="-57"/>
              <w:jc w:val="center"/>
              <w:rPr>
                <w:rFonts w:ascii="Arial Narrow" w:hAnsi="Arial Narrow" w:cs="Calibri"/>
                <w:color w:val="000000"/>
                <w:sz w:val="20"/>
                <w:szCs w:val="20"/>
              </w:rPr>
            </w:pPr>
            <w:r w:rsidRPr="00B07FB9">
              <w:rPr>
                <w:rFonts w:ascii="Arial Narrow" w:hAnsi="Arial Narrow" w:cs="Calibri"/>
                <w:color w:val="000000"/>
                <w:sz w:val="20"/>
                <w:szCs w:val="20"/>
              </w:rPr>
              <w:t>0.34 (0.22,0.47)</w:t>
            </w:r>
          </w:p>
        </w:tc>
        <w:tc>
          <w:tcPr>
            <w:tcW w:w="638" w:type="pct"/>
            <w:shd w:val="clear" w:color="auto" w:fill="CCECFF"/>
          </w:tcPr>
          <w:p w14:paraId="678EC85E" w14:textId="7DCADCA0"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643" w:type="pct"/>
            <w:shd w:val="clear" w:color="auto" w:fill="CCECFF"/>
          </w:tcPr>
          <w:p w14:paraId="6BA9AB2B" w14:textId="6A7EE1E7"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640" w:type="pct"/>
            <w:gridSpan w:val="2"/>
          </w:tcPr>
          <w:p w14:paraId="67187579" w14:textId="58650C8D"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c>
          <w:tcPr>
            <w:tcW w:w="570" w:type="pct"/>
          </w:tcPr>
          <w:p w14:paraId="305F8FAE" w14:textId="379F5869"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Not reported</w:t>
            </w:r>
          </w:p>
        </w:tc>
      </w:tr>
      <w:tr w:rsidR="00701EFB" w:rsidRPr="00B07FB9" w14:paraId="2CF8AC17" w14:textId="77777777" w:rsidTr="002122F4">
        <w:trPr>
          <w:trHeight w:val="20"/>
        </w:trPr>
        <w:tc>
          <w:tcPr>
            <w:tcW w:w="1061" w:type="pct"/>
            <w:gridSpan w:val="2"/>
            <w:shd w:val="clear" w:color="auto" w:fill="auto"/>
            <w:vAlign w:val="center"/>
          </w:tcPr>
          <w:p w14:paraId="7574617D" w14:textId="77777777" w:rsidR="00701EFB" w:rsidRPr="00B07FB9" w:rsidRDefault="00701EFB" w:rsidP="00D72CA1">
            <w:pPr>
              <w:keepNext/>
              <w:keepLines/>
              <w:widowControl w:val="0"/>
              <w:ind w:right="-57"/>
              <w:jc w:val="left"/>
              <w:rPr>
                <w:rFonts w:ascii="Arial Narrow" w:hAnsi="Arial Narrow" w:cs="Calibri"/>
                <w:color w:val="000000"/>
                <w:sz w:val="20"/>
                <w:szCs w:val="20"/>
              </w:rPr>
            </w:pPr>
            <w:r w:rsidRPr="00B07FB9">
              <w:rPr>
                <w:rFonts w:ascii="Arial Narrow" w:hAnsi="Arial Narrow" w:cs="Calibri"/>
                <w:color w:val="000000"/>
                <w:sz w:val="20"/>
                <w:szCs w:val="20"/>
              </w:rPr>
              <w:t>Median, months (95% CI)</w:t>
            </w:r>
          </w:p>
        </w:tc>
        <w:tc>
          <w:tcPr>
            <w:tcW w:w="678" w:type="pct"/>
            <w:tcBorders>
              <w:top w:val="single" w:sz="4" w:space="0" w:color="auto"/>
            </w:tcBorders>
            <w:shd w:val="clear" w:color="auto" w:fill="auto"/>
          </w:tcPr>
          <w:p w14:paraId="0CCCFEAF" w14:textId="77777777"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24.2 (18.7, NE)</w:t>
            </w:r>
          </w:p>
        </w:tc>
        <w:tc>
          <w:tcPr>
            <w:tcW w:w="770" w:type="pct"/>
            <w:tcBorders>
              <w:top w:val="single" w:sz="4" w:space="0" w:color="auto"/>
            </w:tcBorders>
            <w:shd w:val="clear" w:color="auto" w:fill="auto"/>
          </w:tcPr>
          <w:p w14:paraId="2F53463C" w14:textId="77777777"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11.5 (8.4, 16.7)</w:t>
            </w:r>
          </w:p>
        </w:tc>
        <w:tc>
          <w:tcPr>
            <w:tcW w:w="638" w:type="pct"/>
            <w:shd w:val="clear" w:color="auto" w:fill="CCECFF"/>
            <w:vAlign w:val="center"/>
          </w:tcPr>
          <w:p w14:paraId="28BA2A4A" w14:textId="7007F499" w:rsidR="00701EFB" w:rsidRPr="00B07FB9" w:rsidRDefault="00701EFB" w:rsidP="00D72CA1">
            <w:pPr>
              <w:keepNext/>
              <w:keepLines/>
              <w:widowControl w:val="0"/>
              <w:jc w:val="center"/>
              <w:rPr>
                <w:rFonts w:ascii="Arial Narrow" w:hAnsi="Arial Narrow" w:cs="Calibri"/>
                <w:color w:val="000000"/>
                <w:sz w:val="20"/>
                <w:szCs w:val="20"/>
                <w:vertAlign w:val="superscript"/>
              </w:rPr>
            </w:pPr>
            <w:r w:rsidRPr="00B07FB9">
              <w:rPr>
                <w:rFonts w:ascii="Arial Narrow" w:hAnsi="Arial Narrow" w:cs="Calibri"/>
                <w:color w:val="000000"/>
                <w:sz w:val="20"/>
                <w:szCs w:val="20"/>
              </w:rPr>
              <w:t xml:space="preserve">Not </w:t>
            </w:r>
            <w:proofErr w:type="spellStart"/>
            <w:r w:rsidRPr="00B07FB9">
              <w:rPr>
                <w:rFonts w:ascii="Arial Narrow" w:hAnsi="Arial Narrow" w:cs="Calibri"/>
                <w:color w:val="000000"/>
                <w:sz w:val="20"/>
                <w:szCs w:val="20"/>
              </w:rPr>
              <w:t>reached</w:t>
            </w:r>
            <w:r w:rsidR="00C62E5A" w:rsidRPr="00B07FB9">
              <w:rPr>
                <w:rFonts w:ascii="Arial Narrow" w:hAnsi="Arial Narrow" w:cs="Calibri"/>
                <w:color w:val="000000"/>
                <w:sz w:val="20"/>
                <w:szCs w:val="20"/>
                <w:vertAlign w:val="superscript"/>
              </w:rPr>
              <w:t>c</w:t>
            </w:r>
            <w:proofErr w:type="spellEnd"/>
          </w:p>
        </w:tc>
        <w:tc>
          <w:tcPr>
            <w:tcW w:w="643" w:type="pct"/>
            <w:shd w:val="clear" w:color="auto" w:fill="CCECFF"/>
            <w:vAlign w:val="center"/>
          </w:tcPr>
          <w:p w14:paraId="08F51F18" w14:textId="77777777"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13.8</w:t>
            </w:r>
          </w:p>
        </w:tc>
        <w:tc>
          <w:tcPr>
            <w:tcW w:w="640" w:type="pct"/>
            <w:gridSpan w:val="2"/>
          </w:tcPr>
          <w:p w14:paraId="3EB696C3" w14:textId="77777777"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39.0</w:t>
            </w:r>
          </w:p>
        </w:tc>
        <w:tc>
          <w:tcPr>
            <w:tcW w:w="570" w:type="pct"/>
          </w:tcPr>
          <w:p w14:paraId="7DC295C5" w14:textId="77777777"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11.1</w:t>
            </w:r>
          </w:p>
        </w:tc>
      </w:tr>
      <w:tr w:rsidR="00701EFB" w:rsidRPr="00B07FB9" w14:paraId="1A8B427B" w14:textId="77777777" w:rsidTr="002122F4">
        <w:trPr>
          <w:trHeight w:val="20"/>
        </w:trPr>
        <w:tc>
          <w:tcPr>
            <w:tcW w:w="1061" w:type="pct"/>
            <w:gridSpan w:val="2"/>
            <w:shd w:val="clear" w:color="auto" w:fill="auto"/>
            <w:vAlign w:val="center"/>
          </w:tcPr>
          <w:p w14:paraId="5AEEBC34" w14:textId="77777777" w:rsidR="00701EFB" w:rsidRPr="00B07FB9" w:rsidRDefault="00701EFB" w:rsidP="00D72CA1">
            <w:pPr>
              <w:keepNext/>
              <w:keepLines/>
              <w:widowControl w:val="0"/>
              <w:jc w:val="left"/>
              <w:rPr>
                <w:rFonts w:ascii="Arial Narrow" w:hAnsi="Arial Narrow" w:cs="Calibri"/>
                <w:color w:val="000000"/>
                <w:sz w:val="20"/>
                <w:szCs w:val="20"/>
              </w:rPr>
            </w:pPr>
            <w:r w:rsidRPr="00B07FB9">
              <w:rPr>
                <w:rFonts w:ascii="Arial Narrow" w:hAnsi="Arial Narrow" w:cs="Calibri"/>
                <w:color w:val="000000"/>
                <w:sz w:val="20"/>
                <w:szCs w:val="20"/>
              </w:rPr>
              <w:t>HR (95% CI), p-value</w:t>
            </w:r>
          </w:p>
        </w:tc>
        <w:tc>
          <w:tcPr>
            <w:tcW w:w="1447" w:type="pct"/>
            <w:gridSpan w:val="2"/>
            <w:shd w:val="clear" w:color="auto" w:fill="auto"/>
            <w:vAlign w:val="center"/>
          </w:tcPr>
          <w:p w14:paraId="13B70C88" w14:textId="0A263E9C" w:rsidR="00701EFB" w:rsidRPr="00B07FB9" w:rsidRDefault="00701EFB" w:rsidP="00D72CA1">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0.40 (0.2</w:t>
            </w:r>
            <w:r w:rsidR="00433E8F" w:rsidRPr="00B07FB9">
              <w:rPr>
                <w:rFonts w:ascii="Arial Narrow" w:hAnsi="Arial Narrow" w:cs="Calibri"/>
                <w:bCs/>
                <w:color w:val="000000"/>
                <w:sz w:val="20"/>
                <w:szCs w:val="20"/>
              </w:rPr>
              <w:t>7</w:t>
            </w:r>
            <w:r w:rsidRPr="00B07FB9">
              <w:rPr>
                <w:rFonts w:ascii="Arial Narrow" w:hAnsi="Arial Narrow" w:cs="Calibri"/>
                <w:bCs/>
                <w:color w:val="000000"/>
                <w:sz w:val="20"/>
                <w:szCs w:val="20"/>
              </w:rPr>
              <w:t>, 0.</w:t>
            </w:r>
            <w:r w:rsidR="00433E8F" w:rsidRPr="00B07FB9">
              <w:rPr>
                <w:rFonts w:ascii="Arial Narrow" w:hAnsi="Arial Narrow" w:cs="Calibri"/>
                <w:bCs/>
                <w:color w:val="000000"/>
                <w:sz w:val="20"/>
                <w:szCs w:val="20"/>
              </w:rPr>
              <w:t>60</w:t>
            </w:r>
            <w:r w:rsidRPr="00B07FB9">
              <w:rPr>
                <w:rFonts w:ascii="Arial Narrow" w:hAnsi="Arial Narrow" w:cs="Calibri"/>
                <w:bCs/>
                <w:color w:val="000000"/>
                <w:sz w:val="20"/>
                <w:szCs w:val="20"/>
              </w:rPr>
              <w:t>) p&lt;0.0001</w:t>
            </w:r>
          </w:p>
        </w:tc>
        <w:tc>
          <w:tcPr>
            <w:tcW w:w="1281" w:type="pct"/>
            <w:gridSpan w:val="2"/>
            <w:shd w:val="clear" w:color="auto" w:fill="CCECFF"/>
            <w:vAlign w:val="center"/>
          </w:tcPr>
          <w:p w14:paraId="7068779F" w14:textId="77777777" w:rsidR="00701EFB" w:rsidRPr="00B07FB9" w:rsidRDefault="00701EFB" w:rsidP="00D72CA1">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0.30 (0.23, 0.41) p&lt;0.0001</w:t>
            </w:r>
          </w:p>
        </w:tc>
        <w:tc>
          <w:tcPr>
            <w:tcW w:w="1210" w:type="pct"/>
            <w:gridSpan w:val="3"/>
          </w:tcPr>
          <w:p w14:paraId="72C21422" w14:textId="77777777" w:rsidR="00701EFB" w:rsidRPr="00B07FB9" w:rsidRDefault="00701EFB" w:rsidP="00D72CA1">
            <w:pPr>
              <w:keepNext/>
              <w:keepLines/>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0.34 (0.24, 0.48)</w:t>
            </w:r>
          </w:p>
        </w:tc>
      </w:tr>
      <w:tr w:rsidR="00701EFB" w:rsidRPr="00B07FB9" w14:paraId="07C54C3D" w14:textId="77777777" w:rsidTr="002122F4">
        <w:trPr>
          <w:trHeight w:val="20"/>
        </w:trPr>
        <w:tc>
          <w:tcPr>
            <w:tcW w:w="1061" w:type="pct"/>
            <w:gridSpan w:val="2"/>
            <w:shd w:val="clear" w:color="auto" w:fill="auto"/>
            <w:vAlign w:val="center"/>
          </w:tcPr>
          <w:p w14:paraId="6B823256" w14:textId="77777777" w:rsidR="00701EFB" w:rsidRPr="00B07FB9" w:rsidRDefault="00701EFB" w:rsidP="00D72CA1">
            <w:pPr>
              <w:keepNext/>
              <w:keepLines/>
              <w:widowControl w:val="0"/>
              <w:ind w:right="-57"/>
              <w:jc w:val="left"/>
              <w:rPr>
                <w:rFonts w:ascii="Arial Narrow" w:hAnsi="Arial Narrow" w:cs="Calibri"/>
                <w:color w:val="000000"/>
                <w:sz w:val="20"/>
                <w:szCs w:val="20"/>
              </w:rPr>
            </w:pPr>
            <w:r w:rsidRPr="00B07FB9">
              <w:rPr>
                <w:rFonts w:ascii="Arial Narrow" w:hAnsi="Arial Narrow" w:cs="Calibri"/>
                <w:color w:val="000000"/>
                <w:sz w:val="20"/>
                <w:szCs w:val="20"/>
              </w:rPr>
              <w:t>ITC: NIRA vs. OLA</w:t>
            </w:r>
          </w:p>
        </w:tc>
        <w:tc>
          <w:tcPr>
            <w:tcW w:w="2733" w:type="pct"/>
            <w:gridSpan w:val="5"/>
            <w:shd w:val="clear" w:color="auto" w:fill="auto"/>
            <w:vAlign w:val="center"/>
          </w:tcPr>
          <w:p w14:paraId="7CD1FC48" w14:textId="7056948A" w:rsidR="00701EFB" w:rsidRPr="00B07FB9" w:rsidRDefault="00701EFB" w:rsidP="00D72CA1">
            <w:pPr>
              <w:keepNext/>
              <w:keepLines/>
              <w:widowControl w:val="0"/>
              <w:jc w:val="center"/>
              <w:rPr>
                <w:rFonts w:ascii="Arial Narrow" w:hAnsi="Arial Narrow" w:cs="Calibri"/>
                <w:color w:val="000000"/>
                <w:sz w:val="20"/>
                <w:szCs w:val="20"/>
                <w:vertAlign w:val="superscript"/>
              </w:rPr>
            </w:pPr>
            <w:r w:rsidRPr="00B07FB9">
              <w:rPr>
                <w:rFonts w:ascii="Arial Narrow" w:hAnsi="Arial Narrow" w:cs="Calibri"/>
                <w:color w:val="000000"/>
                <w:sz w:val="20"/>
                <w:szCs w:val="20"/>
              </w:rPr>
              <w:t>1.33 (0.81, 2.19)</w:t>
            </w:r>
          </w:p>
        </w:tc>
        <w:tc>
          <w:tcPr>
            <w:tcW w:w="1206" w:type="pct"/>
            <w:gridSpan w:val="2"/>
          </w:tcPr>
          <w:p w14:paraId="1EC85DDB" w14:textId="77777777" w:rsidR="00701EFB" w:rsidRPr="00B07FB9" w:rsidRDefault="00701EFB" w:rsidP="00D72CA1">
            <w:pPr>
              <w:keepNext/>
              <w:keepLines/>
              <w:widowControl w:val="0"/>
              <w:jc w:val="center"/>
              <w:rPr>
                <w:rFonts w:ascii="Arial Narrow" w:hAnsi="Arial Narrow" w:cs="Calibri"/>
                <w:color w:val="000000"/>
                <w:sz w:val="20"/>
                <w:szCs w:val="20"/>
              </w:rPr>
            </w:pPr>
            <w:r w:rsidRPr="00B07FB9">
              <w:rPr>
                <w:rFonts w:ascii="Arial Narrow" w:hAnsi="Arial Narrow" w:cs="Calibri"/>
                <w:color w:val="000000"/>
                <w:sz w:val="20"/>
                <w:szCs w:val="20"/>
              </w:rPr>
              <w:t>1.18 (0.63, 2.20)</w:t>
            </w:r>
          </w:p>
        </w:tc>
      </w:tr>
    </w:tbl>
    <w:p w14:paraId="370A840C" w14:textId="25F6B695" w:rsidR="001B4E9C" w:rsidRPr="00B07FB9" w:rsidRDefault="001B4E9C" w:rsidP="00D72CA1">
      <w:pPr>
        <w:pStyle w:val="TableFigureFooter"/>
        <w:keepNext/>
        <w:keepLines/>
        <w:widowControl w:val="0"/>
      </w:pPr>
      <w:r w:rsidRPr="00B07FB9">
        <w:t>Source: Tables 31 and 32, p65 of the resubmission; Table 30, p134 of the PRIMA clinical study report; Moore et al 2018</w:t>
      </w:r>
    </w:p>
    <w:p w14:paraId="29788991" w14:textId="4F6A0EF4" w:rsidR="001B4E9C" w:rsidRPr="00B07FB9" w:rsidRDefault="001B4E9C" w:rsidP="00D72CA1">
      <w:pPr>
        <w:pStyle w:val="TableFigureFooter"/>
        <w:keepNext/>
        <w:keepLines/>
        <w:widowControl w:val="0"/>
      </w:pPr>
      <w:r w:rsidRPr="00B07FB9">
        <w:t xml:space="preserve">BICR=blinded independent central review; CI = confidence interval; HR = hazard ratio; ITC = indirect treatment comparison; NE = not evaluable; NIRA = niraparib; OLA = </w:t>
      </w:r>
      <w:proofErr w:type="spellStart"/>
      <w:r w:rsidRPr="00B07FB9">
        <w:t>ol</w:t>
      </w:r>
      <w:r w:rsidR="00433E8F" w:rsidRPr="00B07FB9">
        <w:t>a</w:t>
      </w:r>
      <w:r w:rsidRPr="00B07FB9">
        <w:t>parib</w:t>
      </w:r>
      <w:proofErr w:type="spellEnd"/>
      <w:r w:rsidRPr="00B07FB9">
        <w:t xml:space="preserve">; PBO = placebo; PDS = primary debulking surgery; PFS = progression-free survival; R0 = no </w:t>
      </w:r>
      <w:r w:rsidR="007A20BD" w:rsidRPr="00B07FB9">
        <w:t xml:space="preserve">visible </w:t>
      </w:r>
      <w:r w:rsidRPr="00B07FB9">
        <w:t xml:space="preserve">residual disease.  </w:t>
      </w:r>
    </w:p>
    <w:p w14:paraId="5A47EA58" w14:textId="77777777" w:rsidR="001940B5" w:rsidRPr="00B07FB9" w:rsidRDefault="001940B5" w:rsidP="00D72CA1">
      <w:pPr>
        <w:pStyle w:val="TableFigureFooter"/>
        <w:keepNext/>
        <w:keepLines/>
        <w:widowControl w:val="0"/>
      </w:pPr>
      <w:r w:rsidRPr="00B07FB9">
        <w:t xml:space="preserve">Note: </w:t>
      </w:r>
      <w:r w:rsidRPr="00B07FB9">
        <w:rPr>
          <w:shd w:val="clear" w:color="auto" w:fill="CCECFF"/>
        </w:rPr>
        <w:t>Blue shading</w:t>
      </w:r>
      <w:r w:rsidRPr="00B07FB9">
        <w:t xml:space="preserve"> indicates data previously seen by the PBAC</w:t>
      </w:r>
    </w:p>
    <w:p w14:paraId="104244EA" w14:textId="5515C098" w:rsidR="001B4E9C" w:rsidRPr="00B07FB9" w:rsidRDefault="001B4E9C" w:rsidP="00D72CA1">
      <w:pPr>
        <w:pStyle w:val="TableFigureFooter"/>
        <w:keepNext/>
        <w:keepLines/>
        <w:widowControl w:val="0"/>
      </w:pPr>
      <w:r w:rsidRPr="00B07FB9">
        <w:rPr>
          <w:vertAlign w:val="superscript"/>
        </w:rPr>
        <w:t>a</w:t>
      </w:r>
      <w:r w:rsidRPr="00B07FB9">
        <w:t xml:space="preserve"> Median follow-up for PFS of </w:t>
      </w:r>
      <w:r w:rsidR="009D616B" w:rsidRPr="00B07FB9">
        <w:t>15.7</w:t>
      </w:r>
      <w:r w:rsidRPr="00B07FB9">
        <w:t xml:space="preserve"> months for niraparib and 13.</w:t>
      </w:r>
      <w:r w:rsidR="009D616B" w:rsidRPr="00B07FB9">
        <w:t>9</w:t>
      </w:r>
      <w:r w:rsidRPr="00B07FB9">
        <w:t xml:space="preserve"> months for placebo</w:t>
      </w:r>
      <w:r w:rsidR="00807AB9" w:rsidRPr="00B07FB9">
        <w:t>.</w:t>
      </w:r>
    </w:p>
    <w:p w14:paraId="595A7230" w14:textId="77777777" w:rsidR="001B4E9C" w:rsidRPr="00B07FB9" w:rsidRDefault="001B4E9C" w:rsidP="00D72CA1">
      <w:pPr>
        <w:pStyle w:val="TableFigureFooter"/>
        <w:keepNext/>
        <w:keepLines/>
        <w:widowControl w:val="0"/>
      </w:pPr>
      <w:r w:rsidRPr="00B07FB9">
        <w:rPr>
          <w:vertAlign w:val="superscript"/>
        </w:rPr>
        <w:t>b</w:t>
      </w:r>
      <w:r w:rsidRPr="00B07FB9">
        <w:t xml:space="preserve"> Median follow-up of 40.7 months for </w:t>
      </w:r>
      <w:proofErr w:type="spellStart"/>
      <w:r w:rsidRPr="00B07FB9">
        <w:t>olaparib</w:t>
      </w:r>
      <w:proofErr w:type="spellEnd"/>
      <w:r w:rsidRPr="00B07FB9">
        <w:t xml:space="preserve"> and 41.2 months for placebo in the overall population of SOLO-1 at data </w:t>
      </w:r>
      <w:proofErr w:type="spellStart"/>
      <w:r w:rsidRPr="00B07FB9">
        <w:t>cutoff</w:t>
      </w:r>
      <w:proofErr w:type="spellEnd"/>
      <w:r w:rsidRPr="00B07FB9">
        <w:t xml:space="preserve"> 17/05/2018. Relevant data in the excluding Stage III, R0 PDS subgroup were not available. </w:t>
      </w:r>
    </w:p>
    <w:p w14:paraId="7DDB8994" w14:textId="6E54E7B0" w:rsidR="001B4E9C" w:rsidRDefault="001B4E9C" w:rsidP="00D72CA1">
      <w:pPr>
        <w:pStyle w:val="TableFigureFooter"/>
        <w:keepNext/>
        <w:keepLines/>
        <w:widowControl w:val="0"/>
      </w:pPr>
      <w:r w:rsidRPr="00B07FB9">
        <w:rPr>
          <w:vertAlign w:val="superscript"/>
        </w:rPr>
        <w:t>c</w:t>
      </w:r>
      <w:r w:rsidR="00C62E5A" w:rsidRPr="00B07FB9">
        <w:rPr>
          <w:vertAlign w:val="superscript"/>
        </w:rPr>
        <w:t xml:space="preserve"> </w:t>
      </w:r>
      <w:r w:rsidR="00C62E5A" w:rsidRPr="00B07FB9">
        <w:t>Updated PFS per investigator data in SOLO-1 w</w:t>
      </w:r>
      <w:r w:rsidR="00433E8F" w:rsidRPr="00B07FB9">
        <w:t>ere</w:t>
      </w:r>
      <w:r w:rsidR="00C62E5A" w:rsidRPr="00B07FB9">
        <w:t xml:space="preserve"> reported by Banerjee et al 2021</w:t>
      </w:r>
      <w:r w:rsidR="00C62E5A" w:rsidRPr="00B07FB9">
        <w:rPr>
          <w:rStyle w:val="FootnoteReference"/>
        </w:rPr>
        <w:footnoteReference w:id="11"/>
      </w:r>
      <w:r w:rsidR="00C62E5A" w:rsidRPr="00B07FB9">
        <w:t xml:space="preserve">. At data </w:t>
      </w:r>
      <w:proofErr w:type="spellStart"/>
      <w:r w:rsidR="00C62E5A" w:rsidRPr="00B07FB9">
        <w:t>cutoff</w:t>
      </w:r>
      <w:proofErr w:type="spellEnd"/>
      <w:r w:rsidR="00C62E5A" w:rsidRPr="00B07FB9">
        <w:t xml:space="preserve"> 05/02/2020, the median follow-up was 4.8 years for </w:t>
      </w:r>
      <w:proofErr w:type="spellStart"/>
      <w:r w:rsidR="00C62E5A" w:rsidRPr="00B07FB9">
        <w:t>olaparib</w:t>
      </w:r>
      <w:proofErr w:type="spellEnd"/>
      <w:r w:rsidR="00C62E5A" w:rsidRPr="00B07FB9">
        <w:t xml:space="preserve"> and 5.0 years for placebo. The median PFS was 56.0 months (95% CI: 41.9, not reached) in the </w:t>
      </w:r>
      <w:proofErr w:type="spellStart"/>
      <w:r w:rsidR="00C62E5A" w:rsidRPr="00B07FB9">
        <w:t>olaparib</w:t>
      </w:r>
      <w:proofErr w:type="spellEnd"/>
      <w:r w:rsidR="00C62E5A" w:rsidRPr="00B07FB9">
        <w:t xml:space="preserve"> group compared with 13.8 months (95% CI: 11.1, 18.2) in the placebo group, with an HR of 0.33 (95% CI: 0.25, 0.43). </w:t>
      </w:r>
      <w:r w:rsidR="00CF6F85" w:rsidRPr="00B07FB9">
        <w:t xml:space="preserve">No </w:t>
      </w:r>
      <w:r w:rsidR="00433E8F" w:rsidRPr="00B07FB9">
        <w:t xml:space="preserve">relevant </w:t>
      </w:r>
      <w:r w:rsidR="00CF6F85" w:rsidRPr="00B07FB9">
        <w:t xml:space="preserve">updated </w:t>
      </w:r>
      <w:r w:rsidR="00433E8F" w:rsidRPr="00B07FB9">
        <w:t xml:space="preserve">data </w:t>
      </w:r>
      <w:r w:rsidR="00CF6F85" w:rsidRPr="00B07FB9">
        <w:t xml:space="preserve">were available for the excluding Stage III R0 PDS subgroup SOLO-1. </w:t>
      </w:r>
    </w:p>
    <w:p w14:paraId="4A494E4A" w14:textId="236E4697" w:rsidR="000B4EF8" w:rsidRPr="00B07FB9" w:rsidRDefault="000B4EF8" w:rsidP="00D72CA1">
      <w:pPr>
        <w:pStyle w:val="TableFigureFooter"/>
        <w:keepNext/>
        <w:keepLines/>
        <w:widowControl w:val="0"/>
      </w:pPr>
      <w:r>
        <w:t>*</w:t>
      </w:r>
      <w:r>
        <w:rPr>
          <w:szCs w:val="20"/>
        </w:rPr>
        <w:t>Note that the results denoted by (*)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6A39F36A" w14:textId="5896D0B7" w:rsidR="001B4E9C" w:rsidRPr="00B07FB9" w:rsidRDefault="001B4E9C" w:rsidP="000C6F49">
      <w:pPr>
        <w:pStyle w:val="3-BodyText"/>
        <w:widowControl w:val="0"/>
      </w:pPr>
      <w:r w:rsidRPr="00B07FB9">
        <w:t xml:space="preserve">The indirect HRs numerically favoured </w:t>
      </w:r>
      <w:proofErr w:type="spellStart"/>
      <w:r w:rsidRPr="00B07FB9">
        <w:t>olaparib</w:t>
      </w:r>
      <w:proofErr w:type="spellEnd"/>
      <w:r w:rsidRPr="00B07FB9">
        <w:t xml:space="preserve"> over niraparib for both PFS per BICR (1.43 [0.83, 2.45]) and PFS per investigator (1.33 [0.81, 2.19]). The point estimates of HRs indicated slightly diminished PFS benefits of </w:t>
      </w:r>
      <w:proofErr w:type="spellStart"/>
      <w:r w:rsidRPr="00B07FB9">
        <w:t>olaparib</w:t>
      </w:r>
      <w:proofErr w:type="spellEnd"/>
      <w:r w:rsidRPr="00B07FB9">
        <w:t xml:space="preserve"> in comparison with niraparib when the subjects of the niraparib and </w:t>
      </w:r>
      <w:proofErr w:type="spellStart"/>
      <w:r w:rsidRPr="00B07FB9">
        <w:t>olaparib</w:t>
      </w:r>
      <w:proofErr w:type="spellEnd"/>
      <w:r w:rsidRPr="00B07FB9">
        <w:t xml:space="preserve"> trials were more comparable (i.e. excluding Stage III R0 post PDS patients from the SOLO-1 trial) (PFS per BICR: 1.25 [0.71, 2.21]; PFS per investigator: 1.18 [0.63, 2.20]). </w:t>
      </w:r>
      <w:r w:rsidR="00AC5EEF" w:rsidRPr="00B07FB9">
        <w:rPr>
          <w:bCs/>
        </w:rPr>
        <w:t xml:space="preserve">The 95% CIs of HRs contained clinically relevant worsening of PFS. </w:t>
      </w:r>
      <w:r w:rsidRPr="00B07FB9">
        <w:t xml:space="preserve">The median PFS per investigator for </w:t>
      </w:r>
      <w:proofErr w:type="spellStart"/>
      <w:r w:rsidRPr="00B07FB9">
        <w:t>olaparib</w:t>
      </w:r>
      <w:proofErr w:type="spellEnd"/>
      <w:r w:rsidRPr="00B07FB9">
        <w:t xml:space="preserve"> in </w:t>
      </w:r>
      <w:r w:rsidRPr="00B07FB9">
        <w:lastRenderedPageBreak/>
        <w:t xml:space="preserve">the subgroup excluding Stage III R0 post PDS of SOLO-1 was 14.8 months longer than that for niraparib in the </w:t>
      </w:r>
      <w:proofErr w:type="spellStart"/>
      <w:r w:rsidRPr="00B07FB9">
        <w:t>BRCAm</w:t>
      </w:r>
      <w:proofErr w:type="spellEnd"/>
      <w:r w:rsidRPr="00B07FB9">
        <w:t xml:space="preserve"> subgroup of PRIMA (39.0</w:t>
      </w:r>
      <w:r w:rsidR="00AC5EEF" w:rsidRPr="00B07FB9">
        <w:t> </w:t>
      </w:r>
      <w:r w:rsidRPr="00B07FB9">
        <w:t>months vs. 24.2 months)</w:t>
      </w:r>
      <w:r w:rsidR="000B4EF8">
        <w:rPr>
          <w:rStyle w:val="FootnoteReference"/>
        </w:rPr>
        <w:footnoteReference w:id="12"/>
      </w:r>
      <w:r w:rsidRPr="00B07FB9">
        <w:t xml:space="preserve">. </w:t>
      </w:r>
    </w:p>
    <w:p w14:paraId="1399058E" w14:textId="5E3DF5A6" w:rsidR="001B4E9C" w:rsidRPr="00B07FB9" w:rsidRDefault="001B4E9C" w:rsidP="000C6F49">
      <w:pPr>
        <w:pStyle w:val="3-BodyText"/>
        <w:widowControl w:val="0"/>
      </w:pPr>
      <w:r w:rsidRPr="00B07FB9">
        <w:t>The resubmission argued that,</w:t>
      </w:r>
      <w:r w:rsidRPr="00B07FB9">
        <w:rPr>
          <w:rFonts w:ascii="Candara" w:eastAsiaTheme="majorEastAsia" w:hAnsi="Candara" w:cstheme="majorBidi"/>
          <w:snapToGrid/>
          <w:szCs w:val="22"/>
          <w:lang w:eastAsia="en-US"/>
        </w:rPr>
        <w:t xml:space="preserve"> </w:t>
      </w:r>
      <w:r w:rsidRPr="00B07FB9">
        <w:t xml:space="preserve">given the discrepancies in trial population between PRIMA and SOLO-1, the indirect comparisons of niraparib </w:t>
      </w:r>
      <w:r w:rsidR="009F65E6" w:rsidRPr="00B07FB9">
        <w:t>versus</w:t>
      </w:r>
      <w:r w:rsidRPr="00B07FB9">
        <w:t xml:space="preserve"> </w:t>
      </w:r>
      <w:proofErr w:type="spellStart"/>
      <w:r w:rsidRPr="00B07FB9">
        <w:t>olaparib</w:t>
      </w:r>
      <w:proofErr w:type="spellEnd"/>
      <w:r w:rsidRPr="00B07FB9">
        <w:t xml:space="preserve"> were substantially biased in favour of </w:t>
      </w:r>
      <w:proofErr w:type="spellStart"/>
      <w:r w:rsidRPr="00B07FB9">
        <w:t>olaparib</w:t>
      </w:r>
      <w:proofErr w:type="spellEnd"/>
      <w:r w:rsidRPr="00B07FB9">
        <w:t xml:space="preserve">. </w:t>
      </w:r>
      <w:r w:rsidR="007218C7" w:rsidRPr="00B07FB9">
        <w:t>T</w:t>
      </w:r>
      <w:r w:rsidRPr="00B07FB9">
        <w:t xml:space="preserve">he comparison between the </w:t>
      </w:r>
      <w:proofErr w:type="spellStart"/>
      <w:r w:rsidRPr="00B07FB9">
        <w:t>BRCAm</w:t>
      </w:r>
      <w:proofErr w:type="spellEnd"/>
      <w:r w:rsidRPr="00B07FB9">
        <w:t xml:space="preserve"> cohort in PRIMA and the subgroup of SOLO-1 by excluding Stage III R0 post PDS patients </w:t>
      </w:r>
      <w:r w:rsidR="008D7300" w:rsidRPr="00B07FB9">
        <w:t xml:space="preserve">partially </w:t>
      </w:r>
      <w:r w:rsidRPr="00B07FB9">
        <w:t xml:space="preserve">alleviated the concerns </w:t>
      </w:r>
      <w:r w:rsidR="00AB40B7" w:rsidRPr="00B07FB9">
        <w:t>regarding</w:t>
      </w:r>
      <w:r w:rsidRPr="00B07FB9">
        <w:t xml:space="preserve"> the transitivity of the PRIMA trial and the SOLO-1 trial. The comparability of the PRIMA </w:t>
      </w:r>
      <w:proofErr w:type="spellStart"/>
      <w:r w:rsidRPr="00B07FB9">
        <w:t>BRCAm</w:t>
      </w:r>
      <w:proofErr w:type="spellEnd"/>
      <w:r w:rsidRPr="00B07FB9">
        <w:t xml:space="preserve"> patients and the SOLO-1 subgroup excluding Stage III R0 post PDS patients was supported by the similar results in the common reference (i.e. placebo) </w:t>
      </w:r>
      <w:r w:rsidR="00AB40B7" w:rsidRPr="00B07FB9">
        <w:t xml:space="preserve">arms </w:t>
      </w:r>
      <w:r w:rsidRPr="00B07FB9">
        <w:t>of the ITC: median PFS per BICR: 10.9 months versus. 11.3 months and median PFS per investigator: 11.5 months versus 11.1 months. In addition, there is no convincing evidence indicating the observed heterogeneit</w:t>
      </w:r>
      <w:r w:rsidR="00AB40B7" w:rsidRPr="00B07FB9">
        <w:t>y</w:t>
      </w:r>
      <w:r w:rsidRPr="00B07FB9">
        <w:t xml:space="preserve"> in patient age (57 years vs. 54 years), disease stage (Stage IV: 34% for niraparib vs. 27% for </w:t>
      </w:r>
      <w:proofErr w:type="spellStart"/>
      <w:r w:rsidRPr="00B07FB9">
        <w:t>olaparib</w:t>
      </w:r>
      <w:proofErr w:type="spellEnd"/>
      <w:r w:rsidRPr="00B07FB9">
        <w:t>) and the duration of follow-up (median: 1</w:t>
      </w:r>
      <w:r w:rsidR="00BD62D1">
        <w:t>6</w:t>
      </w:r>
      <w:r w:rsidRPr="00B07FB9">
        <w:t xml:space="preserve"> month</w:t>
      </w:r>
      <w:r w:rsidR="00745E89" w:rsidRPr="00B07FB9">
        <w:t>s</w:t>
      </w:r>
      <w:r w:rsidRPr="00B07FB9">
        <w:t xml:space="preserve"> for niraparib vs. 41 months for </w:t>
      </w:r>
      <w:proofErr w:type="spellStart"/>
      <w:r w:rsidRPr="00B07FB9">
        <w:t>olaparib</w:t>
      </w:r>
      <w:proofErr w:type="spellEnd"/>
      <w:r w:rsidRPr="00B07FB9">
        <w:t xml:space="preserve">) would fundamentally invalidate or greatly alter the interpretation of the ITC results for PFS. </w:t>
      </w:r>
    </w:p>
    <w:p w14:paraId="7B1177A4" w14:textId="2B312DF7" w:rsidR="00433E8F" w:rsidRPr="00B07FB9" w:rsidRDefault="00433E8F" w:rsidP="000C6F49">
      <w:pPr>
        <w:pStyle w:val="3-BodyText"/>
        <w:widowControl w:val="0"/>
      </w:pPr>
      <w:r w:rsidRPr="00B07FB9">
        <w:t xml:space="preserve">No formal common reference-based ITC </w:t>
      </w:r>
      <w:r w:rsidR="007218C7" w:rsidRPr="00B07FB9">
        <w:t xml:space="preserve">for OS was possible </w:t>
      </w:r>
      <w:r w:rsidRPr="00B07FB9">
        <w:t xml:space="preserve">given the immaturity of the OS data in both trials, and the discrepancy in the use of subsequent </w:t>
      </w:r>
      <w:proofErr w:type="spellStart"/>
      <w:r w:rsidRPr="00B07FB9">
        <w:t>PARPi</w:t>
      </w:r>
      <w:proofErr w:type="spellEnd"/>
      <w:r w:rsidRPr="00B07FB9">
        <w:t xml:space="preserve"> therapy in the later-line setting among patients in the placebo arms between PRIMA and SOLO-1 (9% in PRIMA vs. 37% in SOLO-1).</w:t>
      </w:r>
    </w:p>
    <w:p w14:paraId="18049E5A" w14:textId="55EFA6D4" w:rsidR="009D616B" w:rsidRPr="00B07FB9" w:rsidRDefault="009D616B" w:rsidP="002365D7">
      <w:pPr>
        <w:pStyle w:val="3-BodyText"/>
        <w:widowControl w:val="0"/>
      </w:pPr>
      <w:r w:rsidRPr="00B07FB9">
        <w:t xml:space="preserve">The ESC noted that the results of the ITC </w:t>
      </w:r>
      <w:r w:rsidR="001E3CAB" w:rsidRPr="00B07FB9">
        <w:t xml:space="preserve">included point estimates favourable to </w:t>
      </w:r>
      <w:proofErr w:type="spellStart"/>
      <w:r w:rsidR="001E3CAB" w:rsidRPr="00B07FB9">
        <w:t>olaparib</w:t>
      </w:r>
      <w:proofErr w:type="spellEnd"/>
      <w:r w:rsidR="001E3CAB" w:rsidRPr="00B07FB9">
        <w:t xml:space="preserve">, </w:t>
      </w:r>
      <w:r w:rsidRPr="00B07FB9">
        <w:t xml:space="preserve">though results of the comparison were not statistically significant. </w:t>
      </w:r>
      <w:r w:rsidR="0076162A" w:rsidRPr="00B07FB9">
        <w:t>Noting the concerns regarding the transitivity of the studies, t</w:t>
      </w:r>
      <w:r w:rsidRPr="00B07FB9">
        <w:t xml:space="preserve">he ESC considered that the similar outcomes in the placebo arms (excluding Stage III R0 PSD) suggested that the heterogeneity between the patient populations </w:t>
      </w:r>
      <w:r w:rsidR="0076162A" w:rsidRPr="00B07FB9">
        <w:t xml:space="preserve">was limited and the comparison </w:t>
      </w:r>
      <w:r w:rsidR="005249DA" w:rsidRPr="00B07FB9">
        <w:t>was</w:t>
      </w:r>
      <w:r w:rsidR="0076162A" w:rsidRPr="00B07FB9">
        <w:t xml:space="preserve"> meaningful.</w:t>
      </w:r>
    </w:p>
    <w:p w14:paraId="7076CF95" w14:textId="77777777" w:rsidR="001B4E9C" w:rsidRPr="00B07FB9" w:rsidRDefault="001B4E9C" w:rsidP="000C6F49">
      <w:pPr>
        <w:pStyle w:val="4-SubsectionHeading"/>
        <w:keepNext w:val="0"/>
        <w:widowControl w:val="0"/>
      </w:pPr>
      <w:bookmarkStart w:id="28" w:name="_Toc93404189"/>
      <w:r w:rsidRPr="00B07FB9">
        <w:t>Comparative harms</w:t>
      </w:r>
      <w:bookmarkEnd w:id="28"/>
    </w:p>
    <w:p w14:paraId="19066D69" w14:textId="51D99679" w:rsidR="001B4E9C" w:rsidRPr="00B07FB9" w:rsidRDefault="001B4E9C" w:rsidP="000C6F49">
      <w:pPr>
        <w:pStyle w:val="5-SubsectionSubheading"/>
        <w:keepNext w:val="0"/>
        <w:keepLines w:val="0"/>
        <w:widowControl w:val="0"/>
      </w:pPr>
      <w:bookmarkStart w:id="29" w:name="_Toc93404190"/>
      <w:r w:rsidRPr="00B07FB9">
        <w:t>Subgroup analyses of non-</w:t>
      </w:r>
      <w:proofErr w:type="spellStart"/>
      <w:r w:rsidRPr="00B07FB9">
        <w:t>BRCAm</w:t>
      </w:r>
      <w:proofErr w:type="spellEnd"/>
      <w:r w:rsidRPr="00B07FB9">
        <w:t xml:space="preserve"> patients for niraparib versus </w:t>
      </w:r>
      <w:r w:rsidR="007A20BD" w:rsidRPr="00B07FB9">
        <w:t>no active treatment (placebo)</w:t>
      </w:r>
      <w:bookmarkEnd w:id="29"/>
    </w:p>
    <w:p w14:paraId="26A00660" w14:textId="73C8EED2" w:rsidR="001B4E9C" w:rsidRPr="00B07FB9" w:rsidRDefault="001B4E9C" w:rsidP="000C6F49">
      <w:pPr>
        <w:pStyle w:val="3-BodyText"/>
        <w:widowControl w:val="0"/>
      </w:pPr>
      <w:r w:rsidRPr="00B07FB9">
        <w:t>The key safety data of niraparib compared with placebo in the non-</w:t>
      </w:r>
      <w:proofErr w:type="spellStart"/>
      <w:r w:rsidRPr="00B07FB9">
        <w:t>BRCAm</w:t>
      </w:r>
      <w:proofErr w:type="spellEnd"/>
      <w:r w:rsidRPr="00B07FB9">
        <w:t xml:space="preserve"> patients in PRIMA are summarised below. </w:t>
      </w:r>
    </w:p>
    <w:p w14:paraId="64215150" w14:textId="32D858F7" w:rsidR="001B4E9C" w:rsidRPr="00B07FB9" w:rsidRDefault="001B4E9C" w:rsidP="00D72CA1">
      <w:pPr>
        <w:pStyle w:val="TableFigureHeading"/>
        <w:keepLines/>
        <w:widowControl w:val="0"/>
      </w:pPr>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9</w:t>
      </w:r>
      <w:r w:rsidR="00385E8C">
        <w:fldChar w:fldCharType="end"/>
      </w:r>
      <w:r w:rsidRPr="00B07FB9">
        <w:t>: Overall summary of TEAEs in the non-</w:t>
      </w:r>
      <w:proofErr w:type="spellStart"/>
      <w:r w:rsidRPr="00B07FB9">
        <w:t>BRCAm</w:t>
      </w:r>
      <w:proofErr w:type="spellEnd"/>
      <w:r w:rsidRPr="00B07FB9">
        <w:t xml:space="preserve"> cohort of PRIMA</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9: Overall summary of TEAEs in the non-BRCAm cohort of PRIMA"/>
      </w:tblPr>
      <w:tblGrid>
        <w:gridCol w:w="1844"/>
        <w:gridCol w:w="1276"/>
        <w:gridCol w:w="1272"/>
        <w:gridCol w:w="1701"/>
        <w:gridCol w:w="1417"/>
        <w:gridCol w:w="1538"/>
      </w:tblGrid>
      <w:tr w:rsidR="002968E2" w:rsidRPr="00B07FB9" w14:paraId="016C41AA" w14:textId="38B06FF2" w:rsidTr="002968E2">
        <w:trPr>
          <w:trHeight w:val="22"/>
        </w:trPr>
        <w:tc>
          <w:tcPr>
            <w:tcW w:w="1019" w:type="pct"/>
            <w:shd w:val="clear" w:color="auto" w:fill="FFFFFF" w:themeFill="background1"/>
            <w:vAlign w:val="center"/>
          </w:tcPr>
          <w:p w14:paraId="6D394BFE" w14:textId="77777777" w:rsidR="002968E2" w:rsidRPr="00B07FB9" w:rsidRDefault="002968E2" w:rsidP="00D72CA1">
            <w:pPr>
              <w:keepNext/>
              <w:keepLines/>
              <w:widowControl w:val="0"/>
              <w:jc w:val="left"/>
              <w:rPr>
                <w:rFonts w:ascii="Arial Narrow" w:hAnsi="Arial Narrow"/>
                <w:sz w:val="20"/>
                <w:szCs w:val="20"/>
              </w:rPr>
            </w:pPr>
          </w:p>
        </w:tc>
        <w:tc>
          <w:tcPr>
            <w:tcW w:w="705" w:type="pct"/>
            <w:shd w:val="clear" w:color="auto" w:fill="FFFFFF" w:themeFill="background1"/>
            <w:vAlign w:val="center"/>
          </w:tcPr>
          <w:p w14:paraId="4A25389F" w14:textId="77777777" w:rsidR="002968E2" w:rsidRPr="00B07FB9" w:rsidRDefault="002968E2" w:rsidP="00D72CA1">
            <w:pPr>
              <w:keepNext/>
              <w:keepLines/>
              <w:widowControl w:val="0"/>
              <w:jc w:val="center"/>
              <w:rPr>
                <w:rFonts w:ascii="Arial Narrow" w:hAnsi="Arial Narrow"/>
                <w:b/>
                <w:bCs/>
                <w:sz w:val="20"/>
                <w:szCs w:val="20"/>
              </w:rPr>
            </w:pPr>
            <w:r w:rsidRPr="00B07FB9">
              <w:rPr>
                <w:rFonts w:ascii="Arial Narrow" w:hAnsi="Arial Narrow"/>
                <w:b/>
                <w:bCs/>
                <w:sz w:val="20"/>
                <w:szCs w:val="20"/>
              </w:rPr>
              <w:t>Niraparib</w:t>
            </w:r>
          </w:p>
          <w:p w14:paraId="10FA1497" w14:textId="77777777" w:rsidR="002968E2" w:rsidRPr="00B07FB9" w:rsidRDefault="002968E2" w:rsidP="00D72CA1">
            <w:pPr>
              <w:keepNext/>
              <w:keepLines/>
              <w:widowControl w:val="0"/>
              <w:jc w:val="center"/>
              <w:rPr>
                <w:rFonts w:ascii="Arial Narrow" w:hAnsi="Arial Narrow"/>
                <w:b/>
                <w:bCs/>
                <w:sz w:val="20"/>
                <w:szCs w:val="20"/>
              </w:rPr>
            </w:pPr>
            <w:r w:rsidRPr="00B07FB9">
              <w:rPr>
                <w:rFonts w:ascii="Arial Narrow" w:hAnsi="Arial Narrow"/>
                <w:b/>
                <w:bCs/>
                <w:sz w:val="20"/>
                <w:szCs w:val="20"/>
              </w:rPr>
              <w:t>(N=307)</w:t>
            </w:r>
          </w:p>
        </w:tc>
        <w:tc>
          <w:tcPr>
            <w:tcW w:w="703" w:type="pct"/>
            <w:shd w:val="clear" w:color="auto" w:fill="FFFFFF" w:themeFill="background1"/>
            <w:vAlign w:val="center"/>
          </w:tcPr>
          <w:p w14:paraId="64F49CC0" w14:textId="28D4382B" w:rsidR="002968E2" w:rsidRPr="00B07FB9" w:rsidRDefault="002968E2" w:rsidP="00D72CA1">
            <w:pPr>
              <w:keepNext/>
              <w:keepLines/>
              <w:widowControl w:val="0"/>
              <w:jc w:val="center"/>
              <w:rPr>
                <w:rFonts w:ascii="Arial Narrow" w:hAnsi="Arial Narrow"/>
                <w:b/>
                <w:bCs/>
                <w:sz w:val="20"/>
                <w:szCs w:val="20"/>
              </w:rPr>
            </w:pPr>
            <w:r w:rsidRPr="00B07FB9">
              <w:rPr>
                <w:rFonts w:ascii="Arial Narrow" w:hAnsi="Arial Narrow"/>
                <w:b/>
                <w:bCs/>
                <w:sz w:val="20"/>
                <w:szCs w:val="20"/>
              </w:rPr>
              <w:t>Placebo</w:t>
            </w:r>
          </w:p>
          <w:p w14:paraId="172E5EEC" w14:textId="77777777" w:rsidR="002968E2" w:rsidRPr="00B07FB9" w:rsidRDefault="002968E2" w:rsidP="00D72CA1">
            <w:pPr>
              <w:keepNext/>
              <w:keepLines/>
              <w:widowControl w:val="0"/>
              <w:jc w:val="center"/>
              <w:rPr>
                <w:rFonts w:ascii="Arial Narrow" w:hAnsi="Arial Narrow"/>
                <w:b/>
                <w:bCs/>
                <w:sz w:val="20"/>
                <w:szCs w:val="20"/>
              </w:rPr>
            </w:pPr>
            <w:r w:rsidRPr="00B07FB9">
              <w:rPr>
                <w:rFonts w:ascii="Arial Narrow" w:hAnsi="Arial Narrow"/>
                <w:b/>
                <w:bCs/>
                <w:sz w:val="20"/>
                <w:szCs w:val="20"/>
              </w:rPr>
              <w:t>(N=162)</w:t>
            </w:r>
          </w:p>
        </w:tc>
        <w:tc>
          <w:tcPr>
            <w:tcW w:w="940" w:type="pct"/>
            <w:shd w:val="clear" w:color="auto" w:fill="FFFFFF" w:themeFill="background1"/>
          </w:tcPr>
          <w:p w14:paraId="68FC5029" w14:textId="77777777" w:rsidR="002968E2" w:rsidRPr="00B07FB9" w:rsidRDefault="002968E2" w:rsidP="00D72CA1">
            <w:pPr>
              <w:keepNext/>
              <w:keepLines/>
              <w:widowControl w:val="0"/>
              <w:jc w:val="center"/>
              <w:rPr>
                <w:rFonts w:ascii="Arial Narrow" w:hAnsi="Arial Narrow"/>
                <w:b/>
                <w:bCs/>
                <w:sz w:val="20"/>
                <w:szCs w:val="20"/>
              </w:rPr>
            </w:pPr>
            <w:r w:rsidRPr="00B07FB9">
              <w:rPr>
                <w:rFonts w:ascii="Arial Narrow" w:hAnsi="Arial Narrow"/>
                <w:b/>
                <w:bCs/>
                <w:sz w:val="20"/>
                <w:szCs w:val="20"/>
              </w:rPr>
              <w:t xml:space="preserve">Risk difference </w:t>
            </w:r>
          </w:p>
          <w:p w14:paraId="329C193A" w14:textId="77777777" w:rsidR="002968E2" w:rsidRPr="00B07FB9" w:rsidRDefault="002968E2" w:rsidP="00D72CA1">
            <w:pPr>
              <w:keepNext/>
              <w:keepLines/>
              <w:widowControl w:val="0"/>
              <w:jc w:val="center"/>
              <w:rPr>
                <w:rFonts w:ascii="Arial Narrow" w:hAnsi="Arial Narrow"/>
                <w:b/>
                <w:bCs/>
                <w:sz w:val="20"/>
                <w:szCs w:val="20"/>
                <w:vertAlign w:val="superscript"/>
              </w:rPr>
            </w:pPr>
            <w:r w:rsidRPr="00B07FB9">
              <w:rPr>
                <w:rFonts w:ascii="Arial Narrow" w:hAnsi="Arial Narrow"/>
                <w:b/>
                <w:bCs/>
                <w:sz w:val="20"/>
                <w:szCs w:val="20"/>
              </w:rPr>
              <w:t>(95% CI)</w:t>
            </w:r>
            <w:r w:rsidRPr="00B07FB9">
              <w:rPr>
                <w:rFonts w:ascii="Arial Narrow" w:hAnsi="Arial Narrow"/>
                <w:b/>
                <w:bCs/>
                <w:sz w:val="20"/>
                <w:szCs w:val="20"/>
                <w:vertAlign w:val="superscript"/>
              </w:rPr>
              <w:t>a</w:t>
            </w:r>
          </w:p>
        </w:tc>
        <w:tc>
          <w:tcPr>
            <w:tcW w:w="783" w:type="pct"/>
            <w:shd w:val="clear" w:color="auto" w:fill="FFFFFF" w:themeFill="background1"/>
          </w:tcPr>
          <w:p w14:paraId="298081DD" w14:textId="77777777" w:rsidR="002968E2" w:rsidRPr="00B07FB9" w:rsidRDefault="002968E2" w:rsidP="00D72CA1">
            <w:pPr>
              <w:keepNext/>
              <w:keepLines/>
              <w:widowControl w:val="0"/>
              <w:jc w:val="center"/>
              <w:rPr>
                <w:rFonts w:ascii="Arial Narrow" w:hAnsi="Arial Narrow"/>
                <w:b/>
                <w:bCs/>
                <w:sz w:val="20"/>
                <w:szCs w:val="20"/>
              </w:rPr>
            </w:pPr>
            <w:r w:rsidRPr="00B07FB9">
              <w:rPr>
                <w:rFonts w:ascii="Arial Narrow" w:hAnsi="Arial Narrow"/>
                <w:b/>
                <w:bCs/>
                <w:sz w:val="20"/>
                <w:szCs w:val="20"/>
              </w:rPr>
              <w:t>Relative risk</w:t>
            </w:r>
          </w:p>
          <w:p w14:paraId="4202D32D" w14:textId="77777777" w:rsidR="002968E2" w:rsidRPr="00B07FB9" w:rsidRDefault="002968E2" w:rsidP="00D72CA1">
            <w:pPr>
              <w:keepNext/>
              <w:keepLines/>
              <w:widowControl w:val="0"/>
              <w:jc w:val="center"/>
              <w:rPr>
                <w:rFonts w:ascii="Arial Narrow" w:hAnsi="Arial Narrow"/>
                <w:b/>
                <w:bCs/>
                <w:sz w:val="20"/>
                <w:szCs w:val="20"/>
                <w:vertAlign w:val="superscript"/>
              </w:rPr>
            </w:pPr>
            <w:r w:rsidRPr="00B07FB9">
              <w:rPr>
                <w:rFonts w:ascii="Arial Narrow" w:hAnsi="Arial Narrow"/>
                <w:b/>
                <w:bCs/>
                <w:sz w:val="20"/>
                <w:szCs w:val="20"/>
              </w:rPr>
              <w:t>(95% CI)</w:t>
            </w:r>
            <w:r w:rsidRPr="00B07FB9">
              <w:rPr>
                <w:rFonts w:ascii="Arial Narrow" w:hAnsi="Arial Narrow"/>
                <w:b/>
                <w:bCs/>
                <w:sz w:val="20"/>
                <w:szCs w:val="20"/>
                <w:vertAlign w:val="superscript"/>
              </w:rPr>
              <w:t>a</w:t>
            </w:r>
          </w:p>
        </w:tc>
        <w:tc>
          <w:tcPr>
            <w:tcW w:w="851" w:type="pct"/>
            <w:shd w:val="clear" w:color="auto" w:fill="FFFFFF" w:themeFill="background1"/>
          </w:tcPr>
          <w:p w14:paraId="468FD44E" w14:textId="77777777" w:rsidR="002968E2" w:rsidRPr="00B07FB9" w:rsidRDefault="002968E2" w:rsidP="00D72CA1">
            <w:pPr>
              <w:keepNext/>
              <w:keepLines/>
              <w:widowControl w:val="0"/>
              <w:jc w:val="center"/>
              <w:rPr>
                <w:rFonts w:ascii="Arial Narrow" w:hAnsi="Arial Narrow"/>
                <w:b/>
                <w:bCs/>
                <w:sz w:val="20"/>
                <w:szCs w:val="20"/>
              </w:rPr>
            </w:pPr>
            <w:r w:rsidRPr="00B07FB9">
              <w:rPr>
                <w:rFonts w:ascii="Arial Narrow" w:hAnsi="Arial Narrow"/>
                <w:b/>
                <w:bCs/>
                <w:sz w:val="20"/>
                <w:szCs w:val="20"/>
              </w:rPr>
              <w:t>Odds ratio</w:t>
            </w:r>
          </w:p>
          <w:p w14:paraId="57C5CAF4" w14:textId="16D089E8" w:rsidR="002968E2" w:rsidRPr="00B07FB9" w:rsidRDefault="002968E2" w:rsidP="00D72CA1">
            <w:pPr>
              <w:keepNext/>
              <w:keepLines/>
              <w:widowControl w:val="0"/>
              <w:jc w:val="center"/>
              <w:rPr>
                <w:rFonts w:ascii="Arial Narrow" w:hAnsi="Arial Narrow"/>
                <w:b/>
                <w:bCs/>
                <w:sz w:val="20"/>
                <w:szCs w:val="20"/>
              </w:rPr>
            </w:pPr>
            <w:r w:rsidRPr="00B07FB9">
              <w:rPr>
                <w:rFonts w:ascii="Arial Narrow" w:hAnsi="Arial Narrow"/>
                <w:b/>
                <w:bCs/>
                <w:sz w:val="20"/>
                <w:szCs w:val="20"/>
              </w:rPr>
              <w:t>(95% CI)</w:t>
            </w:r>
            <w:r w:rsidRPr="00B07FB9">
              <w:rPr>
                <w:rFonts w:ascii="Arial Narrow" w:hAnsi="Arial Narrow"/>
                <w:b/>
                <w:bCs/>
                <w:sz w:val="20"/>
                <w:szCs w:val="20"/>
                <w:vertAlign w:val="superscript"/>
              </w:rPr>
              <w:t>a</w:t>
            </w:r>
          </w:p>
        </w:tc>
      </w:tr>
      <w:tr w:rsidR="002968E2" w:rsidRPr="00B07FB9" w14:paraId="6E9B1027" w14:textId="58E25F41" w:rsidTr="002968E2">
        <w:tc>
          <w:tcPr>
            <w:tcW w:w="1019" w:type="pct"/>
            <w:vAlign w:val="center"/>
          </w:tcPr>
          <w:p w14:paraId="311FC1D8" w14:textId="77777777" w:rsidR="002968E2" w:rsidRPr="00B07FB9" w:rsidRDefault="002968E2" w:rsidP="00D72CA1">
            <w:pPr>
              <w:keepNext/>
              <w:keepLines/>
              <w:widowControl w:val="0"/>
              <w:jc w:val="left"/>
              <w:rPr>
                <w:rFonts w:ascii="Arial Narrow" w:hAnsi="Arial Narrow"/>
                <w:sz w:val="20"/>
                <w:szCs w:val="20"/>
              </w:rPr>
            </w:pPr>
            <w:r w:rsidRPr="00B07FB9">
              <w:rPr>
                <w:rFonts w:ascii="Arial Narrow" w:hAnsi="Arial Narrow"/>
                <w:sz w:val="20"/>
                <w:szCs w:val="20"/>
              </w:rPr>
              <w:t>Any TEAE</w:t>
            </w:r>
          </w:p>
        </w:tc>
        <w:tc>
          <w:tcPr>
            <w:tcW w:w="705" w:type="pct"/>
            <w:vAlign w:val="center"/>
          </w:tcPr>
          <w:p w14:paraId="2A5C3FF5"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304 (99.0)</w:t>
            </w:r>
          </w:p>
        </w:tc>
        <w:tc>
          <w:tcPr>
            <w:tcW w:w="703" w:type="pct"/>
            <w:vAlign w:val="center"/>
          </w:tcPr>
          <w:p w14:paraId="300E59BB"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147 (90.7)</w:t>
            </w:r>
          </w:p>
        </w:tc>
        <w:tc>
          <w:tcPr>
            <w:tcW w:w="940" w:type="pct"/>
            <w:vAlign w:val="center"/>
          </w:tcPr>
          <w:p w14:paraId="31953436"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8.3% (3.7%, 12.9%)</w:t>
            </w:r>
          </w:p>
        </w:tc>
        <w:tc>
          <w:tcPr>
            <w:tcW w:w="783" w:type="pct"/>
            <w:vAlign w:val="center"/>
          </w:tcPr>
          <w:p w14:paraId="4400D292"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1.09 (1.04, 1.15)</w:t>
            </w:r>
          </w:p>
        </w:tc>
        <w:tc>
          <w:tcPr>
            <w:tcW w:w="851" w:type="pct"/>
          </w:tcPr>
          <w:p w14:paraId="788CD8BB" w14:textId="59474D64"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10.34 (2.95, 36.28)</w:t>
            </w:r>
          </w:p>
        </w:tc>
      </w:tr>
      <w:tr w:rsidR="002968E2" w:rsidRPr="00B07FB9" w14:paraId="6320AAAE" w14:textId="16BC6FE7" w:rsidTr="002968E2">
        <w:tc>
          <w:tcPr>
            <w:tcW w:w="1019" w:type="pct"/>
            <w:vAlign w:val="center"/>
          </w:tcPr>
          <w:p w14:paraId="4DC799E9" w14:textId="77777777" w:rsidR="002968E2" w:rsidRPr="00B07FB9" w:rsidRDefault="002968E2" w:rsidP="00D72CA1">
            <w:pPr>
              <w:keepNext/>
              <w:keepLines/>
              <w:widowControl w:val="0"/>
              <w:jc w:val="left"/>
              <w:rPr>
                <w:rFonts w:ascii="Arial Narrow" w:hAnsi="Arial Narrow"/>
                <w:sz w:val="20"/>
                <w:szCs w:val="20"/>
              </w:rPr>
            </w:pPr>
            <w:r w:rsidRPr="00B07FB9">
              <w:rPr>
                <w:rFonts w:ascii="Arial Narrow" w:hAnsi="Arial Narrow"/>
                <w:sz w:val="20"/>
                <w:szCs w:val="20"/>
              </w:rPr>
              <w:t>≥ Grade 3 TEAE</w:t>
            </w:r>
          </w:p>
        </w:tc>
        <w:tc>
          <w:tcPr>
            <w:tcW w:w="705" w:type="pct"/>
            <w:vAlign w:val="center"/>
          </w:tcPr>
          <w:p w14:paraId="7D684F4A"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223 (72.6)</w:t>
            </w:r>
          </w:p>
        </w:tc>
        <w:tc>
          <w:tcPr>
            <w:tcW w:w="703" w:type="pct"/>
            <w:vAlign w:val="center"/>
          </w:tcPr>
          <w:p w14:paraId="25B6CD4F"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31 (19.1)</w:t>
            </w:r>
          </w:p>
        </w:tc>
        <w:tc>
          <w:tcPr>
            <w:tcW w:w="940" w:type="pct"/>
            <w:vAlign w:val="center"/>
          </w:tcPr>
          <w:p w14:paraId="70EF1A40"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53.5% (45.7%, 61.3%)</w:t>
            </w:r>
          </w:p>
        </w:tc>
        <w:tc>
          <w:tcPr>
            <w:tcW w:w="783" w:type="pct"/>
            <w:vAlign w:val="center"/>
          </w:tcPr>
          <w:p w14:paraId="1FCEFF30" w14:textId="3D309BF6"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3.80 (2.75, 5.25)</w:t>
            </w:r>
          </w:p>
        </w:tc>
        <w:tc>
          <w:tcPr>
            <w:tcW w:w="851" w:type="pct"/>
          </w:tcPr>
          <w:p w14:paraId="59CE17C1" w14:textId="1F70D371"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11.22 (7.05, 17.86)</w:t>
            </w:r>
          </w:p>
        </w:tc>
      </w:tr>
      <w:tr w:rsidR="002968E2" w:rsidRPr="00B07FB9" w14:paraId="75E905F7" w14:textId="4C54F00D" w:rsidTr="002968E2">
        <w:tc>
          <w:tcPr>
            <w:tcW w:w="1019" w:type="pct"/>
            <w:vAlign w:val="center"/>
          </w:tcPr>
          <w:p w14:paraId="7740B1AB" w14:textId="77777777" w:rsidR="002968E2" w:rsidRPr="00B07FB9" w:rsidRDefault="002968E2" w:rsidP="00D72CA1">
            <w:pPr>
              <w:keepNext/>
              <w:keepLines/>
              <w:widowControl w:val="0"/>
              <w:jc w:val="left"/>
              <w:rPr>
                <w:rFonts w:ascii="Arial Narrow" w:hAnsi="Arial Narrow"/>
                <w:sz w:val="20"/>
                <w:szCs w:val="20"/>
              </w:rPr>
            </w:pPr>
            <w:r w:rsidRPr="00B07FB9">
              <w:rPr>
                <w:rFonts w:ascii="Arial Narrow" w:hAnsi="Arial Narrow"/>
                <w:sz w:val="20"/>
                <w:szCs w:val="20"/>
              </w:rPr>
              <w:t>SAE</w:t>
            </w:r>
          </w:p>
        </w:tc>
        <w:tc>
          <w:tcPr>
            <w:tcW w:w="705" w:type="pct"/>
            <w:vAlign w:val="center"/>
          </w:tcPr>
          <w:p w14:paraId="07ECF2DF"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105 (34.2)</w:t>
            </w:r>
          </w:p>
        </w:tc>
        <w:tc>
          <w:tcPr>
            <w:tcW w:w="703" w:type="pct"/>
            <w:vAlign w:val="center"/>
          </w:tcPr>
          <w:p w14:paraId="282E1155"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22 (13.6)</w:t>
            </w:r>
          </w:p>
        </w:tc>
        <w:tc>
          <w:tcPr>
            <w:tcW w:w="940" w:type="pct"/>
            <w:vAlign w:val="center"/>
          </w:tcPr>
          <w:p w14:paraId="0A5BA5D3"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20.6% (13.1%, 28.1%)</w:t>
            </w:r>
          </w:p>
        </w:tc>
        <w:tc>
          <w:tcPr>
            <w:tcW w:w="783" w:type="pct"/>
            <w:vAlign w:val="center"/>
          </w:tcPr>
          <w:p w14:paraId="78F54F1D"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2.52 (1.66, 3.83)</w:t>
            </w:r>
          </w:p>
        </w:tc>
        <w:tc>
          <w:tcPr>
            <w:tcW w:w="851" w:type="pct"/>
          </w:tcPr>
          <w:p w14:paraId="00CE5227" w14:textId="466C4EEC"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3.31 (1.99, 5.50)</w:t>
            </w:r>
          </w:p>
        </w:tc>
      </w:tr>
      <w:tr w:rsidR="002968E2" w:rsidRPr="00B07FB9" w14:paraId="507F4EFE" w14:textId="547A3FB1" w:rsidTr="002968E2">
        <w:tc>
          <w:tcPr>
            <w:tcW w:w="1019" w:type="pct"/>
            <w:vAlign w:val="center"/>
          </w:tcPr>
          <w:p w14:paraId="0796CD72" w14:textId="77777777" w:rsidR="002968E2" w:rsidRPr="00B07FB9" w:rsidRDefault="002968E2" w:rsidP="00D72CA1">
            <w:pPr>
              <w:keepNext/>
              <w:keepLines/>
              <w:widowControl w:val="0"/>
              <w:jc w:val="left"/>
              <w:rPr>
                <w:rFonts w:ascii="Arial Narrow" w:hAnsi="Arial Narrow"/>
                <w:sz w:val="20"/>
                <w:szCs w:val="20"/>
              </w:rPr>
            </w:pPr>
            <w:r w:rsidRPr="00B07FB9">
              <w:rPr>
                <w:rFonts w:ascii="Arial Narrow" w:hAnsi="Arial Narrow"/>
                <w:sz w:val="20"/>
                <w:szCs w:val="20"/>
              </w:rPr>
              <w:t>TEAEs leading to treatment discontinuation</w:t>
            </w:r>
          </w:p>
        </w:tc>
        <w:tc>
          <w:tcPr>
            <w:tcW w:w="705" w:type="pct"/>
            <w:vAlign w:val="center"/>
          </w:tcPr>
          <w:p w14:paraId="3F543381"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39 (12.7)</w:t>
            </w:r>
          </w:p>
        </w:tc>
        <w:tc>
          <w:tcPr>
            <w:tcW w:w="703" w:type="pct"/>
            <w:vAlign w:val="center"/>
          </w:tcPr>
          <w:p w14:paraId="1C48B255"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4 (2.5)</w:t>
            </w:r>
          </w:p>
        </w:tc>
        <w:tc>
          <w:tcPr>
            <w:tcW w:w="940" w:type="pct"/>
            <w:vAlign w:val="center"/>
          </w:tcPr>
          <w:p w14:paraId="2BEE31E2"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10.2% (5.8%, 14.7%)</w:t>
            </w:r>
          </w:p>
        </w:tc>
        <w:tc>
          <w:tcPr>
            <w:tcW w:w="783" w:type="pct"/>
            <w:vAlign w:val="center"/>
          </w:tcPr>
          <w:p w14:paraId="6BFC7E1F"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5.14 (1.87, 14.14)</w:t>
            </w:r>
          </w:p>
        </w:tc>
        <w:tc>
          <w:tcPr>
            <w:tcW w:w="851" w:type="pct"/>
          </w:tcPr>
          <w:p w14:paraId="5185A9B6" w14:textId="441C886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5.75 (2.02, 16.39)</w:t>
            </w:r>
          </w:p>
        </w:tc>
      </w:tr>
      <w:tr w:rsidR="002968E2" w:rsidRPr="00B07FB9" w14:paraId="3C47A8F8" w14:textId="684674EB" w:rsidTr="002968E2">
        <w:tc>
          <w:tcPr>
            <w:tcW w:w="1019" w:type="pct"/>
            <w:vAlign w:val="center"/>
          </w:tcPr>
          <w:p w14:paraId="3F06371F" w14:textId="77777777" w:rsidR="002968E2" w:rsidRPr="00B07FB9" w:rsidRDefault="002968E2" w:rsidP="00D72CA1">
            <w:pPr>
              <w:keepNext/>
              <w:keepLines/>
              <w:widowControl w:val="0"/>
              <w:jc w:val="left"/>
              <w:rPr>
                <w:rFonts w:ascii="Arial Narrow" w:hAnsi="Arial Narrow"/>
                <w:sz w:val="20"/>
                <w:szCs w:val="20"/>
              </w:rPr>
            </w:pPr>
            <w:r w:rsidRPr="00B07FB9">
              <w:rPr>
                <w:rFonts w:ascii="Arial Narrow" w:hAnsi="Arial Narrow"/>
                <w:sz w:val="20"/>
                <w:szCs w:val="20"/>
              </w:rPr>
              <w:t>TEAEs leading to dose reduction</w:t>
            </w:r>
          </w:p>
        </w:tc>
        <w:tc>
          <w:tcPr>
            <w:tcW w:w="705" w:type="pct"/>
            <w:vAlign w:val="center"/>
          </w:tcPr>
          <w:p w14:paraId="6C7D79B9"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222 (72.3)</w:t>
            </w:r>
          </w:p>
        </w:tc>
        <w:tc>
          <w:tcPr>
            <w:tcW w:w="703" w:type="pct"/>
            <w:vAlign w:val="center"/>
          </w:tcPr>
          <w:p w14:paraId="24B3A9C4"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12 (7.4)</w:t>
            </w:r>
          </w:p>
        </w:tc>
        <w:tc>
          <w:tcPr>
            <w:tcW w:w="940" w:type="pct"/>
            <w:vAlign w:val="center"/>
          </w:tcPr>
          <w:p w14:paraId="1B848BE9"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64.9% (58.5%, 71.3%)</w:t>
            </w:r>
          </w:p>
        </w:tc>
        <w:tc>
          <w:tcPr>
            <w:tcW w:w="783" w:type="pct"/>
            <w:vAlign w:val="center"/>
          </w:tcPr>
          <w:p w14:paraId="46F83CF7"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9.76 (5.64, 16.9)</w:t>
            </w:r>
          </w:p>
        </w:tc>
        <w:tc>
          <w:tcPr>
            <w:tcW w:w="851" w:type="pct"/>
            <w:vAlign w:val="center"/>
          </w:tcPr>
          <w:p w14:paraId="36B76062" w14:textId="15A9BB00"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32.65 (17.23, 61.85)</w:t>
            </w:r>
          </w:p>
        </w:tc>
      </w:tr>
      <w:tr w:rsidR="002968E2" w:rsidRPr="00B07FB9" w14:paraId="60CD41C4" w14:textId="0F2291FB" w:rsidTr="002968E2">
        <w:tc>
          <w:tcPr>
            <w:tcW w:w="1019" w:type="pct"/>
            <w:vAlign w:val="center"/>
          </w:tcPr>
          <w:p w14:paraId="242A18BF" w14:textId="77777777" w:rsidR="002968E2" w:rsidRPr="00B07FB9" w:rsidRDefault="002968E2" w:rsidP="00D72CA1">
            <w:pPr>
              <w:keepNext/>
              <w:keepLines/>
              <w:widowControl w:val="0"/>
              <w:jc w:val="left"/>
              <w:rPr>
                <w:rFonts w:ascii="Arial Narrow" w:hAnsi="Arial Narrow"/>
                <w:sz w:val="20"/>
                <w:szCs w:val="20"/>
              </w:rPr>
            </w:pPr>
            <w:r w:rsidRPr="00B07FB9">
              <w:rPr>
                <w:rFonts w:ascii="Arial Narrow" w:hAnsi="Arial Narrow"/>
                <w:sz w:val="20"/>
                <w:szCs w:val="20"/>
              </w:rPr>
              <w:t>TEAEs leading to dose interruption</w:t>
            </w:r>
          </w:p>
        </w:tc>
        <w:tc>
          <w:tcPr>
            <w:tcW w:w="705" w:type="pct"/>
            <w:vAlign w:val="center"/>
          </w:tcPr>
          <w:p w14:paraId="7E042B61"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249 (81.1)</w:t>
            </w:r>
          </w:p>
        </w:tc>
        <w:tc>
          <w:tcPr>
            <w:tcW w:w="703" w:type="pct"/>
            <w:vAlign w:val="center"/>
          </w:tcPr>
          <w:p w14:paraId="010119D5"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30 (18.5)</w:t>
            </w:r>
          </w:p>
        </w:tc>
        <w:tc>
          <w:tcPr>
            <w:tcW w:w="940" w:type="pct"/>
            <w:vAlign w:val="center"/>
          </w:tcPr>
          <w:p w14:paraId="2248C1F1"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62.6% (55.2%, 70%)</w:t>
            </w:r>
          </w:p>
        </w:tc>
        <w:tc>
          <w:tcPr>
            <w:tcW w:w="783" w:type="pct"/>
            <w:vAlign w:val="center"/>
          </w:tcPr>
          <w:p w14:paraId="5C4511EB"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4.38 (3.16, 6.08)</w:t>
            </w:r>
          </w:p>
        </w:tc>
        <w:tc>
          <w:tcPr>
            <w:tcW w:w="851" w:type="pct"/>
            <w:vAlign w:val="center"/>
          </w:tcPr>
          <w:p w14:paraId="7EA2F002" w14:textId="2B77B1D6"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18.89 (11.59, 30.79)</w:t>
            </w:r>
          </w:p>
        </w:tc>
      </w:tr>
      <w:tr w:rsidR="002968E2" w:rsidRPr="00B07FB9" w14:paraId="3707A42E" w14:textId="09531B85" w:rsidTr="002968E2">
        <w:tc>
          <w:tcPr>
            <w:tcW w:w="1019" w:type="pct"/>
            <w:vAlign w:val="center"/>
          </w:tcPr>
          <w:p w14:paraId="3D60F92F" w14:textId="77777777" w:rsidR="002968E2" w:rsidRPr="00B07FB9" w:rsidRDefault="002968E2" w:rsidP="00D72CA1">
            <w:pPr>
              <w:keepNext/>
              <w:keepLines/>
              <w:widowControl w:val="0"/>
              <w:jc w:val="left"/>
              <w:rPr>
                <w:rFonts w:ascii="Arial Narrow" w:hAnsi="Arial Narrow"/>
                <w:sz w:val="20"/>
                <w:szCs w:val="20"/>
              </w:rPr>
            </w:pPr>
            <w:r w:rsidRPr="00B07FB9">
              <w:rPr>
                <w:rFonts w:ascii="Arial Narrow" w:hAnsi="Arial Narrow"/>
                <w:sz w:val="20"/>
                <w:szCs w:val="20"/>
              </w:rPr>
              <w:t>On treatment deaths</w:t>
            </w:r>
          </w:p>
        </w:tc>
        <w:tc>
          <w:tcPr>
            <w:tcW w:w="705" w:type="pct"/>
            <w:vAlign w:val="center"/>
          </w:tcPr>
          <w:p w14:paraId="4C445904"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0</w:t>
            </w:r>
          </w:p>
        </w:tc>
        <w:tc>
          <w:tcPr>
            <w:tcW w:w="703" w:type="pct"/>
            <w:vAlign w:val="center"/>
          </w:tcPr>
          <w:p w14:paraId="7517B93B"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0</w:t>
            </w:r>
          </w:p>
        </w:tc>
        <w:tc>
          <w:tcPr>
            <w:tcW w:w="940" w:type="pct"/>
            <w:vAlign w:val="center"/>
          </w:tcPr>
          <w:p w14:paraId="2A29F0EA"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0%</w:t>
            </w:r>
          </w:p>
        </w:tc>
        <w:tc>
          <w:tcPr>
            <w:tcW w:w="783" w:type="pct"/>
            <w:vAlign w:val="center"/>
          </w:tcPr>
          <w:p w14:paraId="260C0AD0" w14:textId="77777777"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Not calculable</w:t>
            </w:r>
          </w:p>
        </w:tc>
        <w:tc>
          <w:tcPr>
            <w:tcW w:w="851" w:type="pct"/>
          </w:tcPr>
          <w:p w14:paraId="321520A7" w14:textId="29EE397B" w:rsidR="002968E2" w:rsidRPr="00B07FB9" w:rsidRDefault="002968E2" w:rsidP="00D72CA1">
            <w:pPr>
              <w:keepNext/>
              <w:keepLines/>
              <w:widowControl w:val="0"/>
              <w:jc w:val="center"/>
              <w:rPr>
                <w:rFonts w:ascii="Arial Narrow" w:hAnsi="Arial Narrow"/>
                <w:sz w:val="20"/>
                <w:szCs w:val="20"/>
              </w:rPr>
            </w:pPr>
            <w:r w:rsidRPr="00B07FB9">
              <w:rPr>
                <w:rFonts w:ascii="Arial Narrow" w:hAnsi="Arial Narrow"/>
                <w:sz w:val="20"/>
                <w:szCs w:val="20"/>
              </w:rPr>
              <w:t>Not calculable</w:t>
            </w:r>
          </w:p>
        </w:tc>
      </w:tr>
    </w:tbl>
    <w:p w14:paraId="3B3251A7" w14:textId="77777777" w:rsidR="001B4E9C" w:rsidRPr="00B07FB9" w:rsidRDefault="001B4E9C" w:rsidP="00D72CA1">
      <w:pPr>
        <w:pStyle w:val="TableFigureFooter"/>
        <w:keepNext/>
        <w:keepLines/>
        <w:widowControl w:val="0"/>
      </w:pPr>
      <w:r w:rsidRPr="00B07FB9">
        <w:t>Source: Table 41, p81 of the resubmission</w:t>
      </w:r>
    </w:p>
    <w:p w14:paraId="14733E73" w14:textId="2106C4A0" w:rsidR="001B4E9C" w:rsidRPr="00B07FB9" w:rsidRDefault="00D545C3" w:rsidP="00D72CA1">
      <w:pPr>
        <w:pStyle w:val="TableFigureFooter"/>
        <w:keepNext/>
        <w:keepLines/>
        <w:widowControl w:val="0"/>
      </w:pPr>
      <w:proofErr w:type="spellStart"/>
      <w:r w:rsidRPr="00B07FB9">
        <w:t>BRCAm</w:t>
      </w:r>
      <w:proofErr w:type="spellEnd"/>
      <w:r w:rsidRPr="00B07FB9">
        <w:t xml:space="preserve"> = BRCA gene mutation; </w:t>
      </w:r>
      <w:r w:rsidR="001B4E9C" w:rsidRPr="00B07FB9">
        <w:t>CI = confidence interval; SAE = serious adverse event; TEAE = treatment-emergent adverse event</w:t>
      </w:r>
    </w:p>
    <w:p w14:paraId="242F7FE5" w14:textId="3A2454E7" w:rsidR="001B4E9C" w:rsidRPr="00B07FB9" w:rsidRDefault="001B4E9C" w:rsidP="00D72CA1">
      <w:pPr>
        <w:pStyle w:val="TableFigureFooter"/>
        <w:keepNext/>
        <w:keepLines/>
        <w:widowControl w:val="0"/>
      </w:pPr>
      <w:r w:rsidRPr="00B07FB9">
        <w:rPr>
          <w:vertAlign w:val="superscript"/>
        </w:rPr>
        <w:t>a</w:t>
      </w:r>
      <w:r w:rsidRPr="00B07FB9">
        <w:t xml:space="preserve"> Risk differences</w:t>
      </w:r>
      <w:r w:rsidR="002968E2" w:rsidRPr="00B07FB9">
        <w:t>,</w:t>
      </w:r>
      <w:r w:rsidRPr="00B07FB9">
        <w:t xml:space="preserve"> relative risks </w:t>
      </w:r>
      <w:r w:rsidR="002968E2" w:rsidRPr="00B07FB9">
        <w:t xml:space="preserve">and odds ratios </w:t>
      </w:r>
      <w:r w:rsidRPr="00B07FB9">
        <w:t>were calculated during the evaluation</w:t>
      </w:r>
      <w:r w:rsidR="00945A8F">
        <w:t>. Note that the results denoted by (</w:t>
      </w:r>
      <w:r w:rsidR="00945A8F">
        <w:rPr>
          <w:vertAlign w:val="superscript"/>
        </w:rPr>
        <w:t>a</w:t>
      </w:r>
      <w:r w:rsidR="00945A8F">
        <w:t>) are derived from post-hoc analyses conducted by the evaluation specifically for the purposes of informing the PBAC consideration. Interpretation of the results and their application should therefore be limited to seeking to understand the basis for the PBAC outcome and should not be used for any other purpose.</w:t>
      </w:r>
    </w:p>
    <w:p w14:paraId="4D4A3DEC" w14:textId="68ACEE39" w:rsidR="001B4E9C" w:rsidRPr="00B07FB9" w:rsidRDefault="001B4E9C" w:rsidP="000C6F49">
      <w:pPr>
        <w:pStyle w:val="3-BodyText"/>
        <w:widowControl w:val="0"/>
      </w:pPr>
      <w:r w:rsidRPr="00B07FB9">
        <w:t>The incidence of treatment emergent adverse events (TEAEs), ≥ Grade 3 TEAEs, serious TEAEs, and TEAEs leading to drug interruption, dose reduction and drug withdrawal were statistically significantly higher in non-</w:t>
      </w:r>
      <w:proofErr w:type="spellStart"/>
      <w:r w:rsidRPr="00B07FB9">
        <w:t>BRCAm</w:t>
      </w:r>
      <w:proofErr w:type="spellEnd"/>
      <w:r w:rsidRPr="00B07FB9">
        <w:t xml:space="preserve"> patients receiving niraparib than in the placebo arm. </w:t>
      </w:r>
      <w:r w:rsidR="00932DED" w:rsidRPr="00B07FB9">
        <w:t>Risks of these AEs ranged from 2.5 to 10 times higher with nirap</w:t>
      </w:r>
      <w:r w:rsidR="007137C1" w:rsidRPr="00B07FB9">
        <w:t>a</w:t>
      </w:r>
      <w:r w:rsidR="00932DED" w:rsidRPr="00B07FB9">
        <w:t>rib.</w:t>
      </w:r>
    </w:p>
    <w:p w14:paraId="34365662" w14:textId="31349189" w:rsidR="001B4E9C" w:rsidRPr="00B07FB9" w:rsidRDefault="001B4E9C" w:rsidP="000C6F49">
      <w:pPr>
        <w:pStyle w:val="3-BodyText"/>
        <w:widowControl w:val="0"/>
      </w:pPr>
      <w:r w:rsidRPr="00B07FB9">
        <w:t>The use of niraparib a</w:t>
      </w:r>
      <w:r w:rsidR="00932DED" w:rsidRPr="00B07FB9">
        <w:t>s</w:t>
      </w:r>
      <w:r w:rsidRPr="00B07FB9">
        <w:t xml:space="preserve"> an ISD regimen reduced the risk of haematological AEs of Grade 3 or above, </w:t>
      </w:r>
      <w:r w:rsidR="00932DED" w:rsidRPr="00B07FB9">
        <w:t>although w</w:t>
      </w:r>
      <w:r w:rsidR="008D7300" w:rsidRPr="00B07FB9">
        <w:t>as</w:t>
      </w:r>
      <w:r w:rsidR="00932DED" w:rsidRPr="00B07FB9">
        <w:t xml:space="preserve"> still</w:t>
      </w:r>
      <w:r w:rsidRPr="00B07FB9">
        <w:t xml:space="preserve"> worse than placebo. Overall, no noticeable difference in the safety profile of niraparib was observed in the non-</w:t>
      </w:r>
      <w:proofErr w:type="spellStart"/>
      <w:r w:rsidRPr="00B07FB9">
        <w:t>BRCAm</w:t>
      </w:r>
      <w:proofErr w:type="spellEnd"/>
      <w:r w:rsidRPr="00B07FB9">
        <w:t xml:space="preserve"> patients compared with that in overall population</w:t>
      </w:r>
      <w:r w:rsidR="00932DED" w:rsidRPr="00B07FB9">
        <w:t>,</w:t>
      </w:r>
      <w:r w:rsidRPr="00B07FB9">
        <w:t xml:space="preserve"> as reported in the previous submission.</w:t>
      </w:r>
    </w:p>
    <w:p w14:paraId="239CCAAA" w14:textId="77777777" w:rsidR="001B4E9C" w:rsidRPr="00B07FB9" w:rsidRDefault="001B4E9C" w:rsidP="000C6F49">
      <w:pPr>
        <w:pStyle w:val="5-SubsectionSubheading"/>
        <w:keepNext w:val="0"/>
        <w:keepLines w:val="0"/>
        <w:widowControl w:val="0"/>
      </w:pPr>
      <w:bookmarkStart w:id="30" w:name="_Toc93404191"/>
      <w:r w:rsidRPr="00B07FB9">
        <w:t xml:space="preserve">Indirect comparison of niraparib versus </w:t>
      </w:r>
      <w:proofErr w:type="spellStart"/>
      <w:r w:rsidRPr="00B07FB9">
        <w:t>olaparib</w:t>
      </w:r>
      <w:proofErr w:type="spellEnd"/>
      <w:r w:rsidRPr="00B07FB9">
        <w:t xml:space="preserve"> in </w:t>
      </w:r>
      <w:proofErr w:type="spellStart"/>
      <w:r w:rsidRPr="00B07FB9">
        <w:t>BRCAm</w:t>
      </w:r>
      <w:proofErr w:type="spellEnd"/>
      <w:r w:rsidRPr="00B07FB9">
        <w:t xml:space="preserve"> patients</w:t>
      </w:r>
      <w:bookmarkEnd w:id="30"/>
    </w:p>
    <w:p w14:paraId="5117A629" w14:textId="1876DA4B" w:rsidR="001B4E9C" w:rsidRPr="00B07FB9" w:rsidRDefault="001B4E9C" w:rsidP="000C6F49">
      <w:pPr>
        <w:pStyle w:val="3-BodyText"/>
        <w:widowControl w:val="0"/>
      </w:pPr>
      <w:r w:rsidRPr="00B07FB9">
        <w:t xml:space="preserve">The results of </w:t>
      </w:r>
      <w:r w:rsidR="00932DED" w:rsidRPr="00B07FB9">
        <w:t xml:space="preserve">the </w:t>
      </w:r>
      <w:r w:rsidRPr="00B07FB9">
        <w:t xml:space="preserve">indirect comparison for TEAEs between niraparib, at its proposed ISD regimen, and </w:t>
      </w:r>
      <w:proofErr w:type="spellStart"/>
      <w:r w:rsidRPr="00B07FB9">
        <w:t>olaparib</w:t>
      </w:r>
      <w:proofErr w:type="spellEnd"/>
      <w:r w:rsidRPr="00B07FB9">
        <w:t>, are presented below</w:t>
      </w:r>
      <w:r w:rsidR="00945A8F">
        <w:rPr>
          <w:rStyle w:val="FootnoteReference"/>
        </w:rPr>
        <w:footnoteReference w:id="13"/>
      </w:r>
      <w:r w:rsidRPr="00B07FB9">
        <w:t>.</w:t>
      </w:r>
    </w:p>
    <w:p w14:paraId="134E5AE6" w14:textId="40730EE1" w:rsidR="001B4E9C" w:rsidRPr="00B07FB9" w:rsidRDefault="001B4E9C" w:rsidP="00402F10">
      <w:pPr>
        <w:pStyle w:val="TableFigureHeading"/>
        <w:keepLines/>
        <w:widowControl w:val="0"/>
      </w:pPr>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10</w:t>
      </w:r>
      <w:r w:rsidR="00385E8C">
        <w:fldChar w:fldCharType="end"/>
      </w:r>
      <w:r w:rsidRPr="00B07FB9">
        <w:t xml:space="preserve">: Comparison of TEAEs in PRIMA ISD </w:t>
      </w:r>
      <w:proofErr w:type="spellStart"/>
      <w:r w:rsidRPr="00B07FB9">
        <w:t>cohort</w:t>
      </w:r>
      <w:r w:rsidR="002968E2" w:rsidRPr="00B07FB9">
        <w:rPr>
          <w:vertAlign w:val="superscript"/>
        </w:rPr>
        <w:t>a</w:t>
      </w:r>
      <w:proofErr w:type="spellEnd"/>
      <w:r w:rsidRPr="00B07FB9">
        <w:t xml:space="preserve"> and SOLO-1</w:t>
      </w:r>
      <w:r w:rsidR="002968E2" w:rsidRPr="00B07FB9">
        <w:rPr>
          <w:vertAlign w:val="superscript"/>
        </w:rPr>
        <w:t>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left w:w="28" w:type="dxa"/>
          <w:bottom w:w="28" w:type="dxa"/>
          <w:right w:w="28" w:type="dxa"/>
        </w:tblCellMar>
        <w:tblLook w:val="04A0" w:firstRow="1" w:lastRow="0" w:firstColumn="1" w:lastColumn="0" w:noHBand="0" w:noVBand="1"/>
        <w:tblCaption w:val="Table 10: Comparison of TEAEs in PRIMA ISD cohorta and SOLO-1b"/>
      </w:tblPr>
      <w:tblGrid>
        <w:gridCol w:w="1076"/>
        <w:gridCol w:w="1046"/>
        <w:gridCol w:w="1416"/>
        <w:gridCol w:w="1277"/>
        <w:gridCol w:w="1417"/>
        <w:gridCol w:w="1396"/>
        <w:gridCol w:w="1389"/>
      </w:tblGrid>
      <w:tr w:rsidR="001B4E9C" w:rsidRPr="00B07FB9" w14:paraId="10F94E74" w14:textId="77777777" w:rsidTr="00A4339A">
        <w:tc>
          <w:tcPr>
            <w:tcW w:w="597" w:type="pct"/>
            <w:shd w:val="clear" w:color="auto" w:fill="FFFFFF" w:themeFill="background1"/>
            <w:vAlign w:val="center"/>
          </w:tcPr>
          <w:p w14:paraId="4001E187" w14:textId="77777777" w:rsidR="001B4E9C" w:rsidRPr="00B07FB9" w:rsidRDefault="001B4E9C" w:rsidP="00402F10">
            <w:pPr>
              <w:keepNext/>
              <w:keepLines/>
              <w:widowControl w:val="0"/>
              <w:jc w:val="left"/>
              <w:rPr>
                <w:rFonts w:ascii="Arial Narrow" w:hAnsi="Arial Narrow"/>
                <w:b/>
                <w:bCs/>
                <w:sz w:val="20"/>
                <w:szCs w:val="20"/>
              </w:rPr>
            </w:pPr>
          </w:p>
        </w:tc>
        <w:tc>
          <w:tcPr>
            <w:tcW w:w="580" w:type="pct"/>
            <w:shd w:val="clear" w:color="auto" w:fill="FFFFFF" w:themeFill="background1"/>
          </w:tcPr>
          <w:p w14:paraId="2335C5D2" w14:textId="77777777" w:rsidR="001B4E9C" w:rsidRPr="00B07FB9" w:rsidRDefault="001B4E9C" w:rsidP="00402F10">
            <w:pPr>
              <w:keepNext/>
              <w:keepLines/>
              <w:widowControl w:val="0"/>
              <w:jc w:val="left"/>
              <w:rPr>
                <w:rFonts w:ascii="Arial Narrow" w:hAnsi="Arial Narrow"/>
                <w:b/>
                <w:bCs/>
                <w:sz w:val="20"/>
                <w:szCs w:val="20"/>
              </w:rPr>
            </w:pPr>
            <w:r w:rsidRPr="00B07FB9">
              <w:rPr>
                <w:rFonts w:ascii="Arial Narrow" w:hAnsi="Arial Narrow"/>
                <w:b/>
                <w:bCs/>
                <w:sz w:val="20"/>
                <w:szCs w:val="20"/>
              </w:rPr>
              <w:t>Trial</w:t>
            </w:r>
          </w:p>
        </w:tc>
        <w:tc>
          <w:tcPr>
            <w:tcW w:w="785" w:type="pct"/>
            <w:shd w:val="clear" w:color="auto" w:fill="FFFFFF" w:themeFill="background1"/>
          </w:tcPr>
          <w:p w14:paraId="60F2D198" w14:textId="77777777" w:rsidR="001B4E9C" w:rsidRPr="00B07FB9" w:rsidRDefault="001B4E9C" w:rsidP="00402F10">
            <w:pPr>
              <w:keepNext/>
              <w:keepLines/>
              <w:widowControl w:val="0"/>
              <w:jc w:val="center"/>
              <w:rPr>
                <w:rFonts w:ascii="Arial Narrow" w:hAnsi="Arial Narrow"/>
                <w:b/>
                <w:bCs/>
                <w:sz w:val="20"/>
                <w:szCs w:val="20"/>
              </w:rPr>
            </w:pPr>
            <w:proofErr w:type="spellStart"/>
            <w:r w:rsidRPr="00B07FB9">
              <w:rPr>
                <w:rFonts w:ascii="Arial Narrow" w:hAnsi="Arial Narrow"/>
                <w:b/>
                <w:bCs/>
                <w:sz w:val="20"/>
                <w:szCs w:val="20"/>
              </w:rPr>
              <w:t>PARPi</w:t>
            </w:r>
            <w:proofErr w:type="spellEnd"/>
            <w:r w:rsidRPr="00B07FB9">
              <w:rPr>
                <w:rFonts w:ascii="Arial Narrow" w:hAnsi="Arial Narrow"/>
                <w:b/>
                <w:bCs/>
                <w:sz w:val="20"/>
                <w:szCs w:val="20"/>
              </w:rPr>
              <w:br/>
              <w:t>n/N (%)</w:t>
            </w:r>
          </w:p>
        </w:tc>
        <w:tc>
          <w:tcPr>
            <w:tcW w:w="708" w:type="pct"/>
            <w:shd w:val="clear" w:color="auto" w:fill="FFFFFF" w:themeFill="background1"/>
          </w:tcPr>
          <w:p w14:paraId="5E5F98EC" w14:textId="32560AAE" w:rsidR="001B4E9C" w:rsidRPr="00B07FB9" w:rsidRDefault="001B4E9C" w:rsidP="00402F10">
            <w:pPr>
              <w:keepNext/>
              <w:keepLines/>
              <w:widowControl w:val="0"/>
              <w:jc w:val="center"/>
              <w:rPr>
                <w:rFonts w:ascii="Arial Narrow" w:hAnsi="Arial Narrow"/>
                <w:b/>
                <w:bCs/>
                <w:sz w:val="20"/>
                <w:szCs w:val="20"/>
              </w:rPr>
            </w:pPr>
            <w:r w:rsidRPr="00B07FB9">
              <w:rPr>
                <w:rFonts w:ascii="Arial Narrow" w:hAnsi="Arial Narrow"/>
                <w:b/>
                <w:bCs/>
                <w:sz w:val="20"/>
                <w:szCs w:val="20"/>
              </w:rPr>
              <w:t xml:space="preserve">Placebo </w:t>
            </w:r>
            <w:r w:rsidRPr="00B07FB9">
              <w:rPr>
                <w:rFonts w:ascii="Arial Narrow" w:hAnsi="Arial Narrow"/>
                <w:b/>
                <w:bCs/>
                <w:sz w:val="20"/>
                <w:szCs w:val="20"/>
              </w:rPr>
              <w:br/>
              <w:t>n/N (%)</w:t>
            </w:r>
          </w:p>
        </w:tc>
        <w:tc>
          <w:tcPr>
            <w:tcW w:w="786" w:type="pct"/>
            <w:shd w:val="clear" w:color="auto" w:fill="FFFFFF" w:themeFill="background1"/>
          </w:tcPr>
          <w:p w14:paraId="147A745F" w14:textId="0A05C0C4" w:rsidR="001B4E9C" w:rsidRPr="00B07FB9" w:rsidRDefault="001B4E9C" w:rsidP="00402F10">
            <w:pPr>
              <w:keepNext/>
              <w:keepLines/>
              <w:widowControl w:val="0"/>
              <w:jc w:val="center"/>
              <w:rPr>
                <w:rFonts w:ascii="Arial Narrow" w:hAnsi="Arial Narrow"/>
                <w:b/>
                <w:bCs/>
                <w:sz w:val="20"/>
                <w:szCs w:val="20"/>
                <w:vertAlign w:val="superscript"/>
              </w:rPr>
            </w:pPr>
            <w:r w:rsidRPr="00B07FB9">
              <w:rPr>
                <w:rFonts w:ascii="Arial Narrow" w:hAnsi="Arial Narrow"/>
                <w:b/>
                <w:bCs/>
                <w:sz w:val="20"/>
                <w:szCs w:val="20"/>
              </w:rPr>
              <w:t>Odds ratio</w:t>
            </w:r>
            <w:r w:rsidRPr="00B07FB9">
              <w:rPr>
                <w:rFonts w:ascii="Arial Narrow" w:hAnsi="Arial Narrow"/>
                <w:b/>
                <w:bCs/>
                <w:sz w:val="20"/>
                <w:szCs w:val="20"/>
              </w:rPr>
              <w:br/>
              <w:t>(95% CI)</w:t>
            </w:r>
            <w:r w:rsidR="00945A8F">
              <w:rPr>
                <w:rFonts w:ascii="Arial Narrow" w:hAnsi="Arial Narrow"/>
                <w:b/>
                <w:bCs/>
                <w:sz w:val="20"/>
                <w:szCs w:val="20"/>
                <w:vertAlign w:val="superscript"/>
              </w:rPr>
              <w:t>c</w:t>
            </w:r>
          </w:p>
        </w:tc>
        <w:tc>
          <w:tcPr>
            <w:tcW w:w="774" w:type="pct"/>
            <w:shd w:val="clear" w:color="auto" w:fill="FFFFFF" w:themeFill="background1"/>
          </w:tcPr>
          <w:p w14:paraId="38CF23CC" w14:textId="19C0E26B" w:rsidR="001B4E9C" w:rsidRPr="00B07FB9" w:rsidRDefault="001B4E9C" w:rsidP="00402F10">
            <w:pPr>
              <w:keepNext/>
              <w:keepLines/>
              <w:widowControl w:val="0"/>
              <w:jc w:val="center"/>
              <w:rPr>
                <w:rFonts w:ascii="Arial Narrow" w:hAnsi="Arial Narrow"/>
                <w:b/>
                <w:bCs/>
                <w:sz w:val="20"/>
                <w:szCs w:val="20"/>
                <w:vertAlign w:val="superscript"/>
              </w:rPr>
            </w:pPr>
            <w:r w:rsidRPr="00B07FB9">
              <w:rPr>
                <w:rFonts w:ascii="Arial Narrow" w:hAnsi="Arial Narrow"/>
                <w:b/>
                <w:bCs/>
                <w:sz w:val="20"/>
                <w:szCs w:val="20"/>
              </w:rPr>
              <w:t>Relative risk</w:t>
            </w:r>
            <w:r w:rsidRPr="00B07FB9">
              <w:rPr>
                <w:rFonts w:ascii="Arial Narrow" w:hAnsi="Arial Narrow"/>
                <w:b/>
                <w:bCs/>
                <w:sz w:val="20"/>
                <w:szCs w:val="20"/>
              </w:rPr>
              <w:br/>
              <w:t>(95% CI)</w:t>
            </w:r>
            <w:r w:rsidR="00945A8F">
              <w:rPr>
                <w:rFonts w:ascii="Arial Narrow" w:hAnsi="Arial Narrow"/>
                <w:b/>
                <w:bCs/>
                <w:sz w:val="20"/>
                <w:szCs w:val="20"/>
                <w:vertAlign w:val="superscript"/>
              </w:rPr>
              <w:t>c</w:t>
            </w:r>
          </w:p>
        </w:tc>
        <w:tc>
          <w:tcPr>
            <w:tcW w:w="771" w:type="pct"/>
            <w:shd w:val="clear" w:color="auto" w:fill="FFFFFF" w:themeFill="background1"/>
          </w:tcPr>
          <w:p w14:paraId="7D9D274A" w14:textId="17BAD3BA" w:rsidR="001B4E9C" w:rsidRPr="00B07FB9" w:rsidRDefault="001B4E9C" w:rsidP="00402F10">
            <w:pPr>
              <w:keepNext/>
              <w:keepLines/>
              <w:widowControl w:val="0"/>
              <w:jc w:val="center"/>
              <w:rPr>
                <w:rFonts w:ascii="Arial Narrow" w:hAnsi="Arial Narrow"/>
                <w:b/>
                <w:bCs/>
                <w:sz w:val="20"/>
                <w:szCs w:val="20"/>
                <w:vertAlign w:val="superscript"/>
              </w:rPr>
            </w:pPr>
            <w:r w:rsidRPr="00B07FB9">
              <w:rPr>
                <w:rFonts w:ascii="Arial Narrow" w:hAnsi="Arial Narrow"/>
                <w:b/>
                <w:bCs/>
                <w:sz w:val="20"/>
                <w:szCs w:val="20"/>
              </w:rPr>
              <w:t xml:space="preserve">Risk difference </w:t>
            </w:r>
            <w:r w:rsidRPr="00B07FB9">
              <w:rPr>
                <w:rFonts w:ascii="Arial Narrow" w:hAnsi="Arial Narrow"/>
                <w:b/>
                <w:bCs/>
                <w:sz w:val="20"/>
                <w:szCs w:val="20"/>
              </w:rPr>
              <w:br/>
              <w:t>(95% CI)</w:t>
            </w:r>
            <w:r w:rsidR="00945A8F">
              <w:rPr>
                <w:rFonts w:ascii="Arial Narrow" w:hAnsi="Arial Narrow"/>
                <w:b/>
                <w:bCs/>
                <w:sz w:val="20"/>
                <w:szCs w:val="20"/>
                <w:vertAlign w:val="superscript"/>
              </w:rPr>
              <w:t>c</w:t>
            </w:r>
          </w:p>
        </w:tc>
      </w:tr>
      <w:tr w:rsidR="001B4E9C" w:rsidRPr="00B07FB9" w14:paraId="7F1FEE1A" w14:textId="77777777" w:rsidTr="00D564E8">
        <w:tc>
          <w:tcPr>
            <w:tcW w:w="5000" w:type="pct"/>
            <w:gridSpan w:val="7"/>
            <w:shd w:val="clear" w:color="auto" w:fill="FFFFFF" w:themeFill="background1"/>
          </w:tcPr>
          <w:p w14:paraId="47436253" w14:textId="77777777" w:rsidR="001B4E9C" w:rsidRPr="00B07FB9" w:rsidRDefault="001B4E9C" w:rsidP="00402F10">
            <w:pPr>
              <w:keepNext/>
              <w:keepLines/>
              <w:widowControl w:val="0"/>
              <w:jc w:val="left"/>
              <w:rPr>
                <w:rFonts w:ascii="Arial Narrow" w:hAnsi="Arial Narrow"/>
                <w:b/>
                <w:sz w:val="20"/>
                <w:szCs w:val="20"/>
              </w:rPr>
            </w:pPr>
            <w:r w:rsidRPr="00B07FB9">
              <w:rPr>
                <w:rFonts w:ascii="Arial Narrow" w:hAnsi="Arial Narrow"/>
                <w:b/>
                <w:sz w:val="20"/>
                <w:szCs w:val="20"/>
              </w:rPr>
              <w:t>Any TEAEs</w:t>
            </w:r>
          </w:p>
        </w:tc>
      </w:tr>
      <w:tr w:rsidR="001B4E9C" w:rsidRPr="00B07FB9" w14:paraId="7F6439CE" w14:textId="77777777" w:rsidTr="00A4339A">
        <w:tc>
          <w:tcPr>
            <w:tcW w:w="597" w:type="pct"/>
            <w:shd w:val="clear" w:color="auto" w:fill="FFFFFF" w:themeFill="background1"/>
          </w:tcPr>
          <w:p w14:paraId="06FE677D" w14:textId="4E338127" w:rsidR="001B4E9C" w:rsidRPr="00B07FB9" w:rsidRDefault="001B4E9C" w:rsidP="00402F10">
            <w:pPr>
              <w:keepNext/>
              <w:keepLines/>
              <w:widowControl w:val="0"/>
              <w:ind w:right="-57"/>
              <w:jc w:val="left"/>
              <w:rPr>
                <w:rFonts w:ascii="Arial Narrow" w:hAnsi="Arial Narrow"/>
                <w:sz w:val="20"/>
                <w:szCs w:val="20"/>
              </w:rPr>
            </w:pPr>
            <w:r w:rsidRPr="00B07FB9">
              <w:rPr>
                <w:rFonts w:ascii="Arial Narrow" w:hAnsi="Arial Narrow"/>
                <w:sz w:val="20"/>
                <w:szCs w:val="20"/>
              </w:rPr>
              <w:t>NIRA vs. PBO</w:t>
            </w:r>
          </w:p>
        </w:tc>
        <w:tc>
          <w:tcPr>
            <w:tcW w:w="580" w:type="pct"/>
            <w:shd w:val="clear" w:color="auto" w:fill="FFFFFF" w:themeFill="background1"/>
          </w:tcPr>
          <w:p w14:paraId="68D4EC9E" w14:textId="281275CF" w:rsidR="001B4E9C" w:rsidRPr="00B07FB9" w:rsidRDefault="001B4E9C" w:rsidP="00402F10">
            <w:pPr>
              <w:keepNext/>
              <w:keepLines/>
              <w:widowControl w:val="0"/>
              <w:jc w:val="left"/>
              <w:rPr>
                <w:rFonts w:ascii="Arial Narrow" w:hAnsi="Arial Narrow"/>
                <w:sz w:val="20"/>
                <w:szCs w:val="20"/>
                <w:vertAlign w:val="superscript"/>
              </w:rPr>
            </w:pPr>
            <w:r w:rsidRPr="00B07FB9">
              <w:rPr>
                <w:rFonts w:ascii="Arial Narrow" w:hAnsi="Arial Narrow"/>
                <w:sz w:val="20"/>
                <w:szCs w:val="20"/>
              </w:rPr>
              <w:t>PRIMA ISD cohort</w:t>
            </w:r>
          </w:p>
        </w:tc>
        <w:tc>
          <w:tcPr>
            <w:tcW w:w="785" w:type="pct"/>
            <w:shd w:val="clear" w:color="auto" w:fill="CCECFF"/>
            <w:vAlign w:val="center"/>
          </w:tcPr>
          <w:p w14:paraId="4B864ACE" w14:textId="77777777" w:rsidR="001B4E9C" w:rsidRPr="00B07FB9" w:rsidRDefault="001B4E9C" w:rsidP="00402F10">
            <w:pPr>
              <w:keepNext/>
              <w:keepLines/>
              <w:widowControl w:val="0"/>
              <w:ind w:left="-57" w:right="-57"/>
              <w:jc w:val="center"/>
              <w:rPr>
                <w:rFonts w:ascii="Arial Narrow" w:hAnsi="Arial Narrow"/>
                <w:sz w:val="20"/>
                <w:szCs w:val="20"/>
              </w:rPr>
            </w:pPr>
            <w:r w:rsidRPr="00B07FB9">
              <w:rPr>
                <w:rFonts w:ascii="Arial Narrow" w:hAnsi="Arial Narrow"/>
                <w:sz w:val="20"/>
                <w:szCs w:val="20"/>
              </w:rPr>
              <w:t>165/169 (97.6%)</w:t>
            </w:r>
          </w:p>
        </w:tc>
        <w:tc>
          <w:tcPr>
            <w:tcW w:w="708" w:type="pct"/>
            <w:shd w:val="clear" w:color="auto" w:fill="CCECFF"/>
            <w:vAlign w:val="center"/>
          </w:tcPr>
          <w:p w14:paraId="79F09FC4"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76/86 (88.4%)</w:t>
            </w:r>
          </w:p>
        </w:tc>
        <w:tc>
          <w:tcPr>
            <w:tcW w:w="786" w:type="pct"/>
            <w:shd w:val="clear" w:color="auto" w:fill="CCECFF"/>
            <w:vAlign w:val="center"/>
          </w:tcPr>
          <w:p w14:paraId="1F2E27BA"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5.43 (1.65, 17.86)</w:t>
            </w:r>
          </w:p>
        </w:tc>
        <w:tc>
          <w:tcPr>
            <w:tcW w:w="774" w:type="pct"/>
            <w:shd w:val="clear" w:color="auto" w:fill="CCECFF"/>
            <w:vAlign w:val="center"/>
          </w:tcPr>
          <w:p w14:paraId="48B6D86C"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1.10 (1.02, 1.20)</w:t>
            </w:r>
          </w:p>
        </w:tc>
        <w:tc>
          <w:tcPr>
            <w:tcW w:w="771" w:type="pct"/>
            <w:shd w:val="clear" w:color="auto" w:fill="CCECFF"/>
            <w:vAlign w:val="center"/>
          </w:tcPr>
          <w:p w14:paraId="29997683"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0.09 (0.02, 0.16)</w:t>
            </w:r>
          </w:p>
        </w:tc>
      </w:tr>
      <w:tr w:rsidR="001B4E9C" w:rsidRPr="00B07FB9" w14:paraId="77B703EB" w14:textId="77777777" w:rsidTr="00A4339A">
        <w:tc>
          <w:tcPr>
            <w:tcW w:w="597" w:type="pct"/>
            <w:shd w:val="clear" w:color="auto" w:fill="FFFFFF" w:themeFill="background1"/>
          </w:tcPr>
          <w:p w14:paraId="430A9935" w14:textId="64752C3F" w:rsidR="001B4E9C" w:rsidRPr="00B07FB9" w:rsidRDefault="001B4E9C" w:rsidP="00402F10">
            <w:pPr>
              <w:keepNext/>
              <w:keepLines/>
              <w:widowControl w:val="0"/>
              <w:jc w:val="left"/>
              <w:rPr>
                <w:rFonts w:ascii="Arial Narrow" w:hAnsi="Arial Narrow"/>
                <w:sz w:val="20"/>
                <w:szCs w:val="20"/>
              </w:rPr>
            </w:pPr>
            <w:r w:rsidRPr="00B07FB9">
              <w:rPr>
                <w:rFonts w:ascii="Arial Narrow" w:hAnsi="Arial Narrow"/>
                <w:sz w:val="20"/>
                <w:szCs w:val="20"/>
              </w:rPr>
              <w:t>OLA vs. PBO</w:t>
            </w:r>
          </w:p>
        </w:tc>
        <w:tc>
          <w:tcPr>
            <w:tcW w:w="580" w:type="pct"/>
            <w:shd w:val="clear" w:color="auto" w:fill="FFFFFF" w:themeFill="background1"/>
          </w:tcPr>
          <w:p w14:paraId="08A46C63" w14:textId="5FD4708A" w:rsidR="001B4E9C" w:rsidRPr="00B07FB9" w:rsidRDefault="001B4E9C" w:rsidP="00402F10">
            <w:pPr>
              <w:keepNext/>
              <w:keepLines/>
              <w:widowControl w:val="0"/>
              <w:jc w:val="left"/>
              <w:rPr>
                <w:rFonts w:ascii="Arial Narrow" w:hAnsi="Arial Narrow"/>
                <w:sz w:val="20"/>
                <w:szCs w:val="20"/>
                <w:vertAlign w:val="superscript"/>
              </w:rPr>
            </w:pPr>
            <w:r w:rsidRPr="00B07FB9">
              <w:rPr>
                <w:rFonts w:ascii="Arial Narrow" w:hAnsi="Arial Narrow"/>
                <w:sz w:val="20"/>
                <w:szCs w:val="20"/>
              </w:rPr>
              <w:t>SOLO-1</w:t>
            </w:r>
          </w:p>
        </w:tc>
        <w:tc>
          <w:tcPr>
            <w:tcW w:w="785" w:type="pct"/>
            <w:shd w:val="clear" w:color="auto" w:fill="CCECFF"/>
            <w:vAlign w:val="center"/>
          </w:tcPr>
          <w:p w14:paraId="26DEB52F" w14:textId="77777777" w:rsidR="001B4E9C" w:rsidRPr="00B07FB9" w:rsidRDefault="001B4E9C" w:rsidP="00402F10">
            <w:pPr>
              <w:keepNext/>
              <w:keepLines/>
              <w:widowControl w:val="0"/>
              <w:ind w:left="-57" w:right="-57"/>
              <w:jc w:val="center"/>
              <w:rPr>
                <w:rFonts w:ascii="Arial Narrow" w:hAnsi="Arial Narrow"/>
                <w:sz w:val="20"/>
                <w:szCs w:val="20"/>
              </w:rPr>
            </w:pPr>
            <w:r w:rsidRPr="00B07FB9">
              <w:rPr>
                <w:rFonts w:ascii="Arial Narrow" w:hAnsi="Arial Narrow"/>
                <w:sz w:val="20"/>
                <w:szCs w:val="20"/>
              </w:rPr>
              <w:t>256/260 (98.5%)</w:t>
            </w:r>
          </w:p>
        </w:tc>
        <w:tc>
          <w:tcPr>
            <w:tcW w:w="708" w:type="pct"/>
            <w:shd w:val="clear" w:color="auto" w:fill="CCECFF"/>
            <w:vAlign w:val="center"/>
          </w:tcPr>
          <w:p w14:paraId="48D98DC9" w14:textId="77777777" w:rsidR="001B4E9C" w:rsidRPr="00B07FB9" w:rsidRDefault="001B4E9C" w:rsidP="00402F10">
            <w:pPr>
              <w:keepNext/>
              <w:keepLines/>
              <w:widowControl w:val="0"/>
              <w:ind w:left="-57" w:right="-57"/>
              <w:jc w:val="center"/>
              <w:rPr>
                <w:rFonts w:ascii="Arial Narrow" w:hAnsi="Arial Narrow"/>
                <w:sz w:val="20"/>
                <w:szCs w:val="20"/>
              </w:rPr>
            </w:pPr>
            <w:r w:rsidRPr="00B07FB9">
              <w:rPr>
                <w:rFonts w:ascii="Arial Narrow" w:hAnsi="Arial Narrow"/>
                <w:sz w:val="20"/>
                <w:szCs w:val="20"/>
              </w:rPr>
              <w:t>120/130 (92.3%)</w:t>
            </w:r>
          </w:p>
        </w:tc>
        <w:tc>
          <w:tcPr>
            <w:tcW w:w="786" w:type="pct"/>
            <w:shd w:val="clear" w:color="auto" w:fill="CCECFF"/>
            <w:vAlign w:val="center"/>
          </w:tcPr>
          <w:p w14:paraId="5D213D52"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5.33 (1.64, 17.35)</w:t>
            </w:r>
          </w:p>
        </w:tc>
        <w:tc>
          <w:tcPr>
            <w:tcW w:w="774" w:type="pct"/>
            <w:shd w:val="clear" w:color="auto" w:fill="CCECFF"/>
            <w:vAlign w:val="center"/>
          </w:tcPr>
          <w:p w14:paraId="5F3A62CE"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1.07 (1.01, 1.12)</w:t>
            </w:r>
          </w:p>
        </w:tc>
        <w:tc>
          <w:tcPr>
            <w:tcW w:w="771" w:type="pct"/>
            <w:shd w:val="clear" w:color="auto" w:fill="CCECFF"/>
            <w:vAlign w:val="center"/>
          </w:tcPr>
          <w:p w14:paraId="5DED67E1"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0.06 (0.01, 0.11)</w:t>
            </w:r>
          </w:p>
        </w:tc>
      </w:tr>
      <w:tr w:rsidR="001B4E9C" w:rsidRPr="00B07FB9" w14:paraId="0B03D699" w14:textId="77777777" w:rsidTr="00A4339A">
        <w:tc>
          <w:tcPr>
            <w:tcW w:w="2670" w:type="pct"/>
            <w:gridSpan w:val="4"/>
            <w:shd w:val="clear" w:color="auto" w:fill="FFFFFF" w:themeFill="background1"/>
          </w:tcPr>
          <w:p w14:paraId="431E3EC3" w14:textId="77777777" w:rsidR="001B4E9C" w:rsidRPr="00B07FB9" w:rsidRDefault="001B4E9C" w:rsidP="00402F10">
            <w:pPr>
              <w:keepNext/>
              <w:keepLines/>
              <w:widowControl w:val="0"/>
              <w:rPr>
                <w:rFonts w:ascii="Arial Narrow" w:hAnsi="Arial Narrow"/>
                <w:sz w:val="20"/>
                <w:szCs w:val="20"/>
                <w:vertAlign w:val="superscript"/>
              </w:rPr>
            </w:pPr>
            <w:r w:rsidRPr="00B07FB9">
              <w:rPr>
                <w:rFonts w:ascii="Arial Narrow" w:hAnsi="Arial Narrow"/>
                <w:sz w:val="20"/>
                <w:szCs w:val="20"/>
              </w:rPr>
              <w:t>ITC: NIRA vs. OLA</w:t>
            </w:r>
          </w:p>
        </w:tc>
        <w:tc>
          <w:tcPr>
            <w:tcW w:w="786" w:type="pct"/>
            <w:shd w:val="clear" w:color="auto" w:fill="CCECFF"/>
            <w:vAlign w:val="center"/>
          </w:tcPr>
          <w:p w14:paraId="7A5AAA5C"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1.02 (0.19, 5.44)</w:t>
            </w:r>
          </w:p>
        </w:tc>
        <w:tc>
          <w:tcPr>
            <w:tcW w:w="774" w:type="pct"/>
            <w:shd w:val="clear" w:color="auto" w:fill="CCECFF"/>
            <w:vAlign w:val="center"/>
          </w:tcPr>
          <w:p w14:paraId="03467E5E"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1.04 (0.94, 1.14)</w:t>
            </w:r>
          </w:p>
        </w:tc>
        <w:tc>
          <w:tcPr>
            <w:tcW w:w="771" w:type="pct"/>
            <w:shd w:val="clear" w:color="auto" w:fill="CCECFF"/>
            <w:vAlign w:val="center"/>
          </w:tcPr>
          <w:p w14:paraId="426A81D6"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0.03 (-0.06, 0.12)</w:t>
            </w:r>
          </w:p>
        </w:tc>
      </w:tr>
      <w:tr w:rsidR="001B4E9C" w:rsidRPr="00B07FB9" w14:paraId="67EFDCB6" w14:textId="77777777" w:rsidTr="00D564E8">
        <w:tc>
          <w:tcPr>
            <w:tcW w:w="5000" w:type="pct"/>
            <w:gridSpan w:val="7"/>
            <w:shd w:val="clear" w:color="auto" w:fill="FFFFFF" w:themeFill="background1"/>
          </w:tcPr>
          <w:p w14:paraId="2D4C6C9F" w14:textId="77777777" w:rsidR="001B4E9C" w:rsidRPr="00B07FB9" w:rsidRDefault="001B4E9C" w:rsidP="00402F10">
            <w:pPr>
              <w:keepNext/>
              <w:keepLines/>
              <w:widowControl w:val="0"/>
              <w:rPr>
                <w:rFonts w:ascii="Arial Narrow" w:hAnsi="Arial Narrow"/>
                <w:b/>
                <w:sz w:val="20"/>
                <w:szCs w:val="20"/>
              </w:rPr>
            </w:pPr>
            <w:r w:rsidRPr="00B07FB9">
              <w:rPr>
                <w:rFonts w:ascii="Arial Narrow" w:hAnsi="Arial Narrow"/>
                <w:b/>
                <w:sz w:val="20"/>
                <w:szCs w:val="20"/>
              </w:rPr>
              <w:t>≥ Grade 3 TEAEs</w:t>
            </w:r>
          </w:p>
        </w:tc>
      </w:tr>
      <w:tr w:rsidR="001B4E9C" w:rsidRPr="00B07FB9" w14:paraId="6DD5C5B7" w14:textId="77777777" w:rsidTr="00A4339A">
        <w:tc>
          <w:tcPr>
            <w:tcW w:w="597" w:type="pct"/>
            <w:shd w:val="clear" w:color="auto" w:fill="FFFFFF" w:themeFill="background1"/>
          </w:tcPr>
          <w:p w14:paraId="77F320DC" w14:textId="6CD096A7" w:rsidR="001B4E9C" w:rsidRPr="00B07FB9" w:rsidRDefault="001B4E9C" w:rsidP="00402F10">
            <w:pPr>
              <w:keepNext/>
              <w:keepLines/>
              <w:widowControl w:val="0"/>
              <w:ind w:right="-57"/>
              <w:jc w:val="left"/>
              <w:rPr>
                <w:rFonts w:ascii="Arial Narrow" w:hAnsi="Arial Narrow"/>
                <w:sz w:val="20"/>
                <w:szCs w:val="20"/>
              </w:rPr>
            </w:pPr>
            <w:r w:rsidRPr="00B07FB9">
              <w:rPr>
                <w:rFonts w:ascii="Arial Narrow" w:hAnsi="Arial Narrow"/>
                <w:sz w:val="20"/>
                <w:szCs w:val="20"/>
              </w:rPr>
              <w:t>NIRA vs. PBO</w:t>
            </w:r>
          </w:p>
        </w:tc>
        <w:tc>
          <w:tcPr>
            <w:tcW w:w="580" w:type="pct"/>
            <w:shd w:val="clear" w:color="auto" w:fill="FFFFFF" w:themeFill="background1"/>
          </w:tcPr>
          <w:p w14:paraId="45408398" w14:textId="62013C00" w:rsidR="001B4E9C" w:rsidRPr="00B07FB9" w:rsidRDefault="001B4E9C" w:rsidP="00402F10">
            <w:pPr>
              <w:keepNext/>
              <w:keepLines/>
              <w:widowControl w:val="0"/>
              <w:jc w:val="left"/>
              <w:rPr>
                <w:rFonts w:ascii="Arial Narrow" w:hAnsi="Arial Narrow"/>
                <w:sz w:val="20"/>
                <w:szCs w:val="20"/>
              </w:rPr>
            </w:pPr>
            <w:r w:rsidRPr="00B07FB9">
              <w:rPr>
                <w:rFonts w:ascii="Arial Narrow" w:hAnsi="Arial Narrow"/>
                <w:sz w:val="20"/>
                <w:szCs w:val="20"/>
              </w:rPr>
              <w:t>PRIMA ISD cohort</w:t>
            </w:r>
          </w:p>
        </w:tc>
        <w:tc>
          <w:tcPr>
            <w:tcW w:w="785" w:type="pct"/>
            <w:shd w:val="clear" w:color="auto" w:fill="CCECFF"/>
            <w:vAlign w:val="center"/>
          </w:tcPr>
          <w:p w14:paraId="570538CE" w14:textId="77777777" w:rsidR="001B4E9C" w:rsidRPr="00B07FB9" w:rsidRDefault="001B4E9C" w:rsidP="00402F10">
            <w:pPr>
              <w:keepNext/>
              <w:keepLines/>
              <w:widowControl w:val="0"/>
              <w:ind w:left="-57" w:right="-57"/>
              <w:jc w:val="center"/>
              <w:rPr>
                <w:rFonts w:ascii="Arial Narrow" w:hAnsi="Arial Narrow"/>
                <w:sz w:val="20"/>
                <w:szCs w:val="20"/>
              </w:rPr>
            </w:pPr>
            <w:r w:rsidRPr="00B07FB9">
              <w:rPr>
                <w:rFonts w:ascii="Arial Narrow" w:hAnsi="Arial Narrow"/>
                <w:sz w:val="20"/>
                <w:szCs w:val="20"/>
              </w:rPr>
              <w:t>102/169 (60.4%)</w:t>
            </w:r>
          </w:p>
        </w:tc>
        <w:tc>
          <w:tcPr>
            <w:tcW w:w="708" w:type="pct"/>
            <w:shd w:val="clear" w:color="auto" w:fill="CCECFF"/>
            <w:vAlign w:val="center"/>
          </w:tcPr>
          <w:p w14:paraId="7E6127D3"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16/86 (18.6%)</w:t>
            </w:r>
          </w:p>
        </w:tc>
        <w:tc>
          <w:tcPr>
            <w:tcW w:w="786" w:type="pct"/>
            <w:shd w:val="clear" w:color="auto" w:fill="CCECFF"/>
            <w:vAlign w:val="center"/>
          </w:tcPr>
          <w:p w14:paraId="7041C68E"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6.66 (3.57, 12.44)</w:t>
            </w:r>
          </w:p>
        </w:tc>
        <w:tc>
          <w:tcPr>
            <w:tcW w:w="774" w:type="pct"/>
            <w:shd w:val="clear" w:color="auto" w:fill="CCECFF"/>
            <w:vAlign w:val="center"/>
          </w:tcPr>
          <w:p w14:paraId="266B2DFF"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3.24 (2.05, 5.13)</w:t>
            </w:r>
          </w:p>
        </w:tc>
        <w:tc>
          <w:tcPr>
            <w:tcW w:w="771" w:type="pct"/>
            <w:shd w:val="clear" w:color="auto" w:fill="CCECFF"/>
            <w:vAlign w:val="center"/>
          </w:tcPr>
          <w:p w14:paraId="78D06594"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0.42 (0.31,0.53)</w:t>
            </w:r>
          </w:p>
        </w:tc>
      </w:tr>
      <w:tr w:rsidR="001B4E9C" w:rsidRPr="00B07FB9" w14:paraId="000365F5" w14:textId="77777777" w:rsidTr="00A4339A">
        <w:tc>
          <w:tcPr>
            <w:tcW w:w="597" w:type="pct"/>
            <w:shd w:val="clear" w:color="auto" w:fill="FFFFFF" w:themeFill="background1"/>
          </w:tcPr>
          <w:p w14:paraId="3D0EED80" w14:textId="7214FD91" w:rsidR="001B4E9C" w:rsidRPr="00B07FB9" w:rsidRDefault="001B4E9C" w:rsidP="00402F10">
            <w:pPr>
              <w:keepNext/>
              <w:keepLines/>
              <w:widowControl w:val="0"/>
              <w:jc w:val="left"/>
              <w:rPr>
                <w:rFonts w:ascii="Arial Narrow" w:hAnsi="Arial Narrow"/>
                <w:sz w:val="20"/>
                <w:szCs w:val="20"/>
              </w:rPr>
            </w:pPr>
            <w:r w:rsidRPr="00B07FB9">
              <w:rPr>
                <w:rFonts w:ascii="Arial Narrow" w:hAnsi="Arial Narrow"/>
                <w:sz w:val="20"/>
                <w:szCs w:val="20"/>
              </w:rPr>
              <w:t>OLA vs. PBO</w:t>
            </w:r>
          </w:p>
        </w:tc>
        <w:tc>
          <w:tcPr>
            <w:tcW w:w="580" w:type="pct"/>
            <w:shd w:val="clear" w:color="auto" w:fill="FFFFFF" w:themeFill="background1"/>
          </w:tcPr>
          <w:p w14:paraId="00BA1042" w14:textId="74921984" w:rsidR="001B4E9C" w:rsidRPr="00B07FB9" w:rsidRDefault="001B4E9C" w:rsidP="00402F10">
            <w:pPr>
              <w:keepNext/>
              <w:keepLines/>
              <w:widowControl w:val="0"/>
              <w:jc w:val="left"/>
              <w:rPr>
                <w:rFonts w:ascii="Arial Narrow" w:hAnsi="Arial Narrow"/>
                <w:sz w:val="20"/>
                <w:szCs w:val="20"/>
              </w:rPr>
            </w:pPr>
            <w:r w:rsidRPr="00B07FB9">
              <w:rPr>
                <w:rFonts w:ascii="Arial Narrow" w:hAnsi="Arial Narrow"/>
                <w:sz w:val="20"/>
                <w:szCs w:val="20"/>
              </w:rPr>
              <w:t>SOLO-1</w:t>
            </w:r>
          </w:p>
        </w:tc>
        <w:tc>
          <w:tcPr>
            <w:tcW w:w="785" w:type="pct"/>
            <w:shd w:val="clear" w:color="auto" w:fill="CCECFF"/>
            <w:vAlign w:val="center"/>
          </w:tcPr>
          <w:p w14:paraId="7D0E75C3" w14:textId="77777777" w:rsidR="001B4E9C" w:rsidRPr="00B07FB9" w:rsidRDefault="001B4E9C" w:rsidP="00402F10">
            <w:pPr>
              <w:keepNext/>
              <w:keepLines/>
              <w:widowControl w:val="0"/>
              <w:ind w:left="-57" w:right="-57"/>
              <w:jc w:val="center"/>
              <w:rPr>
                <w:rFonts w:ascii="Arial Narrow" w:hAnsi="Arial Narrow"/>
                <w:sz w:val="20"/>
                <w:szCs w:val="20"/>
              </w:rPr>
            </w:pPr>
            <w:r w:rsidRPr="00B07FB9">
              <w:rPr>
                <w:rFonts w:ascii="Arial Narrow" w:hAnsi="Arial Narrow"/>
                <w:sz w:val="20"/>
                <w:szCs w:val="20"/>
              </w:rPr>
              <w:t>102/260 (39.2%)</w:t>
            </w:r>
          </w:p>
        </w:tc>
        <w:tc>
          <w:tcPr>
            <w:tcW w:w="708" w:type="pct"/>
            <w:shd w:val="clear" w:color="auto" w:fill="CCECFF"/>
            <w:vAlign w:val="center"/>
          </w:tcPr>
          <w:p w14:paraId="2EC8A61D"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24/130 (18.5%)</w:t>
            </w:r>
          </w:p>
        </w:tc>
        <w:tc>
          <w:tcPr>
            <w:tcW w:w="786" w:type="pct"/>
            <w:shd w:val="clear" w:color="auto" w:fill="CCECFF"/>
            <w:vAlign w:val="center"/>
          </w:tcPr>
          <w:p w14:paraId="629977AE"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2.85 (1.72, 4.74)</w:t>
            </w:r>
          </w:p>
        </w:tc>
        <w:tc>
          <w:tcPr>
            <w:tcW w:w="774" w:type="pct"/>
            <w:shd w:val="clear" w:color="auto" w:fill="CCECFF"/>
            <w:vAlign w:val="center"/>
          </w:tcPr>
          <w:p w14:paraId="3491438D"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2.13 (1.44, 3.14)</w:t>
            </w:r>
          </w:p>
        </w:tc>
        <w:tc>
          <w:tcPr>
            <w:tcW w:w="771" w:type="pct"/>
            <w:shd w:val="clear" w:color="auto" w:fill="CCECFF"/>
            <w:vAlign w:val="center"/>
          </w:tcPr>
          <w:p w14:paraId="43D93CEF"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0.21 (0.12, 0.30)</w:t>
            </w:r>
          </w:p>
        </w:tc>
      </w:tr>
      <w:tr w:rsidR="001B4E9C" w:rsidRPr="00B07FB9" w14:paraId="25ECB131" w14:textId="77777777" w:rsidTr="00A4339A">
        <w:tc>
          <w:tcPr>
            <w:tcW w:w="2670" w:type="pct"/>
            <w:gridSpan w:val="4"/>
            <w:shd w:val="clear" w:color="auto" w:fill="FFFFFF" w:themeFill="background1"/>
          </w:tcPr>
          <w:p w14:paraId="1D6B2646" w14:textId="77777777" w:rsidR="001B4E9C" w:rsidRPr="00B07FB9" w:rsidRDefault="001B4E9C" w:rsidP="00402F10">
            <w:pPr>
              <w:keepNext/>
              <w:keepLines/>
              <w:widowControl w:val="0"/>
              <w:rPr>
                <w:rFonts w:ascii="Arial Narrow" w:hAnsi="Arial Narrow"/>
                <w:sz w:val="20"/>
                <w:szCs w:val="20"/>
                <w:vertAlign w:val="superscript"/>
              </w:rPr>
            </w:pPr>
            <w:r w:rsidRPr="00B07FB9">
              <w:rPr>
                <w:rFonts w:ascii="Arial Narrow" w:hAnsi="Arial Narrow"/>
                <w:sz w:val="20"/>
                <w:szCs w:val="20"/>
              </w:rPr>
              <w:t>ITC: NIRA vs. OLA</w:t>
            </w:r>
          </w:p>
        </w:tc>
        <w:tc>
          <w:tcPr>
            <w:tcW w:w="786" w:type="pct"/>
            <w:shd w:val="clear" w:color="auto" w:fill="CCECFF"/>
            <w:vAlign w:val="center"/>
          </w:tcPr>
          <w:p w14:paraId="32A7FCBC"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2.34 (1.04, 5.23)</w:t>
            </w:r>
          </w:p>
        </w:tc>
        <w:tc>
          <w:tcPr>
            <w:tcW w:w="774" w:type="pct"/>
            <w:shd w:val="clear" w:color="auto" w:fill="CCECFF"/>
            <w:vAlign w:val="center"/>
          </w:tcPr>
          <w:p w14:paraId="71978D86"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1.53 (0.84, 2.79)</w:t>
            </w:r>
          </w:p>
        </w:tc>
        <w:tc>
          <w:tcPr>
            <w:tcW w:w="771" w:type="pct"/>
            <w:shd w:val="clear" w:color="auto" w:fill="CCECFF"/>
            <w:vAlign w:val="center"/>
          </w:tcPr>
          <w:p w14:paraId="5E1D5257"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0.21 (0.07, 0.36)</w:t>
            </w:r>
          </w:p>
        </w:tc>
      </w:tr>
      <w:tr w:rsidR="001B4E9C" w:rsidRPr="00B07FB9" w14:paraId="048493EB" w14:textId="77777777" w:rsidTr="00D564E8">
        <w:tc>
          <w:tcPr>
            <w:tcW w:w="5000" w:type="pct"/>
            <w:gridSpan w:val="7"/>
            <w:shd w:val="clear" w:color="auto" w:fill="FFFFFF" w:themeFill="background1"/>
          </w:tcPr>
          <w:p w14:paraId="045679A0" w14:textId="77777777" w:rsidR="001B4E9C" w:rsidRPr="00B07FB9" w:rsidRDefault="001B4E9C" w:rsidP="00402F10">
            <w:pPr>
              <w:keepNext/>
              <w:keepLines/>
              <w:widowControl w:val="0"/>
              <w:rPr>
                <w:rFonts w:ascii="Arial Narrow" w:hAnsi="Arial Narrow"/>
                <w:b/>
                <w:sz w:val="20"/>
                <w:szCs w:val="20"/>
              </w:rPr>
            </w:pPr>
            <w:r w:rsidRPr="00B07FB9">
              <w:rPr>
                <w:rFonts w:ascii="Arial Narrow" w:hAnsi="Arial Narrow"/>
                <w:b/>
                <w:sz w:val="20"/>
                <w:szCs w:val="20"/>
              </w:rPr>
              <w:t>Serious TEAEs</w:t>
            </w:r>
          </w:p>
        </w:tc>
      </w:tr>
      <w:tr w:rsidR="001B4E9C" w:rsidRPr="00B07FB9" w14:paraId="7D7749CE" w14:textId="77777777" w:rsidTr="00A4339A">
        <w:tc>
          <w:tcPr>
            <w:tcW w:w="597" w:type="pct"/>
            <w:shd w:val="clear" w:color="auto" w:fill="FFFFFF" w:themeFill="background1"/>
          </w:tcPr>
          <w:p w14:paraId="6D2B58F6" w14:textId="76868623" w:rsidR="001B4E9C" w:rsidRPr="00B07FB9" w:rsidRDefault="001B4E9C" w:rsidP="00402F10">
            <w:pPr>
              <w:keepNext/>
              <w:keepLines/>
              <w:widowControl w:val="0"/>
              <w:ind w:right="-57"/>
              <w:jc w:val="left"/>
              <w:rPr>
                <w:rFonts w:ascii="Arial Narrow" w:hAnsi="Arial Narrow"/>
                <w:sz w:val="20"/>
                <w:szCs w:val="20"/>
              </w:rPr>
            </w:pPr>
            <w:r w:rsidRPr="00B07FB9">
              <w:rPr>
                <w:rFonts w:ascii="Arial Narrow" w:hAnsi="Arial Narrow"/>
                <w:sz w:val="20"/>
                <w:szCs w:val="20"/>
              </w:rPr>
              <w:t>NIRA vs. PBO</w:t>
            </w:r>
          </w:p>
        </w:tc>
        <w:tc>
          <w:tcPr>
            <w:tcW w:w="580" w:type="pct"/>
            <w:shd w:val="clear" w:color="auto" w:fill="FFFFFF" w:themeFill="background1"/>
          </w:tcPr>
          <w:p w14:paraId="3300D738" w14:textId="6B256032" w:rsidR="001B4E9C" w:rsidRPr="00B07FB9" w:rsidRDefault="001B4E9C" w:rsidP="00402F10">
            <w:pPr>
              <w:keepNext/>
              <w:keepLines/>
              <w:widowControl w:val="0"/>
              <w:jc w:val="left"/>
              <w:rPr>
                <w:rFonts w:ascii="Arial Narrow" w:hAnsi="Arial Narrow"/>
                <w:sz w:val="20"/>
                <w:szCs w:val="20"/>
              </w:rPr>
            </w:pPr>
            <w:r w:rsidRPr="00B07FB9">
              <w:rPr>
                <w:rFonts w:ascii="Arial Narrow" w:hAnsi="Arial Narrow"/>
                <w:sz w:val="20"/>
                <w:szCs w:val="20"/>
              </w:rPr>
              <w:t>PRIMA ISD cohort</w:t>
            </w:r>
          </w:p>
        </w:tc>
        <w:tc>
          <w:tcPr>
            <w:tcW w:w="785" w:type="pct"/>
            <w:shd w:val="clear" w:color="auto" w:fill="CCECFF"/>
            <w:vAlign w:val="center"/>
          </w:tcPr>
          <w:p w14:paraId="424D50F1"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45/169 (26.6%)</w:t>
            </w:r>
          </w:p>
        </w:tc>
        <w:tc>
          <w:tcPr>
            <w:tcW w:w="708" w:type="pct"/>
            <w:shd w:val="clear" w:color="auto" w:fill="CCECFF"/>
            <w:vAlign w:val="center"/>
          </w:tcPr>
          <w:p w14:paraId="2B26FFF9"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14/86 (16.3%)</w:t>
            </w:r>
          </w:p>
        </w:tc>
        <w:tc>
          <w:tcPr>
            <w:tcW w:w="786" w:type="pct"/>
            <w:shd w:val="clear" w:color="auto" w:fill="CCECFF"/>
            <w:vAlign w:val="center"/>
          </w:tcPr>
          <w:p w14:paraId="1236C5CE"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1.87 (0.96, 3.63)</w:t>
            </w:r>
          </w:p>
        </w:tc>
        <w:tc>
          <w:tcPr>
            <w:tcW w:w="774" w:type="pct"/>
            <w:shd w:val="clear" w:color="auto" w:fill="CCECFF"/>
            <w:vAlign w:val="center"/>
          </w:tcPr>
          <w:p w14:paraId="5A4F3B36"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1.64 (0.95, 2.81)</w:t>
            </w:r>
          </w:p>
        </w:tc>
        <w:tc>
          <w:tcPr>
            <w:tcW w:w="771" w:type="pct"/>
            <w:shd w:val="clear" w:color="auto" w:fill="CCECFF"/>
            <w:vAlign w:val="center"/>
          </w:tcPr>
          <w:p w14:paraId="2C9F7C7B"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0.10 (0.00, 0.21)</w:t>
            </w:r>
          </w:p>
        </w:tc>
      </w:tr>
      <w:tr w:rsidR="001B4E9C" w:rsidRPr="00B07FB9" w14:paraId="012E5FC4" w14:textId="77777777" w:rsidTr="00A4339A">
        <w:tc>
          <w:tcPr>
            <w:tcW w:w="597" w:type="pct"/>
            <w:shd w:val="clear" w:color="auto" w:fill="FFFFFF" w:themeFill="background1"/>
          </w:tcPr>
          <w:p w14:paraId="64575CD8" w14:textId="4945F6D3" w:rsidR="001B4E9C" w:rsidRPr="00B07FB9" w:rsidRDefault="001B4E9C" w:rsidP="00402F10">
            <w:pPr>
              <w:keepNext/>
              <w:keepLines/>
              <w:widowControl w:val="0"/>
              <w:jc w:val="left"/>
              <w:rPr>
                <w:rFonts w:ascii="Arial Narrow" w:hAnsi="Arial Narrow"/>
                <w:sz w:val="20"/>
                <w:szCs w:val="20"/>
              </w:rPr>
            </w:pPr>
            <w:r w:rsidRPr="00B07FB9">
              <w:rPr>
                <w:rFonts w:ascii="Arial Narrow" w:hAnsi="Arial Narrow"/>
                <w:sz w:val="20"/>
                <w:szCs w:val="20"/>
              </w:rPr>
              <w:t>OLA vs. PBO</w:t>
            </w:r>
          </w:p>
        </w:tc>
        <w:tc>
          <w:tcPr>
            <w:tcW w:w="580" w:type="pct"/>
            <w:shd w:val="clear" w:color="auto" w:fill="FFFFFF" w:themeFill="background1"/>
          </w:tcPr>
          <w:p w14:paraId="0691B1CC" w14:textId="2E63B855" w:rsidR="001B4E9C" w:rsidRPr="00B07FB9" w:rsidRDefault="001B4E9C" w:rsidP="00402F10">
            <w:pPr>
              <w:keepNext/>
              <w:keepLines/>
              <w:widowControl w:val="0"/>
              <w:jc w:val="left"/>
              <w:rPr>
                <w:rFonts w:ascii="Arial Narrow" w:hAnsi="Arial Narrow"/>
                <w:sz w:val="20"/>
                <w:szCs w:val="20"/>
              </w:rPr>
            </w:pPr>
            <w:r w:rsidRPr="00B07FB9">
              <w:rPr>
                <w:rFonts w:ascii="Arial Narrow" w:hAnsi="Arial Narrow"/>
                <w:sz w:val="20"/>
                <w:szCs w:val="20"/>
              </w:rPr>
              <w:t>SOLO-1</w:t>
            </w:r>
          </w:p>
        </w:tc>
        <w:tc>
          <w:tcPr>
            <w:tcW w:w="785" w:type="pct"/>
            <w:shd w:val="clear" w:color="auto" w:fill="CCECFF"/>
            <w:vAlign w:val="center"/>
          </w:tcPr>
          <w:p w14:paraId="1E5EA518"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54/260 (20.8%)</w:t>
            </w:r>
          </w:p>
        </w:tc>
        <w:tc>
          <w:tcPr>
            <w:tcW w:w="708" w:type="pct"/>
            <w:shd w:val="clear" w:color="auto" w:fill="CCECFF"/>
            <w:vAlign w:val="center"/>
          </w:tcPr>
          <w:p w14:paraId="2FF05639"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16/130 (12.3%)</w:t>
            </w:r>
          </w:p>
        </w:tc>
        <w:tc>
          <w:tcPr>
            <w:tcW w:w="786" w:type="pct"/>
            <w:shd w:val="clear" w:color="auto" w:fill="CCECFF"/>
            <w:vAlign w:val="center"/>
          </w:tcPr>
          <w:p w14:paraId="32288DA4"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1.87 (1.02, 3.41)</w:t>
            </w:r>
          </w:p>
        </w:tc>
        <w:tc>
          <w:tcPr>
            <w:tcW w:w="774" w:type="pct"/>
            <w:shd w:val="clear" w:color="auto" w:fill="CCECFF"/>
            <w:vAlign w:val="center"/>
          </w:tcPr>
          <w:p w14:paraId="58CEAA9D"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1.69 (1.01, 2.83)</w:t>
            </w:r>
          </w:p>
        </w:tc>
        <w:tc>
          <w:tcPr>
            <w:tcW w:w="771" w:type="pct"/>
            <w:shd w:val="clear" w:color="auto" w:fill="CCECFF"/>
            <w:vAlign w:val="center"/>
          </w:tcPr>
          <w:p w14:paraId="0B74214E"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0.08 (0.01, 0.16)</w:t>
            </w:r>
          </w:p>
        </w:tc>
      </w:tr>
      <w:tr w:rsidR="001B4E9C" w:rsidRPr="00B07FB9" w14:paraId="70CEC9ED" w14:textId="77777777" w:rsidTr="00A4339A">
        <w:tc>
          <w:tcPr>
            <w:tcW w:w="2670" w:type="pct"/>
            <w:gridSpan w:val="4"/>
            <w:shd w:val="clear" w:color="auto" w:fill="FFFFFF" w:themeFill="background1"/>
          </w:tcPr>
          <w:p w14:paraId="6B1C9F0B" w14:textId="77777777" w:rsidR="001B4E9C" w:rsidRPr="00B07FB9" w:rsidRDefault="001B4E9C" w:rsidP="00402F10">
            <w:pPr>
              <w:keepNext/>
              <w:keepLines/>
              <w:widowControl w:val="0"/>
              <w:rPr>
                <w:rFonts w:ascii="Arial Narrow" w:hAnsi="Arial Narrow"/>
                <w:sz w:val="20"/>
                <w:szCs w:val="20"/>
                <w:vertAlign w:val="superscript"/>
              </w:rPr>
            </w:pPr>
            <w:r w:rsidRPr="00B07FB9">
              <w:rPr>
                <w:rFonts w:ascii="Arial Narrow" w:hAnsi="Arial Narrow"/>
                <w:sz w:val="20"/>
                <w:szCs w:val="20"/>
              </w:rPr>
              <w:t>ITC: NIRA vs. OLA</w:t>
            </w:r>
          </w:p>
        </w:tc>
        <w:tc>
          <w:tcPr>
            <w:tcW w:w="786" w:type="pct"/>
            <w:shd w:val="clear" w:color="auto" w:fill="CCECFF"/>
            <w:vAlign w:val="center"/>
          </w:tcPr>
          <w:p w14:paraId="440E55B8"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1.00 (0.41, 2.45)</w:t>
            </w:r>
          </w:p>
        </w:tc>
        <w:tc>
          <w:tcPr>
            <w:tcW w:w="774" w:type="pct"/>
            <w:shd w:val="clear" w:color="auto" w:fill="CCECFF"/>
            <w:vAlign w:val="center"/>
          </w:tcPr>
          <w:p w14:paraId="74FB486F"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0.97 (0.46, 2.05)</w:t>
            </w:r>
          </w:p>
        </w:tc>
        <w:tc>
          <w:tcPr>
            <w:tcW w:w="771" w:type="pct"/>
            <w:shd w:val="clear" w:color="auto" w:fill="CCECFF"/>
            <w:vAlign w:val="center"/>
          </w:tcPr>
          <w:p w14:paraId="6716CD4C"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0.02 (-0.11, 0.15)</w:t>
            </w:r>
          </w:p>
        </w:tc>
      </w:tr>
      <w:tr w:rsidR="001B4E9C" w:rsidRPr="00B07FB9" w14:paraId="63253FE3" w14:textId="77777777" w:rsidTr="00D564E8">
        <w:tc>
          <w:tcPr>
            <w:tcW w:w="5000" w:type="pct"/>
            <w:gridSpan w:val="7"/>
            <w:shd w:val="clear" w:color="auto" w:fill="FFFFFF" w:themeFill="background1"/>
          </w:tcPr>
          <w:p w14:paraId="482589D3" w14:textId="77777777" w:rsidR="001B4E9C" w:rsidRPr="00B07FB9" w:rsidRDefault="001B4E9C" w:rsidP="00402F10">
            <w:pPr>
              <w:keepNext/>
              <w:keepLines/>
              <w:widowControl w:val="0"/>
              <w:rPr>
                <w:rFonts w:ascii="Arial Narrow" w:hAnsi="Arial Narrow"/>
                <w:sz w:val="20"/>
                <w:szCs w:val="20"/>
              </w:rPr>
            </w:pPr>
            <w:r w:rsidRPr="00B07FB9">
              <w:rPr>
                <w:rFonts w:ascii="Arial Narrow" w:hAnsi="Arial Narrow"/>
                <w:b/>
                <w:sz w:val="20"/>
                <w:szCs w:val="20"/>
              </w:rPr>
              <w:t>TEAEs leading to treatment discontinuation</w:t>
            </w:r>
          </w:p>
        </w:tc>
      </w:tr>
      <w:tr w:rsidR="001B4E9C" w:rsidRPr="00B07FB9" w14:paraId="62C37A32" w14:textId="77777777" w:rsidTr="00A4339A">
        <w:tc>
          <w:tcPr>
            <w:tcW w:w="597" w:type="pct"/>
            <w:shd w:val="clear" w:color="auto" w:fill="FFFFFF" w:themeFill="background1"/>
          </w:tcPr>
          <w:p w14:paraId="2710D84F" w14:textId="043D8F03" w:rsidR="001B4E9C" w:rsidRPr="00B07FB9" w:rsidRDefault="001B4E9C" w:rsidP="00402F10">
            <w:pPr>
              <w:keepNext/>
              <w:keepLines/>
              <w:widowControl w:val="0"/>
              <w:ind w:right="-57"/>
              <w:jc w:val="left"/>
              <w:rPr>
                <w:rFonts w:ascii="Arial Narrow" w:hAnsi="Arial Narrow"/>
                <w:sz w:val="20"/>
                <w:szCs w:val="20"/>
              </w:rPr>
            </w:pPr>
            <w:r w:rsidRPr="00B07FB9">
              <w:rPr>
                <w:rFonts w:ascii="Arial Narrow" w:hAnsi="Arial Narrow"/>
                <w:sz w:val="20"/>
                <w:szCs w:val="20"/>
              </w:rPr>
              <w:t>NIRA vs. PBO</w:t>
            </w:r>
          </w:p>
        </w:tc>
        <w:tc>
          <w:tcPr>
            <w:tcW w:w="580" w:type="pct"/>
            <w:shd w:val="clear" w:color="auto" w:fill="FFFFFF" w:themeFill="background1"/>
          </w:tcPr>
          <w:p w14:paraId="4C47174E" w14:textId="381726B8" w:rsidR="001B4E9C" w:rsidRPr="00B07FB9" w:rsidRDefault="002968E2" w:rsidP="00402F10">
            <w:pPr>
              <w:keepNext/>
              <w:keepLines/>
              <w:widowControl w:val="0"/>
              <w:jc w:val="left"/>
              <w:rPr>
                <w:rFonts w:ascii="Arial Narrow" w:hAnsi="Arial Narrow"/>
                <w:sz w:val="20"/>
                <w:szCs w:val="20"/>
              </w:rPr>
            </w:pPr>
            <w:r w:rsidRPr="00B07FB9">
              <w:rPr>
                <w:rFonts w:ascii="Arial Narrow" w:hAnsi="Arial Narrow"/>
                <w:sz w:val="20"/>
                <w:szCs w:val="20"/>
              </w:rPr>
              <w:t>PRIMA ISD cohort</w:t>
            </w:r>
          </w:p>
        </w:tc>
        <w:tc>
          <w:tcPr>
            <w:tcW w:w="785" w:type="pct"/>
            <w:shd w:val="clear" w:color="auto" w:fill="CCECFF"/>
            <w:vAlign w:val="center"/>
          </w:tcPr>
          <w:p w14:paraId="5E55E58C"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23/169 (13.6%)</w:t>
            </w:r>
          </w:p>
        </w:tc>
        <w:tc>
          <w:tcPr>
            <w:tcW w:w="708" w:type="pct"/>
            <w:shd w:val="clear" w:color="auto" w:fill="CCECFF"/>
            <w:vAlign w:val="center"/>
          </w:tcPr>
          <w:p w14:paraId="20542060"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2/86 (2.3%)</w:t>
            </w:r>
          </w:p>
        </w:tc>
        <w:tc>
          <w:tcPr>
            <w:tcW w:w="786" w:type="pct"/>
            <w:shd w:val="clear" w:color="auto" w:fill="CCECFF"/>
            <w:vAlign w:val="center"/>
          </w:tcPr>
          <w:p w14:paraId="566AC7A8"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6.62 (1.52, 28.77)</w:t>
            </w:r>
          </w:p>
        </w:tc>
        <w:tc>
          <w:tcPr>
            <w:tcW w:w="774" w:type="pct"/>
            <w:shd w:val="clear" w:color="auto" w:fill="CCECFF"/>
            <w:vAlign w:val="center"/>
          </w:tcPr>
          <w:p w14:paraId="597A6E7E"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5.85 (1.41, 24.25)</w:t>
            </w:r>
          </w:p>
        </w:tc>
        <w:tc>
          <w:tcPr>
            <w:tcW w:w="771" w:type="pct"/>
            <w:shd w:val="clear" w:color="auto" w:fill="CCECFF"/>
            <w:vAlign w:val="center"/>
          </w:tcPr>
          <w:p w14:paraId="48EDB848"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0.11 (0.05, 0.17)</w:t>
            </w:r>
          </w:p>
        </w:tc>
      </w:tr>
      <w:tr w:rsidR="001B4E9C" w:rsidRPr="00B07FB9" w14:paraId="282DE37F" w14:textId="77777777" w:rsidTr="00A4339A">
        <w:tc>
          <w:tcPr>
            <w:tcW w:w="597" w:type="pct"/>
            <w:shd w:val="clear" w:color="auto" w:fill="FFFFFF" w:themeFill="background1"/>
          </w:tcPr>
          <w:p w14:paraId="0033BA6B" w14:textId="2B9C1D41" w:rsidR="001B4E9C" w:rsidRPr="00B07FB9" w:rsidRDefault="001B4E9C" w:rsidP="00402F10">
            <w:pPr>
              <w:keepNext/>
              <w:keepLines/>
              <w:widowControl w:val="0"/>
              <w:jc w:val="left"/>
              <w:rPr>
                <w:rFonts w:ascii="Arial Narrow" w:hAnsi="Arial Narrow"/>
                <w:sz w:val="20"/>
                <w:szCs w:val="20"/>
              </w:rPr>
            </w:pPr>
            <w:r w:rsidRPr="00B07FB9">
              <w:rPr>
                <w:rFonts w:ascii="Arial Narrow" w:hAnsi="Arial Narrow"/>
                <w:sz w:val="20"/>
                <w:szCs w:val="20"/>
              </w:rPr>
              <w:t>OLA vs. PBO</w:t>
            </w:r>
          </w:p>
        </w:tc>
        <w:tc>
          <w:tcPr>
            <w:tcW w:w="580" w:type="pct"/>
            <w:shd w:val="clear" w:color="auto" w:fill="FFFFFF" w:themeFill="background1"/>
          </w:tcPr>
          <w:p w14:paraId="5B833DB6" w14:textId="14E62871" w:rsidR="001B4E9C" w:rsidRPr="00B07FB9" w:rsidRDefault="001B4E9C" w:rsidP="00402F10">
            <w:pPr>
              <w:keepNext/>
              <w:keepLines/>
              <w:widowControl w:val="0"/>
              <w:jc w:val="left"/>
              <w:rPr>
                <w:rFonts w:ascii="Arial Narrow" w:hAnsi="Arial Narrow"/>
                <w:sz w:val="20"/>
                <w:szCs w:val="20"/>
              </w:rPr>
            </w:pPr>
            <w:r w:rsidRPr="00B07FB9">
              <w:rPr>
                <w:rFonts w:ascii="Arial Narrow" w:hAnsi="Arial Narrow"/>
                <w:sz w:val="20"/>
                <w:szCs w:val="20"/>
              </w:rPr>
              <w:t>SOLO-1</w:t>
            </w:r>
          </w:p>
        </w:tc>
        <w:tc>
          <w:tcPr>
            <w:tcW w:w="785" w:type="pct"/>
            <w:shd w:val="clear" w:color="auto" w:fill="CCECFF"/>
            <w:vAlign w:val="center"/>
          </w:tcPr>
          <w:p w14:paraId="54E35AB7"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30/260 (11.5%)</w:t>
            </w:r>
          </w:p>
        </w:tc>
        <w:tc>
          <w:tcPr>
            <w:tcW w:w="708" w:type="pct"/>
            <w:shd w:val="clear" w:color="auto" w:fill="CCECFF"/>
            <w:vAlign w:val="center"/>
          </w:tcPr>
          <w:p w14:paraId="311C006A" w14:textId="77777777" w:rsidR="001B4E9C" w:rsidRPr="00B07FB9" w:rsidRDefault="001B4E9C" w:rsidP="00402F10">
            <w:pPr>
              <w:keepNext/>
              <w:keepLines/>
              <w:widowControl w:val="0"/>
              <w:jc w:val="center"/>
              <w:rPr>
                <w:rFonts w:ascii="Arial Narrow" w:hAnsi="Arial Narrow"/>
                <w:sz w:val="20"/>
                <w:szCs w:val="20"/>
              </w:rPr>
            </w:pPr>
            <w:r w:rsidRPr="00B07FB9">
              <w:rPr>
                <w:rFonts w:ascii="Arial Narrow" w:hAnsi="Arial Narrow"/>
                <w:sz w:val="20"/>
                <w:szCs w:val="20"/>
              </w:rPr>
              <w:t>3/130 (2.3%)</w:t>
            </w:r>
          </w:p>
        </w:tc>
        <w:tc>
          <w:tcPr>
            <w:tcW w:w="786" w:type="pct"/>
            <w:shd w:val="clear" w:color="auto" w:fill="CCECFF"/>
            <w:vAlign w:val="center"/>
          </w:tcPr>
          <w:p w14:paraId="1A48A57F"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5.52 (1.65, 18.45)</w:t>
            </w:r>
          </w:p>
        </w:tc>
        <w:tc>
          <w:tcPr>
            <w:tcW w:w="774" w:type="pct"/>
            <w:shd w:val="clear" w:color="auto" w:fill="CCECFF"/>
            <w:vAlign w:val="center"/>
          </w:tcPr>
          <w:p w14:paraId="7001BB72"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5.00 (1.55, 16.08)</w:t>
            </w:r>
          </w:p>
        </w:tc>
        <w:tc>
          <w:tcPr>
            <w:tcW w:w="771" w:type="pct"/>
            <w:shd w:val="clear" w:color="auto" w:fill="CCECFF"/>
            <w:vAlign w:val="center"/>
          </w:tcPr>
          <w:p w14:paraId="0D80FB1B"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0.09 (0.05, 0.14)</w:t>
            </w:r>
          </w:p>
        </w:tc>
      </w:tr>
      <w:tr w:rsidR="001B4E9C" w:rsidRPr="00B07FB9" w14:paraId="0FF78823" w14:textId="77777777" w:rsidTr="00A4339A">
        <w:tc>
          <w:tcPr>
            <w:tcW w:w="2670" w:type="pct"/>
            <w:gridSpan w:val="4"/>
            <w:shd w:val="clear" w:color="auto" w:fill="FFFFFF" w:themeFill="background1"/>
          </w:tcPr>
          <w:p w14:paraId="037D4AD1" w14:textId="77777777" w:rsidR="001B4E9C" w:rsidRPr="00B07FB9" w:rsidRDefault="001B4E9C" w:rsidP="00402F10">
            <w:pPr>
              <w:keepNext/>
              <w:keepLines/>
              <w:widowControl w:val="0"/>
              <w:rPr>
                <w:rFonts w:ascii="Arial Narrow" w:hAnsi="Arial Narrow"/>
                <w:sz w:val="20"/>
                <w:szCs w:val="20"/>
              </w:rPr>
            </w:pPr>
            <w:r w:rsidRPr="00B07FB9">
              <w:rPr>
                <w:rFonts w:ascii="Arial Narrow" w:hAnsi="Arial Narrow"/>
                <w:sz w:val="20"/>
                <w:szCs w:val="20"/>
              </w:rPr>
              <w:t>ITC: NIRA vs. OLA</w:t>
            </w:r>
          </w:p>
        </w:tc>
        <w:tc>
          <w:tcPr>
            <w:tcW w:w="786" w:type="pct"/>
            <w:shd w:val="clear" w:color="auto" w:fill="CCECFF"/>
            <w:vAlign w:val="center"/>
          </w:tcPr>
          <w:p w14:paraId="78ABF8EE" w14:textId="35B8E0C1"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1.20 (0.18, 8.02)</w:t>
            </w:r>
          </w:p>
        </w:tc>
        <w:tc>
          <w:tcPr>
            <w:tcW w:w="774" w:type="pct"/>
            <w:shd w:val="clear" w:color="auto" w:fill="CCECFF"/>
            <w:vAlign w:val="center"/>
          </w:tcPr>
          <w:p w14:paraId="7879CDD3"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1.17 (0.19, 7.37)</w:t>
            </w:r>
          </w:p>
        </w:tc>
        <w:tc>
          <w:tcPr>
            <w:tcW w:w="771" w:type="pct"/>
            <w:shd w:val="clear" w:color="auto" w:fill="CCECFF"/>
            <w:vAlign w:val="center"/>
          </w:tcPr>
          <w:p w14:paraId="73DA1228" w14:textId="77777777" w:rsidR="001B4E9C" w:rsidRPr="00B07FB9" w:rsidRDefault="001B4E9C" w:rsidP="00A4339A">
            <w:pPr>
              <w:keepNext/>
              <w:keepLines/>
              <w:widowControl w:val="0"/>
              <w:jc w:val="center"/>
              <w:rPr>
                <w:rFonts w:ascii="Arial Narrow" w:hAnsi="Arial Narrow"/>
                <w:sz w:val="20"/>
                <w:szCs w:val="20"/>
              </w:rPr>
            </w:pPr>
            <w:r w:rsidRPr="00B07FB9">
              <w:rPr>
                <w:rFonts w:ascii="Arial Narrow" w:hAnsi="Arial Narrow"/>
                <w:sz w:val="20"/>
                <w:szCs w:val="20"/>
              </w:rPr>
              <w:t>0.02 (-0.06, 0.10)</w:t>
            </w:r>
          </w:p>
        </w:tc>
      </w:tr>
    </w:tbl>
    <w:p w14:paraId="262E6715" w14:textId="77777777" w:rsidR="001B4E9C" w:rsidRPr="00B07FB9" w:rsidRDefault="001B4E9C" w:rsidP="00402F10">
      <w:pPr>
        <w:pStyle w:val="TableFigureFooter"/>
        <w:keepNext/>
        <w:keepLines/>
        <w:widowControl w:val="0"/>
      </w:pPr>
      <w:r w:rsidRPr="00B07FB9">
        <w:t>Source: Table 40, p80 and Table 26, p60 of the resubmission.</w:t>
      </w:r>
    </w:p>
    <w:p w14:paraId="5D35453A" w14:textId="0E7A9C3C" w:rsidR="001B4E9C" w:rsidRPr="00B07FB9" w:rsidRDefault="001B4E9C" w:rsidP="00402F10">
      <w:pPr>
        <w:pStyle w:val="TableFigureFooter"/>
        <w:keepNext/>
        <w:keepLines/>
        <w:widowControl w:val="0"/>
      </w:pPr>
      <w:r w:rsidRPr="00B07FB9">
        <w:t xml:space="preserve">CI = confidence interval; ISD = individualised starting dose; NIRA = niraparib; OLA = </w:t>
      </w:r>
      <w:proofErr w:type="spellStart"/>
      <w:r w:rsidRPr="00B07FB9">
        <w:t>olaparib</w:t>
      </w:r>
      <w:proofErr w:type="spellEnd"/>
      <w:r w:rsidRPr="00B07FB9">
        <w:t xml:space="preserve">; </w:t>
      </w:r>
      <w:proofErr w:type="spellStart"/>
      <w:r w:rsidRPr="00B07FB9">
        <w:t>PARPi</w:t>
      </w:r>
      <w:proofErr w:type="spellEnd"/>
      <w:r w:rsidRPr="00B07FB9">
        <w:t xml:space="preserve"> = poly (ADP-ribose) polymerase inhibitor; PBO = placebo; TEAEs = treatment-emergent adverse events</w:t>
      </w:r>
    </w:p>
    <w:p w14:paraId="54527F87" w14:textId="77777777" w:rsidR="009F65E6" w:rsidRPr="00B07FB9" w:rsidRDefault="009F65E6" w:rsidP="00402F10">
      <w:pPr>
        <w:pStyle w:val="TableFigureFooter"/>
        <w:keepNext/>
        <w:keepLines/>
        <w:widowControl w:val="0"/>
      </w:pPr>
      <w:r w:rsidRPr="00B07FB9">
        <w:t xml:space="preserve">Note: </w:t>
      </w:r>
      <w:r w:rsidRPr="00B07FB9">
        <w:rPr>
          <w:shd w:val="clear" w:color="auto" w:fill="CCECFF"/>
        </w:rPr>
        <w:t>Blue shading</w:t>
      </w:r>
      <w:r w:rsidRPr="00B07FB9">
        <w:t xml:space="preserve"> indicates data previously seen by the PBAC.</w:t>
      </w:r>
    </w:p>
    <w:p w14:paraId="2534296F" w14:textId="5EFBE3CD" w:rsidR="001B4E9C" w:rsidRPr="00B07FB9" w:rsidRDefault="001B4E9C" w:rsidP="00402F10">
      <w:pPr>
        <w:pStyle w:val="TableFigureFooter"/>
        <w:keepNext/>
        <w:keepLines/>
        <w:widowControl w:val="0"/>
      </w:pPr>
      <w:r w:rsidRPr="00B07FB9">
        <w:rPr>
          <w:vertAlign w:val="superscript"/>
        </w:rPr>
        <w:t xml:space="preserve">a </w:t>
      </w:r>
      <w:r w:rsidRPr="00B07FB9">
        <w:t xml:space="preserve">Median treatment duration of 11.0 months for niraparib and 8.3 months for placebo in the ISD cohort of PRIMA at data </w:t>
      </w:r>
      <w:proofErr w:type="spellStart"/>
      <w:r w:rsidRPr="00B07FB9">
        <w:t>cutoff</w:t>
      </w:r>
      <w:proofErr w:type="spellEnd"/>
      <w:r w:rsidRPr="00B07FB9">
        <w:t xml:space="preserve"> 17/05/2019. </w:t>
      </w:r>
    </w:p>
    <w:p w14:paraId="5D265B2B" w14:textId="3D9E19D5" w:rsidR="001B4E9C" w:rsidRDefault="002968E2" w:rsidP="00402F10">
      <w:pPr>
        <w:pStyle w:val="TableFigureFooter"/>
        <w:keepNext/>
        <w:keepLines/>
        <w:widowControl w:val="0"/>
      </w:pPr>
      <w:r w:rsidRPr="00B07FB9">
        <w:rPr>
          <w:vertAlign w:val="superscript"/>
        </w:rPr>
        <w:t>b</w:t>
      </w:r>
      <w:r w:rsidR="001B4E9C" w:rsidRPr="00B07FB9">
        <w:rPr>
          <w:vertAlign w:val="superscript"/>
        </w:rPr>
        <w:t xml:space="preserve"> </w:t>
      </w:r>
      <w:r w:rsidR="001B4E9C" w:rsidRPr="00B07FB9">
        <w:t xml:space="preserve">Median treatment duration of 24.6 months for </w:t>
      </w:r>
      <w:proofErr w:type="spellStart"/>
      <w:r w:rsidR="001B4E9C" w:rsidRPr="00B07FB9">
        <w:t>olaparib</w:t>
      </w:r>
      <w:proofErr w:type="spellEnd"/>
      <w:r w:rsidR="001B4E9C" w:rsidRPr="00B07FB9">
        <w:t xml:space="preserve"> and 13.9 months for placebo follow-up of 40.7 months for </w:t>
      </w:r>
      <w:proofErr w:type="spellStart"/>
      <w:r w:rsidR="001B4E9C" w:rsidRPr="00B07FB9">
        <w:t>olaparib</w:t>
      </w:r>
      <w:proofErr w:type="spellEnd"/>
      <w:r w:rsidR="001B4E9C" w:rsidRPr="00B07FB9">
        <w:t xml:space="preserve"> and 41.2 months for placebo in the overall population of SOLO-1 at data </w:t>
      </w:r>
      <w:proofErr w:type="spellStart"/>
      <w:r w:rsidR="001B4E9C" w:rsidRPr="00B07FB9">
        <w:t>cutoff</w:t>
      </w:r>
      <w:proofErr w:type="spellEnd"/>
      <w:r w:rsidR="001B4E9C" w:rsidRPr="00B07FB9">
        <w:t xml:space="preserve"> 17/05/2018.</w:t>
      </w:r>
    </w:p>
    <w:p w14:paraId="7551C53C" w14:textId="5BCED7A8" w:rsidR="00945A8F" w:rsidRPr="009965D3" w:rsidRDefault="00945A8F" w:rsidP="00402F10">
      <w:pPr>
        <w:pStyle w:val="TableFigureFooter"/>
        <w:keepNext/>
        <w:keepLines/>
        <w:widowControl w:val="0"/>
        <w:rPr>
          <w:rFonts w:ascii="Times New Roman" w:hAnsi="Times New Roman" w:cs="Times New Roman"/>
        </w:rPr>
      </w:pPr>
      <w:r>
        <w:rPr>
          <w:vertAlign w:val="superscript"/>
        </w:rPr>
        <w:t>c</w:t>
      </w:r>
      <w:r w:rsidRPr="00945A8F">
        <w:t xml:space="preserve"> </w:t>
      </w:r>
      <w:r w:rsidRPr="009F00DD">
        <w:t>Risk differences, relative risks and odds ratios were calculated during the evaluation</w:t>
      </w:r>
      <w:r>
        <w:t xml:space="preserve">. </w:t>
      </w:r>
      <w:r w:rsidRPr="00613F3A">
        <w:t>Note that the results denoted by (a) are derived from post-hoc analyses conducted by the evaluation specifically for the purposes of informing the PBAC consideration. Interpretation of the results and their application should therefore be limited to seeking to understand the basis for the PBAC outcome and should not be used for any other purpose</w:t>
      </w:r>
    </w:p>
    <w:p w14:paraId="23846447" w14:textId="7D8D1393" w:rsidR="001B4E9C" w:rsidRPr="00B07FB9" w:rsidRDefault="001B4E9C" w:rsidP="000C6F49">
      <w:pPr>
        <w:pStyle w:val="3-BodyText"/>
        <w:widowControl w:val="0"/>
      </w:pPr>
      <w:r w:rsidRPr="00B07FB9">
        <w:t xml:space="preserve">The proportion of patients experiencing any TEAEs, ≥ Grade 3 TEAEs, serious TEAEs, and TEAEs leading to treatment discontinuation was largely comparable across the common reference (placebo) groups from </w:t>
      </w:r>
      <w:r w:rsidR="0064482F" w:rsidRPr="00B07FB9">
        <w:t xml:space="preserve">the </w:t>
      </w:r>
      <w:r w:rsidRPr="00B07FB9">
        <w:t xml:space="preserve">PRIMA ISD cohort and SOLO-1. The risk of any TEAEs and serious TEAEs was similar between niraparib (ISD regimen) and </w:t>
      </w:r>
      <w:proofErr w:type="spellStart"/>
      <w:r w:rsidRPr="00B07FB9">
        <w:t>olaparib</w:t>
      </w:r>
      <w:proofErr w:type="spellEnd"/>
      <w:r w:rsidRPr="00B07FB9">
        <w:t xml:space="preserve">. However, the indirect odds ratios for TEAEs of ≥ Grade 3 and discontinuation due to TEAEs were in favour of </w:t>
      </w:r>
      <w:proofErr w:type="spellStart"/>
      <w:r w:rsidRPr="00B07FB9">
        <w:t>olaparib</w:t>
      </w:r>
      <w:proofErr w:type="spellEnd"/>
      <w:r w:rsidRPr="00B07FB9">
        <w:t xml:space="preserve">, with statistical significance reached for ≥Grade 3 TEAEs. The wide CIs for most of the indirect estimates of treatment effect suggests that the indirect comparisons were not sufficiently powered. Of note, AEs were collected until 30 days after the treatment </w:t>
      </w:r>
      <w:r w:rsidR="0064482F" w:rsidRPr="00B07FB9">
        <w:t xml:space="preserve">last dose </w:t>
      </w:r>
      <w:r w:rsidRPr="00B07FB9">
        <w:t xml:space="preserve">in both trials. As patients in the SOLO-1 trial </w:t>
      </w:r>
      <w:r w:rsidR="0064482F" w:rsidRPr="00B07FB9">
        <w:t>were</w:t>
      </w:r>
      <w:r w:rsidRPr="00B07FB9">
        <w:t xml:space="preserve"> treat</w:t>
      </w:r>
      <w:r w:rsidR="0064482F" w:rsidRPr="00B07FB9">
        <w:t>ed for longer with</w:t>
      </w:r>
      <w:r w:rsidRPr="00B07FB9">
        <w:t xml:space="preserve"> </w:t>
      </w:r>
      <w:proofErr w:type="spellStart"/>
      <w:r w:rsidRPr="00B07FB9">
        <w:t>olaparib</w:t>
      </w:r>
      <w:proofErr w:type="spellEnd"/>
      <w:r w:rsidRPr="00B07FB9">
        <w:t xml:space="preserve"> compared with those </w:t>
      </w:r>
      <w:r w:rsidR="0064482F" w:rsidRPr="00B07FB9">
        <w:t xml:space="preserve">receiving niraparib </w:t>
      </w:r>
      <w:r w:rsidRPr="00B07FB9">
        <w:t xml:space="preserve">in PRIMA (median treatment duration: 11.0 months for niraparib in PRIMA vs. 24.6 months for </w:t>
      </w:r>
      <w:proofErr w:type="spellStart"/>
      <w:r w:rsidRPr="00B07FB9">
        <w:t>olaparib</w:t>
      </w:r>
      <w:proofErr w:type="spellEnd"/>
      <w:r w:rsidRPr="00B07FB9">
        <w:t xml:space="preserve"> in SOLO-1), the ITC of safety outcomes could have favour</w:t>
      </w:r>
      <w:r w:rsidR="00E56671" w:rsidRPr="00B07FB9">
        <w:t>ed</w:t>
      </w:r>
      <w:r w:rsidRPr="00B07FB9">
        <w:t xml:space="preserve"> niraparib</w:t>
      </w:r>
      <w:r w:rsidR="0064482F" w:rsidRPr="00B07FB9">
        <w:t xml:space="preserve">, particularly for events that are </w:t>
      </w:r>
      <w:r w:rsidR="00E56671" w:rsidRPr="00B07FB9">
        <w:t>caused by</w:t>
      </w:r>
      <w:r w:rsidR="0064482F" w:rsidRPr="00B07FB9">
        <w:t xml:space="preserve"> cumulative exposure</w:t>
      </w:r>
      <w:r w:rsidRPr="00B07FB9">
        <w:t>.</w:t>
      </w:r>
      <w:r w:rsidR="00E328A5" w:rsidRPr="00B07FB9">
        <w:t xml:space="preserve"> </w:t>
      </w:r>
      <w:r w:rsidR="00E328A5" w:rsidRPr="00B07FB9">
        <w:lastRenderedPageBreak/>
        <w:t xml:space="preserve">The PBAC noted that </w:t>
      </w:r>
      <w:r w:rsidR="00E328A5" w:rsidRPr="00B07FB9">
        <w:rPr>
          <w:rFonts w:cs="Calibri"/>
        </w:rPr>
        <w:t xml:space="preserve">Grade 3-5 </w:t>
      </w:r>
      <w:r w:rsidR="00E328A5" w:rsidRPr="00B07FB9">
        <w:t>thrombocytopenia events were reported in 14.</w:t>
      </w:r>
      <w:r w:rsidR="00B202FB">
        <w:t>8</w:t>
      </w:r>
      <w:r w:rsidR="00E328A5" w:rsidRPr="00B07FB9">
        <w:t xml:space="preserve">% of patients receiving ISD niraparib in PRIMA, compared with an incidence of &lt;5% in the </w:t>
      </w:r>
      <w:proofErr w:type="spellStart"/>
      <w:r w:rsidR="00E328A5" w:rsidRPr="00B07FB9">
        <w:t>olaparib</w:t>
      </w:r>
      <w:proofErr w:type="spellEnd"/>
      <w:r w:rsidR="00E328A5" w:rsidRPr="00B07FB9">
        <w:t xml:space="preserve"> group in SOLO-1</w:t>
      </w:r>
      <w:r w:rsidR="009430A7" w:rsidRPr="00B07FB9">
        <w:t xml:space="preserve"> and Grade </w:t>
      </w:r>
      <w:r w:rsidR="009430A7" w:rsidRPr="00B07FB9">
        <w:rPr>
          <w:rFonts w:cstheme="minorHAnsi"/>
        </w:rPr>
        <w:t>≥</w:t>
      </w:r>
      <w:r w:rsidR="009430A7" w:rsidRPr="00B07FB9">
        <w:t>3</w:t>
      </w:r>
      <w:r w:rsidR="00E328A5" w:rsidRPr="00B07FB9">
        <w:t xml:space="preserve"> neutropenia </w:t>
      </w:r>
      <w:r w:rsidR="009430A7" w:rsidRPr="00B07FB9">
        <w:t xml:space="preserve">occurred in </w:t>
      </w:r>
      <w:r w:rsidR="00E328A5" w:rsidRPr="00B07FB9">
        <w:t xml:space="preserve">9.5% </w:t>
      </w:r>
      <w:r w:rsidR="009430A7" w:rsidRPr="00B07FB9">
        <w:t>of patients receiving ISD niraparib in PRIMA, compared with an incidence of for</w:t>
      </w:r>
      <w:r w:rsidR="00B202FB">
        <w:t xml:space="preserve"> 5.0%</w:t>
      </w:r>
      <w:r w:rsidR="009430A7" w:rsidRPr="00B07FB9">
        <w:t xml:space="preserve"> patients treated with </w:t>
      </w:r>
      <w:proofErr w:type="spellStart"/>
      <w:r w:rsidR="009430A7" w:rsidRPr="00B07FB9">
        <w:t>olaparib</w:t>
      </w:r>
      <w:proofErr w:type="spellEnd"/>
      <w:r w:rsidR="009430A7" w:rsidRPr="00B07FB9">
        <w:t xml:space="preserve"> in SOLO-1</w:t>
      </w:r>
      <w:r w:rsidR="00E328A5" w:rsidRPr="00B07FB9">
        <w:t xml:space="preserve">. </w:t>
      </w:r>
      <w:r w:rsidR="009430A7" w:rsidRPr="00B07FB9">
        <w:t xml:space="preserve">The pre-PBAC response argued that that insights from the PBAC hearing indicated haematological toxicities are asymptomatic and manageable </w:t>
      </w:r>
      <w:r w:rsidR="00B76750" w:rsidRPr="00B07FB9">
        <w:t xml:space="preserve">with dose reductions </w:t>
      </w:r>
      <w:r w:rsidR="009430A7" w:rsidRPr="00B07FB9">
        <w:t>in practice</w:t>
      </w:r>
      <w:r w:rsidR="00B76750" w:rsidRPr="00B07FB9">
        <w:t xml:space="preserve">, and symptomatic TEAEs such as nausea and fatigue that have been reported with </w:t>
      </w:r>
      <w:proofErr w:type="spellStart"/>
      <w:r w:rsidR="00B76750" w:rsidRPr="00B07FB9">
        <w:t>olaparib</w:t>
      </w:r>
      <w:proofErr w:type="spellEnd"/>
      <w:r w:rsidR="00B76750" w:rsidRPr="00B07FB9">
        <w:t xml:space="preserve"> have been less of a concern with niraparib.</w:t>
      </w:r>
      <w:r w:rsidR="009430A7" w:rsidRPr="00B07FB9">
        <w:t xml:space="preserve"> </w:t>
      </w:r>
      <w:r w:rsidR="00E328A5" w:rsidRPr="00B07FB9">
        <w:t xml:space="preserve">The PBAC considered </w:t>
      </w:r>
      <w:r w:rsidR="0009001B" w:rsidRPr="00B07FB9">
        <w:t xml:space="preserve">it was appropriate that </w:t>
      </w:r>
      <w:r w:rsidR="00E328A5" w:rsidRPr="00B07FB9">
        <w:t>hospitalisation costs for thrombocytopenia and anaemia TEAEs were included in</w:t>
      </w:r>
      <w:r w:rsidR="00E328A5" w:rsidRPr="00B07FB9">
        <w:rPr>
          <w:bCs/>
        </w:rPr>
        <w:t xml:space="preserve"> the CMA, accounting for the observed incremental differences in the incidence of these events across PRIMA and SOLO-1. </w:t>
      </w:r>
    </w:p>
    <w:p w14:paraId="2907C199" w14:textId="77777777" w:rsidR="001B4E9C" w:rsidRPr="00B07FB9" w:rsidRDefault="001B4E9C" w:rsidP="00A4339A">
      <w:pPr>
        <w:pStyle w:val="4-SubsectionHeading"/>
        <w:keepLines/>
        <w:widowControl w:val="0"/>
      </w:pPr>
      <w:bookmarkStart w:id="31" w:name="_Toc22897643"/>
      <w:bookmarkStart w:id="32" w:name="_Toc93404192"/>
      <w:r w:rsidRPr="00B07FB9">
        <w:t>Benefits/harms</w:t>
      </w:r>
      <w:bookmarkEnd w:id="31"/>
      <w:bookmarkEnd w:id="32"/>
    </w:p>
    <w:p w14:paraId="299AE133" w14:textId="670609E4" w:rsidR="001B4E9C" w:rsidRPr="00B07FB9" w:rsidRDefault="001B4E9C" w:rsidP="00A4339A">
      <w:pPr>
        <w:pStyle w:val="3-BodyText"/>
        <w:keepNext/>
        <w:keepLines/>
        <w:widowControl w:val="0"/>
        <w:rPr>
          <w:rFonts w:ascii="Arial Narrow" w:hAnsi="Arial Narrow"/>
          <w:b/>
          <w:sz w:val="20"/>
          <w:szCs w:val="16"/>
        </w:rPr>
      </w:pPr>
      <w:r w:rsidRPr="00B07FB9">
        <w:t xml:space="preserve">A summary of the comparative benefits and harms for niraparib versus placebo in </w:t>
      </w:r>
      <w:r w:rsidR="00E56671" w:rsidRPr="00B07FB9">
        <w:t xml:space="preserve">the </w:t>
      </w:r>
      <w:r w:rsidRPr="00B07FB9">
        <w:t>non-</w:t>
      </w:r>
      <w:proofErr w:type="spellStart"/>
      <w:r w:rsidRPr="00B07FB9">
        <w:t>BRCAm</w:t>
      </w:r>
      <w:proofErr w:type="spellEnd"/>
      <w:r w:rsidRPr="00B07FB9">
        <w:t xml:space="preserve"> subgroup is presented in the table below.</w:t>
      </w:r>
    </w:p>
    <w:p w14:paraId="35BE3A78" w14:textId="71A14AD5" w:rsidR="001B4E9C" w:rsidRPr="00B07FB9" w:rsidRDefault="001B4E9C" w:rsidP="000C6F49">
      <w:pPr>
        <w:pStyle w:val="TableFigureHeading"/>
        <w:keepNext w:val="0"/>
        <w:widowControl w:val="0"/>
        <w:rPr>
          <w:rStyle w:val="CommentReference"/>
          <w:b/>
          <w:szCs w:val="24"/>
        </w:rPr>
      </w:pPr>
      <w:r w:rsidRPr="00B07FB9">
        <w:t xml:space="preserve">Table </w:t>
      </w:r>
      <w:r w:rsidR="00385E8C">
        <w:fldChar w:fldCharType="begin"/>
      </w:r>
      <w:r w:rsidR="00385E8C">
        <w:instrText xml:space="preserve"> SEQ Table \* ARABIC </w:instrText>
      </w:r>
      <w:r w:rsidR="00385E8C">
        <w:fldChar w:fldCharType="separate"/>
      </w:r>
      <w:r w:rsidR="00385E8C">
        <w:rPr>
          <w:noProof/>
        </w:rPr>
        <w:t>11</w:t>
      </w:r>
      <w:r w:rsidR="00385E8C">
        <w:fldChar w:fldCharType="end"/>
      </w:r>
      <w:r w:rsidRPr="00B07FB9">
        <w:t>:</w:t>
      </w:r>
      <w:r w:rsidRPr="00B07FB9">
        <w:rPr>
          <w:rStyle w:val="CommentReference"/>
          <w:b/>
          <w:szCs w:val="24"/>
        </w:rPr>
        <w:t xml:space="preserve"> Summary of comparative benefits and harms for niraparib and placebo in </w:t>
      </w:r>
      <w:r w:rsidR="00E56671" w:rsidRPr="00B07FB9">
        <w:rPr>
          <w:rStyle w:val="CommentReference"/>
          <w:b/>
          <w:szCs w:val="24"/>
        </w:rPr>
        <w:t xml:space="preserve">the </w:t>
      </w:r>
      <w:r w:rsidRPr="00B07FB9">
        <w:rPr>
          <w:rStyle w:val="CommentReference"/>
          <w:b/>
          <w:szCs w:val="24"/>
        </w:rPr>
        <w:t>non-</w:t>
      </w:r>
      <w:proofErr w:type="spellStart"/>
      <w:r w:rsidRPr="00B07FB9">
        <w:rPr>
          <w:rStyle w:val="CommentReference"/>
          <w:b/>
          <w:szCs w:val="24"/>
        </w:rPr>
        <w:t>BRCAm</w:t>
      </w:r>
      <w:proofErr w:type="spellEnd"/>
      <w:r w:rsidRPr="00B07FB9">
        <w:rPr>
          <w:rStyle w:val="CommentReference"/>
          <w:b/>
          <w:szCs w:val="24"/>
        </w:rPr>
        <w:t xml:space="preserve"> subgroup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Summary of comparative benefits and harms for niraparib and placebo in the non-BRCAm subgroup"/>
      </w:tblPr>
      <w:tblGrid>
        <w:gridCol w:w="1269"/>
        <w:gridCol w:w="1013"/>
        <w:gridCol w:w="7"/>
        <w:gridCol w:w="173"/>
        <w:gridCol w:w="1104"/>
        <w:gridCol w:w="343"/>
        <w:gridCol w:w="1212"/>
        <w:gridCol w:w="303"/>
        <w:gridCol w:w="808"/>
        <w:gridCol w:w="1133"/>
        <w:gridCol w:w="67"/>
        <w:gridCol w:w="1585"/>
      </w:tblGrid>
      <w:tr w:rsidR="001B4E9C" w:rsidRPr="00B07FB9" w14:paraId="6FDA98FD" w14:textId="77777777" w:rsidTr="00CF6F85">
        <w:trPr>
          <w:cantSplit/>
        </w:trPr>
        <w:tc>
          <w:tcPr>
            <w:tcW w:w="5000" w:type="pct"/>
            <w:gridSpan w:val="12"/>
            <w:shd w:val="clear" w:color="auto" w:fill="auto"/>
            <w:vAlign w:val="center"/>
          </w:tcPr>
          <w:p w14:paraId="5DD5D85F" w14:textId="77777777" w:rsidR="001B4E9C" w:rsidRPr="00B07FB9" w:rsidRDefault="001B4E9C" w:rsidP="000C6F49">
            <w:pPr>
              <w:pStyle w:val="In-tableHeading"/>
              <w:keepNext w:val="0"/>
              <w:widowControl w:val="0"/>
              <w:rPr>
                <w:lang w:val="en-AU"/>
              </w:rPr>
            </w:pPr>
            <w:r w:rsidRPr="00B07FB9">
              <w:rPr>
                <w:lang w:val="en-AU"/>
              </w:rPr>
              <w:t>Benefits</w:t>
            </w:r>
          </w:p>
        </w:tc>
      </w:tr>
      <w:tr w:rsidR="001B4E9C" w:rsidRPr="00B07FB9" w14:paraId="25BB8004" w14:textId="77777777" w:rsidTr="00CF6F85">
        <w:trPr>
          <w:trHeight w:val="20"/>
        </w:trPr>
        <w:tc>
          <w:tcPr>
            <w:tcW w:w="5000" w:type="pct"/>
            <w:gridSpan w:val="12"/>
            <w:shd w:val="clear" w:color="auto" w:fill="auto"/>
          </w:tcPr>
          <w:p w14:paraId="302C1201" w14:textId="60EE4DA7" w:rsidR="001B4E9C" w:rsidRPr="00B07FB9" w:rsidRDefault="001B4E9C" w:rsidP="000C6F49">
            <w:pPr>
              <w:pStyle w:val="In-tableHeading"/>
              <w:keepNext w:val="0"/>
              <w:widowControl w:val="0"/>
              <w:rPr>
                <w:lang w:val="en-AU"/>
              </w:rPr>
            </w:pPr>
            <w:r w:rsidRPr="00B07FB9">
              <w:rPr>
                <w:lang w:val="en-AU"/>
              </w:rPr>
              <w:t>Progression free survival (median duration of follow up 1</w:t>
            </w:r>
            <w:r w:rsidR="00A4613F" w:rsidRPr="00B07FB9">
              <w:rPr>
                <w:lang w:val="en-AU"/>
              </w:rPr>
              <w:t>4</w:t>
            </w:r>
            <w:r w:rsidRPr="00B07FB9">
              <w:rPr>
                <w:lang w:val="en-AU"/>
              </w:rPr>
              <w:t xml:space="preserve"> months)</w:t>
            </w:r>
          </w:p>
        </w:tc>
      </w:tr>
      <w:tr w:rsidR="001B4E9C" w:rsidRPr="00B07FB9" w14:paraId="156BB252" w14:textId="77777777" w:rsidTr="00CF6F85">
        <w:trPr>
          <w:trHeight w:val="20"/>
        </w:trPr>
        <w:tc>
          <w:tcPr>
            <w:tcW w:w="1366" w:type="pct"/>
            <w:gridSpan w:val="4"/>
            <w:shd w:val="clear" w:color="auto" w:fill="auto"/>
          </w:tcPr>
          <w:p w14:paraId="252AD027" w14:textId="77777777" w:rsidR="001B4E9C" w:rsidRPr="00B07FB9" w:rsidRDefault="001B4E9C" w:rsidP="000C6F49">
            <w:pPr>
              <w:pStyle w:val="In-tableHeading"/>
              <w:keepNext w:val="0"/>
              <w:widowControl w:val="0"/>
              <w:rPr>
                <w:lang w:val="en-AU"/>
              </w:rPr>
            </w:pPr>
            <w:r w:rsidRPr="00B07FB9">
              <w:rPr>
                <w:lang w:val="en-AU"/>
              </w:rPr>
              <w:t>Event</w:t>
            </w:r>
          </w:p>
        </w:tc>
        <w:tc>
          <w:tcPr>
            <w:tcW w:w="802" w:type="pct"/>
            <w:gridSpan w:val="2"/>
            <w:shd w:val="clear" w:color="auto" w:fill="auto"/>
          </w:tcPr>
          <w:p w14:paraId="76803292" w14:textId="77777777" w:rsidR="001B4E9C" w:rsidRPr="00B07FB9" w:rsidRDefault="001B4E9C" w:rsidP="000C6F49">
            <w:pPr>
              <w:pStyle w:val="In-tableHeading"/>
              <w:keepNext w:val="0"/>
              <w:widowControl w:val="0"/>
              <w:jc w:val="center"/>
              <w:rPr>
                <w:lang w:val="en-AU"/>
              </w:rPr>
            </w:pPr>
            <w:r w:rsidRPr="00B07FB9">
              <w:rPr>
                <w:lang w:val="en-AU"/>
              </w:rPr>
              <w:t>Niraparib</w:t>
            </w:r>
          </w:p>
        </w:tc>
        <w:tc>
          <w:tcPr>
            <w:tcW w:w="840" w:type="pct"/>
            <w:gridSpan w:val="2"/>
            <w:shd w:val="clear" w:color="auto" w:fill="auto"/>
          </w:tcPr>
          <w:p w14:paraId="2F20F30A" w14:textId="77A22DAB" w:rsidR="001B4E9C" w:rsidRPr="00B07FB9" w:rsidRDefault="001B4E9C" w:rsidP="000C6F49">
            <w:pPr>
              <w:pStyle w:val="In-tableHeading"/>
              <w:keepNext w:val="0"/>
              <w:widowControl w:val="0"/>
              <w:jc w:val="center"/>
              <w:rPr>
                <w:lang w:val="en-AU"/>
              </w:rPr>
            </w:pPr>
            <w:r w:rsidRPr="00B07FB9">
              <w:rPr>
                <w:lang w:val="en-AU"/>
              </w:rPr>
              <w:t>Placebo</w:t>
            </w:r>
          </w:p>
        </w:tc>
        <w:tc>
          <w:tcPr>
            <w:tcW w:w="1113" w:type="pct"/>
            <w:gridSpan w:val="3"/>
            <w:shd w:val="clear" w:color="auto" w:fill="auto"/>
          </w:tcPr>
          <w:p w14:paraId="1E18A4F8" w14:textId="036BA848" w:rsidR="001B4E9C" w:rsidRPr="00B07FB9" w:rsidRDefault="001B4E9C" w:rsidP="000C6F49">
            <w:pPr>
              <w:pStyle w:val="In-tableHeading"/>
              <w:keepNext w:val="0"/>
              <w:widowControl w:val="0"/>
              <w:jc w:val="center"/>
              <w:rPr>
                <w:rFonts w:asciiTheme="minorHAnsi" w:hAnsiTheme="minorHAnsi"/>
                <w:lang w:val="en-AU"/>
              </w:rPr>
            </w:pPr>
            <w:r w:rsidRPr="00B07FB9">
              <w:rPr>
                <w:lang w:val="en-AU"/>
              </w:rPr>
              <w:t>Absolute Difference</w:t>
            </w:r>
            <w:r w:rsidR="00960F16">
              <w:rPr>
                <w:lang w:val="en-AU"/>
              </w:rPr>
              <w:t>#</w:t>
            </w:r>
          </w:p>
        </w:tc>
        <w:tc>
          <w:tcPr>
            <w:tcW w:w="879" w:type="pct"/>
            <w:shd w:val="clear" w:color="auto" w:fill="auto"/>
          </w:tcPr>
          <w:p w14:paraId="327D8BDF" w14:textId="77777777" w:rsidR="001B4E9C" w:rsidRPr="00B07FB9" w:rsidRDefault="001B4E9C" w:rsidP="000C6F49">
            <w:pPr>
              <w:pStyle w:val="In-tableHeading"/>
              <w:keepNext w:val="0"/>
              <w:widowControl w:val="0"/>
              <w:jc w:val="center"/>
              <w:rPr>
                <w:lang w:val="en-AU"/>
              </w:rPr>
            </w:pPr>
            <w:r w:rsidRPr="00B07FB9">
              <w:rPr>
                <w:lang w:val="en-AU"/>
              </w:rPr>
              <w:t>HR (95% CI)</w:t>
            </w:r>
          </w:p>
        </w:tc>
      </w:tr>
      <w:tr w:rsidR="001B4E9C" w:rsidRPr="00B07FB9" w14:paraId="0BF0D3D6" w14:textId="77777777" w:rsidTr="00CF6F85">
        <w:trPr>
          <w:trHeight w:val="20"/>
        </w:trPr>
        <w:tc>
          <w:tcPr>
            <w:tcW w:w="1366" w:type="pct"/>
            <w:gridSpan w:val="4"/>
            <w:shd w:val="clear" w:color="auto" w:fill="auto"/>
          </w:tcPr>
          <w:p w14:paraId="5FA4B221" w14:textId="77777777" w:rsidR="001B4E9C" w:rsidRPr="00B07FB9" w:rsidRDefault="001B4E9C" w:rsidP="000C6F49">
            <w:pPr>
              <w:pStyle w:val="TableText0"/>
              <w:keepNext w:val="0"/>
              <w:widowControl w:val="0"/>
            </w:pPr>
            <w:r w:rsidRPr="00B07FB9">
              <w:t>Progressed, n (%)</w:t>
            </w:r>
          </w:p>
        </w:tc>
        <w:tc>
          <w:tcPr>
            <w:tcW w:w="802" w:type="pct"/>
            <w:gridSpan w:val="2"/>
            <w:shd w:val="clear" w:color="auto" w:fill="CCECFF"/>
          </w:tcPr>
          <w:p w14:paraId="4C527A9F" w14:textId="77777777" w:rsidR="001B4E9C" w:rsidRPr="00B07FB9" w:rsidRDefault="001B4E9C" w:rsidP="000C6F49">
            <w:pPr>
              <w:pStyle w:val="TableText0"/>
              <w:keepNext w:val="0"/>
              <w:widowControl w:val="0"/>
              <w:jc w:val="center"/>
            </w:pPr>
            <w:r w:rsidRPr="00B07FB9">
              <w:t>170/310 (54.8%)</w:t>
            </w:r>
          </w:p>
        </w:tc>
        <w:tc>
          <w:tcPr>
            <w:tcW w:w="840" w:type="pct"/>
            <w:gridSpan w:val="2"/>
            <w:shd w:val="clear" w:color="auto" w:fill="CCECFF"/>
          </w:tcPr>
          <w:p w14:paraId="13370F6A" w14:textId="77777777" w:rsidR="001B4E9C" w:rsidRPr="00B07FB9" w:rsidRDefault="001B4E9C" w:rsidP="000C6F49">
            <w:pPr>
              <w:pStyle w:val="TableText0"/>
              <w:keepNext w:val="0"/>
              <w:widowControl w:val="0"/>
              <w:jc w:val="center"/>
            </w:pPr>
            <w:r w:rsidRPr="00B07FB9">
              <w:t>108/163 (66.3%)</w:t>
            </w:r>
          </w:p>
        </w:tc>
        <w:tc>
          <w:tcPr>
            <w:tcW w:w="1113" w:type="pct"/>
            <w:gridSpan w:val="3"/>
            <w:shd w:val="clear" w:color="auto" w:fill="CCECFF"/>
          </w:tcPr>
          <w:p w14:paraId="42570D54" w14:textId="0155674E" w:rsidR="001B4E9C" w:rsidRPr="00B07FB9" w:rsidRDefault="004F3EAC" w:rsidP="000C6F49">
            <w:pPr>
              <w:pStyle w:val="TableText0"/>
              <w:keepNext w:val="0"/>
              <w:widowControl w:val="0"/>
              <w:jc w:val="center"/>
            </w:pPr>
            <w:r w:rsidRPr="00B07FB9">
              <w:t>11.5%</w:t>
            </w:r>
          </w:p>
        </w:tc>
        <w:tc>
          <w:tcPr>
            <w:tcW w:w="879" w:type="pct"/>
            <w:vMerge w:val="restart"/>
            <w:shd w:val="clear" w:color="auto" w:fill="CCECFF"/>
          </w:tcPr>
          <w:p w14:paraId="20A735B8" w14:textId="77777777" w:rsidR="001B4E9C" w:rsidRPr="00B07FB9" w:rsidRDefault="001B4E9C" w:rsidP="000C6F49">
            <w:pPr>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 xml:space="preserve">0.69 </w:t>
            </w:r>
          </w:p>
          <w:p w14:paraId="49C4A464" w14:textId="77777777" w:rsidR="001B4E9C" w:rsidRPr="00B07FB9" w:rsidRDefault="001B4E9C" w:rsidP="000C6F49">
            <w:pPr>
              <w:widowControl w:val="0"/>
              <w:jc w:val="center"/>
              <w:rPr>
                <w:rFonts w:ascii="Arial Narrow" w:hAnsi="Arial Narrow" w:cs="Calibri"/>
                <w:bCs/>
                <w:color w:val="000000"/>
                <w:sz w:val="20"/>
                <w:szCs w:val="20"/>
              </w:rPr>
            </w:pPr>
            <w:r w:rsidRPr="00B07FB9">
              <w:rPr>
                <w:rFonts w:ascii="Arial Narrow" w:hAnsi="Arial Narrow" w:cs="Calibri"/>
                <w:bCs/>
                <w:color w:val="000000"/>
                <w:sz w:val="20"/>
                <w:szCs w:val="20"/>
              </w:rPr>
              <w:t>(0.54, 0.88)</w:t>
            </w:r>
          </w:p>
          <w:p w14:paraId="17E37449" w14:textId="77777777" w:rsidR="001B4E9C" w:rsidRPr="00B07FB9" w:rsidRDefault="001B4E9C" w:rsidP="000C6F49">
            <w:pPr>
              <w:pStyle w:val="TableText0"/>
              <w:keepNext w:val="0"/>
              <w:widowControl w:val="0"/>
              <w:jc w:val="center"/>
            </w:pPr>
            <w:r w:rsidRPr="00B07FB9">
              <w:rPr>
                <w:rFonts w:cs="Calibri"/>
                <w:bCs w:val="0"/>
                <w:color w:val="000000"/>
                <w:szCs w:val="20"/>
              </w:rPr>
              <w:t>p=0.0029</w:t>
            </w:r>
          </w:p>
        </w:tc>
      </w:tr>
      <w:tr w:rsidR="001B4E9C" w:rsidRPr="00B07FB9" w14:paraId="0B1F6F8F" w14:textId="77777777" w:rsidTr="00CF6F85">
        <w:trPr>
          <w:trHeight w:val="20"/>
        </w:trPr>
        <w:tc>
          <w:tcPr>
            <w:tcW w:w="1366" w:type="pct"/>
            <w:gridSpan w:val="4"/>
            <w:shd w:val="clear" w:color="auto" w:fill="auto"/>
          </w:tcPr>
          <w:p w14:paraId="30FB7EE0" w14:textId="5A68FD95" w:rsidR="001B4E9C" w:rsidRPr="00B07FB9" w:rsidRDefault="001B4E9C" w:rsidP="000C6F49">
            <w:pPr>
              <w:pStyle w:val="TableText0"/>
              <w:keepNext w:val="0"/>
              <w:widowControl w:val="0"/>
            </w:pPr>
            <w:r w:rsidRPr="00B07FB9">
              <w:t>Median PFS, months (95% CI)</w:t>
            </w:r>
            <w:r w:rsidR="00960F16">
              <w:t>*</w:t>
            </w:r>
          </w:p>
        </w:tc>
        <w:tc>
          <w:tcPr>
            <w:tcW w:w="802" w:type="pct"/>
            <w:gridSpan w:val="2"/>
            <w:shd w:val="clear" w:color="auto" w:fill="auto"/>
          </w:tcPr>
          <w:p w14:paraId="3B3F31D0" w14:textId="77777777" w:rsidR="001B4E9C" w:rsidRPr="00B07FB9" w:rsidRDefault="001B4E9C" w:rsidP="000C6F49">
            <w:pPr>
              <w:pStyle w:val="TableText0"/>
              <w:keepNext w:val="0"/>
              <w:widowControl w:val="0"/>
              <w:jc w:val="center"/>
              <w:rPr>
                <w:rFonts w:cs="Times New Roman"/>
                <w:szCs w:val="20"/>
              </w:rPr>
            </w:pPr>
            <w:r w:rsidRPr="00B07FB9">
              <w:rPr>
                <w:rFonts w:cs="Times New Roman"/>
                <w:szCs w:val="20"/>
              </w:rPr>
              <w:t>10.9 (8.3, 11.8)</w:t>
            </w:r>
          </w:p>
        </w:tc>
        <w:tc>
          <w:tcPr>
            <w:tcW w:w="840" w:type="pct"/>
            <w:gridSpan w:val="2"/>
            <w:shd w:val="clear" w:color="auto" w:fill="auto"/>
          </w:tcPr>
          <w:p w14:paraId="0266DB9F" w14:textId="77777777" w:rsidR="001B4E9C" w:rsidRPr="00B07FB9" w:rsidRDefault="001B4E9C" w:rsidP="000C6F49">
            <w:pPr>
              <w:pStyle w:val="TableText0"/>
              <w:keepNext w:val="0"/>
              <w:widowControl w:val="0"/>
              <w:jc w:val="center"/>
              <w:rPr>
                <w:rFonts w:cs="Times New Roman"/>
                <w:szCs w:val="20"/>
              </w:rPr>
            </w:pPr>
            <w:r w:rsidRPr="00B07FB9">
              <w:rPr>
                <w:rFonts w:cs="Times New Roman"/>
                <w:szCs w:val="20"/>
              </w:rPr>
              <w:t>7.4 (5.6, 8.2)</w:t>
            </w:r>
          </w:p>
        </w:tc>
        <w:tc>
          <w:tcPr>
            <w:tcW w:w="1113" w:type="pct"/>
            <w:gridSpan w:val="3"/>
            <w:shd w:val="clear" w:color="auto" w:fill="auto"/>
          </w:tcPr>
          <w:p w14:paraId="3F041B2F" w14:textId="77777777" w:rsidR="001B4E9C" w:rsidRPr="00B07FB9" w:rsidRDefault="001B4E9C" w:rsidP="000C6F49">
            <w:pPr>
              <w:pStyle w:val="TableText0"/>
              <w:keepNext w:val="0"/>
              <w:widowControl w:val="0"/>
              <w:jc w:val="center"/>
            </w:pPr>
            <w:r w:rsidRPr="00B07FB9">
              <w:t>3.5</w:t>
            </w:r>
          </w:p>
        </w:tc>
        <w:tc>
          <w:tcPr>
            <w:tcW w:w="879" w:type="pct"/>
            <w:vMerge/>
            <w:shd w:val="clear" w:color="auto" w:fill="CCECFF"/>
          </w:tcPr>
          <w:p w14:paraId="1B93AB4D" w14:textId="77777777" w:rsidR="001B4E9C" w:rsidRPr="00B07FB9" w:rsidRDefault="001B4E9C" w:rsidP="000C6F49">
            <w:pPr>
              <w:pStyle w:val="TableText0"/>
              <w:keepNext w:val="0"/>
              <w:widowControl w:val="0"/>
              <w:jc w:val="center"/>
              <w:rPr>
                <w:szCs w:val="20"/>
              </w:rPr>
            </w:pPr>
          </w:p>
        </w:tc>
      </w:tr>
      <w:tr w:rsidR="001B4E9C" w:rsidRPr="00B07FB9" w14:paraId="0270A6AF" w14:textId="77777777" w:rsidTr="00CF6F85">
        <w:trPr>
          <w:trHeight w:val="20"/>
        </w:trPr>
        <w:tc>
          <w:tcPr>
            <w:tcW w:w="1366" w:type="pct"/>
            <w:gridSpan w:val="4"/>
            <w:shd w:val="clear" w:color="auto" w:fill="auto"/>
          </w:tcPr>
          <w:p w14:paraId="50077878" w14:textId="08D526BE" w:rsidR="001B4E9C" w:rsidRPr="00B07FB9" w:rsidRDefault="001B4E9C" w:rsidP="000C6F49">
            <w:pPr>
              <w:pStyle w:val="TableText0"/>
              <w:keepNext w:val="0"/>
              <w:widowControl w:val="0"/>
            </w:pPr>
            <w:r w:rsidRPr="00B07FB9">
              <w:t>% not progressed at 12 months (95% CI)</w:t>
            </w:r>
            <w:r w:rsidR="00960F16">
              <w:t>*</w:t>
            </w:r>
          </w:p>
        </w:tc>
        <w:tc>
          <w:tcPr>
            <w:tcW w:w="802" w:type="pct"/>
            <w:gridSpan w:val="2"/>
            <w:shd w:val="clear" w:color="auto" w:fill="auto"/>
            <w:vAlign w:val="center"/>
          </w:tcPr>
          <w:p w14:paraId="49A58449" w14:textId="6ED55A16" w:rsidR="001B4E9C" w:rsidRPr="00B07FB9" w:rsidRDefault="001B4E9C" w:rsidP="000C6F49">
            <w:pPr>
              <w:pStyle w:val="TableText0"/>
              <w:keepNext w:val="0"/>
              <w:widowControl w:val="0"/>
              <w:jc w:val="center"/>
              <w:rPr>
                <w:szCs w:val="20"/>
              </w:rPr>
            </w:pPr>
            <w:r w:rsidRPr="00B07FB9">
              <w:rPr>
                <w:szCs w:val="20"/>
              </w:rPr>
              <w:t>43 (37, 0.49)</w:t>
            </w:r>
          </w:p>
        </w:tc>
        <w:tc>
          <w:tcPr>
            <w:tcW w:w="840" w:type="pct"/>
            <w:gridSpan w:val="2"/>
            <w:shd w:val="clear" w:color="auto" w:fill="auto"/>
            <w:vAlign w:val="center"/>
          </w:tcPr>
          <w:p w14:paraId="6DD0C58D" w14:textId="77777777" w:rsidR="001B4E9C" w:rsidRPr="00B07FB9" w:rsidRDefault="001B4E9C" w:rsidP="000C6F49">
            <w:pPr>
              <w:pStyle w:val="TableText0"/>
              <w:keepNext w:val="0"/>
              <w:widowControl w:val="0"/>
              <w:jc w:val="center"/>
              <w:rPr>
                <w:szCs w:val="20"/>
              </w:rPr>
            </w:pPr>
            <w:r w:rsidRPr="00B07FB9">
              <w:rPr>
                <w:szCs w:val="20"/>
              </w:rPr>
              <w:t>31 (24, 39)</w:t>
            </w:r>
          </w:p>
        </w:tc>
        <w:tc>
          <w:tcPr>
            <w:tcW w:w="1113" w:type="pct"/>
            <w:gridSpan w:val="3"/>
            <w:shd w:val="clear" w:color="auto" w:fill="auto"/>
            <w:vAlign w:val="center"/>
          </w:tcPr>
          <w:p w14:paraId="7D3794AD" w14:textId="77777777" w:rsidR="001B4E9C" w:rsidRPr="00B07FB9" w:rsidRDefault="001B4E9C" w:rsidP="000C6F49">
            <w:pPr>
              <w:pStyle w:val="TableText0"/>
              <w:keepNext w:val="0"/>
              <w:widowControl w:val="0"/>
              <w:jc w:val="center"/>
            </w:pPr>
            <w:r w:rsidRPr="00B07FB9">
              <w:t>12%</w:t>
            </w:r>
          </w:p>
        </w:tc>
        <w:tc>
          <w:tcPr>
            <w:tcW w:w="879" w:type="pct"/>
            <w:vMerge/>
            <w:shd w:val="clear" w:color="auto" w:fill="CCECFF"/>
          </w:tcPr>
          <w:p w14:paraId="584FA4C3" w14:textId="77777777" w:rsidR="001B4E9C" w:rsidRPr="00B07FB9" w:rsidRDefault="001B4E9C" w:rsidP="000C6F49">
            <w:pPr>
              <w:pStyle w:val="TableText0"/>
              <w:keepNext w:val="0"/>
              <w:widowControl w:val="0"/>
              <w:jc w:val="center"/>
            </w:pPr>
          </w:p>
        </w:tc>
      </w:tr>
      <w:tr w:rsidR="001B4E9C" w:rsidRPr="00B07FB9" w14:paraId="25309D4E" w14:textId="77777777" w:rsidTr="00CF6F85">
        <w:trPr>
          <w:trHeight w:val="20"/>
        </w:trPr>
        <w:tc>
          <w:tcPr>
            <w:tcW w:w="1366" w:type="pct"/>
            <w:gridSpan w:val="4"/>
            <w:shd w:val="clear" w:color="auto" w:fill="auto"/>
          </w:tcPr>
          <w:p w14:paraId="36B732E2" w14:textId="743C0E81" w:rsidR="001B4E9C" w:rsidRPr="00B07FB9" w:rsidRDefault="001B4E9C" w:rsidP="000C6F49">
            <w:pPr>
              <w:pStyle w:val="TableText0"/>
              <w:keepNext w:val="0"/>
              <w:widowControl w:val="0"/>
            </w:pPr>
            <w:r w:rsidRPr="00B07FB9">
              <w:t>% not progressed at 18 months (95% CI)</w:t>
            </w:r>
            <w:r w:rsidR="00960F16">
              <w:t>*</w:t>
            </w:r>
          </w:p>
        </w:tc>
        <w:tc>
          <w:tcPr>
            <w:tcW w:w="802" w:type="pct"/>
            <w:gridSpan w:val="2"/>
            <w:vAlign w:val="center"/>
          </w:tcPr>
          <w:p w14:paraId="2D27E17F" w14:textId="77777777" w:rsidR="001B4E9C" w:rsidRPr="00B07FB9" w:rsidRDefault="001B4E9C" w:rsidP="000C6F49">
            <w:pPr>
              <w:pStyle w:val="TableText0"/>
              <w:keepNext w:val="0"/>
              <w:widowControl w:val="0"/>
              <w:jc w:val="center"/>
              <w:rPr>
                <w:szCs w:val="20"/>
              </w:rPr>
            </w:pPr>
            <w:r w:rsidRPr="00B07FB9">
              <w:rPr>
                <w:szCs w:val="20"/>
              </w:rPr>
              <w:t>30 (24, 37)</w:t>
            </w:r>
          </w:p>
        </w:tc>
        <w:tc>
          <w:tcPr>
            <w:tcW w:w="840" w:type="pct"/>
            <w:gridSpan w:val="2"/>
            <w:vAlign w:val="center"/>
          </w:tcPr>
          <w:p w14:paraId="6E028400" w14:textId="77777777" w:rsidR="001B4E9C" w:rsidRPr="00B07FB9" w:rsidRDefault="001B4E9C" w:rsidP="000C6F49">
            <w:pPr>
              <w:pStyle w:val="TableText0"/>
              <w:keepNext w:val="0"/>
              <w:widowControl w:val="0"/>
              <w:jc w:val="center"/>
              <w:rPr>
                <w:szCs w:val="20"/>
              </w:rPr>
            </w:pPr>
            <w:r w:rsidRPr="00B07FB9">
              <w:rPr>
                <w:szCs w:val="20"/>
              </w:rPr>
              <w:t>23 (15, 32)</w:t>
            </w:r>
          </w:p>
        </w:tc>
        <w:tc>
          <w:tcPr>
            <w:tcW w:w="1113" w:type="pct"/>
            <w:gridSpan w:val="3"/>
            <w:shd w:val="clear" w:color="auto" w:fill="auto"/>
            <w:vAlign w:val="center"/>
          </w:tcPr>
          <w:p w14:paraId="718EDD0C" w14:textId="77777777" w:rsidR="001B4E9C" w:rsidRPr="00B07FB9" w:rsidRDefault="001B4E9C" w:rsidP="000C6F49">
            <w:pPr>
              <w:pStyle w:val="TableText0"/>
              <w:keepNext w:val="0"/>
              <w:widowControl w:val="0"/>
              <w:jc w:val="center"/>
              <w:rPr>
                <w:rFonts w:cs="Times New Roman"/>
                <w:szCs w:val="20"/>
              </w:rPr>
            </w:pPr>
            <w:r w:rsidRPr="00B07FB9">
              <w:rPr>
                <w:rFonts w:cs="Times New Roman"/>
                <w:szCs w:val="20"/>
              </w:rPr>
              <w:t>7%</w:t>
            </w:r>
          </w:p>
        </w:tc>
        <w:tc>
          <w:tcPr>
            <w:tcW w:w="879" w:type="pct"/>
            <w:vMerge/>
            <w:shd w:val="clear" w:color="auto" w:fill="CCECFF"/>
          </w:tcPr>
          <w:p w14:paraId="10C308AD" w14:textId="77777777" w:rsidR="001B4E9C" w:rsidRPr="00B07FB9" w:rsidRDefault="001B4E9C" w:rsidP="000C6F49">
            <w:pPr>
              <w:pStyle w:val="TableText0"/>
              <w:keepNext w:val="0"/>
              <w:widowControl w:val="0"/>
              <w:jc w:val="center"/>
            </w:pPr>
          </w:p>
        </w:tc>
      </w:tr>
      <w:tr w:rsidR="001B4E9C" w:rsidRPr="00B07FB9" w14:paraId="4F85AE6D" w14:textId="77777777" w:rsidTr="00CF6F85">
        <w:trPr>
          <w:trHeight w:val="20"/>
        </w:trPr>
        <w:tc>
          <w:tcPr>
            <w:tcW w:w="5000" w:type="pct"/>
            <w:gridSpan w:val="12"/>
            <w:shd w:val="clear" w:color="auto" w:fill="auto"/>
          </w:tcPr>
          <w:p w14:paraId="550F859D" w14:textId="3F054FA4" w:rsidR="001B4E9C" w:rsidRPr="00B07FB9" w:rsidRDefault="001B4E9C" w:rsidP="000C6F49">
            <w:pPr>
              <w:pStyle w:val="In-tableHeading"/>
              <w:keepNext w:val="0"/>
              <w:widowControl w:val="0"/>
              <w:rPr>
                <w:lang w:val="en-AU"/>
              </w:rPr>
            </w:pPr>
            <w:r w:rsidRPr="00B07FB9">
              <w:rPr>
                <w:lang w:val="en-AU"/>
              </w:rPr>
              <w:t>Overall survival (median duration of follow up 15 months)</w:t>
            </w:r>
            <w:r w:rsidR="00960F16">
              <w:rPr>
                <w:lang w:val="en-AU"/>
              </w:rPr>
              <w:t>*</w:t>
            </w:r>
          </w:p>
        </w:tc>
      </w:tr>
      <w:tr w:rsidR="001B4E9C" w:rsidRPr="00B07FB9" w14:paraId="55663778" w14:textId="77777777" w:rsidTr="00CF6F85">
        <w:trPr>
          <w:trHeight w:val="20"/>
        </w:trPr>
        <w:tc>
          <w:tcPr>
            <w:tcW w:w="1366" w:type="pct"/>
            <w:gridSpan w:val="4"/>
            <w:shd w:val="clear" w:color="auto" w:fill="auto"/>
          </w:tcPr>
          <w:p w14:paraId="568175FF" w14:textId="77777777" w:rsidR="001B4E9C" w:rsidRPr="00B07FB9" w:rsidRDefault="001B4E9C" w:rsidP="000C6F49">
            <w:pPr>
              <w:pStyle w:val="TableText0"/>
              <w:keepNext w:val="0"/>
              <w:widowControl w:val="0"/>
            </w:pPr>
            <w:r w:rsidRPr="00B07FB9">
              <w:t xml:space="preserve">Deaths, n/N (%) </w:t>
            </w:r>
          </w:p>
        </w:tc>
        <w:tc>
          <w:tcPr>
            <w:tcW w:w="802" w:type="pct"/>
            <w:gridSpan w:val="2"/>
            <w:shd w:val="clear" w:color="auto" w:fill="auto"/>
          </w:tcPr>
          <w:p w14:paraId="3F988EC7" w14:textId="77777777" w:rsidR="001B4E9C" w:rsidRPr="00B07FB9" w:rsidRDefault="001B4E9C" w:rsidP="000C6F49">
            <w:pPr>
              <w:pStyle w:val="TableText0"/>
              <w:keepNext w:val="0"/>
              <w:widowControl w:val="0"/>
              <w:jc w:val="center"/>
            </w:pPr>
            <w:r w:rsidRPr="00B07FB9">
              <w:t>35/310 (11.3%)</w:t>
            </w:r>
          </w:p>
        </w:tc>
        <w:tc>
          <w:tcPr>
            <w:tcW w:w="840" w:type="pct"/>
            <w:gridSpan w:val="2"/>
            <w:shd w:val="clear" w:color="auto" w:fill="auto"/>
          </w:tcPr>
          <w:p w14:paraId="5AAA4BA6" w14:textId="77777777" w:rsidR="001B4E9C" w:rsidRPr="00B07FB9" w:rsidRDefault="001B4E9C" w:rsidP="000C6F49">
            <w:pPr>
              <w:pStyle w:val="TableText0"/>
              <w:keepNext w:val="0"/>
              <w:widowControl w:val="0"/>
              <w:jc w:val="center"/>
            </w:pPr>
            <w:r w:rsidRPr="00B07FB9">
              <w:t>27/163 (16.6%)</w:t>
            </w:r>
          </w:p>
        </w:tc>
        <w:tc>
          <w:tcPr>
            <w:tcW w:w="1113" w:type="pct"/>
            <w:gridSpan w:val="3"/>
            <w:shd w:val="clear" w:color="auto" w:fill="auto"/>
          </w:tcPr>
          <w:p w14:paraId="5224F399" w14:textId="27034653" w:rsidR="001B4E9C" w:rsidRPr="00B07FB9" w:rsidRDefault="004F3EAC" w:rsidP="000C6F49">
            <w:pPr>
              <w:pStyle w:val="TableText0"/>
              <w:keepNext w:val="0"/>
              <w:widowControl w:val="0"/>
              <w:jc w:val="center"/>
            </w:pPr>
            <w:r w:rsidRPr="00B07FB9">
              <w:t>5.3%</w:t>
            </w:r>
          </w:p>
        </w:tc>
        <w:tc>
          <w:tcPr>
            <w:tcW w:w="879" w:type="pct"/>
            <w:vMerge w:val="restart"/>
            <w:shd w:val="clear" w:color="auto" w:fill="auto"/>
          </w:tcPr>
          <w:p w14:paraId="6EA21BAE" w14:textId="77777777" w:rsidR="001B4E9C" w:rsidRPr="00B07FB9" w:rsidRDefault="001B4E9C" w:rsidP="000C6F49">
            <w:pPr>
              <w:pStyle w:val="TableText0"/>
              <w:keepNext w:val="0"/>
              <w:widowControl w:val="0"/>
              <w:jc w:val="center"/>
            </w:pPr>
            <w:r w:rsidRPr="00B07FB9">
              <w:t xml:space="preserve">0.62 </w:t>
            </w:r>
          </w:p>
          <w:p w14:paraId="5C0CE004" w14:textId="77777777" w:rsidR="001B4E9C" w:rsidRPr="00B07FB9" w:rsidRDefault="001B4E9C" w:rsidP="000C6F49">
            <w:pPr>
              <w:pStyle w:val="TableText0"/>
              <w:keepNext w:val="0"/>
              <w:widowControl w:val="0"/>
              <w:jc w:val="center"/>
            </w:pPr>
            <w:r w:rsidRPr="00B07FB9">
              <w:t>(0.37, 1.03)</w:t>
            </w:r>
          </w:p>
          <w:p w14:paraId="74FAD264" w14:textId="77777777" w:rsidR="001B4E9C" w:rsidRPr="00B07FB9" w:rsidRDefault="001B4E9C" w:rsidP="000C6F49">
            <w:pPr>
              <w:pStyle w:val="TableText0"/>
              <w:keepNext w:val="0"/>
              <w:widowControl w:val="0"/>
              <w:jc w:val="center"/>
            </w:pPr>
            <w:r w:rsidRPr="00B07FB9">
              <w:t>P=0.0629</w:t>
            </w:r>
          </w:p>
        </w:tc>
      </w:tr>
      <w:tr w:rsidR="001B4E9C" w:rsidRPr="00B07FB9" w14:paraId="0E48124C" w14:textId="77777777" w:rsidTr="00CF6F85">
        <w:trPr>
          <w:trHeight w:val="20"/>
        </w:trPr>
        <w:tc>
          <w:tcPr>
            <w:tcW w:w="1366" w:type="pct"/>
            <w:gridSpan w:val="4"/>
            <w:shd w:val="clear" w:color="auto" w:fill="auto"/>
          </w:tcPr>
          <w:p w14:paraId="4D6ADB39" w14:textId="77777777" w:rsidR="001B4E9C" w:rsidRPr="00B07FB9" w:rsidRDefault="001B4E9C" w:rsidP="000C6F49">
            <w:pPr>
              <w:pStyle w:val="TableText0"/>
              <w:keepNext w:val="0"/>
              <w:widowControl w:val="0"/>
            </w:pPr>
            <w:r w:rsidRPr="00B07FB9">
              <w:t>Median OS, months (95% CI)</w:t>
            </w:r>
          </w:p>
        </w:tc>
        <w:tc>
          <w:tcPr>
            <w:tcW w:w="802" w:type="pct"/>
            <w:gridSpan w:val="2"/>
            <w:shd w:val="clear" w:color="auto" w:fill="auto"/>
          </w:tcPr>
          <w:p w14:paraId="1768F160" w14:textId="77777777" w:rsidR="001B4E9C" w:rsidRPr="00B07FB9" w:rsidRDefault="001B4E9C" w:rsidP="000C6F49">
            <w:pPr>
              <w:pStyle w:val="TableText0"/>
              <w:keepNext w:val="0"/>
              <w:widowControl w:val="0"/>
              <w:jc w:val="center"/>
              <w:rPr>
                <w:rFonts w:cs="Times New Roman"/>
                <w:szCs w:val="20"/>
              </w:rPr>
            </w:pPr>
            <w:r w:rsidRPr="00B07FB9">
              <w:rPr>
                <w:rFonts w:cs="Times New Roman"/>
                <w:szCs w:val="20"/>
              </w:rPr>
              <w:t>NR</w:t>
            </w:r>
          </w:p>
        </w:tc>
        <w:tc>
          <w:tcPr>
            <w:tcW w:w="840" w:type="pct"/>
            <w:gridSpan w:val="2"/>
            <w:shd w:val="clear" w:color="auto" w:fill="auto"/>
          </w:tcPr>
          <w:p w14:paraId="3000B748" w14:textId="77777777" w:rsidR="001B4E9C" w:rsidRPr="00B07FB9" w:rsidRDefault="001B4E9C" w:rsidP="000C6F49">
            <w:pPr>
              <w:pStyle w:val="TableText0"/>
              <w:keepNext w:val="0"/>
              <w:widowControl w:val="0"/>
              <w:jc w:val="center"/>
              <w:rPr>
                <w:rFonts w:cs="Times New Roman"/>
                <w:szCs w:val="20"/>
              </w:rPr>
            </w:pPr>
            <w:r w:rsidRPr="00B07FB9">
              <w:rPr>
                <w:rFonts w:cs="Times New Roman"/>
                <w:szCs w:val="20"/>
              </w:rPr>
              <w:t>NR</w:t>
            </w:r>
          </w:p>
        </w:tc>
        <w:tc>
          <w:tcPr>
            <w:tcW w:w="1113" w:type="pct"/>
            <w:gridSpan w:val="3"/>
            <w:shd w:val="clear" w:color="auto" w:fill="auto"/>
          </w:tcPr>
          <w:p w14:paraId="268422F8" w14:textId="22EA5913" w:rsidR="001B4E9C" w:rsidRPr="00B07FB9" w:rsidRDefault="004F3EAC" w:rsidP="000C6F49">
            <w:pPr>
              <w:pStyle w:val="TableText0"/>
              <w:keepNext w:val="0"/>
              <w:widowControl w:val="0"/>
              <w:jc w:val="center"/>
            </w:pPr>
            <w:r w:rsidRPr="00B07FB9">
              <w:t>–</w:t>
            </w:r>
          </w:p>
        </w:tc>
        <w:tc>
          <w:tcPr>
            <w:tcW w:w="879" w:type="pct"/>
            <w:vMerge/>
            <w:shd w:val="clear" w:color="auto" w:fill="auto"/>
          </w:tcPr>
          <w:p w14:paraId="363E4775" w14:textId="77777777" w:rsidR="001B4E9C" w:rsidRPr="00B07FB9" w:rsidRDefault="001B4E9C" w:rsidP="000C6F49">
            <w:pPr>
              <w:pStyle w:val="TableText0"/>
              <w:keepNext w:val="0"/>
              <w:widowControl w:val="0"/>
              <w:jc w:val="center"/>
              <w:rPr>
                <w:szCs w:val="20"/>
              </w:rPr>
            </w:pPr>
          </w:p>
        </w:tc>
      </w:tr>
      <w:tr w:rsidR="001B4E9C" w:rsidRPr="00B07FB9" w14:paraId="542BFE14" w14:textId="77777777" w:rsidTr="00CF6F85">
        <w:trPr>
          <w:trHeight w:val="20"/>
        </w:trPr>
        <w:tc>
          <w:tcPr>
            <w:tcW w:w="1366" w:type="pct"/>
            <w:gridSpan w:val="4"/>
            <w:shd w:val="clear" w:color="auto" w:fill="auto"/>
          </w:tcPr>
          <w:p w14:paraId="7DF2A953" w14:textId="77777777" w:rsidR="001B4E9C" w:rsidRPr="00B07FB9" w:rsidRDefault="001B4E9C" w:rsidP="000C6F49">
            <w:pPr>
              <w:pStyle w:val="TableText0"/>
              <w:keepNext w:val="0"/>
              <w:widowControl w:val="0"/>
            </w:pPr>
            <w:r w:rsidRPr="00B07FB9">
              <w:t xml:space="preserve">% Alive at 12 months (95% CI) </w:t>
            </w:r>
          </w:p>
        </w:tc>
        <w:tc>
          <w:tcPr>
            <w:tcW w:w="802" w:type="pct"/>
            <w:gridSpan w:val="2"/>
          </w:tcPr>
          <w:p w14:paraId="6156CC70" w14:textId="77777777" w:rsidR="001B4E9C" w:rsidRPr="00B07FB9" w:rsidRDefault="001B4E9C" w:rsidP="000C6F49">
            <w:pPr>
              <w:pStyle w:val="TableText0"/>
              <w:keepNext w:val="0"/>
              <w:widowControl w:val="0"/>
              <w:jc w:val="center"/>
              <w:rPr>
                <w:szCs w:val="20"/>
              </w:rPr>
            </w:pPr>
            <w:r w:rsidRPr="00B07FB9">
              <w:rPr>
                <w:rFonts w:cs="Calibri"/>
                <w:color w:val="000000"/>
                <w:szCs w:val="20"/>
              </w:rPr>
              <w:t>92 (88, 95)</w:t>
            </w:r>
          </w:p>
        </w:tc>
        <w:tc>
          <w:tcPr>
            <w:tcW w:w="840" w:type="pct"/>
            <w:gridSpan w:val="2"/>
          </w:tcPr>
          <w:p w14:paraId="59EDC51E" w14:textId="77777777" w:rsidR="001B4E9C" w:rsidRPr="00B07FB9" w:rsidRDefault="001B4E9C" w:rsidP="000C6F49">
            <w:pPr>
              <w:pStyle w:val="TableText0"/>
              <w:keepNext w:val="0"/>
              <w:widowControl w:val="0"/>
              <w:jc w:val="center"/>
              <w:rPr>
                <w:szCs w:val="20"/>
              </w:rPr>
            </w:pPr>
            <w:r w:rsidRPr="00B07FB9">
              <w:rPr>
                <w:rFonts w:cs="Calibri"/>
                <w:color w:val="000000"/>
                <w:szCs w:val="20"/>
              </w:rPr>
              <w:t>89 (83, 93)</w:t>
            </w:r>
          </w:p>
        </w:tc>
        <w:tc>
          <w:tcPr>
            <w:tcW w:w="1113" w:type="pct"/>
            <w:gridSpan w:val="3"/>
            <w:shd w:val="clear" w:color="auto" w:fill="auto"/>
          </w:tcPr>
          <w:p w14:paraId="11B00756" w14:textId="77777777" w:rsidR="001B4E9C" w:rsidRPr="00B07FB9" w:rsidRDefault="001B4E9C" w:rsidP="000C6F49">
            <w:pPr>
              <w:pStyle w:val="TableText0"/>
              <w:keepNext w:val="0"/>
              <w:widowControl w:val="0"/>
              <w:jc w:val="center"/>
            </w:pPr>
            <w:r w:rsidRPr="00B07FB9">
              <w:t>3%</w:t>
            </w:r>
          </w:p>
        </w:tc>
        <w:tc>
          <w:tcPr>
            <w:tcW w:w="879" w:type="pct"/>
            <w:vMerge/>
            <w:shd w:val="clear" w:color="auto" w:fill="auto"/>
          </w:tcPr>
          <w:p w14:paraId="29163640" w14:textId="77777777" w:rsidR="001B4E9C" w:rsidRPr="00B07FB9" w:rsidRDefault="001B4E9C" w:rsidP="000C6F49">
            <w:pPr>
              <w:pStyle w:val="TableText0"/>
              <w:keepNext w:val="0"/>
              <w:widowControl w:val="0"/>
              <w:jc w:val="center"/>
            </w:pPr>
          </w:p>
        </w:tc>
      </w:tr>
      <w:tr w:rsidR="001B4E9C" w:rsidRPr="00B07FB9" w14:paraId="37EFCE6E" w14:textId="77777777" w:rsidTr="00CF6F85">
        <w:trPr>
          <w:trHeight w:val="20"/>
        </w:trPr>
        <w:tc>
          <w:tcPr>
            <w:tcW w:w="1366" w:type="pct"/>
            <w:gridSpan w:val="4"/>
            <w:shd w:val="clear" w:color="auto" w:fill="auto"/>
          </w:tcPr>
          <w:p w14:paraId="36BF3463" w14:textId="77777777" w:rsidR="001B4E9C" w:rsidRPr="00B07FB9" w:rsidRDefault="001B4E9C" w:rsidP="000C6F49">
            <w:pPr>
              <w:pStyle w:val="TableText0"/>
              <w:keepNext w:val="0"/>
              <w:widowControl w:val="0"/>
            </w:pPr>
            <w:r w:rsidRPr="00B07FB9">
              <w:t>% Alive at 24 months (95% CI)</w:t>
            </w:r>
          </w:p>
        </w:tc>
        <w:tc>
          <w:tcPr>
            <w:tcW w:w="802" w:type="pct"/>
            <w:gridSpan w:val="2"/>
          </w:tcPr>
          <w:p w14:paraId="60497BC0" w14:textId="77777777" w:rsidR="001B4E9C" w:rsidRPr="00B07FB9" w:rsidRDefault="001B4E9C" w:rsidP="000C6F49">
            <w:pPr>
              <w:pStyle w:val="TableText0"/>
              <w:keepNext w:val="0"/>
              <w:widowControl w:val="0"/>
              <w:jc w:val="center"/>
              <w:rPr>
                <w:szCs w:val="20"/>
              </w:rPr>
            </w:pPr>
            <w:r w:rsidRPr="00B07FB9">
              <w:rPr>
                <w:rFonts w:cs="Calibri"/>
                <w:color w:val="000000"/>
                <w:szCs w:val="20"/>
              </w:rPr>
              <w:t>80 (69, 87)</w:t>
            </w:r>
          </w:p>
        </w:tc>
        <w:tc>
          <w:tcPr>
            <w:tcW w:w="840" w:type="pct"/>
            <w:gridSpan w:val="2"/>
          </w:tcPr>
          <w:p w14:paraId="7E1D6105" w14:textId="77777777" w:rsidR="001B4E9C" w:rsidRPr="00B07FB9" w:rsidRDefault="001B4E9C" w:rsidP="000C6F49">
            <w:pPr>
              <w:pStyle w:val="TableText0"/>
              <w:keepNext w:val="0"/>
              <w:widowControl w:val="0"/>
              <w:jc w:val="center"/>
              <w:rPr>
                <w:szCs w:val="20"/>
              </w:rPr>
            </w:pPr>
            <w:r w:rsidRPr="00B07FB9">
              <w:rPr>
                <w:rFonts w:cs="Calibri"/>
                <w:color w:val="000000"/>
                <w:szCs w:val="20"/>
              </w:rPr>
              <w:t>67 (46, 81)</w:t>
            </w:r>
          </w:p>
        </w:tc>
        <w:tc>
          <w:tcPr>
            <w:tcW w:w="1113" w:type="pct"/>
            <w:gridSpan w:val="3"/>
            <w:shd w:val="clear" w:color="auto" w:fill="auto"/>
          </w:tcPr>
          <w:p w14:paraId="481FE8B7" w14:textId="77777777" w:rsidR="001B4E9C" w:rsidRPr="00B07FB9" w:rsidRDefault="001B4E9C" w:rsidP="000C6F49">
            <w:pPr>
              <w:pStyle w:val="TableText0"/>
              <w:keepNext w:val="0"/>
              <w:widowControl w:val="0"/>
              <w:jc w:val="center"/>
            </w:pPr>
            <w:r w:rsidRPr="00B07FB9">
              <w:t>13%</w:t>
            </w:r>
          </w:p>
        </w:tc>
        <w:tc>
          <w:tcPr>
            <w:tcW w:w="879" w:type="pct"/>
            <w:vMerge/>
            <w:shd w:val="clear" w:color="auto" w:fill="auto"/>
          </w:tcPr>
          <w:p w14:paraId="0B2F7D8A" w14:textId="77777777" w:rsidR="001B4E9C" w:rsidRPr="00B07FB9" w:rsidRDefault="001B4E9C" w:rsidP="000C6F49">
            <w:pPr>
              <w:pStyle w:val="TableText0"/>
              <w:keepNext w:val="0"/>
              <w:widowControl w:val="0"/>
              <w:jc w:val="center"/>
            </w:pPr>
          </w:p>
        </w:tc>
      </w:tr>
      <w:tr w:rsidR="001B4E9C" w:rsidRPr="00B07FB9" w14:paraId="781AE5C7" w14:textId="77777777" w:rsidTr="00CF6F85">
        <w:tc>
          <w:tcPr>
            <w:tcW w:w="5000" w:type="pct"/>
            <w:gridSpan w:val="12"/>
            <w:shd w:val="clear" w:color="auto" w:fill="auto"/>
            <w:vAlign w:val="center"/>
          </w:tcPr>
          <w:p w14:paraId="05CF2DC1" w14:textId="77777777" w:rsidR="001B4E9C" w:rsidRPr="00B07FB9" w:rsidRDefault="001B4E9C" w:rsidP="000C6F49">
            <w:pPr>
              <w:pStyle w:val="In-tableHeading"/>
              <w:keepNext w:val="0"/>
              <w:widowControl w:val="0"/>
              <w:rPr>
                <w:lang w:val="en-AU"/>
              </w:rPr>
            </w:pPr>
            <w:r w:rsidRPr="00B07FB9">
              <w:rPr>
                <w:lang w:val="en-AU"/>
              </w:rPr>
              <w:t xml:space="preserve">Harms </w:t>
            </w:r>
          </w:p>
        </w:tc>
      </w:tr>
      <w:tr w:rsidR="001B4E9C" w:rsidRPr="00B07FB9" w14:paraId="09679AD2" w14:textId="77777777" w:rsidTr="003A162F">
        <w:trPr>
          <w:trHeight w:val="70"/>
        </w:trPr>
        <w:tc>
          <w:tcPr>
            <w:tcW w:w="704" w:type="pct"/>
            <w:vMerge w:val="restart"/>
            <w:shd w:val="clear" w:color="auto" w:fill="auto"/>
            <w:vAlign w:val="center"/>
          </w:tcPr>
          <w:p w14:paraId="3AEE0AFD" w14:textId="77777777" w:rsidR="001B4E9C" w:rsidRPr="00B07FB9" w:rsidRDefault="001B4E9C" w:rsidP="000C6F49">
            <w:pPr>
              <w:pStyle w:val="In-tableHeading"/>
              <w:keepNext w:val="0"/>
              <w:widowControl w:val="0"/>
              <w:rPr>
                <w:lang w:val="en-AU"/>
              </w:rPr>
            </w:pPr>
          </w:p>
        </w:tc>
        <w:tc>
          <w:tcPr>
            <w:tcW w:w="562" w:type="pct"/>
            <w:vMerge w:val="restart"/>
            <w:vAlign w:val="center"/>
          </w:tcPr>
          <w:p w14:paraId="592863F3" w14:textId="77777777" w:rsidR="001B4E9C" w:rsidRPr="00B07FB9" w:rsidRDefault="001B4E9C" w:rsidP="000C6F49">
            <w:pPr>
              <w:pStyle w:val="In-tableHeading"/>
              <w:keepNext w:val="0"/>
              <w:widowControl w:val="0"/>
              <w:jc w:val="center"/>
              <w:rPr>
                <w:lang w:val="en-AU"/>
              </w:rPr>
            </w:pPr>
            <w:r w:rsidRPr="00B07FB9">
              <w:rPr>
                <w:lang w:val="en-AU"/>
              </w:rPr>
              <w:t>Niraparib</w:t>
            </w:r>
          </w:p>
          <w:p w14:paraId="7D8F4B86" w14:textId="77777777" w:rsidR="001B4E9C" w:rsidRPr="00B07FB9" w:rsidRDefault="001B4E9C" w:rsidP="000C6F49">
            <w:pPr>
              <w:pStyle w:val="In-tableHeading"/>
              <w:keepNext w:val="0"/>
              <w:widowControl w:val="0"/>
              <w:jc w:val="center"/>
              <w:rPr>
                <w:lang w:val="en-AU"/>
              </w:rPr>
            </w:pPr>
            <w:r w:rsidRPr="00B07FB9">
              <w:rPr>
                <w:lang w:val="en-AU"/>
              </w:rPr>
              <w:t>n/N</w:t>
            </w:r>
          </w:p>
        </w:tc>
        <w:tc>
          <w:tcPr>
            <w:tcW w:w="712" w:type="pct"/>
            <w:gridSpan w:val="3"/>
            <w:vMerge w:val="restart"/>
            <w:vAlign w:val="center"/>
          </w:tcPr>
          <w:p w14:paraId="7D51433F" w14:textId="3781E6CB" w:rsidR="001B4E9C" w:rsidRPr="00B07FB9" w:rsidRDefault="001B4E9C" w:rsidP="000C6F49">
            <w:pPr>
              <w:pStyle w:val="In-tableHeading"/>
              <w:keepNext w:val="0"/>
              <w:widowControl w:val="0"/>
              <w:jc w:val="center"/>
              <w:rPr>
                <w:lang w:val="en-AU"/>
              </w:rPr>
            </w:pPr>
            <w:r w:rsidRPr="00B07FB9">
              <w:rPr>
                <w:lang w:val="en-AU"/>
              </w:rPr>
              <w:t>Placebo</w:t>
            </w:r>
          </w:p>
          <w:p w14:paraId="318DB38F" w14:textId="77777777" w:rsidR="001B4E9C" w:rsidRPr="00B07FB9" w:rsidRDefault="001B4E9C" w:rsidP="000C6F49">
            <w:pPr>
              <w:pStyle w:val="In-tableHeading"/>
              <w:keepNext w:val="0"/>
              <w:widowControl w:val="0"/>
              <w:jc w:val="center"/>
              <w:rPr>
                <w:lang w:val="en-AU"/>
              </w:rPr>
            </w:pPr>
            <w:r w:rsidRPr="00B07FB9">
              <w:rPr>
                <w:lang w:val="en-AU"/>
              </w:rPr>
              <w:t>n/N</w:t>
            </w:r>
          </w:p>
        </w:tc>
        <w:tc>
          <w:tcPr>
            <w:tcW w:w="862" w:type="pct"/>
            <w:gridSpan w:val="2"/>
            <w:vMerge w:val="restart"/>
            <w:vAlign w:val="center"/>
          </w:tcPr>
          <w:p w14:paraId="242E4F8A" w14:textId="77777777" w:rsidR="001B4E9C" w:rsidRPr="00B07FB9" w:rsidRDefault="001B4E9C" w:rsidP="000C6F49">
            <w:pPr>
              <w:pStyle w:val="In-tableHeading"/>
              <w:keepNext w:val="0"/>
              <w:widowControl w:val="0"/>
              <w:jc w:val="center"/>
              <w:rPr>
                <w:lang w:val="en-AU"/>
              </w:rPr>
            </w:pPr>
            <w:r w:rsidRPr="00B07FB9">
              <w:rPr>
                <w:lang w:val="en-AU"/>
              </w:rPr>
              <w:t>RR</w:t>
            </w:r>
          </w:p>
          <w:p w14:paraId="1FAE2BC4" w14:textId="79C2A91E" w:rsidR="001B4E9C" w:rsidRPr="00960F16" w:rsidRDefault="001B4E9C" w:rsidP="000C6F49">
            <w:pPr>
              <w:pStyle w:val="In-tableHeading"/>
              <w:keepNext w:val="0"/>
              <w:widowControl w:val="0"/>
              <w:jc w:val="center"/>
              <w:rPr>
                <w:vertAlign w:val="superscript"/>
                <w:lang w:val="en-AU"/>
              </w:rPr>
            </w:pPr>
            <w:r w:rsidRPr="00B07FB9">
              <w:rPr>
                <w:lang w:val="en-AU"/>
              </w:rPr>
              <w:t>(95% CI)</w:t>
            </w:r>
            <w:r w:rsidR="00960F16">
              <w:rPr>
                <w:lang w:val="en-AU"/>
              </w:rPr>
              <w:t>#</w:t>
            </w:r>
            <w:r w:rsidR="00960F16">
              <w:rPr>
                <w:vertAlign w:val="superscript"/>
                <w:lang w:val="en-AU"/>
              </w:rPr>
              <w:t>a</w:t>
            </w:r>
          </w:p>
        </w:tc>
        <w:tc>
          <w:tcPr>
            <w:tcW w:w="1244" w:type="pct"/>
            <w:gridSpan w:val="3"/>
            <w:vAlign w:val="center"/>
          </w:tcPr>
          <w:p w14:paraId="77D1AE61" w14:textId="7068D96E" w:rsidR="001B4E9C" w:rsidRPr="00B07FB9" w:rsidRDefault="004F3EAC" w:rsidP="000C6F49">
            <w:pPr>
              <w:pStyle w:val="In-tableHeading"/>
              <w:keepNext w:val="0"/>
              <w:widowControl w:val="0"/>
              <w:jc w:val="center"/>
              <w:rPr>
                <w:vertAlign w:val="superscript"/>
                <w:lang w:val="en-AU"/>
              </w:rPr>
            </w:pPr>
            <w:r w:rsidRPr="00B07FB9">
              <w:rPr>
                <w:lang w:val="en-AU"/>
              </w:rPr>
              <w:t>Event rate/100 patients</w:t>
            </w:r>
            <w:r w:rsidR="00960F16">
              <w:rPr>
                <w:lang w:val="en-AU"/>
              </w:rPr>
              <w:t>#</w:t>
            </w:r>
          </w:p>
        </w:tc>
        <w:tc>
          <w:tcPr>
            <w:tcW w:w="915" w:type="pct"/>
            <w:gridSpan w:val="2"/>
            <w:vMerge w:val="restart"/>
            <w:vAlign w:val="center"/>
          </w:tcPr>
          <w:p w14:paraId="421BB793" w14:textId="3BDECA40" w:rsidR="001B4E9C" w:rsidRPr="00B07FB9" w:rsidRDefault="001B4E9C" w:rsidP="000C6F49">
            <w:pPr>
              <w:pStyle w:val="In-tableHeading"/>
              <w:keepNext w:val="0"/>
              <w:widowControl w:val="0"/>
              <w:jc w:val="center"/>
              <w:rPr>
                <w:lang w:val="en-AU"/>
              </w:rPr>
            </w:pPr>
            <w:r w:rsidRPr="00B07FB9">
              <w:rPr>
                <w:lang w:val="en-AU"/>
              </w:rPr>
              <w:t>RD</w:t>
            </w:r>
          </w:p>
          <w:p w14:paraId="3C5E5174" w14:textId="698CDB88" w:rsidR="001B4E9C" w:rsidRPr="00960F16" w:rsidRDefault="001B4E9C" w:rsidP="000C6F49">
            <w:pPr>
              <w:pStyle w:val="In-tableHeading"/>
              <w:keepNext w:val="0"/>
              <w:widowControl w:val="0"/>
              <w:jc w:val="center"/>
              <w:rPr>
                <w:lang w:val="en-AU"/>
              </w:rPr>
            </w:pPr>
            <w:r w:rsidRPr="00B07FB9">
              <w:rPr>
                <w:lang w:val="en-AU"/>
              </w:rPr>
              <w:t>(95% CI)</w:t>
            </w:r>
            <w:r w:rsidR="00960F16">
              <w:rPr>
                <w:lang w:val="en-AU"/>
              </w:rPr>
              <w:t>#</w:t>
            </w:r>
          </w:p>
        </w:tc>
      </w:tr>
      <w:tr w:rsidR="001B4E9C" w:rsidRPr="00B07FB9" w14:paraId="767D2A7D" w14:textId="77777777" w:rsidTr="003A162F">
        <w:trPr>
          <w:trHeight w:val="390"/>
        </w:trPr>
        <w:tc>
          <w:tcPr>
            <w:tcW w:w="704" w:type="pct"/>
            <w:vMerge/>
            <w:shd w:val="clear" w:color="auto" w:fill="auto"/>
            <w:vAlign w:val="center"/>
          </w:tcPr>
          <w:p w14:paraId="66AB2F4C" w14:textId="77777777" w:rsidR="001B4E9C" w:rsidRPr="00B07FB9" w:rsidRDefault="001B4E9C" w:rsidP="000C6F49">
            <w:pPr>
              <w:pStyle w:val="In-tableHeading"/>
              <w:keepNext w:val="0"/>
              <w:widowControl w:val="0"/>
              <w:rPr>
                <w:lang w:val="en-AU"/>
              </w:rPr>
            </w:pPr>
          </w:p>
        </w:tc>
        <w:tc>
          <w:tcPr>
            <w:tcW w:w="562" w:type="pct"/>
            <w:vMerge/>
            <w:vAlign w:val="center"/>
          </w:tcPr>
          <w:p w14:paraId="50425B9D" w14:textId="77777777" w:rsidR="001B4E9C" w:rsidRPr="00B07FB9" w:rsidRDefault="001B4E9C" w:rsidP="000C6F49">
            <w:pPr>
              <w:pStyle w:val="In-tableHeading"/>
              <w:keepNext w:val="0"/>
              <w:widowControl w:val="0"/>
              <w:rPr>
                <w:lang w:val="en-AU"/>
              </w:rPr>
            </w:pPr>
          </w:p>
        </w:tc>
        <w:tc>
          <w:tcPr>
            <w:tcW w:w="712" w:type="pct"/>
            <w:gridSpan w:val="3"/>
            <w:vMerge/>
            <w:vAlign w:val="center"/>
          </w:tcPr>
          <w:p w14:paraId="1CC16A2F" w14:textId="77777777" w:rsidR="001B4E9C" w:rsidRPr="00B07FB9" w:rsidRDefault="001B4E9C" w:rsidP="000C6F49">
            <w:pPr>
              <w:pStyle w:val="In-tableHeading"/>
              <w:keepNext w:val="0"/>
              <w:widowControl w:val="0"/>
              <w:rPr>
                <w:lang w:val="en-AU"/>
              </w:rPr>
            </w:pPr>
          </w:p>
        </w:tc>
        <w:tc>
          <w:tcPr>
            <w:tcW w:w="862" w:type="pct"/>
            <w:gridSpan w:val="2"/>
            <w:vMerge/>
            <w:vAlign w:val="center"/>
          </w:tcPr>
          <w:p w14:paraId="43133FE0" w14:textId="77777777" w:rsidR="001B4E9C" w:rsidRPr="00B07FB9" w:rsidRDefault="001B4E9C" w:rsidP="000C6F49">
            <w:pPr>
              <w:pStyle w:val="In-tableHeading"/>
              <w:keepNext w:val="0"/>
              <w:widowControl w:val="0"/>
              <w:rPr>
                <w:lang w:val="en-AU"/>
              </w:rPr>
            </w:pPr>
          </w:p>
        </w:tc>
        <w:tc>
          <w:tcPr>
            <w:tcW w:w="616" w:type="pct"/>
            <w:gridSpan w:val="2"/>
            <w:vAlign w:val="center"/>
          </w:tcPr>
          <w:p w14:paraId="5486540F" w14:textId="77777777" w:rsidR="001B4E9C" w:rsidRPr="00B07FB9" w:rsidRDefault="001B4E9C" w:rsidP="000C6F49">
            <w:pPr>
              <w:pStyle w:val="In-tableHeading"/>
              <w:keepNext w:val="0"/>
              <w:widowControl w:val="0"/>
              <w:jc w:val="center"/>
              <w:rPr>
                <w:lang w:val="en-AU"/>
              </w:rPr>
            </w:pPr>
            <w:r w:rsidRPr="00B07FB9">
              <w:rPr>
                <w:lang w:val="en-AU"/>
              </w:rPr>
              <w:t>Niraparib</w:t>
            </w:r>
          </w:p>
        </w:tc>
        <w:tc>
          <w:tcPr>
            <w:tcW w:w="628" w:type="pct"/>
            <w:vAlign w:val="center"/>
          </w:tcPr>
          <w:p w14:paraId="40539B91" w14:textId="42474A8E" w:rsidR="001B4E9C" w:rsidRPr="00B07FB9" w:rsidRDefault="001B4E9C" w:rsidP="000C6F49">
            <w:pPr>
              <w:pStyle w:val="In-tableHeading"/>
              <w:keepNext w:val="0"/>
              <w:widowControl w:val="0"/>
              <w:jc w:val="center"/>
              <w:rPr>
                <w:lang w:val="en-AU"/>
              </w:rPr>
            </w:pPr>
            <w:r w:rsidRPr="00B07FB9">
              <w:rPr>
                <w:lang w:val="en-AU"/>
              </w:rPr>
              <w:t>Placebo</w:t>
            </w:r>
          </w:p>
        </w:tc>
        <w:tc>
          <w:tcPr>
            <w:tcW w:w="915" w:type="pct"/>
            <w:gridSpan w:val="2"/>
            <w:vMerge/>
            <w:vAlign w:val="center"/>
          </w:tcPr>
          <w:p w14:paraId="6283D487" w14:textId="77777777" w:rsidR="001B4E9C" w:rsidRPr="00B07FB9" w:rsidRDefault="001B4E9C" w:rsidP="000C6F49">
            <w:pPr>
              <w:pStyle w:val="In-tableHeading"/>
              <w:keepNext w:val="0"/>
              <w:widowControl w:val="0"/>
              <w:rPr>
                <w:lang w:val="en-AU"/>
              </w:rPr>
            </w:pPr>
          </w:p>
        </w:tc>
      </w:tr>
      <w:tr w:rsidR="001B4E9C" w:rsidRPr="00B07FB9" w14:paraId="3930A0FC" w14:textId="77777777" w:rsidTr="003A162F">
        <w:tc>
          <w:tcPr>
            <w:tcW w:w="704" w:type="pct"/>
            <w:shd w:val="clear" w:color="auto" w:fill="auto"/>
            <w:vAlign w:val="center"/>
          </w:tcPr>
          <w:p w14:paraId="3AD3E962" w14:textId="77777777" w:rsidR="001B4E9C" w:rsidRPr="00B07FB9" w:rsidRDefault="001B4E9C" w:rsidP="000C6F49">
            <w:pPr>
              <w:pStyle w:val="TableText0"/>
              <w:keepNext w:val="0"/>
              <w:widowControl w:val="0"/>
            </w:pPr>
            <w:r w:rsidRPr="00B07FB9">
              <w:t>Serious TEAEs</w:t>
            </w:r>
          </w:p>
        </w:tc>
        <w:tc>
          <w:tcPr>
            <w:tcW w:w="566" w:type="pct"/>
            <w:gridSpan w:val="2"/>
            <w:vAlign w:val="center"/>
          </w:tcPr>
          <w:p w14:paraId="6EAD24B3" w14:textId="77777777" w:rsidR="001B4E9C" w:rsidRPr="00B07FB9" w:rsidRDefault="001B4E9C" w:rsidP="000C6F49">
            <w:pPr>
              <w:pStyle w:val="TableText0"/>
              <w:keepNext w:val="0"/>
              <w:widowControl w:val="0"/>
              <w:jc w:val="center"/>
            </w:pPr>
            <w:r w:rsidRPr="00B07FB9">
              <w:t>105/307</w:t>
            </w:r>
          </w:p>
        </w:tc>
        <w:tc>
          <w:tcPr>
            <w:tcW w:w="708" w:type="pct"/>
            <w:gridSpan w:val="2"/>
            <w:vAlign w:val="center"/>
          </w:tcPr>
          <w:p w14:paraId="0365C78A" w14:textId="77777777" w:rsidR="001B4E9C" w:rsidRPr="00B07FB9" w:rsidRDefault="001B4E9C" w:rsidP="000C6F49">
            <w:pPr>
              <w:pStyle w:val="TableText0"/>
              <w:keepNext w:val="0"/>
              <w:widowControl w:val="0"/>
              <w:jc w:val="center"/>
            </w:pPr>
            <w:r w:rsidRPr="00B07FB9">
              <w:t>22/162</w:t>
            </w:r>
          </w:p>
        </w:tc>
        <w:tc>
          <w:tcPr>
            <w:tcW w:w="862" w:type="pct"/>
            <w:gridSpan w:val="2"/>
            <w:vAlign w:val="center"/>
          </w:tcPr>
          <w:p w14:paraId="72A4AACF" w14:textId="77777777" w:rsidR="001B4E9C" w:rsidRPr="00B07FB9" w:rsidRDefault="001B4E9C" w:rsidP="000C6F49">
            <w:pPr>
              <w:pStyle w:val="TableText0"/>
              <w:keepNext w:val="0"/>
              <w:widowControl w:val="0"/>
              <w:jc w:val="center"/>
            </w:pPr>
            <w:r w:rsidRPr="00B07FB9">
              <w:t>2.52 (1.66, 3.83)</w:t>
            </w:r>
          </w:p>
        </w:tc>
        <w:tc>
          <w:tcPr>
            <w:tcW w:w="616" w:type="pct"/>
            <w:gridSpan w:val="2"/>
            <w:vAlign w:val="center"/>
          </w:tcPr>
          <w:p w14:paraId="3239B173" w14:textId="77777777" w:rsidR="001B4E9C" w:rsidRPr="00B07FB9" w:rsidRDefault="001B4E9C" w:rsidP="000C6F49">
            <w:pPr>
              <w:pStyle w:val="TableText0"/>
              <w:keepNext w:val="0"/>
              <w:widowControl w:val="0"/>
              <w:jc w:val="center"/>
            </w:pPr>
            <w:r w:rsidRPr="00B07FB9">
              <w:t>34</w:t>
            </w:r>
          </w:p>
        </w:tc>
        <w:tc>
          <w:tcPr>
            <w:tcW w:w="628" w:type="pct"/>
            <w:vAlign w:val="center"/>
          </w:tcPr>
          <w:p w14:paraId="6A595221" w14:textId="77777777" w:rsidR="001B4E9C" w:rsidRPr="00B07FB9" w:rsidRDefault="001B4E9C" w:rsidP="000C6F49">
            <w:pPr>
              <w:pStyle w:val="TableText0"/>
              <w:keepNext w:val="0"/>
              <w:widowControl w:val="0"/>
              <w:jc w:val="center"/>
            </w:pPr>
            <w:r w:rsidRPr="00B07FB9">
              <w:t>14</w:t>
            </w:r>
          </w:p>
        </w:tc>
        <w:tc>
          <w:tcPr>
            <w:tcW w:w="915" w:type="pct"/>
            <w:gridSpan w:val="2"/>
            <w:vAlign w:val="center"/>
          </w:tcPr>
          <w:p w14:paraId="7FB0B585" w14:textId="77777777" w:rsidR="001B4E9C" w:rsidRPr="00B07FB9" w:rsidRDefault="001B4E9C" w:rsidP="000C6F49">
            <w:pPr>
              <w:pStyle w:val="TableText0"/>
              <w:keepNext w:val="0"/>
              <w:widowControl w:val="0"/>
              <w:jc w:val="center"/>
            </w:pPr>
            <w:r w:rsidRPr="00B07FB9">
              <w:t>20.6% (13.1%, 28.1%)</w:t>
            </w:r>
          </w:p>
        </w:tc>
      </w:tr>
      <w:tr w:rsidR="001B4E9C" w:rsidRPr="00B07FB9" w14:paraId="6EA7E749" w14:textId="77777777" w:rsidTr="003A162F">
        <w:tc>
          <w:tcPr>
            <w:tcW w:w="704" w:type="pct"/>
            <w:shd w:val="clear" w:color="auto" w:fill="auto"/>
            <w:vAlign w:val="center"/>
          </w:tcPr>
          <w:p w14:paraId="199CAC28" w14:textId="77777777" w:rsidR="001B4E9C" w:rsidRPr="00B07FB9" w:rsidRDefault="001B4E9C" w:rsidP="000C6F49">
            <w:pPr>
              <w:pStyle w:val="TableText0"/>
              <w:keepNext w:val="0"/>
              <w:widowControl w:val="0"/>
            </w:pPr>
            <w:r w:rsidRPr="00B07FB9">
              <w:t>Grade ≥ 3 TEAEs</w:t>
            </w:r>
          </w:p>
        </w:tc>
        <w:tc>
          <w:tcPr>
            <w:tcW w:w="566" w:type="pct"/>
            <w:gridSpan w:val="2"/>
            <w:vAlign w:val="center"/>
          </w:tcPr>
          <w:p w14:paraId="2A852E62" w14:textId="77777777" w:rsidR="001B4E9C" w:rsidRPr="00B07FB9" w:rsidRDefault="001B4E9C" w:rsidP="000C6F49">
            <w:pPr>
              <w:pStyle w:val="TableText0"/>
              <w:keepNext w:val="0"/>
              <w:widowControl w:val="0"/>
              <w:jc w:val="center"/>
            </w:pPr>
            <w:r w:rsidRPr="00B07FB9">
              <w:t>223/307</w:t>
            </w:r>
          </w:p>
        </w:tc>
        <w:tc>
          <w:tcPr>
            <w:tcW w:w="708" w:type="pct"/>
            <w:gridSpan w:val="2"/>
            <w:vAlign w:val="center"/>
          </w:tcPr>
          <w:p w14:paraId="525133C0" w14:textId="77777777" w:rsidR="001B4E9C" w:rsidRPr="00B07FB9" w:rsidRDefault="001B4E9C" w:rsidP="000C6F49">
            <w:pPr>
              <w:pStyle w:val="TableText0"/>
              <w:keepNext w:val="0"/>
              <w:widowControl w:val="0"/>
              <w:jc w:val="center"/>
            </w:pPr>
            <w:r w:rsidRPr="00B07FB9">
              <w:t>31/162</w:t>
            </w:r>
          </w:p>
        </w:tc>
        <w:tc>
          <w:tcPr>
            <w:tcW w:w="862" w:type="pct"/>
            <w:gridSpan w:val="2"/>
            <w:vAlign w:val="center"/>
          </w:tcPr>
          <w:p w14:paraId="103B37E7" w14:textId="3C770056" w:rsidR="001B4E9C" w:rsidRPr="00B07FB9" w:rsidRDefault="001B4E9C" w:rsidP="000C6F49">
            <w:pPr>
              <w:pStyle w:val="TableText0"/>
              <w:keepNext w:val="0"/>
              <w:widowControl w:val="0"/>
              <w:jc w:val="center"/>
            </w:pPr>
            <w:r w:rsidRPr="00B07FB9">
              <w:t>3.8</w:t>
            </w:r>
            <w:r w:rsidR="00433E8F" w:rsidRPr="00B07FB9">
              <w:t>0</w:t>
            </w:r>
            <w:r w:rsidRPr="00B07FB9">
              <w:t xml:space="preserve"> (2.75, 5.25)</w:t>
            </w:r>
          </w:p>
        </w:tc>
        <w:tc>
          <w:tcPr>
            <w:tcW w:w="616" w:type="pct"/>
            <w:gridSpan w:val="2"/>
            <w:vAlign w:val="center"/>
          </w:tcPr>
          <w:p w14:paraId="4ADC42A7" w14:textId="77777777" w:rsidR="001B4E9C" w:rsidRPr="00B07FB9" w:rsidRDefault="001B4E9C" w:rsidP="000C6F49">
            <w:pPr>
              <w:pStyle w:val="TableText0"/>
              <w:keepNext w:val="0"/>
              <w:widowControl w:val="0"/>
              <w:jc w:val="center"/>
            </w:pPr>
            <w:r w:rsidRPr="00B07FB9">
              <w:t>73</w:t>
            </w:r>
          </w:p>
        </w:tc>
        <w:tc>
          <w:tcPr>
            <w:tcW w:w="628" w:type="pct"/>
            <w:vAlign w:val="center"/>
          </w:tcPr>
          <w:p w14:paraId="7EF5E12C" w14:textId="77777777" w:rsidR="001B4E9C" w:rsidRPr="00B07FB9" w:rsidRDefault="001B4E9C" w:rsidP="000C6F49">
            <w:pPr>
              <w:pStyle w:val="TableText0"/>
              <w:keepNext w:val="0"/>
              <w:widowControl w:val="0"/>
              <w:jc w:val="center"/>
            </w:pPr>
            <w:r w:rsidRPr="00B07FB9">
              <w:t>19</w:t>
            </w:r>
          </w:p>
        </w:tc>
        <w:tc>
          <w:tcPr>
            <w:tcW w:w="915" w:type="pct"/>
            <w:gridSpan w:val="2"/>
            <w:vAlign w:val="center"/>
          </w:tcPr>
          <w:p w14:paraId="39CC5364" w14:textId="77777777" w:rsidR="001B4E9C" w:rsidRPr="00B07FB9" w:rsidRDefault="001B4E9C" w:rsidP="000C6F49">
            <w:pPr>
              <w:pStyle w:val="TableText0"/>
              <w:keepNext w:val="0"/>
              <w:widowControl w:val="0"/>
              <w:jc w:val="center"/>
            </w:pPr>
            <w:r w:rsidRPr="00B07FB9">
              <w:t>53.5% (45.7%, 61.3%)</w:t>
            </w:r>
          </w:p>
        </w:tc>
      </w:tr>
      <w:tr w:rsidR="001B4E9C" w:rsidRPr="00B07FB9" w14:paraId="2873A7F6" w14:textId="77777777" w:rsidTr="003A162F">
        <w:tc>
          <w:tcPr>
            <w:tcW w:w="704" w:type="pct"/>
            <w:shd w:val="clear" w:color="auto" w:fill="auto"/>
            <w:vAlign w:val="center"/>
          </w:tcPr>
          <w:p w14:paraId="3A60D20F" w14:textId="77777777" w:rsidR="001B4E9C" w:rsidRPr="00B07FB9" w:rsidRDefault="001B4E9C" w:rsidP="000C6F49">
            <w:pPr>
              <w:pStyle w:val="TableText0"/>
              <w:keepNext w:val="0"/>
              <w:widowControl w:val="0"/>
            </w:pPr>
            <w:r w:rsidRPr="00B07FB9">
              <w:t>TEAEs leading to treatment discontinuation</w:t>
            </w:r>
          </w:p>
        </w:tc>
        <w:tc>
          <w:tcPr>
            <w:tcW w:w="566" w:type="pct"/>
            <w:gridSpan w:val="2"/>
            <w:vAlign w:val="center"/>
          </w:tcPr>
          <w:p w14:paraId="2F674AB7" w14:textId="77777777" w:rsidR="001B4E9C" w:rsidRPr="00B07FB9" w:rsidRDefault="001B4E9C" w:rsidP="000C6F49">
            <w:pPr>
              <w:pStyle w:val="TableText0"/>
              <w:keepNext w:val="0"/>
              <w:widowControl w:val="0"/>
              <w:jc w:val="center"/>
            </w:pPr>
            <w:r w:rsidRPr="00B07FB9">
              <w:t>39/307</w:t>
            </w:r>
          </w:p>
        </w:tc>
        <w:tc>
          <w:tcPr>
            <w:tcW w:w="708" w:type="pct"/>
            <w:gridSpan w:val="2"/>
            <w:vAlign w:val="center"/>
          </w:tcPr>
          <w:p w14:paraId="28AA09FA" w14:textId="77777777" w:rsidR="001B4E9C" w:rsidRPr="00B07FB9" w:rsidRDefault="001B4E9C" w:rsidP="000C6F49">
            <w:pPr>
              <w:pStyle w:val="TableText0"/>
              <w:keepNext w:val="0"/>
              <w:widowControl w:val="0"/>
              <w:jc w:val="center"/>
            </w:pPr>
            <w:r w:rsidRPr="00B07FB9">
              <w:t>4/162</w:t>
            </w:r>
          </w:p>
        </w:tc>
        <w:tc>
          <w:tcPr>
            <w:tcW w:w="862" w:type="pct"/>
            <w:gridSpan w:val="2"/>
            <w:vAlign w:val="center"/>
          </w:tcPr>
          <w:p w14:paraId="1E4D77D7" w14:textId="77777777" w:rsidR="001B4E9C" w:rsidRPr="00B07FB9" w:rsidRDefault="001B4E9C" w:rsidP="000C6F49">
            <w:pPr>
              <w:pStyle w:val="TableText0"/>
              <w:keepNext w:val="0"/>
              <w:widowControl w:val="0"/>
              <w:jc w:val="center"/>
            </w:pPr>
            <w:r w:rsidRPr="00B07FB9">
              <w:t>5.14 (1.87, 14.14)</w:t>
            </w:r>
          </w:p>
        </w:tc>
        <w:tc>
          <w:tcPr>
            <w:tcW w:w="616" w:type="pct"/>
            <w:gridSpan w:val="2"/>
            <w:vAlign w:val="center"/>
          </w:tcPr>
          <w:p w14:paraId="1CFB398A" w14:textId="77777777" w:rsidR="001B4E9C" w:rsidRPr="00B07FB9" w:rsidRDefault="001B4E9C" w:rsidP="000C6F49">
            <w:pPr>
              <w:pStyle w:val="TableText0"/>
              <w:keepNext w:val="0"/>
              <w:widowControl w:val="0"/>
              <w:jc w:val="center"/>
            </w:pPr>
            <w:r w:rsidRPr="00B07FB9">
              <w:t>13</w:t>
            </w:r>
          </w:p>
        </w:tc>
        <w:tc>
          <w:tcPr>
            <w:tcW w:w="628" w:type="pct"/>
            <w:vAlign w:val="center"/>
          </w:tcPr>
          <w:p w14:paraId="6CDB3314" w14:textId="77777777" w:rsidR="001B4E9C" w:rsidRPr="00B07FB9" w:rsidRDefault="001B4E9C" w:rsidP="000C6F49">
            <w:pPr>
              <w:pStyle w:val="TableText0"/>
              <w:keepNext w:val="0"/>
              <w:widowControl w:val="0"/>
              <w:jc w:val="center"/>
            </w:pPr>
            <w:r w:rsidRPr="00B07FB9">
              <w:t>3</w:t>
            </w:r>
          </w:p>
        </w:tc>
        <w:tc>
          <w:tcPr>
            <w:tcW w:w="915" w:type="pct"/>
            <w:gridSpan w:val="2"/>
            <w:vAlign w:val="center"/>
          </w:tcPr>
          <w:p w14:paraId="30437F34" w14:textId="77777777" w:rsidR="001B4E9C" w:rsidRPr="00B07FB9" w:rsidRDefault="001B4E9C" w:rsidP="000C6F49">
            <w:pPr>
              <w:pStyle w:val="TableText0"/>
              <w:keepNext w:val="0"/>
              <w:widowControl w:val="0"/>
              <w:jc w:val="center"/>
            </w:pPr>
            <w:r w:rsidRPr="00B07FB9">
              <w:t>10.2% (5.8%, 14.7%)</w:t>
            </w:r>
          </w:p>
        </w:tc>
      </w:tr>
    </w:tbl>
    <w:p w14:paraId="77FF5970" w14:textId="77777777" w:rsidR="001B4E9C" w:rsidRPr="00B07FB9" w:rsidRDefault="001B4E9C" w:rsidP="000C6F49">
      <w:pPr>
        <w:pStyle w:val="TableFigureFooter"/>
        <w:widowControl w:val="0"/>
        <w:rPr>
          <w:sz w:val="20"/>
        </w:rPr>
      </w:pPr>
      <w:r w:rsidRPr="00B07FB9">
        <w:t>Source:</w:t>
      </w:r>
      <w:r w:rsidRPr="00B07FB9">
        <w:rPr>
          <w:rFonts w:ascii="Calibri" w:hAnsi="Calibri"/>
          <w:snapToGrid/>
          <w:sz w:val="24"/>
          <w:szCs w:val="24"/>
        </w:rPr>
        <w:t xml:space="preserve"> </w:t>
      </w:r>
      <w:r w:rsidRPr="00B07FB9">
        <w:t>Table 37, p73, Table 38, p76 and Table 41, p81 of there submission</w:t>
      </w:r>
    </w:p>
    <w:p w14:paraId="1A170C0F" w14:textId="77777777" w:rsidR="001B4E9C" w:rsidRPr="00B07FB9" w:rsidRDefault="001B4E9C" w:rsidP="000C6F49">
      <w:pPr>
        <w:pStyle w:val="TableFigureFooter"/>
        <w:widowControl w:val="0"/>
      </w:pPr>
      <w:r w:rsidRPr="00B07FB9">
        <w:t>OS = overall survival; PFS = progression free survival; HR = hazard ratio; NR = not reached; RD = risk difference; RR = risk ratio; TEAE = treatment emergent adverse event.</w:t>
      </w:r>
    </w:p>
    <w:p w14:paraId="1104C6A3" w14:textId="2216DB50" w:rsidR="004F3EAC" w:rsidRDefault="004F3EAC" w:rsidP="000C6F49">
      <w:pPr>
        <w:pStyle w:val="TableFigureFooter"/>
        <w:widowControl w:val="0"/>
      </w:pPr>
      <w:r w:rsidRPr="00B07FB9">
        <w:t xml:space="preserve">Note: </w:t>
      </w:r>
      <w:r w:rsidRPr="00B07FB9">
        <w:rPr>
          <w:shd w:val="clear" w:color="auto" w:fill="CCECFF"/>
        </w:rPr>
        <w:t>Blue shading</w:t>
      </w:r>
      <w:r w:rsidRPr="00B07FB9">
        <w:t xml:space="preserve"> indicates data previously seen by the PBAC.</w:t>
      </w:r>
    </w:p>
    <w:p w14:paraId="61E85DBC" w14:textId="0F1C5A9D" w:rsidR="00960F16" w:rsidRDefault="00960F16" w:rsidP="000C6F49">
      <w:pPr>
        <w:pStyle w:val="TableFigureFooter"/>
        <w:widowControl w:val="0"/>
      </w:pPr>
      <w:r>
        <w:t>#</w:t>
      </w:r>
      <w:r w:rsidRPr="00960F16">
        <w:t xml:space="preserve"> </w:t>
      </w:r>
      <w:r>
        <w:t>Note that the results denoted by (#) are derived from post-hoc analyses conducted by the evaluation specifically for the purposes of informing the PBAC consideration. Interpretation of the results and their application should therefore be limited to seeking to understand the basis for the PBAC outcome and should not be used for any other purpose.</w:t>
      </w:r>
    </w:p>
    <w:p w14:paraId="4DCCF5BA" w14:textId="47DEBE16" w:rsidR="00960F16" w:rsidRDefault="00960F16" w:rsidP="000C6F49">
      <w:pPr>
        <w:pStyle w:val="TableFigureFooter"/>
        <w:widowControl w:val="0"/>
      </w:pPr>
      <w:r>
        <w:t xml:space="preserve">*Note that the results denoted by (*) are derived from post-hoc analyses conducted by the applicant specifically for the purposes of informing </w:t>
      </w:r>
      <w:r>
        <w:lastRenderedPageBreak/>
        <w:t>the PBAC consideration. Interpretation of the results and their application should therefore be limited to seeking to understand the basis for the PBAC outcome and should not be used for any other purpose</w:t>
      </w:r>
    </w:p>
    <w:p w14:paraId="183ACAB0" w14:textId="610A6F59" w:rsidR="001B4E9C" w:rsidRPr="00B07FB9" w:rsidRDefault="001B4E9C" w:rsidP="000C6F49">
      <w:pPr>
        <w:pStyle w:val="3-BodyText"/>
        <w:widowControl w:val="0"/>
      </w:pPr>
      <w:r w:rsidRPr="00B07FB9">
        <w:t>On the basis of subgroup analysis of non-</w:t>
      </w:r>
      <w:proofErr w:type="spellStart"/>
      <w:r w:rsidRPr="00B07FB9">
        <w:t>BRCAm</w:t>
      </w:r>
      <w:proofErr w:type="spellEnd"/>
      <w:r w:rsidRPr="00B07FB9">
        <w:t xml:space="preserve"> patients in PRIMA presented by the resubmission, for every 100 patients treated with niraparib in comparison with </w:t>
      </w:r>
      <w:r w:rsidR="00803F52" w:rsidRPr="00B07FB9">
        <w:t>no active treatment (</w:t>
      </w:r>
      <w:r w:rsidRPr="00B07FB9">
        <w:t>placebo</w:t>
      </w:r>
      <w:r w:rsidR="00803F52" w:rsidRPr="00B07FB9">
        <w:t>)</w:t>
      </w:r>
      <w:r w:rsidRPr="00B07FB9">
        <w:t>:</w:t>
      </w:r>
    </w:p>
    <w:p w14:paraId="227E93B9" w14:textId="557713B4" w:rsidR="001B4E9C" w:rsidRPr="00B07FB9" w:rsidRDefault="001B4E9C" w:rsidP="00A4339A">
      <w:pPr>
        <w:pStyle w:val="ListParagraph"/>
        <w:widowControl w:val="0"/>
        <w:spacing w:after="40"/>
        <w:ind w:left="1173" w:hanging="476"/>
      </w:pPr>
      <w:r w:rsidRPr="00B07FB9">
        <w:t>Approximately 7 additional patients will remain progression-free after 18 months</w:t>
      </w:r>
      <w:r w:rsidR="003A162F" w:rsidRPr="00B07FB9">
        <w:t>;</w:t>
      </w:r>
      <w:r w:rsidRPr="00B07FB9">
        <w:t xml:space="preserve"> however, the overall survival </w:t>
      </w:r>
      <w:r w:rsidR="003A162F" w:rsidRPr="00B07FB9">
        <w:t xml:space="preserve">gain is unknown as the data are immature </w:t>
      </w:r>
      <w:r w:rsidR="00F03AD2" w:rsidRPr="00B07FB9">
        <w:t>and</w:t>
      </w:r>
      <w:r w:rsidRPr="00B07FB9">
        <w:t xml:space="preserve"> cannot be reliably assessed. </w:t>
      </w:r>
    </w:p>
    <w:p w14:paraId="6CF5F0DD" w14:textId="77777777" w:rsidR="001B4E9C" w:rsidRPr="00B07FB9" w:rsidRDefault="001B4E9C" w:rsidP="00A4339A">
      <w:pPr>
        <w:pStyle w:val="ListParagraph"/>
        <w:widowControl w:val="0"/>
        <w:spacing w:after="40"/>
        <w:ind w:left="1173" w:hanging="476"/>
      </w:pPr>
      <w:r w:rsidRPr="00B07FB9">
        <w:t>Approximately 21 additional patients would experience a serious TEAE over a median follow up of 15 months.</w:t>
      </w:r>
    </w:p>
    <w:p w14:paraId="32264FE0" w14:textId="77777777" w:rsidR="001B4E9C" w:rsidRPr="00B07FB9" w:rsidRDefault="001B4E9C" w:rsidP="00A4339A">
      <w:pPr>
        <w:pStyle w:val="ListParagraph"/>
        <w:widowControl w:val="0"/>
        <w:spacing w:after="40"/>
        <w:ind w:left="1173" w:hanging="476"/>
      </w:pPr>
      <w:r w:rsidRPr="00B07FB9">
        <w:t>Approximately 54 additional patients would experience a Grade ≥3 TEAE over a median follow-up of 15 months.</w:t>
      </w:r>
    </w:p>
    <w:p w14:paraId="02D310BB" w14:textId="77777777" w:rsidR="001B4E9C" w:rsidRPr="00B07FB9" w:rsidRDefault="001B4E9C" w:rsidP="00A4339A">
      <w:pPr>
        <w:pStyle w:val="ListParagraph"/>
        <w:widowControl w:val="0"/>
        <w:spacing w:after="40"/>
        <w:ind w:left="1173" w:hanging="476"/>
      </w:pPr>
      <w:r w:rsidRPr="00B07FB9">
        <w:t>Approximately 10 additional patients would experience a TEAE leading to treatment discontinuation.</w:t>
      </w:r>
    </w:p>
    <w:p w14:paraId="76358CEE" w14:textId="77777777" w:rsidR="001B4E9C" w:rsidRPr="00B07FB9" w:rsidRDefault="001B4E9C" w:rsidP="000C6F49">
      <w:pPr>
        <w:pStyle w:val="4-SubsectionHeading"/>
        <w:keepNext w:val="0"/>
        <w:widowControl w:val="0"/>
      </w:pPr>
      <w:bookmarkStart w:id="33" w:name="_Toc22897644"/>
      <w:bookmarkStart w:id="34" w:name="_Toc93404193"/>
      <w:r w:rsidRPr="00B07FB9">
        <w:t>Clinical claim</w:t>
      </w:r>
      <w:bookmarkEnd w:id="33"/>
      <w:bookmarkEnd w:id="34"/>
    </w:p>
    <w:p w14:paraId="527C424E" w14:textId="3B6E4A3A" w:rsidR="00523923" w:rsidRPr="00B07FB9" w:rsidRDefault="00523923" w:rsidP="00523923">
      <w:pPr>
        <w:pStyle w:val="5-SubsectionSubheading"/>
        <w:keepNext w:val="0"/>
        <w:keepLines w:val="0"/>
        <w:widowControl w:val="0"/>
      </w:pPr>
      <w:bookmarkStart w:id="35" w:name="_Toc93404194"/>
      <w:r w:rsidRPr="00B07FB9">
        <w:t>Niraparib vs SMM (non-</w:t>
      </w:r>
      <w:proofErr w:type="spellStart"/>
      <w:r w:rsidRPr="00B07FB9">
        <w:t>BRCAm</w:t>
      </w:r>
      <w:proofErr w:type="spellEnd"/>
      <w:r w:rsidRPr="00B07FB9">
        <w:t>)</w:t>
      </w:r>
      <w:bookmarkEnd w:id="35"/>
    </w:p>
    <w:p w14:paraId="7F6C6CBD" w14:textId="2D0C789F" w:rsidR="001B4E9C" w:rsidRPr="00B07FB9" w:rsidRDefault="001B4E9C" w:rsidP="000C6F49">
      <w:pPr>
        <w:pStyle w:val="3-BodyText"/>
        <w:widowControl w:val="0"/>
      </w:pPr>
      <w:r w:rsidRPr="00B07FB9">
        <w:t xml:space="preserve">The resubmission described niraparib as superior in terms of PFS and inferior in terms of safety compared to no active treatment for the treatment of </w:t>
      </w:r>
      <w:r w:rsidR="002968E2" w:rsidRPr="00B07FB9">
        <w:t>non-</w:t>
      </w:r>
      <w:proofErr w:type="spellStart"/>
      <w:r w:rsidR="002968E2" w:rsidRPr="00B07FB9">
        <w:t>BRCAm</w:t>
      </w:r>
      <w:proofErr w:type="spellEnd"/>
      <w:r w:rsidR="002968E2" w:rsidRPr="00B07FB9">
        <w:t xml:space="preserve"> </w:t>
      </w:r>
      <w:r w:rsidRPr="00B07FB9">
        <w:t>NDA HGEOC.</w:t>
      </w:r>
    </w:p>
    <w:p w14:paraId="7D947D2D" w14:textId="02D6CB4A" w:rsidR="001B4E9C" w:rsidRPr="00B07FB9" w:rsidRDefault="001B4E9C" w:rsidP="000C6F49">
      <w:pPr>
        <w:pStyle w:val="3-BodyText"/>
        <w:widowControl w:val="0"/>
      </w:pPr>
      <w:r w:rsidRPr="00B07FB9">
        <w:t xml:space="preserve">The </w:t>
      </w:r>
      <w:r w:rsidR="00FA5425" w:rsidRPr="00B07FB9">
        <w:t xml:space="preserve">PBAC considered the </w:t>
      </w:r>
      <w:r w:rsidRPr="00B07FB9">
        <w:t xml:space="preserve">claim of superior effectiveness in terms of PFS was supported by the observed statistically significant improvement in PFS associated with niraparib versus </w:t>
      </w:r>
      <w:r w:rsidR="00845C60" w:rsidRPr="00B07FB9">
        <w:t>no active treatment (</w:t>
      </w:r>
      <w:r w:rsidRPr="00B07FB9">
        <w:t>placebo</w:t>
      </w:r>
      <w:r w:rsidR="00845C60" w:rsidRPr="00B07FB9">
        <w:t>)</w:t>
      </w:r>
      <w:r w:rsidRPr="00B07FB9">
        <w:t xml:space="preserve"> in all non-</w:t>
      </w:r>
      <w:proofErr w:type="spellStart"/>
      <w:r w:rsidRPr="00B07FB9">
        <w:t>BRCAm</w:t>
      </w:r>
      <w:proofErr w:type="spellEnd"/>
      <w:r w:rsidRPr="00B07FB9">
        <w:t xml:space="preserve"> patients from PRIMA (HR for PFS: 0.69 [0.54, 0.88])</w:t>
      </w:r>
      <w:r w:rsidR="00096826" w:rsidRPr="00B07FB9">
        <w:t>. However,</w:t>
      </w:r>
      <w:r w:rsidRPr="00B07FB9">
        <w:t xml:space="preserve"> the </w:t>
      </w:r>
      <w:r w:rsidR="00FA5425" w:rsidRPr="00B07FB9">
        <w:t xml:space="preserve">PBAC considered the </w:t>
      </w:r>
      <w:r w:rsidRPr="00B07FB9">
        <w:t xml:space="preserve">clinical importance of </w:t>
      </w:r>
      <w:r w:rsidR="00B4205F" w:rsidRPr="00B07FB9">
        <w:t xml:space="preserve">a </w:t>
      </w:r>
      <w:r w:rsidRPr="00B07FB9">
        <w:t xml:space="preserve">PFS gain of 3.5 months </w:t>
      </w:r>
      <w:r w:rsidR="00FA5425" w:rsidRPr="00B07FB9">
        <w:t>was uncertain</w:t>
      </w:r>
      <w:r w:rsidRPr="00B07FB9">
        <w:t>, particularly considering the toxicity of niraparib therapy</w:t>
      </w:r>
      <w:r w:rsidR="00FA5425" w:rsidRPr="00B07FB9">
        <w:t xml:space="preserve"> and in the context of uncertain OS benefit. The PBAC considered that the PFS benefit may not translate to OS benefit.</w:t>
      </w:r>
    </w:p>
    <w:p w14:paraId="5BEE2324" w14:textId="110A757C" w:rsidR="001B4E9C" w:rsidRPr="00B07FB9" w:rsidRDefault="001B4E9C" w:rsidP="000C6F49">
      <w:pPr>
        <w:pStyle w:val="3-BodyText"/>
        <w:widowControl w:val="0"/>
      </w:pPr>
      <w:r w:rsidRPr="00B07FB9">
        <w:t xml:space="preserve">The </w:t>
      </w:r>
      <w:r w:rsidR="00FA5425" w:rsidRPr="00B07FB9">
        <w:t xml:space="preserve">PBAC considered the </w:t>
      </w:r>
      <w:r w:rsidRPr="00B07FB9">
        <w:t>claim of inferior safety of niraparib in comparison with no active treatment in the non-</w:t>
      </w:r>
      <w:proofErr w:type="spellStart"/>
      <w:r w:rsidRPr="00B07FB9">
        <w:t>BRCAm</w:t>
      </w:r>
      <w:proofErr w:type="spellEnd"/>
      <w:r w:rsidRPr="00B07FB9">
        <w:t xml:space="preserve"> cohort was supported by the safety data presented. The incidence of TEAEs, ≥ Grade 3 TEAEs, serious TEAEs, and TEAEs leading to treatment discontinuation was statistically significantly higher in non-BRCA patients who received niraparib than those treated with placebo.</w:t>
      </w:r>
    </w:p>
    <w:p w14:paraId="6694300D" w14:textId="18749668" w:rsidR="00523923" w:rsidRPr="00B07FB9" w:rsidRDefault="00523923" w:rsidP="00523923">
      <w:pPr>
        <w:pStyle w:val="5-SubsectionSubheading"/>
        <w:keepNext w:val="0"/>
        <w:keepLines w:val="0"/>
        <w:widowControl w:val="0"/>
      </w:pPr>
      <w:bookmarkStart w:id="36" w:name="_Toc93404195"/>
      <w:r w:rsidRPr="00B07FB9">
        <w:t xml:space="preserve">Niraparib vs </w:t>
      </w:r>
      <w:proofErr w:type="spellStart"/>
      <w:r w:rsidRPr="00B07FB9">
        <w:t>olaparib</w:t>
      </w:r>
      <w:proofErr w:type="spellEnd"/>
      <w:r w:rsidRPr="00B07FB9">
        <w:t xml:space="preserve"> (</w:t>
      </w:r>
      <w:proofErr w:type="spellStart"/>
      <w:r w:rsidRPr="00B07FB9">
        <w:t>BRCAm</w:t>
      </w:r>
      <w:proofErr w:type="spellEnd"/>
      <w:r w:rsidRPr="00B07FB9">
        <w:t>)</w:t>
      </w:r>
      <w:bookmarkEnd w:id="36"/>
    </w:p>
    <w:p w14:paraId="59C707D3" w14:textId="2B2FDF3F" w:rsidR="001B4E9C" w:rsidRPr="00B07FB9" w:rsidRDefault="001B4E9C" w:rsidP="000C6F49">
      <w:pPr>
        <w:pStyle w:val="3-BodyText"/>
        <w:widowControl w:val="0"/>
      </w:pPr>
      <w:r w:rsidRPr="00B07FB9">
        <w:t xml:space="preserve">The resubmission claimed that niraparib is non-inferior in terms of PFS and has comparable safety in comparison with </w:t>
      </w:r>
      <w:proofErr w:type="spellStart"/>
      <w:r w:rsidRPr="00B07FB9">
        <w:t>olaparib</w:t>
      </w:r>
      <w:proofErr w:type="spellEnd"/>
      <w:r w:rsidRPr="00B07FB9">
        <w:t xml:space="preserve"> for treatment of </w:t>
      </w:r>
      <w:proofErr w:type="spellStart"/>
      <w:r w:rsidR="002968E2" w:rsidRPr="00B07FB9">
        <w:t>BRCAm</w:t>
      </w:r>
      <w:proofErr w:type="spellEnd"/>
      <w:r w:rsidR="002968E2" w:rsidRPr="00B07FB9">
        <w:t xml:space="preserve"> </w:t>
      </w:r>
      <w:r w:rsidRPr="00B07FB9">
        <w:t>NDA HGEOC.</w:t>
      </w:r>
    </w:p>
    <w:p w14:paraId="43840B22" w14:textId="128207F0" w:rsidR="001B4E9C" w:rsidRPr="00B07FB9" w:rsidRDefault="001B4E9C" w:rsidP="000C6F49">
      <w:pPr>
        <w:pStyle w:val="3-BodyText"/>
        <w:widowControl w:val="0"/>
      </w:pPr>
      <w:r w:rsidRPr="00B07FB9">
        <w:t xml:space="preserve">The </w:t>
      </w:r>
      <w:r w:rsidR="00FA5425" w:rsidRPr="00B07FB9">
        <w:t xml:space="preserve">PBAC considered that on balance, the </w:t>
      </w:r>
      <w:r w:rsidRPr="00B07FB9">
        <w:t xml:space="preserve">non-inferior effectiveness conclusion was </w:t>
      </w:r>
      <w:r w:rsidR="00FA5425" w:rsidRPr="00B07FB9">
        <w:t xml:space="preserve">sufficiently </w:t>
      </w:r>
      <w:r w:rsidRPr="00B07FB9">
        <w:t xml:space="preserve">supported by the evidence from the common reference-based ITC of niraparib vs </w:t>
      </w:r>
      <w:proofErr w:type="spellStart"/>
      <w:r w:rsidRPr="00B07FB9">
        <w:t>olaparib</w:t>
      </w:r>
      <w:proofErr w:type="spellEnd"/>
      <w:r w:rsidR="00FA5425" w:rsidRPr="00B07FB9">
        <w:t xml:space="preserve">, despite </w:t>
      </w:r>
      <w:r w:rsidR="006D0CEA" w:rsidRPr="00B07FB9">
        <w:t>the</w:t>
      </w:r>
      <w:r w:rsidR="00FA5425" w:rsidRPr="00B07FB9">
        <w:t xml:space="preserve"> limitations of the ITC as discussed in paragraphs</w:t>
      </w:r>
      <w:r w:rsidR="002D68A5" w:rsidRPr="00B07FB9">
        <w:t xml:space="preserve"> </w:t>
      </w:r>
      <w:r w:rsidR="002D68A5" w:rsidRPr="00B07FB9">
        <w:fldChar w:fldCharType="begin"/>
      </w:r>
      <w:r w:rsidR="002D68A5" w:rsidRPr="00B07FB9">
        <w:instrText xml:space="preserve"> REF _Ref99050809 \r \h </w:instrText>
      </w:r>
      <w:r w:rsidR="002D68A5" w:rsidRPr="00B07FB9">
        <w:fldChar w:fldCharType="separate"/>
      </w:r>
      <w:r w:rsidR="00385E8C">
        <w:t>6.10</w:t>
      </w:r>
      <w:r w:rsidR="002D68A5" w:rsidRPr="00B07FB9">
        <w:fldChar w:fldCharType="end"/>
      </w:r>
      <w:r w:rsidR="00DB111D" w:rsidRPr="00B07FB9">
        <w:t xml:space="preserve"> </w:t>
      </w:r>
      <w:r w:rsidR="00FA5425" w:rsidRPr="00B07FB9">
        <w:t xml:space="preserve">to </w:t>
      </w:r>
      <w:r w:rsidR="00FA5425" w:rsidRPr="00B07FB9">
        <w:fldChar w:fldCharType="begin"/>
      </w:r>
      <w:r w:rsidR="00FA5425" w:rsidRPr="00B07FB9">
        <w:instrText xml:space="preserve"> REF _Ref98863172 \r \h </w:instrText>
      </w:r>
      <w:r w:rsidR="00FA5425" w:rsidRPr="00B07FB9">
        <w:fldChar w:fldCharType="separate"/>
      </w:r>
      <w:r w:rsidR="00385E8C">
        <w:t>6.17</w:t>
      </w:r>
      <w:r w:rsidR="00FA5425" w:rsidRPr="00B07FB9">
        <w:fldChar w:fldCharType="end"/>
      </w:r>
      <w:r w:rsidRPr="00B07FB9">
        <w:t xml:space="preserve">. </w:t>
      </w:r>
      <w:r w:rsidR="00FA5425" w:rsidRPr="00B07FB9">
        <w:t>T</w:t>
      </w:r>
      <w:r w:rsidRPr="00B07FB9">
        <w:t>he</w:t>
      </w:r>
      <w:r w:rsidR="00FA5425" w:rsidRPr="00B07FB9">
        <w:t xml:space="preserve"> PBAC noted </w:t>
      </w:r>
      <w:r w:rsidR="00FA5425" w:rsidRPr="00B07FB9">
        <w:rPr>
          <w:bCs/>
        </w:rPr>
        <w:t xml:space="preserve">that confidence intervals were wide, reflecting the </w:t>
      </w:r>
      <w:r w:rsidR="00473084" w:rsidRPr="00B07FB9">
        <w:rPr>
          <w:bCs/>
        </w:rPr>
        <w:t>relatively small sample size for</w:t>
      </w:r>
      <w:r w:rsidR="00DF648E" w:rsidRPr="00B07FB9">
        <w:rPr>
          <w:bCs/>
        </w:rPr>
        <w:t xml:space="preserve"> </w:t>
      </w:r>
      <w:r w:rsidR="00FA5425" w:rsidRPr="00B07FB9">
        <w:rPr>
          <w:bCs/>
        </w:rPr>
        <w:t xml:space="preserve">the </w:t>
      </w:r>
      <w:r w:rsidR="00FA5425" w:rsidRPr="00B07FB9">
        <w:rPr>
          <w:bCs/>
        </w:rPr>
        <w:lastRenderedPageBreak/>
        <w:t>comparison between a subgroup of the PRIMA trial (</w:t>
      </w:r>
      <w:proofErr w:type="spellStart"/>
      <w:r w:rsidR="00FA5425" w:rsidRPr="00B07FB9">
        <w:rPr>
          <w:bCs/>
        </w:rPr>
        <w:t>BRCAm</w:t>
      </w:r>
      <w:proofErr w:type="spellEnd"/>
      <w:r w:rsidR="00FA5425" w:rsidRPr="00B07FB9">
        <w:rPr>
          <w:bCs/>
        </w:rPr>
        <w:t>) and in the SOLO-1 trial (</w:t>
      </w:r>
      <w:r w:rsidR="00FA5425" w:rsidRPr="00B07FB9">
        <w:t xml:space="preserve">excluding Stage III R0 post PDS). The PBAC also considered that </w:t>
      </w:r>
      <w:r w:rsidR="00FA5425" w:rsidRPr="00B07FB9">
        <w:rPr>
          <w:bCs/>
        </w:rPr>
        <w:t xml:space="preserve">there </w:t>
      </w:r>
      <w:r w:rsidR="00FC4421" w:rsidRPr="00B07FB9">
        <w:rPr>
          <w:bCs/>
        </w:rPr>
        <w:t>were likely transitivity issues with</w:t>
      </w:r>
      <w:r w:rsidR="00FA5425" w:rsidRPr="00B07FB9">
        <w:rPr>
          <w:bCs/>
        </w:rPr>
        <w:t xml:space="preserve"> the indirect comparison due </w:t>
      </w:r>
      <w:r w:rsidR="00FA5425" w:rsidRPr="00B07FB9">
        <w:t xml:space="preserve">the differences in trial populations between PRIMA and SOLO-1, some of which remained even after exclusion of </w:t>
      </w:r>
      <w:r w:rsidR="00FA5425" w:rsidRPr="00B07FB9">
        <w:rPr>
          <w:bCs/>
        </w:rPr>
        <w:t>Stage III R0 post PDS patients from SOLO-1</w:t>
      </w:r>
      <w:r w:rsidR="00FA5425" w:rsidRPr="00B07FB9">
        <w:t>.</w:t>
      </w:r>
    </w:p>
    <w:p w14:paraId="40144D4B" w14:textId="372D972A" w:rsidR="00FA5425" w:rsidRPr="00B07FB9" w:rsidRDefault="00FA5425" w:rsidP="00FA5425">
      <w:pPr>
        <w:pStyle w:val="3-BodyText"/>
      </w:pPr>
      <w:r w:rsidRPr="00B07FB9">
        <w:t>The PBAC noted that a</w:t>
      </w:r>
      <w:r w:rsidR="001B4E9C" w:rsidRPr="00B07FB9">
        <w:t xml:space="preserve">n anchored ITC of OS for niraparib versus </w:t>
      </w:r>
      <w:proofErr w:type="spellStart"/>
      <w:r w:rsidR="001B4E9C" w:rsidRPr="00B07FB9">
        <w:t>olaparib</w:t>
      </w:r>
      <w:proofErr w:type="spellEnd"/>
      <w:r w:rsidR="001B4E9C" w:rsidRPr="00B07FB9">
        <w:t xml:space="preserve"> </w:t>
      </w:r>
      <w:r w:rsidRPr="00B07FB9">
        <w:t>would not be meaningful due to</w:t>
      </w:r>
      <w:r w:rsidR="001B4E9C" w:rsidRPr="00B07FB9">
        <w:t xml:space="preserve"> the immature OS data in both trials and the dissimilar crossover rate from placebo to later-line </w:t>
      </w:r>
      <w:proofErr w:type="spellStart"/>
      <w:r w:rsidR="001B4E9C" w:rsidRPr="00B07FB9">
        <w:t>PARPi</w:t>
      </w:r>
      <w:proofErr w:type="spellEnd"/>
      <w:r w:rsidR="001B4E9C" w:rsidRPr="00B07FB9">
        <w:t xml:space="preserve"> in the common reference groups (9% in PRIMA vs. 37% in SOLO-1).</w:t>
      </w:r>
      <w:r w:rsidRPr="00B07FB9" w:rsidDel="00FA5425">
        <w:t xml:space="preserve"> </w:t>
      </w:r>
    </w:p>
    <w:p w14:paraId="14B65C05" w14:textId="3EF22079" w:rsidR="00F47D63" w:rsidRPr="00B07FB9" w:rsidRDefault="00FA5425" w:rsidP="00B76750">
      <w:pPr>
        <w:pStyle w:val="3-BodyText"/>
        <w:rPr>
          <w:szCs w:val="20"/>
        </w:rPr>
      </w:pPr>
      <w:r w:rsidRPr="00B07FB9">
        <w:t xml:space="preserve">The PBAC noted that there appeared to be significantly worse safety for niraparib compared with </w:t>
      </w:r>
      <w:proofErr w:type="spellStart"/>
      <w:r w:rsidRPr="00B07FB9">
        <w:t>olaparib</w:t>
      </w:r>
      <w:proofErr w:type="spellEnd"/>
      <w:r w:rsidRPr="00B07FB9">
        <w:t xml:space="preserve"> with regard to Grade 3-5 TEAEs including differences in the incidence of</w:t>
      </w:r>
      <w:r w:rsidRPr="00B07FB9">
        <w:rPr>
          <w:bCs/>
        </w:rPr>
        <w:t xml:space="preserve"> thrombocytopenia and anaemia. </w:t>
      </w:r>
      <w:r w:rsidRPr="00B07FB9">
        <w:t xml:space="preserve">However, the PBAC noted that treatment discontinuations due to TEAEs were similar between PRIMA (ISD): 13.6% and SOLO-1: 11.5%. </w:t>
      </w:r>
      <w:r w:rsidR="009430A7" w:rsidRPr="00B07FB9">
        <w:t>In addition, the PBAC noted that the sponsor hearing suggested that gastrointestinal AEs</w:t>
      </w:r>
      <w:r w:rsidR="00356BC2" w:rsidRPr="00B07FB9">
        <w:t xml:space="preserve"> (possibly due to twice d</w:t>
      </w:r>
      <w:r w:rsidR="00D570B1" w:rsidRPr="00B07FB9">
        <w:t>a</w:t>
      </w:r>
      <w:r w:rsidR="00356BC2" w:rsidRPr="00B07FB9">
        <w:t>ily d</w:t>
      </w:r>
      <w:r w:rsidR="005F4713" w:rsidRPr="00B07FB9">
        <w:t>osing</w:t>
      </w:r>
      <w:r w:rsidR="00356BC2" w:rsidRPr="00B07FB9">
        <w:t>) and drug interactions</w:t>
      </w:r>
      <w:r w:rsidR="009430A7" w:rsidRPr="00B07FB9">
        <w:t xml:space="preserve"> may be more common for </w:t>
      </w:r>
      <w:proofErr w:type="spellStart"/>
      <w:r w:rsidR="009430A7" w:rsidRPr="00B07FB9">
        <w:t>olaparib</w:t>
      </w:r>
      <w:proofErr w:type="spellEnd"/>
      <w:r w:rsidR="00B76750" w:rsidRPr="00B07FB9">
        <w:t xml:space="preserve">. </w:t>
      </w:r>
      <w:r w:rsidRPr="00B07FB9">
        <w:t xml:space="preserve">The PBAC noted that the indirect comparison of safety was limited due to differences in the patient population and duration of follow-up. On balance, the PBAC considered that TEAEs </w:t>
      </w:r>
      <w:r w:rsidR="00B76750" w:rsidRPr="00B07FB9">
        <w:t xml:space="preserve">for niraparib </w:t>
      </w:r>
      <w:r w:rsidRPr="00B07FB9">
        <w:t>appeared to be generally manageable with dose interruptions and</w:t>
      </w:r>
      <w:r w:rsidR="00B76750" w:rsidRPr="00B07FB9">
        <w:t xml:space="preserve"> overall safety</w:t>
      </w:r>
      <w:r w:rsidRPr="00B07FB9">
        <w:t xml:space="preserve"> likely to be sufficiently similar for niraparib and </w:t>
      </w:r>
      <w:proofErr w:type="spellStart"/>
      <w:r w:rsidRPr="00B07FB9">
        <w:t>olaparib</w:t>
      </w:r>
      <w:proofErr w:type="spellEnd"/>
      <w:r w:rsidRPr="00B07FB9">
        <w:t xml:space="preserve"> </w:t>
      </w:r>
      <w:r w:rsidR="00B76750" w:rsidRPr="00B07FB9">
        <w:t>such that the</w:t>
      </w:r>
      <w:r w:rsidR="00F47D63" w:rsidRPr="00B07FB9">
        <w:rPr>
          <w:szCs w:val="20"/>
        </w:rPr>
        <w:t xml:space="preserve"> claim of non-inferior comparative safety was reasonable</w:t>
      </w:r>
      <w:r w:rsidRPr="00B07FB9">
        <w:rPr>
          <w:szCs w:val="20"/>
        </w:rPr>
        <w:t>.</w:t>
      </w:r>
      <w:r w:rsidR="00F23C86" w:rsidRPr="00B07FB9">
        <w:rPr>
          <w:szCs w:val="20"/>
        </w:rPr>
        <w:t xml:space="preserve"> </w:t>
      </w:r>
      <w:r w:rsidR="00F23C86" w:rsidRPr="00B07FB9">
        <w:t>The PBAC noted that hospitalisation costs for thrombocytopenia and anaemia were included in the CMA (see paragraphs 6.34 and 6.65).</w:t>
      </w:r>
    </w:p>
    <w:p w14:paraId="74A1172E" w14:textId="128C170E" w:rsidR="00B60939" w:rsidRPr="00B07FB9" w:rsidRDefault="00B60939" w:rsidP="000C6F49">
      <w:pPr>
        <w:pStyle w:val="4-SubsectionHeading"/>
        <w:keepNext w:val="0"/>
        <w:widowControl w:val="0"/>
      </w:pPr>
      <w:bookmarkStart w:id="37" w:name="_Toc93404196"/>
      <w:r w:rsidRPr="00B07FB9">
        <w:t>Economic analysis</w:t>
      </w:r>
      <w:bookmarkEnd w:id="2"/>
      <w:bookmarkEnd w:id="37"/>
      <w:r w:rsidR="00491B3A" w:rsidRPr="00B07FB9">
        <w:t xml:space="preserve"> </w:t>
      </w:r>
    </w:p>
    <w:p w14:paraId="3F867EBD" w14:textId="77777777" w:rsidR="00460E9B" w:rsidRPr="00B07FB9" w:rsidRDefault="00460E9B" w:rsidP="000C6F49">
      <w:pPr>
        <w:pStyle w:val="3-BodyText"/>
        <w:widowControl w:val="0"/>
        <w:rPr>
          <w:bCs/>
        </w:rPr>
      </w:pPr>
      <w:bookmarkStart w:id="38" w:name="_Toc22897646"/>
      <w:bookmarkStart w:id="39" w:name="_Toc22897647"/>
      <w:r w:rsidRPr="00B07FB9">
        <w:rPr>
          <w:bCs/>
        </w:rPr>
        <w:t xml:space="preserve">The resubmission presented two economic evaluations in accordance with the PBAC’s advice (Paragraph 7.17, Niraparib PSD, July 2021 PBAC meeting): </w:t>
      </w:r>
    </w:p>
    <w:p w14:paraId="25B8F6FF" w14:textId="77777777" w:rsidR="00460E9B" w:rsidRPr="00B07FB9" w:rsidRDefault="00460E9B" w:rsidP="000C6F49">
      <w:pPr>
        <w:pStyle w:val="ListParagraph"/>
        <w:widowControl w:val="0"/>
        <w:ind w:left="1176" w:hanging="476"/>
      </w:pPr>
      <w:r w:rsidRPr="00B07FB9">
        <w:t>A cost-utility analysis comparing niraparib with SMM for the maintenance treatment of non-</w:t>
      </w:r>
      <w:proofErr w:type="spellStart"/>
      <w:r w:rsidRPr="00B07FB9">
        <w:t>BRCAm</w:t>
      </w:r>
      <w:proofErr w:type="spellEnd"/>
      <w:r w:rsidRPr="00B07FB9">
        <w:t xml:space="preserve"> NDA HGEOC; and</w:t>
      </w:r>
    </w:p>
    <w:p w14:paraId="43E8626A" w14:textId="77777777" w:rsidR="00460E9B" w:rsidRPr="00B07FB9" w:rsidRDefault="00460E9B" w:rsidP="000C6F49">
      <w:pPr>
        <w:pStyle w:val="ListParagraph"/>
        <w:widowControl w:val="0"/>
        <w:ind w:left="1176" w:hanging="476"/>
      </w:pPr>
      <w:r w:rsidRPr="00B07FB9">
        <w:t xml:space="preserve">A cost-minimisation analysis (CMA) comparing niraparib with </w:t>
      </w:r>
      <w:proofErr w:type="spellStart"/>
      <w:r w:rsidRPr="00B07FB9">
        <w:t>olaparib</w:t>
      </w:r>
      <w:proofErr w:type="spellEnd"/>
      <w:r w:rsidRPr="00B07FB9">
        <w:t xml:space="preserve"> for the maintenance treatment of </w:t>
      </w:r>
      <w:proofErr w:type="spellStart"/>
      <w:r w:rsidRPr="00B07FB9">
        <w:t>BRCAm</w:t>
      </w:r>
      <w:proofErr w:type="spellEnd"/>
      <w:r w:rsidRPr="00B07FB9">
        <w:t xml:space="preserve"> NDA HGEOC.</w:t>
      </w:r>
    </w:p>
    <w:p w14:paraId="451444D0" w14:textId="77777777" w:rsidR="00460E9B" w:rsidRPr="00B07FB9" w:rsidRDefault="00460E9B" w:rsidP="000C6F49">
      <w:pPr>
        <w:pStyle w:val="5-SubsectionSubheading"/>
        <w:keepNext w:val="0"/>
        <w:keepLines w:val="0"/>
        <w:widowControl w:val="0"/>
      </w:pPr>
      <w:bookmarkStart w:id="40" w:name="_Toc89966687"/>
      <w:bookmarkStart w:id="41" w:name="_Toc93404197"/>
      <w:r w:rsidRPr="00B07FB9">
        <w:t>Cost utility analysis of niraparib vs. SMM</w:t>
      </w:r>
      <w:bookmarkEnd w:id="40"/>
      <w:bookmarkEnd w:id="41"/>
    </w:p>
    <w:p w14:paraId="35A0C444" w14:textId="0F3560C4" w:rsidR="00460E9B" w:rsidRPr="00B07FB9" w:rsidRDefault="00460E9B" w:rsidP="000C6F49">
      <w:pPr>
        <w:pStyle w:val="3-BodyText"/>
        <w:widowControl w:val="0"/>
        <w:rPr>
          <w:bCs/>
        </w:rPr>
      </w:pPr>
      <w:r w:rsidRPr="00B07FB9">
        <w:rPr>
          <w:bCs/>
        </w:rPr>
        <w:t xml:space="preserve">The resubmission presented a stepped economic evaluation based on a subgroup of </w:t>
      </w:r>
      <w:r w:rsidR="00A72850" w:rsidRPr="00B07FB9">
        <w:rPr>
          <w:bCs/>
        </w:rPr>
        <w:t>the</w:t>
      </w:r>
      <w:r w:rsidRPr="00B07FB9">
        <w:rPr>
          <w:bCs/>
        </w:rPr>
        <w:t xml:space="preserve"> direct randomised trial (the non-</w:t>
      </w:r>
      <w:proofErr w:type="spellStart"/>
      <w:r w:rsidRPr="00B07FB9">
        <w:rPr>
          <w:bCs/>
        </w:rPr>
        <w:t>BRCAm</w:t>
      </w:r>
      <w:proofErr w:type="spellEnd"/>
      <w:r w:rsidRPr="00B07FB9">
        <w:rPr>
          <w:bCs/>
        </w:rPr>
        <w:t xml:space="preserve"> cohort of PRIMA). The type of economic evaluation presented was a cost-utility analysis. The key components of the economic evaluation are presented below.</w:t>
      </w:r>
    </w:p>
    <w:p w14:paraId="73964356" w14:textId="1FA7BC8D" w:rsidR="00460E9B" w:rsidRPr="00B07FB9" w:rsidRDefault="00460E9B" w:rsidP="00A4339A">
      <w:pPr>
        <w:pStyle w:val="TableFigureHeading"/>
        <w:keepLines/>
        <w:widowControl w:val="0"/>
        <w:rPr>
          <w:rStyle w:val="CommentReference"/>
          <w:b/>
          <w:szCs w:val="24"/>
        </w:rPr>
      </w:pPr>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12</w:t>
      </w:r>
      <w:r w:rsidR="00385E8C">
        <w:fldChar w:fldCharType="end"/>
      </w:r>
      <w:r w:rsidRPr="00B07FB9">
        <w:rPr>
          <w:rStyle w:val="CommentReference"/>
          <w:b/>
          <w:szCs w:val="24"/>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2: Summary of model structure, key inputs and rationale"/>
      </w:tblPr>
      <w:tblGrid>
        <w:gridCol w:w="2518"/>
        <w:gridCol w:w="6499"/>
      </w:tblGrid>
      <w:tr w:rsidR="00460E9B" w:rsidRPr="00B07FB9" w14:paraId="5CA3D908" w14:textId="77777777" w:rsidTr="00460E9B">
        <w:trPr>
          <w:tblHeader/>
        </w:trPr>
        <w:tc>
          <w:tcPr>
            <w:tcW w:w="1396" w:type="pct"/>
            <w:shd w:val="clear" w:color="auto" w:fill="auto"/>
            <w:vAlign w:val="center"/>
          </w:tcPr>
          <w:p w14:paraId="66A223E4" w14:textId="77777777" w:rsidR="00460E9B" w:rsidRPr="00B07FB9" w:rsidRDefault="00460E9B" w:rsidP="00A4339A">
            <w:pPr>
              <w:pStyle w:val="In-tableHeading"/>
              <w:keepLines/>
              <w:widowControl w:val="0"/>
              <w:rPr>
                <w:lang w:val="en-AU"/>
              </w:rPr>
            </w:pPr>
            <w:r w:rsidRPr="00B07FB9">
              <w:rPr>
                <w:lang w:val="en-AU"/>
              </w:rPr>
              <w:t>Component</w:t>
            </w:r>
          </w:p>
        </w:tc>
        <w:tc>
          <w:tcPr>
            <w:tcW w:w="3604" w:type="pct"/>
            <w:shd w:val="clear" w:color="auto" w:fill="auto"/>
            <w:vAlign w:val="center"/>
          </w:tcPr>
          <w:p w14:paraId="7547C029" w14:textId="77777777" w:rsidR="00460E9B" w:rsidRPr="00B07FB9" w:rsidRDefault="00460E9B" w:rsidP="00A4339A">
            <w:pPr>
              <w:pStyle w:val="In-tableHeading"/>
              <w:keepLines/>
              <w:widowControl w:val="0"/>
              <w:rPr>
                <w:lang w:val="en-AU"/>
              </w:rPr>
            </w:pPr>
            <w:r w:rsidRPr="00B07FB9">
              <w:rPr>
                <w:lang w:val="en-AU"/>
              </w:rPr>
              <w:t>Summary</w:t>
            </w:r>
          </w:p>
        </w:tc>
      </w:tr>
      <w:tr w:rsidR="00460E9B" w:rsidRPr="00B07FB9" w14:paraId="7985A039" w14:textId="77777777" w:rsidTr="00460E9B">
        <w:tc>
          <w:tcPr>
            <w:tcW w:w="1396" w:type="pct"/>
            <w:shd w:val="clear" w:color="auto" w:fill="auto"/>
            <w:vAlign w:val="center"/>
          </w:tcPr>
          <w:p w14:paraId="14C9F6BA" w14:textId="77777777" w:rsidR="00460E9B" w:rsidRPr="00B07FB9" w:rsidRDefault="00460E9B" w:rsidP="00A4339A">
            <w:pPr>
              <w:pStyle w:val="TableText0"/>
              <w:keepLines/>
              <w:widowControl w:val="0"/>
            </w:pPr>
            <w:r w:rsidRPr="00B07FB9">
              <w:t>Treatments</w:t>
            </w:r>
          </w:p>
        </w:tc>
        <w:tc>
          <w:tcPr>
            <w:tcW w:w="3604" w:type="pct"/>
            <w:shd w:val="clear" w:color="auto" w:fill="auto"/>
            <w:vAlign w:val="center"/>
          </w:tcPr>
          <w:p w14:paraId="230B09D9" w14:textId="77777777" w:rsidR="00460E9B" w:rsidRPr="00B07FB9" w:rsidRDefault="00460E9B" w:rsidP="00A4339A">
            <w:pPr>
              <w:pStyle w:val="TableText0"/>
              <w:keepLines/>
              <w:widowControl w:val="0"/>
            </w:pPr>
            <w:r w:rsidRPr="00B07FB9">
              <w:t>Niraparib vs SMM; Unchanged from the previous submission, but the population in the resubmission only included non-</w:t>
            </w:r>
            <w:proofErr w:type="spellStart"/>
            <w:r w:rsidRPr="00B07FB9">
              <w:t>BRCAm</w:t>
            </w:r>
            <w:proofErr w:type="spellEnd"/>
            <w:r w:rsidRPr="00B07FB9">
              <w:t xml:space="preserve"> patients.</w:t>
            </w:r>
          </w:p>
        </w:tc>
      </w:tr>
      <w:tr w:rsidR="00460E9B" w:rsidRPr="00B07FB9" w14:paraId="7CB564A1" w14:textId="77777777" w:rsidTr="00460E9B">
        <w:tc>
          <w:tcPr>
            <w:tcW w:w="1396" w:type="pct"/>
            <w:shd w:val="clear" w:color="auto" w:fill="auto"/>
            <w:vAlign w:val="center"/>
          </w:tcPr>
          <w:p w14:paraId="1660951C" w14:textId="77777777" w:rsidR="00460E9B" w:rsidRPr="00B07FB9" w:rsidRDefault="00460E9B" w:rsidP="00A4339A">
            <w:pPr>
              <w:pStyle w:val="TableText0"/>
              <w:keepLines/>
              <w:widowControl w:val="0"/>
            </w:pPr>
            <w:r w:rsidRPr="00B07FB9">
              <w:t>Time horizon</w:t>
            </w:r>
          </w:p>
        </w:tc>
        <w:tc>
          <w:tcPr>
            <w:tcW w:w="3604" w:type="pct"/>
            <w:shd w:val="clear" w:color="auto" w:fill="auto"/>
            <w:vAlign w:val="center"/>
          </w:tcPr>
          <w:p w14:paraId="124503F4" w14:textId="77777777" w:rsidR="00460E9B" w:rsidRPr="00B07FB9" w:rsidRDefault="00460E9B" w:rsidP="00A4339A">
            <w:pPr>
              <w:pStyle w:val="TableText0"/>
              <w:keepLines/>
              <w:widowControl w:val="0"/>
            </w:pPr>
            <w:r w:rsidRPr="00B07FB9">
              <w:t>15 years in the model base case versus 15 months median follow-up in PRIMA. The 15-year time horizon is in line with PBAC advice that 20 years may be too long for non-</w:t>
            </w:r>
            <w:proofErr w:type="spellStart"/>
            <w:r w:rsidRPr="00B07FB9">
              <w:t>BRCAm</w:t>
            </w:r>
            <w:proofErr w:type="spellEnd"/>
            <w:r w:rsidRPr="00B07FB9">
              <w:t xml:space="preserve"> patients (paragraph 7.15, Niraparib PSD, July 2021 PBAC meeting).</w:t>
            </w:r>
          </w:p>
        </w:tc>
      </w:tr>
      <w:tr w:rsidR="00460E9B" w:rsidRPr="00B07FB9" w14:paraId="19801CD0" w14:textId="77777777" w:rsidTr="00460E9B">
        <w:tc>
          <w:tcPr>
            <w:tcW w:w="1396" w:type="pct"/>
            <w:shd w:val="clear" w:color="auto" w:fill="auto"/>
            <w:vAlign w:val="center"/>
          </w:tcPr>
          <w:p w14:paraId="55E26F25" w14:textId="77777777" w:rsidR="00460E9B" w:rsidRPr="00B07FB9" w:rsidRDefault="00460E9B" w:rsidP="00A4339A">
            <w:pPr>
              <w:pStyle w:val="TableText0"/>
              <w:keepLines/>
              <w:widowControl w:val="0"/>
            </w:pPr>
            <w:r w:rsidRPr="00B07FB9">
              <w:t>Outcomes</w:t>
            </w:r>
          </w:p>
        </w:tc>
        <w:tc>
          <w:tcPr>
            <w:tcW w:w="3604" w:type="pct"/>
            <w:shd w:val="clear" w:color="auto" w:fill="auto"/>
            <w:vAlign w:val="center"/>
          </w:tcPr>
          <w:p w14:paraId="6ACEC59E" w14:textId="77777777" w:rsidR="00460E9B" w:rsidRPr="00B07FB9" w:rsidRDefault="00460E9B" w:rsidP="00A4339A">
            <w:pPr>
              <w:pStyle w:val="TableText0"/>
              <w:keepLines/>
              <w:widowControl w:val="0"/>
            </w:pPr>
            <w:r w:rsidRPr="00B07FB9">
              <w:t>QALYs gained; life-years gained; Unchanged from the previous submission</w:t>
            </w:r>
          </w:p>
        </w:tc>
      </w:tr>
      <w:tr w:rsidR="00460E9B" w:rsidRPr="00B07FB9" w14:paraId="0813792A" w14:textId="77777777" w:rsidTr="00460E9B">
        <w:tc>
          <w:tcPr>
            <w:tcW w:w="1396" w:type="pct"/>
            <w:shd w:val="clear" w:color="auto" w:fill="auto"/>
            <w:vAlign w:val="center"/>
          </w:tcPr>
          <w:p w14:paraId="62DE05F1" w14:textId="77777777" w:rsidR="00460E9B" w:rsidRPr="00B07FB9" w:rsidRDefault="00460E9B" w:rsidP="00A4339A">
            <w:pPr>
              <w:pStyle w:val="TableText0"/>
              <w:keepLines/>
              <w:widowControl w:val="0"/>
            </w:pPr>
            <w:r w:rsidRPr="00B07FB9">
              <w:t>Methods used to generate results</w:t>
            </w:r>
          </w:p>
        </w:tc>
        <w:tc>
          <w:tcPr>
            <w:tcW w:w="3604" w:type="pct"/>
            <w:shd w:val="clear" w:color="auto" w:fill="auto"/>
            <w:vAlign w:val="center"/>
          </w:tcPr>
          <w:p w14:paraId="7A96D918" w14:textId="77777777" w:rsidR="00460E9B" w:rsidRPr="00B07FB9" w:rsidRDefault="00460E9B" w:rsidP="00A4339A">
            <w:pPr>
              <w:pStyle w:val="TableText0"/>
              <w:keepLines/>
              <w:widowControl w:val="0"/>
            </w:pPr>
            <w:r w:rsidRPr="00B07FB9">
              <w:t>Partitioned survival model (i.e. area under the curve); Unchanged from the previous submission</w:t>
            </w:r>
          </w:p>
        </w:tc>
      </w:tr>
      <w:tr w:rsidR="00460E9B" w:rsidRPr="00B07FB9" w14:paraId="32F02984" w14:textId="77777777" w:rsidTr="00460E9B">
        <w:tc>
          <w:tcPr>
            <w:tcW w:w="1396" w:type="pct"/>
            <w:shd w:val="clear" w:color="auto" w:fill="auto"/>
            <w:vAlign w:val="center"/>
          </w:tcPr>
          <w:p w14:paraId="6E1BF514" w14:textId="77777777" w:rsidR="00460E9B" w:rsidRPr="00B07FB9" w:rsidRDefault="00460E9B" w:rsidP="00A4339A">
            <w:pPr>
              <w:pStyle w:val="TableText0"/>
              <w:keepLines/>
              <w:widowControl w:val="0"/>
            </w:pPr>
            <w:r w:rsidRPr="00B07FB9">
              <w:t>Health states</w:t>
            </w:r>
          </w:p>
        </w:tc>
        <w:tc>
          <w:tcPr>
            <w:tcW w:w="3604" w:type="pct"/>
            <w:shd w:val="clear" w:color="auto" w:fill="auto"/>
            <w:vAlign w:val="center"/>
          </w:tcPr>
          <w:p w14:paraId="419602A4" w14:textId="77777777" w:rsidR="00460E9B" w:rsidRPr="00B07FB9" w:rsidRDefault="00460E9B" w:rsidP="00A4339A">
            <w:pPr>
              <w:pStyle w:val="TableText0"/>
              <w:keepLines/>
              <w:widowControl w:val="0"/>
            </w:pPr>
            <w:r w:rsidRPr="00B07FB9">
              <w:t>Progression-free (incorporating a ‘cured’ fraction), progressed disease and death states. Unchanged from the previous submission</w:t>
            </w:r>
          </w:p>
        </w:tc>
      </w:tr>
      <w:tr w:rsidR="00460E9B" w:rsidRPr="00B07FB9" w14:paraId="51335E5E" w14:textId="77777777" w:rsidTr="00460E9B">
        <w:tc>
          <w:tcPr>
            <w:tcW w:w="1396" w:type="pct"/>
            <w:shd w:val="clear" w:color="auto" w:fill="auto"/>
            <w:vAlign w:val="center"/>
          </w:tcPr>
          <w:p w14:paraId="427581EC" w14:textId="77777777" w:rsidR="00460E9B" w:rsidRPr="00B07FB9" w:rsidRDefault="00460E9B" w:rsidP="00A4339A">
            <w:pPr>
              <w:pStyle w:val="TableText0"/>
              <w:keepLines/>
              <w:widowControl w:val="0"/>
            </w:pPr>
            <w:r w:rsidRPr="00B07FB9">
              <w:t>Cycle length</w:t>
            </w:r>
          </w:p>
        </w:tc>
        <w:tc>
          <w:tcPr>
            <w:tcW w:w="3604" w:type="pct"/>
            <w:shd w:val="clear" w:color="auto" w:fill="auto"/>
            <w:vAlign w:val="center"/>
          </w:tcPr>
          <w:p w14:paraId="310613D3" w14:textId="77777777" w:rsidR="00460E9B" w:rsidRPr="00B07FB9" w:rsidRDefault="00460E9B" w:rsidP="00A4339A">
            <w:pPr>
              <w:pStyle w:val="TableText0"/>
              <w:keepLines/>
              <w:widowControl w:val="0"/>
            </w:pPr>
            <w:r w:rsidRPr="00B07FB9">
              <w:t>One month; Unchanged from the previous submission</w:t>
            </w:r>
          </w:p>
        </w:tc>
      </w:tr>
      <w:tr w:rsidR="00460E9B" w:rsidRPr="00B07FB9" w14:paraId="7A29D604" w14:textId="77777777" w:rsidTr="00460E9B">
        <w:tc>
          <w:tcPr>
            <w:tcW w:w="1396" w:type="pct"/>
            <w:shd w:val="clear" w:color="auto" w:fill="auto"/>
            <w:vAlign w:val="center"/>
          </w:tcPr>
          <w:p w14:paraId="3AB81863" w14:textId="77777777" w:rsidR="00460E9B" w:rsidRPr="00B07FB9" w:rsidRDefault="00460E9B" w:rsidP="00A4339A">
            <w:pPr>
              <w:pStyle w:val="TableText0"/>
              <w:keepLines/>
              <w:widowControl w:val="0"/>
            </w:pPr>
            <w:r w:rsidRPr="00B07FB9">
              <w:t xml:space="preserve">Allocation to health states </w:t>
            </w:r>
          </w:p>
        </w:tc>
        <w:tc>
          <w:tcPr>
            <w:tcW w:w="3604" w:type="pct"/>
            <w:shd w:val="clear" w:color="auto" w:fill="auto"/>
            <w:vAlign w:val="center"/>
          </w:tcPr>
          <w:p w14:paraId="438C5872" w14:textId="77777777" w:rsidR="00460E9B" w:rsidRPr="00B07FB9" w:rsidRDefault="00460E9B" w:rsidP="00A4339A">
            <w:pPr>
              <w:pStyle w:val="TableText0"/>
              <w:keepLines/>
              <w:widowControl w:val="0"/>
            </w:pPr>
            <w:r w:rsidRPr="00B07FB9">
              <w:t>Progression-free survival and overall survival curves from the non-</w:t>
            </w:r>
            <w:proofErr w:type="spellStart"/>
            <w:r w:rsidRPr="00B07FB9">
              <w:t>BRCAm</w:t>
            </w:r>
            <w:proofErr w:type="spellEnd"/>
            <w:r w:rsidRPr="00B07FB9">
              <w:t xml:space="preserve"> patients, which were adjusted using life tables to account for the proportion of ‘cured’ patients prior to initiation of first-line maintenance treatment, were used to estimate the proportion of patients in progression free, progressed disease and death states. The resubmission revised survival curves based on the PRIMA non-</w:t>
            </w:r>
            <w:proofErr w:type="spellStart"/>
            <w:r w:rsidRPr="00B07FB9">
              <w:t>BRCAm</w:t>
            </w:r>
            <w:proofErr w:type="spellEnd"/>
            <w:r w:rsidRPr="00B07FB9">
              <w:t xml:space="preserve"> cohort (which was based on PRIMA ITT in the previous submission) to align with the modelled non-</w:t>
            </w:r>
            <w:proofErr w:type="spellStart"/>
            <w:r w:rsidRPr="00B07FB9">
              <w:t>BRCAm</w:t>
            </w:r>
            <w:proofErr w:type="spellEnd"/>
            <w:r w:rsidRPr="00B07FB9">
              <w:t xml:space="preserve"> subgroup.</w:t>
            </w:r>
          </w:p>
        </w:tc>
      </w:tr>
      <w:tr w:rsidR="00460E9B" w:rsidRPr="00B07FB9" w14:paraId="5F4E6B70" w14:textId="77777777" w:rsidTr="00460E9B">
        <w:tc>
          <w:tcPr>
            <w:tcW w:w="1396" w:type="pct"/>
            <w:shd w:val="clear" w:color="auto" w:fill="auto"/>
            <w:vAlign w:val="center"/>
          </w:tcPr>
          <w:p w14:paraId="32045808" w14:textId="77777777" w:rsidR="00460E9B" w:rsidRPr="00B07FB9" w:rsidRDefault="00460E9B" w:rsidP="00A4339A">
            <w:pPr>
              <w:pStyle w:val="TableText0"/>
              <w:keepLines/>
              <w:widowControl w:val="0"/>
            </w:pPr>
            <w:r w:rsidRPr="00B07FB9">
              <w:t>Extrapolation method</w:t>
            </w:r>
          </w:p>
        </w:tc>
        <w:tc>
          <w:tcPr>
            <w:tcW w:w="3604" w:type="pct"/>
            <w:shd w:val="clear" w:color="auto" w:fill="auto"/>
            <w:vAlign w:val="center"/>
          </w:tcPr>
          <w:p w14:paraId="6BB1F90E" w14:textId="77777777" w:rsidR="00460E9B" w:rsidRPr="00B07FB9" w:rsidRDefault="00460E9B" w:rsidP="00A4339A">
            <w:pPr>
              <w:pStyle w:val="TableText0"/>
              <w:keepLines/>
              <w:widowControl w:val="0"/>
            </w:pPr>
            <w:r w:rsidRPr="00B07FB9">
              <w:t>Observed PFS and OS KM data from the non-</w:t>
            </w:r>
            <w:proofErr w:type="spellStart"/>
            <w:r w:rsidRPr="00B07FB9">
              <w:t>BRCAm</w:t>
            </w:r>
            <w:proofErr w:type="spellEnd"/>
            <w:r w:rsidRPr="00B07FB9">
              <w:t xml:space="preserve"> cohort of the PRIMA trial were applied until median follow-up, after which independent parametric models, fitted to the KM data, were used to extrapolate survival to the model time horizon. The resubmission updated the extrapolation methods from the previous submission, in which dependent parametric models were applied.</w:t>
            </w:r>
          </w:p>
          <w:p w14:paraId="25AC793C" w14:textId="77777777" w:rsidR="00460E9B" w:rsidRPr="00B07FB9" w:rsidRDefault="00460E9B" w:rsidP="00A4339A">
            <w:pPr>
              <w:pStyle w:val="TableText0"/>
              <w:keepLines/>
              <w:widowControl w:val="0"/>
            </w:pPr>
            <w:r w:rsidRPr="00B07FB9">
              <w:t>The niraparib TTD KM curve from the PRIMA non-</w:t>
            </w:r>
            <w:proofErr w:type="spellStart"/>
            <w:r w:rsidRPr="00B07FB9">
              <w:t>BRCAm</w:t>
            </w:r>
            <w:proofErr w:type="spellEnd"/>
            <w:r w:rsidRPr="00B07FB9">
              <w:t>, extrapolated beyond median follow-up, was used to inform the niraparib treatment duration.</w:t>
            </w:r>
          </w:p>
          <w:p w14:paraId="64B3C30B" w14:textId="77777777" w:rsidR="00460E9B" w:rsidRPr="00B07FB9" w:rsidRDefault="00460E9B" w:rsidP="00A4339A">
            <w:pPr>
              <w:pStyle w:val="TableText0"/>
              <w:keepLines/>
              <w:widowControl w:val="0"/>
            </w:pPr>
            <w:r w:rsidRPr="00B07FB9">
              <w:t xml:space="preserve">Approximately 97% of the undiscounted incremental life-years gained for niraparib over SMM were accrued over the extrapolated period. </w:t>
            </w:r>
          </w:p>
        </w:tc>
      </w:tr>
      <w:tr w:rsidR="00460E9B" w:rsidRPr="00B07FB9" w14:paraId="0BE8458B" w14:textId="77777777" w:rsidTr="00460E9B">
        <w:tc>
          <w:tcPr>
            <w:tcW w:w="1396" w:type="pct"/>
            <w:shd w:val="clear" w:color="auto" w:fill="auto"/>
            <w:vAlign w:val="center"/>
          </w:tcPr>
          <w:p w14:paraId="5E7C9DD9" w14:textId="77777777" w:rsidR="00460E9B" w:rsidRPr="00B07FB9" w:rsidRDefault="00460E9B" w:rsidP="00A4339A">
            <w:pPr>
              <w:pStyle w:val="TableText0"/>
              <w:keepLines/>
              <w:widowControl w:val="0"/>
            </w:pPr>
            <w:r w:rsidRPr="00B07FB9">
              <w:t>Health related quality of life</w:t>
            </w:r>
          </w:p>
        </w:tc>
        <w:tc>
          <w:tcPr>
            <w:tcW w:w="3604" w:type="pct"/>
            <w:shd w:val="clear" w:color="auto" w:fill="auto"/>
            <w:vAlign w:val="center"/>
          </w:tcPr>
          <w:p w14:paraId="6DC078D4" w14:textId="77777777" w:rsidR="00460E9B" w:rsidRPr="00B07FB9" w:rsidRDefault="00460E9B" w:rsidP="00A4339A">
            <w:pPr>
              <w:pStyle w:val="TableText0"/>
              <w:keepLines/>
              <w:widowControl w:val="0"/>
            </w:pPr>
            <w:r w:rsidRPr="00B07FB9">
              <w:t>EQ-5D-5L data from PRIMA ITT cohort translated to utility values via an Australian algorithm (Norman 2013) (PF=0.777; PD=0.689). Unchanged from the previous submission. This may not be reasonable since the data were not specific to non-</w:t>
            </w:r>
            <w:proofErr w:type="spellStart"/>
            <w:r w:rsidRPr="00B07FB9">
              <w:t>BRCAm</w:t>
            </w:r>
            <w:proofErr w:type="spellEnd"/>
            <w:r w:rsidRPr="00B07FB9">
              <w:t xml:space="preserve"> cohort and no disutility for treatment related adverse events was applied. </w:t>
            </w:r>
          </w:p>
        </w:tc>
      </w:tr>
    </w:tbl>
    <w:p w14:paraId="68C0A7F5" w14:textId="77777777" w:rsidR="00460E9B" w:rsidRPr="00B07FB9" w:rsidRDefault="00460E9B" w:rsidP="000C6F49">
      <w:pPr>
        <w:pStyle w:val="TableFigureFooter"/>
        <w:widowControl w:val="0"/>
      </w:pPr>
      <w:r w:rsidRPr="00B07FB9">
        <w:t>Source: Table 46-7, pp89-90 of the resubmission.</w:t>
      </w:r>
    </w:p>
    <w:p w14:paraId="41F84044" w14:textId="77777777" w:rsidR="00460E9B" w:rsidRPr="00B07FB9" w:rsidRDefault="00460E9B" w:rsidP="000C6F49">
      <w:pPr>
        <w:pStyle w:val="TableFigureFooter"/>
        <w:widowControl w:val="0"/>
      </w:pPr>
      <w:r w:rsidRPr="00B07FB9">
        <w:t>ITT = intention-to-treat; KM = Kaplan-Meier; OS = overall survival; PFS = progression free survival; QALYs = quality adjusted life years; SMM = standard medical management (no active treatment); TTD = time to treatment discontinuation.</w:t>
      </w:r>
    </w:p>
    <w:p w14:paraId="6BC63782" w14:textId="77777777" w:rsidR="00460E9B" w:rsidRPr="00B07FB9" w:rsidRDefault="00460E9B" w:rsidP="000C6F49">
      <w:pPr>
        <w:pStyle w:val="3-BodyText"/>
        <w:widowControl w:val="0"/>
      </w:pPr>
      <w:r w:rsidRPr="00B07FB9">
        <w:t>The model structure in the resubmission remained unchanged from the previous submission. However, other key changes included:</w:t>
      </w:r>
    </w:p>
    <w:p w14:paraId="2E4C6905" w14:textId="77777777" w:rsidR="00460E9B" w:rsidRPr="00B07FB9" w:rsidRDefault="00460E9B" w:rsidP="000C6F49">
      <w:pPr>
        <w:pStyle w:val="ListParagraph"/>
        <w:widowControl w:val="0"/>
        <w:ind w:left="1176" w:hanging="476"/>
      </w:pPr>
      <w:r w:rsidRPr="00B07FB9">
        <w:t xml:space="preserve">The time horizon was reduced to 15 years from 20 years in line with PBAC advice. </w:t>
      </w:r>
    </w:p>
    <w:p w14:paraId="4465A2C8" w14:textId="6FED1740" w:rsidR="00460E9B" w:rsidRPr="00B07FB9" w:rsidRDefault="00460E9B" w:rsidP="000C6F49">
      <w:pPr>
        <w:pStyle w:val="ListParagraph"/>
        <w:widowControl w:val="0"/>
        <w:ind w:left="1176" w:hanging="476"/>
      </w:pPr>
      <w:r w:rsidRPr="00B07FB9">
        <w:t xml:space="preserve">Subsequent </w:t>
      </w:r>
      <w:proofErr w:type="spellStart"/>
      <w:r w:rsidRPr="00B07FB9">
        <w:t>PARPi</w:t>
      </w:r>
      <w:proofErr w:type="spellEnd"/>
      <w:r w:rsidRPr="00B07FB9">
        <w:t xml:space="preserve"> use in the second-line setting in the SMM arm was removed. This is reasonable and consistent with previous PBAC advice (Paragraph 7.15, niraparib PSD, July 2021 PBAC Meeting).</w:t>
      </w:r>
    </w:p>
    <w:p w14:paraId="0A22B4D1" w14:textId="77777777" w:rsidR="00460E9B" w:rsidRPr="00B07FB9" w:rsidRDefault="00460E9B" w:rsidP="000C6F49">
      <w:pPr>
        <w:pStyle w:val="ListParagraph"/>
        <w:widowControl w:val="0"/>
        <w:ind w:left="1176" w:hanging="476"/>
      </w:pPr>
      <w:r w:rsidRPr="00B07FB9">
        <w:t>Extrapolation methods were updated by applying independent parametric functions for the extrapolation of PFS, OS and TTD.</w:t>
      </w:r>
    </w:p>
    <w:p w14:paraId="707F6773" w14:textId="77777777" w:rsidR="00460E9B" w:rsidRPr="00B07FB9" w:rsidRDefault="00460E9B" w:rsidP="000C6F49">
      <w:pPr>
        <w:pStyle w:val="ListParagraph"/>
        <w:widowControl w:val="0"/>
        <w:ind w:left="1176" w:hanging="476"/>
      </w:pPr>
      <w:r w:rsidRPr="00B07FB9">
        <w:t>Costs associated with niraparib, subsequent chemotherapies, disease monitoring and management of AEs were also updated.</w:t>
      </w:r>
    </w:p>
    <w:p w14:paraId="62B0A973" w14:textId="77777777" w:rsidR="00460E9B" w:rsidRPr="00B07FB9" w:rsidRDefault="00460E9B" w:rsidP="000C6F49">
      <w:pPr>
        <w:pStyle w:val="3-BodyText"/>
        <w:widowControl w:val="0"/>
      </w:pPr>
      <w:r w:rsidRPr="00B07FB9">
        <w:t>In the resubmission economic model, non-</w:t>
      </w:r>
      <w:proofErr w:type="spellStart"/>
      <w:r w:rsidRPr="00B07FB9">
        <w:t>BRCAm</w:t>
      </w:r>
      <w:proofErr w:type="spellEnd"/>
      <w:r w:rsidRPr="00B07FB9">
        <w:t xml:space="preserve"> cohort data from the PRIMA trial was used to inform clinical outcomes for PFS, OS and TTD, whereas health state utility </w:t>
      </w:r>
      <w:r w:rsidRPr="00B07FB9">
        <w:lastRenderedPageBreak/>
        <w:t>values were based on the PRIMA ITT cohort. The PRIMA ISD cohort was used to source the dose intensity and adverse event rates. ISD dosing is consistent with the approved PI, and expected to reflect clinical practice in Australia. However, uncertainty may have been introduced by using data from different cohorts as the dosing intensity in the different subgroups may have affected survival outcomes or time on treatment.</w:t>
      </w:r>
    </w:p>
    <w:p w14:paraId="2E619897" w14:textId="46E1EC92" w:rsidR="00460E9B" w:rsidRPr="00B07FB9" w:rsidRDefault="00460E9B" w:rsidP="000C6F49">
      <w:pPr>
        <w:pStyle w:val="3-BodyText"/>
        <w:widowControl w:val="0"/>
      </w:pPr>
      <w:r w:rsidRPr="00B07FB9">
        <w:t xml:space="preserve">The resubmission applied the same approach that was used in the previous submission to extrapolate survival curves for PFS and OS. </w:t>
      </w:r>
      <w:r w:rsidR="006E32A4" w:rsidRPr="00B07FB9">
        <w:t xml:space="preserve">The KM curves for PFS and OS for </w:t>
      </w:r>
      <w:r w:rsidR="00043655" w:rsidRPr="00B07FB9">
        <w:t xml:space="preserve">PRIMA </w:t>
      </w:r>
      <w:r w:rsidR="006E32A4" w:rsidRPr="00B07FB9">
        <w:t>non-</w:t>
      </w:r>
      <w:proofErr w:type="spellStart"/>
      <w:r w:rsidR="006E32A4" w:rsidRPr="00B07FB9">
        <w:t>BRCAm</w:t>
      </w:r>
      <w:proofErr w:type="spellEnd"/>
      <w:r w:rsidR="006E32A4" w:rsidRPr="00B07FB9">
        <w:t xml:space="preserve"> cohort are presented below in comparison to </w:t>
      </w:r>
      <w:r w:rsidR="00043655" w:rsidRPr="00B07FB9">
        <w:t>t</w:t>
      </w:r>
      <w:r w:rsidR="006E32A4" w:rsidRPr="00B07FB9">
        <w:t xml:space="preserve">he </w:t>
      </w:r>
      <w:r w:rsidR="00043655" w:rsidRPr="00B07FB9">
        <w:t>modelled PFS and OS curves</w:t>
      </w:r>
      <w:r w:rsidR="006E32A4" w:rsidRPr="00B07FB9">
        <w:t>.</w:t>
      </w:r>
    </w:p>
    <w:p w14:paraId="7E2018A8" w14:textId="1F044E24" w:rsidR="006E32A4" w:rsidRPr="00B07FB9" w:rsidRDefault="006E32A4" w:rsidP="00A72850">
      <w:pPr>
        <w:pStyle w:val="TableFigureHeading"/>
        <w:keepLines/>
        <w:widowControl w:val="0"/>
      </w:pPr>
      <w:r w:rsidRPr="00B07FB9">
        <w:t xml:space="preserve">Figure </w:t>
      </w:r>
      <w:r w:rsidR="00385E8C">
        <w:fldChar w:fldCharType="begin"/>
      </w:r>
      <w:r w:rsidR="00385E8C">
        <w:instrText xml:space="preserve"> SEQ Fig</w:instrText>
      </w:r>
      <w:r w:rsidR="00385E8C">
        <w:instrText xml:space="preserve">ure \* ARABIC </w:instrText>
      </w:r>
      <w:r w:rsidR="00385E8C">
        <w:fldChar w:fldCharType="separate"/>
      </w:r>
      <w:r w:rsidR="00385E8C">
        <w:rPr>
          <w:noProof/>
        </w:rPr>
        <w:t>3</w:t>
      </w:r>
      <w:r w:rsidR="00385E8C">
        <w:fldChar w:fldCharType="end"/>
      </w:r>
      <w:r w:rsidRPr="00B07FB9">
        <w:t>:</w:t>
      </w:r>
      <w:r w:rsidR="00043655" w:rsidRPr="00B07FB9">
        <w:t xml:space="preserve"> Trial based and modelled</w:t>
      </w:r>
      <w:r w:rsidRPr="00B07FB9">
        <w:t xml:space="preserve"> PFS </w:t>
      </w:r>
      <w:r w:rsidR="00043655" w:rsidRPr="00B07FB9">
        <w:t xml:space="preserve">and OS </w:t>
      </w:r>
      <w:r w:rsidRPr="00B07FB9">
        <w:t>in the non-</w:t>
      </w:r>
      <w:proofErr w:type="spellStart"/>
      <w:r w:rsidRPr="00B07FB9">
        <w:t>BRCAm</w:t>
      </w:r>
      <w:proofErr w:type="spellEnd"/>
      <w:r w:rsidRPr="00B07FB9">
        <w:t xml:space="preserve"> cohort</w:t>
      </w:r>
      <w:r w:rsidR="00043655" w:rsidRPr="00B07FB9">
        <w:t xml:space="preserve"> </w:t>
      </w:r>
    </w:p>
    <w:p w14:paraId="6F990CF3" w14:textId="1D8E29E3" w:rsidR="006E32A4" w:rsidRPr="00B07FB9" w:rsidRDefault="00043655" w:rsidP="00A72850">
      <w:pPr>
        <w:pStyle w:val="In-tableHeading"/>
        <w:keepLines/>
        <w:widowControl w:val="0"/>
        <w:rPr>
          <w:lang w:val="en-AU"/>
        </w:rPr>
      </w:pPr>
      <w:r w:rsidRPr="00B07FB9">
        <w:rPr>
          <w:noProof/>
          <w:lang w:val="en-AU"/>
        </w:rPr>
        <w:drawing>
          <wp:inline distT="0" distB="0" distL="0" distR="0" wp14:anchorId="13C72360" wp14:editId="2DAA88FC">
            <wp:extent cx="5611091" cy="3520166"/>
            <wp:effectExtent l="0" t="0" r="8890" b="4445"/>
            <wp:docPr id="23" name="Picture 23" descr="Figure 3: Trial based and modelled PFS and OS in the non-BRCAm coh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3: Trial based and modelled PFS and OS in the non-BRCAm cohort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445" cy="3530426"/>
                    </a:xfrm>
                    <a:prstGeom prst="rect">
                      <a:avLst/>
                    </a:prstGeom>
                    <a:noFill/>
                  </pic:spPr>
                </pic:pic>
              </a:graphicData>
            </a:graphic>
          </wp:inline>
        </w:drawing>
      </w:r>
    </w:p>
    <w:p w14:paraId="286A3E6E" w14:textId="1219FEFE" w:rsidR="00151B8F" w:rsidRPr="00B07FB9" w:rsidRDefault="00151B8F" w:rsidP="00A72850">
      <w:pPr>
        <w:pStyle w:val="TableFigureFooter"/>
        <w:keepNext/>
        <w:keepLines/>
        <w:widowControl w:val="0"/>
      </w:pPr>
      <w:r w:rsidRPr="00B07FB9">
        <w:t xml:space="preserve">Source: Figure </w:t>
      </w:r>
      <w:r w:rsidR="00451A38" w:rsidRPr="00B07FB9">
        <w:t xml:space="preserve">adapted during the evaluation from the Excel workbook “Survival Traces” </w:t>
      </w:r>
      <w:r w:rsidRPr="00B07FB9">
        <w:t>‘</w:t>
      </w:r>
      <w:proofErr w:type="spellStart"/>
      <w:r w:rsidRPr="00B07FB9">
        <w:t>Zejula</w:t>
      </w:r>
      <w:proofErr w:type="spellEnd"/>
      <w:r w:rsidRPr="00B07FB9">
        <w:t xml:space="preserve"> (niraparib) 1L </w:t>
      </w:r>
      <w:proofErr w:type="spellStart"/>
      <w:r w:rsidRPr="00B07FB9">
        <w:t>nonBRCAm</w:t>
      </w:r>
      <w:proofErr w:type="spellEnd"/>
      <w:r w:rsidRPr="00B07FB9">
        <w:t xml:space="preserve"> CUA’ </w:t>
      </w:r>
    </w:p>
    <w:p w14:paraId="5F1B85A8" w14:textId="76D5958A" w:rsidR="006E32A4" w:rsidRPr="00B07FB9" w:rsidRDefault="00151B8F" w:rsidP="00144A63">
      <w:pPr>
        <w:pStyle w:val="TableFigureFooter"/>
        <w:keepNext/>
        <w:keepLines/>
        <w:widowControl w:val="0"/>
      </w:pPr>
      <w:proofErr w:type="spellStart"/>
      <w:r w:rsidRPr="00B07FB9">
        <w:t>BRCAm</w:t>
      </w:r>
      <w:proofErr w:type="spellEnd"/>
      <w:r w:rsidRPr="00B07FB9">
        <w:t xml:space="preserve"> = BRCA gene mutation; KM = Kaplan-Meier; </w:t>
      </w:r>
      <w:r w:rsidR="00613529" w:rsidRPr="00B07FB9">
        <w:t xml:space="preserve">NIR = niraparib; </w:t>
      </w:r>
      <w:r w:rsidRPr="00B07FB9">
        <w:t>OS = overall survival</w:t>
      </w:r>
      <w:r w:rsidR="00613529" w:rsidRPr="00B07FB9">
        <w:t>; PFS = progression-free survival; SC = standard care</w:t>
      </w:r>
    </w:p>
    <w:p w14:paraId="71279D56" w14:textId="317597B3" w:rsidR="00460E9B" w:rsidRPr="00B07FB9" w:rsidRDefault="00460E9B" w:rsidP="000C6F49">
      <w:pPr>
        <w:pStyle w:val="3-BodyText"/>
        <w:widowControl w:val="0"/>
      </w:pPr>
      <w:r w:rsidRPr="00B07FB9">
        <w:t>The lognormal distribution was chosen for the extrapolation of PFS. The ICER was not sensitive to changes in the truncation time point for PFS or the change of extrapolation approach. In contrast, due to the immature OS data in PRIMA, the ICER was sensitive to the changes in the truncation point of OS and the extrapolation approach applied (log-logistic was chosen for the model base case). The OS benefit modelled for niraparib compared with SMM was still accrued primarily in the extrapolated period (97%, vs 98% in the previous submission). In the base case analysis with a time horizon of 15 years, approximately 3% of niraparib patients and 2% of SMM patients remain alive.</w:t>
      </w:r>
    </w:p>
    <w:p w14:paraId="57E21EFC" w14:textId="52165C0A" w:rsidR="00330274" w:rsidRPr="00B07FB9" w:rsidRDefault="00330274" w:rsidP="000C6F49">
      <w:pPr>
        <w:pStyle w:val="3-BodyText"/>
        <w:widowControl w:val="0"/>
      </w:pPr>
      <w:bookmarkStart w:id="42" w:name="_Ref95818442"/>
      <w:r w:rsidRPr="00B07FB9">
        <w:t xml:space="preserve">The ESC noted that it was difficult to judge which extrapolation function was the best fit for either niraparib or SMM due to the immaturity of the OS data. The ESC noted </w:t>
      </w:r>
      <w:r w:rsidRPr="00B07FB9">
        <w:lastRenderedPageBreak/>
        <w:t xml:space="preserve">that the extrapolation function (log-logistic) appeared to be fairly conservative for both treatment arms. The PSCR noted that this was </w:t>
      </w:r>
      <w:r w:rsidRPr="00B07FB9">
        <w:rPr>
          <w:lang w:bidi="en-US"/>
        </w:rPr>
        <w:t>conservative relative to the curve of best statistical fit (log-normal), which was associated with a 27% reduction in the ICER.</w:t>
      </w:r>
      <w:bookmarkEnd w:id="42"/>
    </w:p>
    <w:p w14:paraId="24943639" w14:textId="3ED5BD28" w:rsidR="00C878C7" w:rsidRPr="00B07FB9" w:rsidRDefault="00330274" w:rsidP="004D5000">
      <w:pPr>
        <w:pStyle w:val="3-BodyText"/>
        <w:widowControl w:val="0"/>
      </w:pPr>
      <w:r w:rsidRPr="00B07FB9">
        <w:rPr>
          <w:lang w:bidi="en-US"/>
        </w:rPr>
        <w:t xml:space="preserve">The ESC also noted that the economic model was sensitive to the OS truncation point. The PSCR </w:t>
      </w:r>
      <w:r w:rsidR="00DE6EE3" w:rsidRPr="00B07FB9">
        <w:rPr>
          <w:lang w:bidi="en-US"/>
        </w:rPr>
        <w:t xml:space="preserve">and pre-PBAC response </w:t>
      </w:r>
      <w:r w:rsidRPr="00B07FB9">
        <w:rPr>
          <w:lang w:bidi="en-US"/>
        </w:rPr>
        <w:t xml:space="preserve">argued that the economic model is best informed by an approach that is aligned to the PRIMA trial data such that the KM estimates to median OS follow-up (15 months) is applied followed by the parametric extrapolation (as in the base case). The ESC noted that applying the KM data up to the PFS median follow-up time (niraparib: 13.8 months, SMM: 13.7 months) increased the ICER to </w:t>
      </w:r>
      <w:r w:rsidR="008E6898" w:rsidRPr="008E6898">
        <w:rPr>
          <w:lang w:bidi="en-US"/>
        </w:rPr>
        <w:t>$55,000 to &lt; $75,000</w:t>
      </w:r>
      <w:r w:rsidRPr="00B07FB9">
        <w:rPr>
          <w:lang w:bidi="en-US"/>
        </w:rPr>
        <w:t>(13%).</w:t>
      </w:r>
    </w:p>
    <w:p w14:paraId="56C6EFA9" w14:textId="60360403" w:rsidR="00460E9B" w:rsidRPr="00B07FB9" w:rsidRDefault="00460E9B" w:rsidP="000C6F49">
      <w:pPr>
        <w:pStyle w:val="3-BodyText"/>
        <w:widowControl w:val="0"/>
      </w:pPr>
      <w:r w:rsidRPr="00B07FB9">
        <w:t xml:space="preserve">Similar to the previous submission, a proportion of patients (5%) who were cured prior to receiving </w:t>
      </w:r>
      <w:r w:rsidR="00383C7D" w:rsidRPr="00B07FB9">
        <w:t>first-line</w:t>
      </w:r>
      <w:r w:rsidRPr="00B07FB9">
        <w:t xml:space="preserve"> maintenance treatment were incorporated in both arms the model. Cured patients in the niraparib arm did not receive any benefit from the treatment but incurred a cost. The resubmission proposed a restriction that included a maximum treatment duration of three years and the economic model was revised to reflect this. Although this is in line with PBAC’s consideration (Paragraphs 3.4 and 7.17, Niraparib PSD, July 2021 PBAC meeting) and consistent with the proposed restriction, the PRIMA trial does not have data at three years and ‘the proportion of patients on treatment at three years who are no longer deriving clinical benefit is uncertain’ (Section 3A.3</w:t>
      </w:r>
      <w:r w:rsidR="008E6898">
        <w:t xml:space="preserve"> </w:t>
      </w:r>
      <w:r w:rsidRPr="00B07FB9">
        <w:t>of the submission).</w:t>
      </w:r>
    </w:p>
    <w:p w14:paraId="754983D4" w14:textId="696B0AB3" w:rsidR="00460E9B" w:rsidRPr="00B07FB9" w:rsidRDefault="00460E9B" w:rsidP="000C6F49">
      <w:pPr>
        <w:pStyle w:val="3-BodyText"/>
        <w:widowControl w:val="0"/>
      </w:pPr>
      <w:bookmarkStart w:id="43" w:name="_Ref99089867"/>
      <w:r w:rsidRPr="00B07FB9">
        <w:t xml:space="preserve">Similar to the previous submission, the resubmission did not apply a disutility associated with niraparib treatment compared with SMM. This was not appropriate given the conclusion of inferior safety, and favours niraparib (Paragraph 6.53, Niraparib PSD, July 2021 PBAC meeting). </w:t>
      </w:r>
      <w:r w:rsidR="009B2F9B" w:rsidRPr="00B07FB9">
        <w:t xml:space="preserve">The PSCR acknowledged that the </w:t>
      </w:r>
      <w:r w:rsidR="009B2F9B" w:rsidRPr="00B07FB9">
        <w:rPr>
          <w:lang w:bidi="en-US"/>
        </w:rPr>
        <w:t>clinical claim of inferiority for niraparib vs SMM with respect to safety (non-</w:t>
      </w:r>
      <w:proofErr w:type="spellStart"/>
      <w:r w:rsidR="009B2F9B" w:rsidRPr="00B07FB9">
        <w:rPr>
          <w:lang w:bidi="en-US"/>
        </w:rPr>
        <w:t>BRCAm</w:t>
      </w:r>
      <w:proofErr w:type="spellEnd"/>
      <w:r w:rsidR="009B2F9B" w:rsidRPr="00B07FB9">
        <w:rPr>
          <w:lang w:bidi="en-US"/>
        </w:rPr>
        <w:t xml:space="preserve">) should be reflected in the economic analyses </w:t>
      </w:r>
      <w:r w:rsidR="00DE6EE3" w:rsidRPr="00B07FB9">
        <w:rPr>
          <w:lang w:bidi="en-US"/>
        </w:rPr>
        <w:t>and</w:t>
      </w:r>
      <w:r w:rsidR="000254F0" w:rsidRPr="00B07FB9">
        <w:rPr>
          <w:lang w:bidi="en-US"/>
        </w:rPr>
        <w:t xml:space="preserve"> presented a respecified analysis including a total disutility of 0.094 for niraparib applied to the first model cycle (one month) resulting in a total QALY loss of 0.008 [0.094*(1/12)]. The ESC </w:t>
      </w:r>
      <w:r w:rsidR="00444F55" w:rsidRPr="00B07FB9">
        <w:rPr>
          <w:lang w:bidi="en-US"/>
        </w:rPr>
        <w:t xml:space="preserve">noted that this increased the ICER to </w:t>
      </w:r>
      <w:r w:rsidR="008E6898" w:rsidRPr="008E6898">
        <w:rPr>
          <w:lang w:bidi="en-US"/>
        </w:rPr>
        <w:t>$55,000 to &lt; $75,000</w:t>
      </w:r>
      <w:r w:rsidR="00444F55" w:rsidRPr="00B07FB9">
        <w:rPr>
          <w:lang w:bidi="en-US"/>
        </w:rPr>
        <w:t>/QALY</w:t>
      </w:r>
      <w:r w:rsidR="00FD6643" w:rsidRPr="00B07FB9">
        <w:rPr>
          <w:lang w:bidi="en-US"/>
        </w:rPr>
        <w:t xml:space="preserve"> (see </w:t>
      </w:r>
      <w:r w:rsidR="00D258FF" w:rsidRPr="00B07FB9">
        <w:rPr>
          <w:lang w:bidi="en-US"/>
        </w:rPr>
        <w:t xml:space="preserve">also </w:t>
      </w:r>
      <w:r w:rsidR="00FD6643" w:rsidRPr="00B07FB9">
        <w:rPr>
          <w:lang w:bidi="en-US"/>
        </w:rPr>
        <w:fldChar w:fldCharType="begin"/>
      </w:r>
      <w:r w:rsidR="00FD6643" w:rsidRPr="00B07FB9">
        <w:rPr>
          <w:lang w:bidi="en-US"/>
        </w:rPr>
        <w:instrText xml:space="preserve"> REF _Ref92879374 \h  \* MERGEFORMAT </w:instrText>
      </w:r>
      <w:r w:rsidR="00FD6643" w:rsidRPr="00B07FB9">
        <w:rPr>
          <w:lang w:bidi="en-US"/>
        </w:rPr>
      </w:r>
      <w:r w:rsidR="00FD6643" w:rsidRPr="00B07FB9">
        <w:rPr>
          <w:lang w:bidi="en-US"/>
        </w:rPr>
        <w:fldChar w:fldCharType="separate"/>
      </w:r>
      <w:r w:rsidR="00385E8C" w:rsidRPr="00B07FB9">
        <w:t xml:space="preserve">Table </w:t>
      </w:r>
      <w:r w:rsidR="00385E8C">
        <w:t>15</w:t>
      </w:r>
      <w:r w:rsidR="00FD6643" w:rsidRPr="00B07FB9">
        <w:rPr>
          <w:lang w:bidi="en-US"/>
        </w:rPr>
        <w:fldChar w:fldCharType="end"/>
      </w:r>
      <w:r w:rsidR="00FD6643" w:rsidRPr="00B07FB9">
        <w:rPr>
          <w:lang w:bidi="en-US"/>
        </w:rPr>
        <w:t xml:space="preserve"> and paragraph </w:t>
      </w:r>
      <w:r w:rsidR="00FD6643" w:rsidRPr="00B07FB9">
        <w:rPr>
          <w:lang w:bidi="en-US"/>
        </w:rPr>
        <w:fldChar w:fldCharType="begin"/>
      </w:r>
      <w:r w:rsidR="00FD6643" w:rsidRPr="00B07FB9">
        <w:rPr>
          <w:lang w:bidi="en-US"/>
        </w:rPr>
        <w:instrText xml:space="preserve"> REF _Ref95742134 \n \h  \* MERGEFORMAT </w:instrText>
      </w:r>
      <w:r w:rsidR="00FD6643" w:rsidRPr="00B07FB9">
        <w:rPr>
          <w:lang w:bidi="en-US"/>
        </w:rPr>
      </w:r>
      <w:r w:rsidR="00FD6643" w:rsidRPr="00B07FB9">
        <w:rPr>
          <w:lang w:bidi="en-US"/>
        </w:rPr>
        <w:fldChar w:fldCharType="separate"/>
      </w:r>
      <w:r w:rsidR="00385E8C">
        <w:rPr>
          <w:lang w:bidi="en-US"/>
        </w:rPr>
        <w:t>6.60</w:t>
      </w:r>
      <w:r w:rsidR="00FD6643" w:rsidRPr="00B07FB9">
        <w:rPr>
          <w:lang w:bidi="en-US"/>
        </w:rPr>
        <w:fldChar w:fldCharType="end"/>
      </w:r>
      <w:r w:rsidR="00FD6643" w:rsidRPr="00B07FB9">
        <w:rPr>
          <w:lang w:bidi="en-US"/>
        </w:rPr>
        <w:t>)</w:t>
      </w:r>
      <w:r w:rsidR="00444F55" w:rsidRPr="00B07FB9">
        <w:rPr>
          <w:lang w:bidi="en-US"/>
        </w:rPr>
        <w:t>.</w:t>
      </w:r>
      <w:r w:rsidR="00E41F07" w:rsidRPr="00B07FB9">
        <w:rPr>
          <w:lang w:bidi="en-US"/>
        </w:rPr>
        <w:t xml:space="preserve"> The ESC considered that this may have been a reasonable approach, however it was unclear whether there may be treatment-related disutility outside the immediate AE period.</w:t>
      </w:r>
      <w:bookmarkEnd w:id="43"/>
    </w:p>
    <w:p w14:paraId="20534225" w14:textId="132F9F6A" w:rsidR="00460E9B" w:rsidRPr="00B07FB9" w:rsidRDefault="00460E9B" w:rsidP="000C6F49">
      <w:pPr>
        <w:pStyle w:val="3-BodyText"/>
        <w:widowControl w:val="0"/>
      </w:pPr>
      <w:bookmarkStart w:id="44" w:name="_Ref95818448"/>
      <w:r w:rsidRPr="00B07FB9">
        <w:t xml:space="preserve">The resubmission applied drug exposure (dose intensity) from the PRIMA ISD cohort (including both </w:t>
      </w:r>
      <w:proofErr w:type="spellStart"/>
      <w:r w:rsidRPr="00B07FB9">
        <w:t>BRCAm</w:t>
      </w:r>
      <w:proofErr w:type="spellEnd"/>
      <w:r w:rsidRPr="00B07FB9">
        <w:t xml:space="preserve"> and non-</w:t>
      </w:r>
      <w:proofErr w:type="spellStart"/>
      <w:r w:rsidRPr="00B07FB9">
        <w:t>BRCAm</w:t>
      </w:r>
      <w:proofErr w:type="spellEnd"/>
      <w:r w:rsidRPr="00B07FB9">
        <w:t xml:space="preserve"> patients), as in the previous submission. The resubmission stated that dose intensity was similar across non-</w:t>
      </w:r>
      <w:proofErr w:type="spellStart"/>
      <w:r w:rsidRPr="00B07FB9">
        <w:t>BRCAm</w:t>
      </w:r>
      <w:proofErr w:type="spellEnd"/>
      <w:r w:rsidRPr="00B07FB9">
        <w:t xml:space="preserve"> and </w:t>
      </w:r>
      <w:proofErr w:type="spellStart"/>
      <w:r w:rsidRPr="00B07FB9">
        <w:t>BRCAm</w:t>
      </w:r>
      <w:proofErr w:type="spellEnd"/>
      <w:r w:rsidRPr="00B07FB9">
        <w:t xml:space="preserve"> patients in PRIMA and the ISD regimen reflects clinical practice. Although ISD was consistent with the dose regimen in the approved PI, the health outcomes used in the model were based on the non-</w:t>
      </w:r>
      <w:proofErr w:type="spellStart"/>
      <w:r w:rsidRPr="00B07FB9">
        <w:t>BRCAm</w:t>
      </w:r>
      <w:proofErr w:type="spellEnd"/>
      <w:r w:rsidRPr="00B07FB9">
        <w:t xml:space="preserve"> population, not both subgroups. The ICER was sensitive to niraparib exposure, however, no dose intensity data for non-</w:t>
      </w:r>
      <w:proofErr w:type="spellStart"/>
      <w:r w:rsidRPr="00B07FB9">
        <w:t>BRCAm</w:t>
      </w:r>
      <w:proofErr w:type="spellEnd"/>
      <w:r w:rsidRPr="00B07FB9">
        <w:t xml:space="preserve"> cohort was included in the resubmission, so a revised ICER cannot be estimated.</w:t>
      </w:r>
      <w:bookmarkEnd w:id="44"/>
    </w:p>
    <w:p w14:paraId="351D4F19" w14:textId="767F7370" w:rsidR="00460E9B" w:rsidRPr="00B07FB9" w:rsidRDefault="00460E9B" w:rsidP="000C6F49">
      <w:pPr>
        <w:pStyle w:val="3-BodyText"/>
        <w:widowControl w:val="0"/>
      </w:pPr>
      <w:r w:rsidRPr="00B07FB9">
        <w:lastRenderedPageBreak/>
        <w:t xml:space="preserve">The key drivers of the model are summarised below. Extrapolation, and dose intensity of niraparib remained unchanged from the previous submission. The disutility for adverse events is also </w:t>
      </w:r>
      <w:r w:rsidR="00D258FF" w:rsidRPr="00B07FB9">
        <w:t>included below.</w:t>
      </w:r>
    </w:p>
    <w:p w14:paraId="40703AC3" w14:textId="6DB469D8" w:rsidR="00460E9B" w:rsidRPr="00B07FB9" w:rsidRDefault="00460E9B" w:rsidP="00893EB3">
      <w:pPr>
        <w:pStyle w:val="TableFigureHeading"/>
        <w:keepLines/>
        <w:widowControl w:val="0"/>
        <w:rPr>
          <w:rStyle w:val="CommentReference"/>
          <w:b/>
          <w:szCs w:val="24"/>
        </w:rPr>
      </w:pPr>
      <w:r w:rsidRPr="00B07FB9">
        <w:t xml:space="preserve">Table </w:t>
      </w:r>
      <w:r w:rsidR="00385E8C">
        <w:fldChar w:fldCharType="begin"/>
      </w:r>
      <w:r w:rsidR="00385E8C">
        <w:instrText xml:space="preserve"> SEQ Table \* ARABIC </w:instrText>
      </w:r>
      <w:r w:rsidR="00385E8C">
        <w:fldChar w:fldCharType="separate"/>
      </w:r>
      <w:r w:rsidR="00385E8C">
        <w:rPr>
          <w:noProof/>
        </w:rPr>
        <w:t>13</w:t>
      </w:r>
      <w:r w:rsidR="00385E8C">
        <w:fldChar w:fldCharType="end"/>
      </w:r>
      <w:r w:rsidRPr="00B07FB9">
        <w:t xml:space="preserve">: </w:t>
      </w:r>
      <w:r w:rsidRPr="00B07FB9">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Key drivers of the model"/>
      </w:tblPr>
      <w:tblGrid>
        <w:gridCol w:w="1129"/>
        <w:gridCol w:w="3120"/>
        <w:gridCol w:w="4768"/>
      </w:tblGrid>
      <w:tr w:rsidR="00460E9B" w:rsidRPr="00B07FB9" w14:paraId="400494C9" w14:textId="77777777" w:rsidTr="00460E9B">
        <w:trPr>
          <w:tblHeader/>
        </w:trPr>
        <w:tc>
          <w:tcPr>
            <w:tcW w:w="626" w:type="pct"/>
            <w:shd w:val="clear" w:color="auto" w:fill="auto"/>
            <w:vAlign w:val="center"/>
          </w:tcPr>
          <w:p w14:paraId="2C8B2C06" w14:textId="77777777" w:rsidR="00460E9B" w:rsidRPr="00B07FB9" w:rsidRDefault="00460E9B" w:rsidP="00893EB3">
            <w:pPr>
              <w:pStyle w:val="In-tableHeading"/>
              <w:keepLines/>
              <w:widowControl w:val="0"/>
              <w:jc w:val="center"/>
              <w:rPr>
                <w:lang w:val="en-AU"/>
              </w:rPr>
            </w:pPr>
            <w:r w:rsidRPr="00B07FB9">
              <w:rPr>
                <w:lang w:val="en-AU"/>
              </w:rPr>
              <w:t>Description</w:t>
            </w:r>
          </w:p>
        </w:tc>
        <w:tc>
          <w:tcPr>
            <w:tcW w:w="1730" w:type="pct"/>
            <w:shd w:val="clear" w:color="auto" w:fill="auto"/>
            <w:vAlign w:val="center"/>
          </w:tcPr>
          <w:p w14:paraId="7224AC35" w14:textId="77777777" w:rsidR="00460E9B" w:rsidRPr="00B07FB9" w:rsidRDefault="00460E9B" w:rsidP="00893EB3">
            <w:pPr>
              <w:pStyle w:val="In-tableHeading"/>
              <w:keepLines/>
              <w:widowControl w:val="0"/>
              <w:jc w:val="center"/>
              <w:rPr>
                <w:lang w:val="en-AU"/>
              </w:rPr>
            </w:pPr>
            <w:r w:rsidRPr="00B07FB9">
              <w:rPr>
                <w:lang w:val="en-AU"/>
              </w:rPr>
              <w:t>Method/Value</w:t>
            </w:r>
          </w:p>
        </w:tc>
        <w:tc>
          <w:tcPr>
            <w:tcW w:w="2644" w:type="pct"/>
            <w:shd w:val="clear" w:color="auto" w:fill="auto"/>
            <w:vAlign w:val="center"/>
          </w:tcPr>
          <w:p w14:paraId="03EF58C8" w14:textId="77777777" w:rsidR="00460E9B" w:rsidRPr="00B07FB9" w:rsidRDefault="00460E9B" w:rsidP="00893EB3">
            <w:pPr>
              <w:pStyle w:val="In-tableHeading"/>
              <w:keepLines/>
              <w:widowControl w:val="0"/>
              <w:jc w:val="center"/>
              <w:rPr>
                <w:lang w:val="en-AU"/>
              </w:rPr>
            </w:pPr>
            <w:r w:rsidRPr="00B07FB9">
              <w:rPr>
                <w:lang w:val="en-AU"/>
              </w:rPr>
              <w:t>Impact</w:t>
            </w:r>
          </w:p>
          <w:p w14:paraId="102D96F3" w14:textId="2787FD87" w:rsidR="00460E9B" w:rsidRPr="00B07FB9" w:rsidRDefault="00460E9B" w:rsidP="00893EB3">
            <w:pPr>
              <w:pStyle w:val="In-tableHeading"/>
              <w:keepLines/>
              <w:widowControl w:val="0"/>
              <w:jc w:val="center"/>
              <w:rPr>
                <w:lang w:val="en-AU"/>
              </w:rPr>
            </w:pPr>
            <w:r w:rsidRPr="00B07FB9">
              <w:rPr>
                <w:rFonts w:cs="Arial"/>
                <w:szCs w:val="20"/>
                <w:lang w:val="en-AU"/>
              </w:rPr>
              <w:t xml:space="preserve">Base case: </w:t>
            </w:r>
            <w:r w:rsidRPr="00B07FB9">
              <w:rPr>
                <w:bCs/>
                <w:lang w:val="en-AU"/>
              </w:rPr>
              <w:t>$</w:t>
            </w:r>
            <w:r w:rsidR="007A0897" w:rsidRPr="007A0897">
              <w:rPr>
                <w:bCs/>
                <w:color w:val="000000"/>
                <w:shd w:val="solid" w:color="000000" w:fill="000000"/>
                <w:lang w:val="en-AU"/>
                <w14:textFill>
                  <w14:solidFill>
                    <w14:srgbClr w14:val="000000">
                      <w14:alpha w14:val="100000"/>
                    </w14:srgbClr>
                  </w14:solidFill>
                </w14:textFill>
              </w:rPr>
              <w:t>|</w:t>
            </w:r>
            <w:r w:rsidR="00A842E2" w:rsidRPr="00A842E2">
              <w:rPr>
                <w:rFonts w:eastAsia="Times New Roman" w:cs="Arial"/>
                <w:iCs/>
                <w:sz w:val="18"/>
                <w:szCs w:val="18"/>
                <w:vertAlign w:val="superscript"/>
              </w:rPr>
              <w:t>1</w:t>
            </w:r>
            <w:r w:rsidRPr="00A842E2">
              <w:rPr>
                <w:rFonts w:cs="Arial"/>
                <w:szCs w:val="20"/>
                <w:lang w:val="en-AU"/>
              </w:rPr>
              <w:t>/</w:t>
            </w:r>
            <w:r w:rsidRPr="00B07FB9">
              <w:rPr>
                <w:rFonts w:cs="Arial"/>
                <w:szCs w:val="20"/>
                <w:lang w:val="en-AU"/>
              </w:rPr>
              <w:t>QALY</w:t>
            </w:r>
          </w:p>
        </w:tc>
      </w:tr>
      <w:tr w:rsidR="00460E9B" w:rsidRPr="00B07FB9" w14:paraId="6970F49B" w14:textId="77777777" w:rsidTr="00460E9B">
        <w:tc>
          <w:tcPr>
            <w:tcW w:w="626" w:type="pct"/>
            <w:shd w:val="clear" w:color="auto" w:fill="auto"/>
            <w:vAlign w:val="center"/>
          </w:tcPr>
          <w:p w14:paraId="150C7441" w14:textId="77777777" w:rsidR="00460E9B" w:rsidRPr="00B07FB9" w:rsidRDefault="00460E9B" w:rsidP="00893EB3">
            <w:pPr>
              <w:pStyle w:val="TableText0"/>
              <w:keepLines/>
              <w:widowControl w:val="0"/>
              <w:jc w:val="center"/>
            </w:pPr>
            <w:r w:rsidRPr="00B07FB9">
              <w:t>Extrapolation</w:t>
            </w:r>
          </w:p>
        </w:tc>
        <w:tc>
          <w:tcPr>
            <w:tcW w:w="1730" w:type="pct"/>
            <w:shd w:val="clear" w:color="auto" w:fill="auto"/>
            <w:vAlign w:val="center"/>
          </w:tcPr>
          <w:p w14:paraId="19D4A99F" w14:textId="77777777" w:rsidR="00460E9B" w:rsidRPr="00B07FB9" w:rsidRDefault="00460E9B" w:rsidP="00893EB3">
            <w:pPr>
              <w:pStyle w:val="TableText0"/>
              <w:keepLines/>
              <w:widowControl w:val="0"/>
            </w:pPr>
            <w:r w:rsidRPr="00B07FB9">
              <w:t xml:space="preserve">Treatment effect continued beyond 15 month trial period for up to 15 years; and the choice of log-normal parametric functions used for OS extrapolation </w:t>
            </w:r>
          </w:p>
        </w:tc>
        <w:tc>
          <w:tcPr>
            <w:tcW w:w="2644" w:type="pct"/>
            <w:shd w:val="clear" w:color="auto" w:fill="auto"/>
            <w:vAlign w:val="center"/>
          </w:tcPr>
          <w:p w14:paraId="0E7C0198" w14:textId="77777777" w:rsidR="00460E9B" w:rsidRPr="00B07FB9" w:rsidRDefault="00460E9B" w:rsidP="00893EB3">
            <w:pPr>
              <w:pStyle w:val="TableText0"/>
              <w:keepLines/>
              <w:widowControl w:val="0"/>
            </w:pPr>
            <w:r w:rsidRPr="00B07FB9">
              <w:t>High, favours niraparib</w:t>
            </w:r>
          </w:p>
          <w:p w14:paraId="4655ECF9" w14:textId="606F28ED" w:rsidR="00460E9B" w:rsidRPr="00B07FB9" w:rsidRDefault="00460E9B" w:rsidP="00893EB3">
            <w:pPr>
              <w:pStyle w:val="TableText0"/>
              <w:keepLines/>
              <w:widowControl w:val="0"/>
            </w:pPr>
            <w:r w:rsidRPr="00B07FB9">
              <w:t>Use of lognormal model to extrapolate OS data decreased the ICER to $</w:t>
            </w:r>
            <w:r w:rsidR="007A0897" w:rsidRPr="007A0897">
              <w:rPr>
                <w:color w:val="000000"/>
                <w:spacing w:val="53"/>
                <w:shd w:val="solid" w:color="000000" w:fill="000000"/>
                <w:fitText w:val="330" w:id="-1500824828"/>
                <w14:textFill>
                  <w14:solidFill>
                    <w14:srgbClr w14:val="000000">
                      <w14:alpha w14:val="100000"/>
                    </w14:srgbClr>
                  </w14:solidFill>
                </w14:textFill>
              </w:rPr>
              <w:t>|||</w:t>
            </w:r>
            <w:r w:rsidR="007A0897" w:rsidRPr="007A0897">
              <w:rPr>
                <w:color w:val="000000"/>
                <w:spacing w:val="1"/>
                <w:shd w:val="solid" w:color="000000" w:fill="000000"/>
                <w:fitText w:val="330" w:id="-1500824828"/>
                <w14:textFill>
                  <w14:solidFill>
                    <w14:srgbClr w14:val="000000">
                      <w14:alpha w14:val="100000"/>
                    </w14:srgbClr>
                  </w14:solidFill>
                </w14:textFill>
              </w:rPr>
              <w:t>|</w:t>
            </w:r>
            <w:r w:rsidR="00A842E2" w:rsidRPr="00A842E2">
              <w:rPr>
                <w:rFonts w:eastAsia="Times New Roman" w:cs="Arial"/>
                <w:iCs/>
                <w:sz w:val="18"/>
                <w:szCs w:val="18"/>
                <w:vertAlign w:val="superscript"/>
              </w:rPr>
              <w:t>2</w:t>
            </w:r>
            <w:r w:rsidRPr="00B07FB9">
              <w:t xml:space="preserve">/QALY gained, </w:t>
            </w:r>
            <w:r w:rsidRPr="00B07FB9">
              <w:rPr>
                <w:rFonts w:cs="Arial"/>
                <w:szCs w:val="20"/>
              </w:rPr>
              <w:t xml:space="preserve">whereas use of PFS median follow-up time (13.8 months for the niraparib arm) as the truncation time point increased the ICER to </w:t>
            </w:r>
            <w:r w:rsidRPr="00B07FB9">
              <w:t>$</w:t>
            </w:r>
            <w:r w:rsidR="007A0897" w:rsidRPr="007A0897">
              <w:rPr>
                <w:color w:val="000000"/>
                <w:spacing w:val="53"/>
                <w:shd w:val="solid" w:color="000000" w:fill="000000"/>
                <w:fitText w:val="330" w:id="-1500824827"/>
                <w14:textFill>
                  <w14:solidFill>
                    <w14:srgbClr w14:val="000000">
                      <w14:alpha w14:val="100000"/>
                    </w14:srgbClr>
                  </w14:solidFill>
                </w14:textFill>
              </w:rPr>
              <w:t>|||</w:t>
            </w:r>
            <w:r w:rsidR="007A0897" w:rsidRPr="007A0897">
              <w:rPr>
                <w:color w:val="000000"/>
                <w:spacing w:val="1"/>
                <w:shd w:val="solid" w:color="000000" w:fill="000000"/>
                <w:fitText w:val="330" w:id="-1500824827"/>
                <w14:textFill>
                  <w14:solidFill>
                    <w14:srgbClr w14:val="000000">
                      <w14:alpha w14:val="100000"/>
                    </w14:srgbClr>
                  </w14:solidFill>
                </w14:textFill>
              </w:rPr>
              <w:t>|</w:t>
            </w:r>
            <w:r w:rsidR="00A842E2" w:rsidRPr="00A842E2">
              <w:rPr>
                <w:rFonts w:eastAsia="Times New Roman" w:cs="Arial"/>
                <w:iCs/>
                <w:sz w:val="18"/>
                <w:szCs w:val="18"/>
                <w:vertAlign w:val="superscript"/>
              </w:rPr>
              <w:t>1</w:t>
            </w:r>
            <w:r w:rsidRPr="00B07FB9">
              <w:t>/QALY.</w:t>
            </w:r>
          </w:p>
        </w:tc>
      </w:tr>
      <w:tr w:rsidR="00460E9B" w:rsidRPr="00B07FB9" w14:paraId="3BF4E4A5" w14:textId="77777777" w:rsidTr="00460E9B">
        <w:tc>
          <w:tcPr>
            <w:tcW w:w="626" w:type="pct"/>
            <w:shd w:val="clear" w:color="auto" w:fill="auto"/>
            <w:vAlign w:val="center"/>
          </w:tcPr>
          <w:p w14:paraId="2D64CA95" w14:textId="77777777" w:rsidR="00460E9B" w:rsidRPr="00B07FB9" w:rsidRDefault="00460E9B" w:rsidP="00893EB3">
            <w:pPr>
              <w:pStyle w:val="TableText0"/>
              <w:keepLines/>
              <w:widowControl w:val="0"/>
              <w:jc w:val="center"/>
            </w:pPr>
            <w:r w:rsidRPr="00B07FB9">
              <w:t xml:space="preserve">Utility </w:t>
            </w:r>
          </w:p>
        </w:tc>
        <w:tc>
          <w:tcPr>
            <w:tcW w:w="1730" w:type="pct"/>
            <w:shd w:val="clear" w:color="auto" w:fill="auto"/>
            <w:vAlign w:val="center"/>
          </w:tcPr>
          <w:p w14:paraId="0EBC7BAA" w14:textId="77777777" w:rsidR="00460E9B" w:rsidRPr="00B07FB9" w:rsidRDefault="00460E9B" w:rsidP="00893EB3">
            <w:pPr>
              <w:pStyle w:val="TableText0"/>
              <w:keepLines/>
              <w:widowControl w:val="0"/>
            </w:pPr>
            <w:r w:rsidRPr="00B07FB9">
              <w:t>Assumed to be equal in both arms</w:t>
            </w:r>
          </w:p>
        </w:tc>
        <w:tc>
          <w:tcPr>
            <w:tcW w:w="2644" w:type="pct"/>
            <w:shd w:val="clear" w:color="auto" w:fill="auto"/>
            <w:vAlign w:val="center"/>
          </w:tcPr>
          <w:p w14:paraId="6FE0F1CF" w14:textId="523FCA61" w:rsidR="00460E9B" w:rsidRPr="00B07FB9" w:rsidRDefault="00DE6EE3" w:rsidP="00893EB3">
            <w:pPr>
              <w:pStyle w:val="TableText0"/>
              <w:keepLines/>
              <w:widowControl w:val="0"/>
            </w:pPr>
            <w:r w:rsidRPr="00B07FB9">
              <w:t>L</w:t>
            </w:r>
            <w:r w:rsidR="00444F55" w:rsidRPr="00B07FB9">
              <w:t>ow</w:t>
            </w:r>
            <w:r w:rsidR="00460E9B" w:rsidRPr="00B07FB9">
              <w:t>, favours niraparib</w:t>
            </w:r>
          </w:p>
          <w:p w14:paraId="23A9963A" w14:textId="09162B13" w:rsidR="00460E9B" w:rsidRPr="00B07FB9" w:rsidRDefault="000254F0" w:rsidP="00893EB3">
            <w:pPr>
              <w:pStyle w:val="TableText0"/>
              <w:keepLines/>
              <w:widowControl w:val="0"/>
            </w:pPr>
            <w:r w:rsidRPr="00B07FB9">
              <w:t xml:space="preserve">Applying a </w:t>
            </w:r>
            <w:r w:rsidR="00D258FF" w:rsidRPr="00B07FB9">
              <w:t xml:space="preserve">total </w:t>
            </w:r>
            <w:r w:rsidRPr="00B07FB9">
              <w:t>disutility of 0.008</w:t>
            </w:r>
            <w:r w:rsidR="00D258FF" w:rsidRPr="00B07FB9">
              <w:t xml:space="preserve"> (0.094 for the first month)</w:t>
            </w:r>
            <w:r w:rsidRPr="00B07FB9">
              <w:t xml:space="preserve"> </w:t>
            </w:r>
            <w:r w:rsidR="00444F55" w:rsidRPr="00B07FB9">
              <w:t>increases the ICER to $</w:t>
            </w:r>
            <w:r w:rsidR="007A0897" w:rsidRPr="007A0897">
              <w:rPr>
                <w:color w:val="000000"/>
                <w:spacing w:val="53"/>
                <w:shd w:val="solid" w:color="000000" w:fill="000000"/>
                <w:fitText w:val="330" w:id="-1500824826"/>
                <w14:textFill>
                  <w14:solidFill>
                    <w14:srgbClr w14:val="000000">
                      <w14:alpha w14:val="100000"/>
                    </w14:srgbClr>
                  </w14:solidFill>
                </w14:textFill>
              </w:rPr>
              <w:t>|||</w:t>
            </w:r>
            <w:r w:rsidR="007A0897" w:rsidRPr="007A0897">
              <w:rPr>
                <w:color w:val="000000"/>
                <w:spacing w:val="1"/>
                <w:shd w:val="solid" w:color="000000" w:fill="000000"/>
                <w:fitText w:val="330" w:id="-1500824826"/>
                <w14:textFill>
                  <w14:solidFill>
                    <w14:srgbClr w14:val="000000">
                      <w14:alpha w14:val="100000"/>
                    </w14:srgbClr>
                  </w14:solidFill>
                </w14:textFill>
              </w:rPr>
              <w:t>|</w:t>
            </w:r>
            <w:r w:rsidR="00A842E2" w:rsidRPr="00A842E2">
              <w:rPr>
                <w:rFonts w:eastAsia="Times New Roman" w:cs="Arial"/>
                <w:iCs/>
                <w:sz w:val="18"/>
                <w:szCs w:val="18"/>
                <w:vertAlign w:val="superscript"/>
              </w:rPr>
              <w:t>1</w:t>
            </w:r>
            <w:r w:rsidR="00444F55" w:rsidRPr="00B07FB9">
              <w:t>/QALY.</w:t>
            </w:r>
          </w:p>
        </w:tc>
      </w:tr>
      <w:tr w:rsidR="00460E9B" w:rsidRPr="00B07FB9" w14:paraId="27C7D212" w14:textId="77777777" w:rsidTr="00460E9B">
        <w:tc>
          <w:tcPr>
            <w:tcW w:w="626" w:type="pct"/>
            <w:shd w:val="clear" w:color="auto" w:fill="auto"/>
            <w:vAlign w:val="center"/>
          </w:tcPr>
          <w:p w14:paraId="3CF462E9" w14:textId="77777777" w:rsidR="00460E9B" w:rsidRPr="00B07FB9" w:rsidRDefault="00460E9B" w:rsidP="00893EB3">
            <w:pPr>
              <w:pStyle w:val="TableText0"/>
              <w:keepLines/>
              <w:widowControl w:val="0"/>
              <w:jc w:val="center"/>
            </w:pPr>
            <w:r w:rsidRPr="00B07FB9">
              <w:t>Dose intensity of niraparib</w:t>
            </w:r>
          </w:p>
        </w:tc>
        <w:tc>
          <w:tcPr>
            <w:tcW w:w="1730" w:type="pct"/>
            <w:shd w:val="clear" w:color="auto" w:fill="auto"/>
            <w:vAlign w:val="center"/>
          </w:tcPr>
          <w:p w14:paraId="06835DBD" w14:textId="77777777" w:rsidR="00460E9B" w:rsidRPr="00B07FB9" w:rsidRDefault="00460E9B" w:rsidP="00893EB3">
            <w:pPr>
              <w:pStyle w:val="TableText0"/>
              <w:keepLines/>
              <w:widowControl w:val="0"/>
            </w:pPr>
            <w:r w:rsidRPr="00B07FB9">
              <w:t>Based on ISD cohort of PRIMA</w:t>
            </w:r>
          </w:p>
        </w:tc>
        <w:tc>
          <w:tcPr>
            <w:tcW w:w="2644" w:type="pct"/>
            <w:shd w:val="clear" w:color="auto" w:fill="auto"/>
            <w:vAlign w:val="center"/>
          </w:tcPr>
          <w:p w14:paraId="78AFCE02" w14:textId="77777777" w:rsidR="00460E9B" w:rsidRPr="00B07FB9" w:rsidRDefault="00460E9B" w:rsidP="00893EB3">
            <w:pPr>
              <w:pStyle w:val="TableText0"/>
              <w:keepLines/>
              <w:widowControl w:val="0"/>
            </w:pPr>
            <w:r w:rsidRPr="00B07FB9">
              <w:t>Moderate, favours niraparib</w:t>
            </w:r>
          </w:p>
          <w:p w14:paraId="0B7F2555" w14:textId="105C1A4B" w:rsidR="00460E9B" w:rsidRPr="00B07FB9" w:rsidRDefault="00460E9B" w:rsidP="00893EB3">
            <w:pPr>
              <w:pStyle w:val="TableText0"/>
              <w:keepLines/>
              <w:widowControl w:val="0"/>
            </w:pPr>
            <w:r w:rsidRPr="00B07FB9">
              <w:t>When using data from the ITT cohort, the ICER increased to $</w:t>
            </w:r>
            <w:r w:rsidR="007A0897" w:rsidRPr="007A0897">
              <w:rPr>
                <w:color w:val="000000"/>
                <w:spacing w:val="53"/>
                <w:shd w:val="solid" w:color="000000" w:fill="000000"/>
                <w:fitText w:val="330" w:id="-1500824825"/>
                <w14:textFill>
                  <w14:solidFill>
                    <w14:srgbClr w14:val="000000">
                      <w14:alpha w14:val="100000"/>
                    </w14:srgbClr>
                  </w14:solidFill>
                </w14:textFill>
              </w:rPr>
              <w:t>|||</w:t>
            </w:r>
            <w:r w:rsidR="007A0897" w:rsidRPr="007A0897">
              <w:rPr>
                <w:color w:val="000000"/>
                <w:spacing w:val="1"/>
                <w:shd w:val="solid" w:color="000000" w:fill="000000"/>
                <w:fitText w:val="330" w:id="-1500824825"/>
                <w14:textFill>
                  <w14:solidFill>
                    <w14:srgbClr w14:val="000000">
                      <w14:alpha w14:val="100000"/>
                    </w14:srgbClr>
                  </w14:solidFill>
                </w14:textFill>
              </w:rPr>
              <w:t>|</w:t>
            </w:r>
            <w:r w:rsidR="00A842E2" w:rsidRPr="00A842E2">
              <w:rPr>
                <w:rFonts w:eastAsia="Times New Roman" w:cs="Arial"/>
                <w:iCs/>
                <w:sz w:val="18"/>
                <w:szCs w:val="18"/>
                <w:vertAlign w:val="superscript"/>
              </w:rPr>
              <w:t>1</w:t>
            </w:r>
            <w:r w:rsidRPr="00B07FB9">
              <w:t>/QALY.</w:t>
            </w:r>
          </w:p>
        </w:tc>
      </w:tr>
    </w:tbl>
    <w:p w14:paraId="37D2CC1D" w14:textId="77777777" w:rsidR="00460E9B" w:rsidRPr="00B07FB9" w:rsidRDefault="00460E9B" w:rsidP="00893EB3">
      <w:pPr>
        <w:pStyle w:val="TableFigureFooter"/>
        <w:keepNext/>
        <w:keepLines/>
        <w:widowControl w:val="0"/>
      </w:pPr>
      <w:r w:rsidRPr="00B07FB9">
        <w:t>Source: Compiled during the evaluation based on Table 92, pp159-160 of the submission</w:t>
      </w:r>
    </w:p>
    <w:p w14:paraId="2654D104" w14:textId="64E3B4CF" w:rsidR="00460E9B" w:rsidRDefault="00460E9B" w:rsidP="00A842E2">
      <w:pPr>
        <w:pStyle w:val="TableFigureFooter"/>
        <w:keepNext/>
        <w:keepLines/>
        <w:widowControl w:val="0"/>
        <w:spacing w:after="0"/>
      </w:pPr>
      <w:r w:rsidRPr="00B07FB9">
        <w:t>ICER = incremental cost effectiveness ratio; ISD = individualised starting dose; ITT = intention to treat; OS = overall survival; PFS = progression free survival; QALY = quality-adjusted life year.</w:t>
      </w:r>
    </w:p>
    <w:p w14:paraId="48DB4276" w14:textId="77777777" w:rsidR="00A842E2" w:rsidRPr="009A6D58" w:rsidRDefault="00A842E2" w:rsidP="00A842E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E917778" w14:textId="6A2C567E" w:rsidR="00A842E2" w:rsidRPr="009A6D58" w:rsidRDefault="00A842E2" w:rsidP="00A842E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A842E2">
        <w:rPr>
          <w:rFonts w:ascii="Arial Narrow" w:hAnsi="Arial Narrow"/>
          <w:i/>
          <w:sz w:val="18"/>
          <w:szCs w:val="18"/>
        </w:rPr>
        <w:t>$55,000 to &lt; $75,000</w:t>
      </w:r>
    </w:p>
    <w:p w14:paraId="4DA0FED3" w14:textId="348C3513" w:rsidR="00A842E2" w:rsidRPr="009A6D58" w:rsidRDefault="00A842E2" w:rsidP="00A842E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A842E2">
        <w:rPr>
          <w:rFonts w:ascii="Arial Narrow" w:hAnsi="Arial Narrow"/>
          <w:i/>
          <w:sz w:val="18"/>
          <w:szCs w:val="18"/>
        </w:rPr>
        <w:t>$45,000 to &lt; $55,000</w:t>
      </w:r>
    </w:p>
    <w:p w14:paraId="0E9C570C" w14:textId="77777777" w:rsidR="00A842E2" w:rsidRPr="00B07FB9" w:rsidRDefault="00A842E2" w:rsidP="005417BF">
      <w:pPr>
        <w:pStyle w:val="TableFigureFooter"/>
        <w:keepNext/>
        <w:keepLines/>
        <w:widowControl w:val="0"/>
      </w:pPr>
    </w:p>
    <w:p w14:paraId="1EE347B8" w14:textId="77777777" w:rsidR="00460E9B" w:rsidRPr="00B07FB9" w:rsidRDefault="00460E9B" w:rsidP="000C6F49">
      <w:pPr>
        <w:pStyle w:val="3-BodyText"/>
        <w:widowControl w:val="0"/>
      </w:pPr>
      <w:r w:rsidRPr="00B07FB9">
        <w:t>The results of the stepped economic analysis are presented below.</w:t>
      </w:r>
    </w:p>
    <w:p w14:paraId="10431957" w14:textId="643E7DD2" w:rsidR="00460E9B" w:rsidRPr="00B07FB9" w:rsidRDefault="00460E9B" w:rsidP="00A4339A">
      <w:pPr>
        <w:pStyle w:val="TableFigureHeading"/>
        <w:keepLines/>
        <w:widowControl w:val="0"/>
      </w:pPr>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14</w:t>
      </w:r>
      <w:r w:rsidR="00385E8C">
        <w:fldChar w:fldCharType="end"/>
      </w:r>
      <w:r w:rsidRPr="00B07FB9">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stepped economic evaluation"/>
      </w:tblPr>
      <w:tblGrid>
        <w:gridCol w:w="2757"/>
        <w:gridCol w:w="2451"/>
        <w:gridCol w:w="2298"/>
        <w:gridCol w:w="1511"/>
      </w:tblGrid>
      <w:tr w:rsidR="00460E9B" w:rsidRPr="00B07FB9" w14:paraId="06A52CE9" w14:textId="77777777" w:rsidTr="00460E9B">
        <w:trPr>
          <w:tblHeader/>
        </w:trPr>
        <w:tc>
          <w:tcPr>
            <w:tcW w:w="1529" w:type="pct"/>
            <w:vAlign w:val="center"/>
          </w:tcPr>
          <w:p w14:paraId="792FDA9F" w14:textId="77777777" w:rsidR="00460E9B" w:rsidRPr="00B07FB9" w:rsidRDefault="00460E9B" w:rsidP="00A4339A">
            <w:pPr>
              <w:keepNext/>
              <w:keepLines/>
              <w:widowControl w:val="0"/>
              <w:jc w:val="left"/>
              <w:rPr>
                <w:rFonts w:ascii="Arial Narrow" w:eastAsiaTheme="majorEastAsia" w:hAnsi="Arial Narrow" w:cs="Times New Roman"/>
                <w:b/>
                <w:sz w:val="20"/>
              </w:rPr>
            </w:pPr>
            <w:r w:rsidRPr="00B07FB9">
              <w:rPr>
                <w:rFonts w:ascii="Arial Narrow" w:eastAsiaTheme="majorEastAsia" w:hAnsi="Arial Narrow" w:cs="Times New Roman"/>
                <w:b/>
                <w:sz w:val="20"/>
              </w:rPr>
              <w:t>Step and component</w:t>
            </w:r>
          </w:p>
        </w:tc>
        <w:tc>
          <w:tcPr>
            <w:tcW w:w="1359" w:type="pct"/>
            <w:vAlign w:val="center"/>
          </w:tcPr>
          <w:p w14:paraId="3BE2F28F" w14:textId="77777777" w:rsidR="00460E9B" w:rsidRPr="00B07FB9" w:rsidRDefault="00460E9B" w:rsidP="00A4339A">
            <w:pPr>
              <w:keepNext/>
              <w:keepLines/>
              <w:widowControl w:val="0"/>
              <w:jc w:val="center"/>
              <w:rPr>
                <w:rFonts w:ascii="Arial Narrow" w:eastAsiaTheme="majorEastAsia" w:hAnsi="Arial Narrow" w:cs="Times New Roman"/>
                <w:b/>
                <w:sz w:val="20"/>
              </w:rPr>
            </w:pPr>
            <w:r w:rsidRPr="00B07FB9">
              <w:rPr>
                <w:rFonts w:ascii="Arial Narrow" w:eastAsiaTheme="majorEastAsia" w:hAnsi="Arial Narrow" w:cs="Times New Roman"/>
                <w:b/>
                <w:sz w:val="20"/>
              </w:rPr>
              <w:t>Niraparib</w:t>
            </w:r>
          </w:p>
        </w:tc>
        <w:tc>
          <w:tcPr>
            <w:tcW w:w="1274" w:type="pct"/>
            <w:vAlign w:val="center"/>
          </w:tcPr>
          <w:p w14:paraId="0C8027E7" w14:textId="77777777" w:rsidR="00460E9B" w:rsidRPr="00B07FB9" w:rsidRDefault="00460E9B" w:rsidP="00A4339A">
            <w:pPr>
              <w:keepNext/>
              <w:keepLines/>
              <w:widowControl w:val="0"/>
              <w:jc w:val="center"/>
              <w:rPr>
                <w:rFonts w:ascii="Arial Narrow" w:eastAsiaTheme="majorEastAsia" w:hAnsi="Arial Narrow" w:cs="Times New Roman"/>
                <w:b/>
                <w:sz w:val="20"/>
              </w:rPr>
            </w:pPr>
            <w:r w:rsidRPr="00B07FB9">
              <w:rPr>
                <w:rFonts w:ascii="Arial Narrow" w:eastAsiaTheme="majorEastAsia" w:hAnsi="Arial Narrow" w:cs="Times New Roman"/>
                <w:b/>
                <w:sz w:val="20"/>
              </w:rPr>
              <w:t>SMM</w:t>
            </w:r>
          </w:p>
        </w:tc>
        <w:tc>
          <w:tcPr>
            <w:tcW w:w="838" w:type="pct"/>
            <w:vAlign w:val="center"/>
          </w:tcPr>
          <w:p w14:paraId="2B877521" w14:textId="77777777" w:rsidR="00460E9B" w:rsidRPr="00B07FB9" w:rsidRDefault="00460E9B" w:rsidP="00A4339A">
            <w:pPr>
              <w:keepNext/>
              <w:keepLines/>
              <w:widowControl w:val="0"/>
              <w:jc w:val="center"/>
              <w:rPr>
                <w:rFonts w:ascii="Arial Narrow" w:eastAsiaTheme="majorEastAsia" w:hAnsi="Arial Narrow" w:cs="Times New Roman"/>
                <w:b/>
                <w:sz w:val="20"/>
              </w:rPr>
            </w:pPr>
            <w:r w:rsidRPr="00B07FB9">
              <w:rPr>
                <w:rFonts w:ascii="Arial Narrow" w:eastAsiaTheme="majorEastAsia" w:hAnsi="Arial Narrow" w:cs="Times New Roman"/>
                <w:b/>
                <w:sz w:val="20"/>
              </w:rPr>
              <w:t>Increment</w:t>
            </w:r>
          </w:p>
        </w:tc>
      </w:tr>
      <w:tr w:rsidR="00460E9B" w:rsidRPr="00B07FB9" w14:paraId="0C562DE8" w14:textId="77777777" w:rsidTr="00460E9B">
        <w:tc>
          <w:tcPr>
            <w:tcW w:w="5000" w:type="pct"/>
            <w:gridSpan w:val="4"/>
            <w:vAlign w:val="center"/>
          </w:tcPr>
          <w:p w14:paraId="09B8A9C9" w14:textId="77777777" w:rsidR="00460E9B" w:rsidRPr="00B07FB9" w:rsidRDefault="00460E9B" w:rsidP="00A4339A">
            <w:pPr>
              <w:keepNext/>
              <w:keepLines/>
              <w:widowControl w:val="0"/>
              <w:jc w:val="left"/>
              <w:rPr>
                <w:rFonts w:ascii="Arial Narrow" w:eastAsiaTheme="majorEastAsia" w:hAnsi="Arial Narrow" w:cs="Times New Roman"/>
                <w:bCs/>
                <w:sz w:val="20"/>
              </w:rPr>
            </w:pPr>
            <w:r w:rsidRPr="00B07FB9">
              <w:rPr>
                <w:rFonts w:ascii="Arial Narrow" w:eastAsiaTheme="majorEastAsia" w:hAnsi="Arial Narrow" w:cs="Times New Roman"/>
                <w:b/>
                <w:bCs/>
                <w:sz w:val="20"/>
              </w:rPr>
              <w:t>Step 1: Trial-based analysis (24-month analysis)</w:t>
            </w:r>
          </w:p>
        </w:tc>
      </w:tr>
      <w:tr w:rsidR="00460E9B" w:rsidRPr="00B07FB9" w14:paraId="5E1F25A1" w14:textId="77777777" w:rsidTr="007A0897">
        <w:tc>
          <w:tcPr>
            <w:tcW w:w="1529" w:type="pct"/>
            <w:vAlign w:val="center"/>
          </w:tcPr>
          <w:p w14:paraId="612BE55C" w14:textId="63C36AFB"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Costs</w:t>
            </w:r>
            <w:r w:rsidR="002145E9">
              <w:rPr>
                <w:rFonts w:ascii="Arial Narrow" w:eastAsiaTheme="majorEastAsia" w:hAnsi="Arial Narrow" w:cs="Times New Roman"/>
                <w:bCs/>
                <w:sz w:val="20"/>
              </w:rPr>
              <w:t xml:space="preserve"> ($)</w:t>
            </w:r>
          </w:p>
        </w:tc>
        <w:tc>
          <w:tcPr>
            <w:tcW w:w="1359" w:type="pct"/>
            <w:shd w:val="solid" w:color="000000" w:fill="000000"/>
            <w:vAlign w:val="center"/>
          </w:tcPr>
          <w:p w14:paraId="6C0AF095" w14:textId="369B90AB"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1274" w:type="pct"/>
            <w:shd w:val="solid" w:color="000000" w:fill="000000"/>
            <w:vAlign w:val="center"/>
          </w:tcPr>
          <w:p w14:paraId="7ABC6F20" w14:textId="15206B07"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838" w:type="pct"/>
            <w:shd w:val="solid" w:color="000000" w:fill="000000"/>
            <w:vAlign w:val="center"/>
          </w:tcPr>
          <w:p w14:paraId="2A000727" w14:textId="35B60F73"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r>
      <w:tr w:rsidR="00460E9B" w:rsidRPr="00B07FB9" w14:paraId="1C18A6E3" w14:textId="77777777" w:rsidTr="00460E9B">
        <w:tc>
          <w:tcPr>
            <w:tcW w:w="1529" w:type="pct"/>
            <w:vAlign w:val="center"/>
          </w:tcPr>
          <w:p w14:paraId="6BF36FBF" w14:textId="77777777"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PFLY</w:t>
            </w:r>
          </w:p>
        </w:tc>
        <w:tc>
          <w:tcPr>
            <w:tcW w:w="1359" w:type="pct"/>
            <w:vAlign w:val="bottom"/>
          </w:tcPr>
          <w:p w14:paraId="7512DF8E"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1.0121</w:t>
            </w:r>
          </w:p>
        </w:tc>
        <w:tc>
          <w:tcPr>
            <w:tcW w:w="1274" w:type="pct"/>
            <w:vAlign w:val="bottom"/>
          </w:tcPr>
          <w:p w14:paraId="70173D73"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0.8456</w:t>
            </w:r>
          </w:p>
        </w:tc>
        <w:tc>
          <w:tcPr>
            <w:tcW w:w="838" w:type="pct"/>
            <w:vAlign w:val="bottom"/>
          </w:tcPr>
          <w:p w14:paraId="469D5026"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0.1665</w:t>
            </w:r>
          </w:p>
        </w:tc>
      </w:tr>
      <w:tr w:rsidR="00460E9B" w:rsidRPr="00B07FB9" w14:paraId="0FF72C51" w14:textId="77777777" w:rsidTr="00460E9B">
        <w:tc>
          <w:tcPr>
            <w:tcW w:w="4162" w:type="pct"/>
            <w:gridSpan w:val="3"/>
            <w:vAlign w:val="center"/>
          </w:tcPr>
          <w:p w14:paraId="78C70736" w14:textId="3F5EAB94"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Incremental cost/extra PFLY gained</w:t>
            </w:r>
            <w:r w:rsidR="002145E9">
              <w:rPr>
                <w:rFonts w:ascii="Arial Narrow" w:eastAsiaTheme="majorEastAsia" w:hAnsi="Arial Narrow" w:cs="Times New Roman"/>
                <w:bCs/>
                <w:sz w:val="20"/>
              </w:rPr>
              <w:t xml:space="preserve"> ($)</w:t>
            </w:r>
          </w:p>
        </w:tc>
        <w:tc>
          <w:tcPr>
            <w:tcW w:w="838" w:type="pct"/>
            <w:vAlign w:val="center"/>
          </w:tcPr>
          <w:p w14:paraId="066C9E07" w14:textId="27100EA6" w:rsidR="00460E9B" w:rsidRPr="002145E9" w:rsidRDefault="007A0897" w:rsidP="00A4339A">
            <w:pPr>
              <w:keepNext/>
              <w:keepLines/>
              <w:widowControl w:val="0"/>
              <w:jc w:val="center"/>
              <w:rPr>
                <w:rFonts w:ascii="Arial Narrow" w:eastAsiaTheme="majorEastAsia" w:hAnsi="Arial Narrow" w:cs="Times New Roman"/>
                <w:bCs/>
                <w:sz w:val="20"/>
                <w:vertAlign w:val="superscript"/>
              </w:rPr>
            </w:pPr>
            <w:r w:rsidRPr="007A0897">
              <w:rPr>
                <w:rFonts w:ascii="Arial Narrow" w:eastAsiaTheme="majorEastAsia" w:hAnsi="Arial Narrow" w:cs="Times New Roman"/>
                <w:bCs/>
                <w:color w:val="000000"/>
                <w:sz w:val="20"/>
                <w:shd w:val="solid" w:color="000000" w:fill="000000"/>
                <w14:textFill>
                  <w14:solidFill>
                    <w14:srgbClr w14:val="000000">
                      <w14:alpha w14:val="100000"/>
                    </w14:srgbClr>
                  </w14:solidFill>
                </w14:textFill>
              </w:rPr>
              <w:t>|</w:t>
            </w:r>
            <w:r w:rsidR="002145E9">
              <w:rPr>
                <w:rFonts w:ascii="Arial Narrow" w:eastAsiaTheme="majorEastAsia" w:hAnsi="Arial Narrow" w:cs="Times New Roman"/>
                <w:bCs/>
                <w:sz w:val="20"/>
                <w:vertAlign w:val="superscript"/>
              </w:rPr>
              <w:t>1</w:t>
            </w:r>
          </w:p>
        </w:tc>
      </w:tr>
      <w:tr w:rsidR="00460E9B" w:rsidRPr="00B07FB9" w14:paraId="7BC8D69D" w14:textId="77777777" w:rsidTr="00460E9B">
        <w:tc>
          <w:tcPr>
            <w:tcW w:w="5000" w:type="pct"/>
            <w:gridSpan w:val="4"/>
            <w:vAlign w:val="center"/>
          </w:tcPr>
          <w:p w14:paraId="186BD4A1" w14:textId="77777777" w:rsidR="00460E9B" w:rsidRPr="00B07FB9" w:rsidRDefault="00460E9B" w:rsidP="00A4339A">
            <w:pPr>
              <w:keepNext/>
              <w:keepLines/>
              <w:widowControl w:val="0"/>
              <w:jc w:val="left"/>
              <w:rPr>
                <w:rFonts w:ascii="Arial Narrow" w:eastAsiaTheme="majorEastAsia" w:hAnsi="Arial Narrow" w:cs="Times New Roman"/>
                <w:b/>
                <w:sz w:val="20"/>
              </w:rPr>
            </w:pPr>
            <w:r w:rsidRPr="00B07FB9">
              <w:rPr>
                <w:rFonts w:ascii="Arial Narrow" w:eastAsiaTheme="majorEastAsia" w:hAnsi="Arial Narrow" w:cs="Times New Roman"/>
                <w:b/>
                <w:sz w:val="20"/>
              </w:rPr>
              <w:t>Step 2: Extrapolation of trial data from median follow-up to 15-year time horizon</w:t>
            </w:r>
          </w:p>
        </w:tc>
      </w:tr>
      <w:tr w:rsidR="00460E9B" w:rsidRPr="00B07FB9" w14:paraId="5E969FDB" w14:textId="77777777" w:rsidTr="007A0897">
        <w:tc>
          <w:tcPr>
            <w:tcW w:w="1529" w:type="pct"/>
            <w:vAlign w:val="center"/>
          </w:tcPr>
          <w:p w14:paraId="62DE32BA" w14:textId="2DE92ACD"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Costs</w:t>
            </w:r>
            <w:r w:rsidR="002145E9">
              <w:rPr>
                <w:rFonts w:ascii="Arial Narrow" w:eastAsiaTheme="majorEastAsia" w:hAnsi="Arial Narrow" w:cs="Times New Roman"/>
                <w:bCs/>
                <w:sz w:val="20"/>
              </w:rPr>
              <w:t xml:space="preserve"> ($)</w:t>
            </w:r>
          </w:p>
        </w:tc>
        <w:tc>
          <w:tcPr>
            <w:tcW w:w="1359" w:type="pct"/>
            <w:shd w:val="solid" w:color="000000" w:fill="000000"/>
            <w:vAlign w:val="bottom"/>
          </w:tcPr>
          <w:p w14:paraId="014D06C8" w14:textId="1AA2FCC4"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1274" w:type="pct"/>
            <w:shd w:val="solid" w:color="000000" w:fill="000000"/>
            <w:vAlign w:val="bottom"/>
          </w:tcPr>
          <w:p w14:paraId="0309C7C7" w14:textId="1A337EB8"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838" w:type="pct"/>
            <w:shd w:val="solid" w:color="000000" w:fill="000000"/>
            <w:vAlign w:val="bottom"/>
          </w:tcPr>
          <w:p w14:paraId="2941DBB6" w14:textId="4839F9C5"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r>
      <w:tr w:rsidR="00460E9B" w:rsidRPr="00B07FB9" w14:paraId="05D7C1CC" w14:textId="77777777" w:rsidTr="00460E9B">
        <w:tc>
          <w:tcPr>
            <w:tcW w:w="1529" w:type="pct"/>
            <w:vAlign w:val="center"/>
          </w:tcPr>
          <w:p w14:paraId="537F71BB" w14:textId="77777777" w:rsidR="00460E9B" w:rsidRPr="00B07FB9" w:rsidRDefault="00460E9B" w:rsidP="00A4339A">
            <w:pPr>
              <w:keepNext/>
              <w:keepLines/>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PFLY</w:t>
            </w:r>
          </w:p>
        </w:tc>
        <w:tc>
          <w:tcPr>
            <w:tcW w:w="1359" w:type="pct"/>
            <w:vAlign w:val="bottom"/>
          </w:tcPr>
          <w:p w14:paraId="5B3AFAEF"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1.2977</w:t>
            </w:r>
          </w:p>
        </w:tc>
        <w:tc>
          <w:tcPr>
            <w:tcW w:w="1274" w:type="pct"/>
            <w:vAlign w:val="bottom"/>
          </w:tcPr>
          <w:p w14:paraId="00B9812A"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0.9427</w:t>
            </w:r>
          </w:p>
        </w:tc>
        <w:tc>
          <w:tcPr>
            <w:tcW w:w="838" w:type="pct"/>
            <w:vAlign w:val="bottom"/>
          </w:tcPr>
          <w:p w14:paraId="679CCFAB"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0.3550</w:t>
            </w:r>
          </w:p>
        </w:tc>
      </w:tr>
      <w:tr w:rsidR="00460E9B" w:rsidRPr="00B07FB9" w14:paraId="436D1C32" w14:textId="77777777" w:rsidTr="00460E9B">
        <w:tc>
          <w:tcPr>
            <w:tcW w:w="1529" w:type="pct"/>
            <w:vAlign w:val="center"/>
          </w:tcPr>
          <w:p w14:paraId="4132528D" w14:textId="77777777"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LYG</w:t>
            </w:r>
          </w:p>
        </w:tc>
        <w:tc>
          <w:tcPr>
            <w:tcW w:w="1359" w:type="pct"/>
            <w:vAlign w:val="bottom"/>
          </w:tcPr>
          <w:p w14:paraId="4295C1D7"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3.6667</w:t>
            </w:r>
          </w:p>
        </w:tc>
        <w:tc>
          <w:tcPr>
            <w:tcW w:w="1274" w:type="pct"/>
            <w:vAlign w:val="bottom"/>
          </w:tcPr>
          <w:p w14:paraId="063A2E0D"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3.2199</w:t>
            </w:r>
          </w:p>
        </w:tc>
        <w:tc>
          <w:tcPr>
            <w:tcW w:w="838" w:type="pct"/>
            <w:vAlign w:val="bottom"/>
          </w:tcPr>
          <w:p w14:paraId="01054D24"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0.4468</w:t>
            </w:r>
          </w:p>
        </w:tc>
      </w:tr>
      <w:tr w:rsidR="00460E9B" w:rsidRPr="00B07FB9" w14:paraId="531BCC61" w14:textId="77777777" w:rsidTr="00460E9B">
        <w:tc>
          <w:tcPr>
            <w:tcW w:w="4162" w:type="pct"/>
            <w:gridSpan w:val="3"/>
            <w:vAlign w:val="center"/>
          </w:tcPr>
          <w:p w14:paraId="4BDF73E5" w14:textId="05472944"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Incremental cost/extra PFLY gained</w:t>
            </w:r>
            <w:r w:rsidR="002145E9">
              <w:rPr>
                <w:rFonts w:ascii="Arial Narrow" w:eastAsiaTheme="majorEastAsia" w:hAnsi="Arial Narrow" w:cs="Times New Roman"/>
                <w:bCs/>
                <w:sz w:val="20"/>
              </w:rPr>
              <w:t xml:space="preserve"> ($)</w:t>
            </w:r>
          </w:p>
        </w:tc>
        <w:tc>
          <w:tcPr>
            <w:tcW w:w="838" w:type="pct"/>
            <w:vAlign w:val="center"/>
          </w:tcPr>
          <w:p w14:paraId="566DF34E" w14:textId="43CF1248" w:rsidR="00460E9B" w:rsidRPr="002145E9" w:rsidRDefault="007A0897" w:rsidP="00A4339A">
            <w:pPr>
              <w:keepNext/>
              <w:keepLines/>
              <w:widowControl w:val="0"/>
              <w:jc w:val="center"/>
              <w:rPr>
                <w:rFonts w:ascii="Arial Narrow" w:eastAsiaTheme="majorEastAsia" w:hAnsi="Arial Narrow" w:cs="Times New Roman"/>
                <w:bCs/>
                <w:sz w:val="20"/>
                <w:highlight w:val="yellow"/>
                <w:vertAlign w:val="superscript"/>
              </w:rPr>
            </w:pPr>
            <w:r w:rsidRPr="007A0897">
              <w:rPr>
                <w:rFonts w:ascii="Arial Narrow" w:eastAsiaTheme="majorEastAsia" w:hAnsi="Arial Narrow" w:cs="Times New Roman"/>
                <w:bCs/>
                <w:color w:val="000000"/>
                <w:sz w:val="20"/>
                <w:shd w:val="solid" w:color="000000" w:fill="000000"/>
                <w14:textFill>
                  <w14:solidFill>
                    <w14:srgbClr w14:val="000000">
                      <w14:alpha w14:val="100000"/>
                    </w14:srgbClr>
                  </w14:solidFill>
                </w14:textFill>
              </w:rPr>
              <w:t>|</w:t>
            </w:r>
            <w:r w:rsidR="002145E9" w:rsidRPr="002145E9">
              <w:rPr>
                <w:rFonts w:ascii="Arial Narrow" w:eastAsiaTheme="majorEastAsia" w:hAnsi="Arial Narrow" w:cs="Times New Roman"/>
                <w:bCs/>
                <w:sz w:val="20"/>
                <w:vertAlign w:val="superscript"/>
              </w:rPr>
              <w:t>2</w:t>
            </w:r>
          </w:p>
        </w:tc>
      </w:tr>
      <w:tr w:rsidR="00460E9B" w:rsidRPr="00B07FB9" w14:paraId="62266C93" w14:textId="77777777" w:rsidTr="00460E9B">
        <w:tc>
          <w:tcPr>
            <w:tcW w:w="4162" w:type="pct"/>
            <w:gridSpan w:val="3"/>
            <w:vAlign w:val="center"/>
          </w:tcPr>
          <w:p w14:paraId="6C7C854B" w14:textId="06444CE9" w:rsidR="00460E9B" w:rsidRPr="00B07FB9" w:rsidRDefault="00460E9B" w:rsidP="00A4339A">
            <w:pPr>
              <w:keepNext/>
              <w:keepLines/>
              <w:widowControl w:val="0"/>
              <w:jc w:val="left"/>
              <w:rPr>
                <w:rFonts w:ascii="Arial Narrow" w:eastAsiaTheme="majorEastAsia" w:hAnsi="Arial Narrow" w:cs="Times New Roman"/>
                <w:bCs/>
                <w:sz w:val="20"/>
              </w:rPr>
            </w:pPr>
            <w:r w:rsidRPr="00B07FB9">
              <w:rPr>
                <w:rFonts w:ascii="Arial Narrow" w:eastAsiaTheme="majorEastAsia" w:hAnsi="Arial Narrow" w:cs="Times New Roman"/>
                <w:bCs/>
                <w:sz w:val="20"/>
              </w:rPr>
              <w:t xml:space="preserve">Incremental cost/extra LYG </w:t>
            </w:r>
            <w:r w:rsidR="002145E9">
              <w:rPr>
                <w:rFonts w:ascii="Arial Narrow" w:eastAsiaTheme="majorEastAsia" w:hAnsi="Arial Narrow" w:cs="Times New Roman"/>
                <w:bCs/>
                <w:sz w:val="20"/>
              </w:rPr>
              <w:t>($)</w:t>
            </w:r>
          </w:p>
        </w:tc>
        <w:tc>
          <w:tcPr>
            <w:tcW w:w="838" w:type="pct"/>
            <w:vAlign w:val="center"/>
          </w:tcPr>
          <w:p w14:paraId="00128935" w14:textId="5D2C5A92" w:rsidR="00460E9B" w:rsidRPr="002145E9" w:rsidRDefault="007A0897" w:rsidP="00A4339A">
            <w:pPr>
              <w:keepNext/>
              <w:keepLines/>
              <w:widowControl w:val="0"/>
              <w:jc w:val="center"/>
              <w:rPr>
                <w:rFonts w:ascii="Arial Narrow" w:eastAsiaTheme="majorEastAsia" w:hAnsi="Arial Narrow" w:cs="Times New Roman"/>
                <w:bCs/>
                <w:sz w:val="20"/>
                <w:highlight w:val="yellow"/>
              </w:rPr>
            </w:pPr>
            <w:r w:rsidRPr="007A0897">
              <w:rPr>
                <w:rFonts w:ascii="Arial Narrow" w:eastAsiaTheme="majorEastAsia" w:hAnsi="Arial Narrow" w:cs="Times New Roman"/>
                <w:bCs/>
                <w:color w:val="000000"/>
                <w:sz w:val="20"/>
                <w:shd w:val="solid" w:color="000000" w:fill="000000"/>
                <w14:textFill>
                  <w14:solidFill>
                    <w14:srgbClr w14:val="000000">
                      <w14:alpha w14:val="100000"/>
                    </w14:srgbClr>
                  </w14:solidFill>
                </w14:textFill>
              </w:rPr>
              <w:t>|</w:t>
            </w:r>
            <w:r w:rsidR="002145E9">
              <w:rPr>
                <w:rFonts w:ascii="Arial Narrow" w:eastAsiaTheme="majorEastAsia" w:hAnsi="Arial Narrow" w:cs="Times New Roman"/>
                <w:bCs/>
                <w:sz w:val="20"/>
                <w:vertAlign w:val="superscript"/>
              </w:rPr>
              <w:t>3</w:t>
            </w:r>
          </w:p>
        </w:tc>
      </w:tr>
      <w:tr w:rsidR="00460E9B" w:rsidRPr="00B07FB9" w14:paraId="2A05652F" w14:textId="77777777" w:rsidTr="00460E9B">
        <w:tc>
          <w:tcPr>
            <w:tcW w:w="5000" w:type="pct"/>
            <w:gridSpan w:val="4"/>
            <w:vAlign w:val="center"/>
          </w:tcPr>
          <w:p w14:paraId="772037B0" w14:textId="77777777" w:rsidR="00460E9B" w:rsidRPr="00B07FB9" w:rsidRDefault="00460E9B" w:rsidP="00A4339A">
            <w:pPr>
              <w:keepNext/>
              <w:keepLines/>
              <w:widowControl w:val="0"/>
              <w:jc w:val="left"/>
              <w:rPr>
                <w:rFonts w:ascii="Arial Narrow" w:eastAsiaTheme="majorEastAsia" w:hAnsi="Arial Narrow" w:cs="Times New Roman"/>
                <w:b/>
                <w:sz w:val="20"/>
              </w:rPr>
            </w:pPr>
            <w:r w:rsidRPr="00B07FB9">
              <w:rPr>
                <w:rFonts w:ascii="Arial Narrow" w:eastAsiaTheme="majorEastAsia" w:hAnsi="Arial Narrow" w:cs="Times New Roman"/>
                <w:b/>
                <w:sz w:val="20"/>
              </w:rPr>
              <w:t>Step 3: Translation of trial outcomes to QALYs</w:t>
            </w:r>
          </w:p>
        </w:tc>
      </w:tr>
      <w:tr w:rsidR="00460E9B" w:rsidRPr="00B07FB9" w14:paraId="35DFA22A" w14:textId="77777777" w:rsidTr="007A0897">
        <w:tc>
          <w:tcPr>
            <w:tcW w:w="1529" w:type="pct"/>
            <w:vAlign w:val="center"/>
          </w:tcPr>
          <w:p w14:paraId="2C07747F" w14:textId="1606C609"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Costs</w:t>
            </w:r>
            <w:r w:rsidR="002145E9">
              <w:rPr>
                <w:rFonts w:ascii="Arial Narrow" w:eastAsiaTheme="majorEastAsia" w:hAnsi="Arial Narrow" w:cs="Times New Roman"/>
                <w:bCs/>
                <w:sz w:val="20"/>
              </w:rPr>
              <w:t xml:space="preserve"> ($)</w:t>
            </w:r>
          </w:p>
        </w:tc>
        <w:tc>
          <w:tcPr>
            <w:tcW w:w="1359" w:type="pct"/>
            <w:shd w:val="solid" w:color="000000" w:fill="000000"/>
            <w:vAlign w:val="bottom"/>
          </w:tcPr>
          <w:p w14:paraId="350CFD5C" w14:textId="54610B3B"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1274" w:type="pct"/>
            <w:shd w:val="solid" w:color="000000" w:fill="000000"/>
            <w:vAlign w:val="bottom"/>
          </w:tcPr>
          <w:p w14:paraId="4E60885D" w14:textId="15B2C261"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838" w:type="pct"/>
            <w:shd w:val="solid" w:color="000000" w:fill="000000"/>
            <w:vAlign w:val="bottom"/>
          </w:tcPr>
          <w:p w14:paraId="685C3EBC" w14:textId="72D55D9E"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r>
      <w:tr w:rsidR="00460E9B" w:rsidRPr="00B07FB9" w14:paraId="30753BFA" w14:textId="77777777" w:rsidTr="00460E9B">
        <w:tc>
          <w:tcPr>
            <w:tcW w:w="1529" w:type="pct"/>
            <w:vAlign w:val="center"/>
          </w:tcPr>
          <w:p w14:paraId="5F5D065D" w14:textId="77777777"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QALYs</w:t>
            </w:r>
          </w:p>
        </w:tc>
        <w:tc>
          <w:tcPr>
            <w:tcW w:w="1359" w:type="pct"/>
            <w:vAlign w:val="bottom"/>
          </w:tcPr>
          <w:p w14:paraId="0ECA0736"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2.6406</w:t>
            </w:r>
          </w:p>
        </w:tc>
        <w:tc>
          <w:tcPr>
            <w:tcW w:w="1274" w:type="pct"/>
            <w:vAlign w:val="bottom"/>
          </w:tcPr>
          <w:p w14:paraId="77836BE5"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2.3014</w:t>
            </w:r>
          </w:p>
        </w:tc>
        <w:tc>
          <w:tcPr>
            <w:tcW w:w="838" w:type="pct"/>
            <w:vAlign w:val="bottom"/>
          </w:tcPr>
          <w:p w14:paraId="07CF22C3"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0.3391</w:t>
            </w:r>
          </w:p>
        </w:tc>
      </w:tr>
      <w:tr w:rsidR="00460E9B" w:rsidRPr="00B07FB9" w14:paraId="6106A733" w14:textId="77777777" w:rsidTr="00460E9B">
        <w:tc>
          <w:tcPr>
            <w:tcW w:w="4162" w:type="pct"/>
            <w:gridSpan w:val="3"/>
            <w:vAlign w:val="center"/>
          </w:tcPr>
          <w:p w14:paraId="1C8AB4F2" w14:textId="1CE800D1"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Incremental cost/extra QALY gained</w:t>
            </w:r>
            <w:r w:rsidR="002145E9">
              <w:rPr>
                <w:rFonts w:ascii="Arial Narrow" w:eastAsiaTheme="majorEastAsia" w:hAnsi="Arial Narrow" w:cs="Times New Roman"/>
                <w:bCs/>
                <w:sz w:val="20"/>
              </w:rPr>
              <w:t xml:space="preserve"> ($)</w:t>
            </w:r>
          </w:p>
        </w:tc>
        <w:tc>
          <w:tcPr>
            <w:tcW w:w="838" w:type="pct"/>
            <w:vAlign w:val="center"/>
          </w:tcPr>
          <w:p w14:paraId="104C7A90" w14:textId="7390BA20" w:rsidR="00460E9B" w:rsidRPr="00B07FB9" w:rsidRDefault="007A0897" w:rsidP="00A4339A">
            <w:pPr>
              <w:keepNext/>
              <w:keepLines/>
              <w:widowControl w:val="0"/>
              <w:jc w:val="center"/>
              <w:rPr>
                <w:rFonts w:ascii="Times" w:eastAsiaTheme="majorEastAsia" w:hAnsi="Times" w:cs="Times New Roman"/>
                <w:bCs/>
                <w:sz w:val="20"/>
              </w:rPr>
            </w:pPr>
            <w:r w:rsidRPr="007A0897">
              <w:rPr>
                <w:rFonts w:ascii="Arial Narrow" w:eastAsiaTheme="majorEastAsia" w:hAnsi="Arial Narrow" w:cs="Times New Roman"/>
                <w:bCs/>
                <w:color w:val="000000"/>
                <w:sz w:val="20"/>
                <w:shd w:val="solid" w:color="000000" w:fill="000000"/>
                <w14:textFill>
                  <w14:solidFill>
                    <w14:srgbClr w14:val="000000">
                      <w14:alpha w14:val="100000"/>
                    </w14:srgbClr>
                  </w14:solidFill>
                </w14:textFill>
              </w:rPr>
              <w:t>|</w:t>
            </w:r>
            <w:r w:rsidR="002145E9" w:rsidRPr="002145E9">
              <w:rPr>
                <w:rFonts w:ascii="Arial Narrow" w:eastAsiaTheme="majorEastAsia" w:hAnsi="Arial Narrow" w:cs="Times New Roman"/>
                <w:bCs/>
                <w:sz w:val="20"/>
                <w:vertAlign w:val="superscript"/>
              </w:rPr>
              <w:t>2</w:t>
            </w:r>
          </w:p>
        </w:tc>
      </w:tr>
      <w:tr w:rsidR="00460E9B" w:rsidRPr="00B07FB9" w14:paraId="2E7F78E8" w14:textId="77777777" w:rsidTr="00460E9B">
        <w:tc>
          <w:tcPr>
            <w:tcW w:w="5000" w:type="pct"/>
            <w:gridSpan w:val="4"/>
            <w:vAlign w:val="center"/>
          </w:tcPr>
          <w:p w14:paraId="574934E7" w14:textId="77777777" w:rsidR="00460E9B" w:rsidRPr="00B07FB9" w:rsidRDefault="00460E9B" w:rsidP="00A4339A">
            <w:pPr>
              <w:keepNext/>
              <w:keepLines/>
              <w:widowControl w:val="0"/>
              <w:jc w:val="left"/>
              <w:rPr>
                <w:rFonts w:ascii="Arial Narrow" w:eastAsiaTheme="majorEastAsia" w:hAnsi="Arial Narrow" w:cs="Times New Roman"/>
                <w:b/>
                <w:sz w:val="20"/>
              </w:rPr>
            </w:pPr>
            <w:r w:rsidRPr="00B07FB9">
              <w:rPr>
                <w:rFonts w:ascii="Arial Narrow" w:eastAsiaTheme="majorEastAsia" w:hAnsi="Arial Narrow" w:cs="Times New Roman"/>
                <w:b/>
                <w:sz w:val="20"/>
              </w:rPr>
              <w:t>Step 4: Inclusion of ‘cured’ patients into extrapolated survival curves (PFS, OS and TTD)</w:t>
            </w:r>
          </w:p>
        </w:tc>
      </w:tr>
      <w:tr w:rsidR="00460E9B" w:rsidRPr="00B07FB9" w14:paraId="7072DE24" w14:textId="77777777" w:rsidTr="007A0897">
        <w:tc>
          <w:tcPr>
            <w:tcW w:w="1529" w:type="pct"/>
            <w:vAlign w:val="center"/>
          </w:tcPr>
          <w:p w14:paraId="6B4E20D7" w14:textId="0B741896"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Costs</w:t>
            </w:r>
            <w:r w:rsidR="002145E9">
              <w:rPr>
                <w:rFonts w:ascii="Arial Narrow" w:eastAsiaTheme="majorEastAsia" w:hAnsi="Arial Narrow" w:cs="Times New Roman"/>
                <w:bCs/>
                <w:sz w:val="20"/>
              </w:rPr>
              <w:t xml:space="preserve"> ($)</w:t>
            </w:r>
          </w:p>
        </w:tc>
        <w:tc>
          <w:tcPr>
            <w:tcW w:w="1359" w:type="pct"/>
            <w:shd w:val="solid" w:color="000000" w:fill="000000"/>
            <w:vAlign w:val="bottom"/>
          </w:tcPr>
          <w:p w14:paraId="2F4EB9AA" w14:textId="66B707DE"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1274" w:type="pct"/>
            <w:shd w:val="solid" w:color="000000" w:fill="000000"/>
            <w:vAlign w:val="bottom"/>
          </w:tcPr>
          <w:p w14:paraId="7A357569" w14:textId="074D76FB"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838" w:type="pct"/>
            <w:shd w:val="solid" w:color="000000" w:fill="000000"/>
            <w:vAlign w:val="bottom"/>
          </w:tcPr>
          <w:p w14:paraId="6FE6485C" w14:textId="72DD5D8F"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r>
      <w:tr w:rsidR="00460E9B" w:rsidRPr="00B07FB9" w14:paraId="417AD253" w14:textId="77777777" w:rsidTr="00460E9B">
        <w:tc>
          <w:tcPr>
            <w:tcW w:w="1529" w:type="pct"/>
            <w:vAlign w:val="center"/>
          </w:tcPr>
          <w:p w14:paraId="01C0FA80" w14:textId="77777777"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QALYs</w:t>
            </w:r>
          </w:p>
        </w:tc>
        <w:tc>
          <w:tcPr>
            <w:tcW w:w="1359" w:type="pct"/>
            <w:vAlign w:val="bottom"/>
          </w:tcPr>
          <w:p w14:paraId="6356B7DF"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2.8970</w:t>
            </w:r>
          </w:p>
        </w:tc>
        <w:tc>
          <w:tcPr>
            <w:tcW w:w="1274" w:type="pct"/>
            <w:vAlign w:val="bottom"/>
          </w:tcPr>
          <w:p w14:paraId="10D8C8C6"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2.5619</w:t>
            </w:r>
          </w:p>
        </w:tc>
        <w:tc>
          <w:tcPr>
            <w:tcW w:w="838" w:type="pct"/>
            <w:vAlign w:val="bottom"/>
          </w:tcPr>
          <w:p w14:paraId="679B077A"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0.3352</w:t>
            </w:r>
          </w:p>
        </w:tc>
      </w:tr>
      <w:tr w:rsidR="00460E9B" w:rsidRPr="00B07FB9" w14:paraId="7D8109F8" w14:textId="77777777" w:rsidTr="00460E9B">
        <w:tc>
          <w:tcPr>
            <w:tcW w:w="4162" w:type="pct"/>
            <w:gridSpan w:val="3"/>
            <w:vAlign w:val="center"/>
          </w:tcPr>
          <w:p w14:paraId="1FE38F6C" w14:textId="7FDFF0FB"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Incremental cost/extra QALY gained</w:t>
            </w:r>
            <w:r w:rsidR="002145E9">
              <w:rPr>
                <w:rFonts w:ascii="Arial Narrow" w:eastAsiaTheme="majorEastAsia" w:hAnsi="Arial Narrow" w:cs="Times New Roman"/>
                <w:bCs/>
                <w:sz w:val="20"/>
              </w:rPr>
              <w:t xml:space="preserve"> ($)</w:t>
            </w:r>
          </w:p>
        </w:tc>
        <w:tc>
          <w:tcPr>
            <w:tcW w:w="838" w:type="pct"/>
          </w:tcPr>
          <w:p w14:paraId="7801F0D5" w14:textId="67ED4B59" w:rsidR="00460E9B" w:rsidRPr="00B07FB9"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shd w:val="solid" w:color="000000" w:fill="000000"/>
                <w14:textFill>
                  <w14:solidFill>
                    <w14:srgbClr w14:val="000000">
                      <w14:alpha w14:val="100000"/>
                    </w14:srgbClr>
                  </w14:solidFill>
                </w14:textFill>
              </w:rPr>
              <w:t>|</w:t>
            </w:r>
            <w:r w:rsidR="002145E9" w:rsidRPr="002145E9">
              <w:rPr>
                <w:rFonts w:ascii="Arial Narrow" w:eastAsiaTheme="majorEastAsia" w:hAnsi="Arial Narrow" w:cs="Times New Roman"/>
                <w:bCs/>
                <w:sz w:val="20"/>
                <w:vertAlign w:val="superscript"/>
              </w:rPr>
              <w:t>2</w:t>
            </w:r>
          </w:p>
        </w:tc>
      </w:tr>
      <w:tr w:rsidR="00460E9B" w:rsidRPr="00B07FB9" w14:paraId="741801A1" w14:textId="77777777" w:rsidTr="00460E9B">
        <w:tc>
          <w:tcPr>
            <w:tcW w:w="5000" w:type="pct"/>
            <w:gridSpan w:val="4"/>
            <w:vAlign w:val="center"/>
          </w:tcPr>
          <w:p w14:paraId="5A687331" w14:textId="77777777" w:rsidR="00460E9B" w:rsidRPr="00B07FB9" w:rsidRDefault="00460E9B" w:rsidP="00A4339A">
            <w:pPr>
              <w:keepNext/>
              <w:keepLines/>
              <w:widowControl w:val="0"/>
              <w:jc w:val="left"/>
              <w:rPr>
                <w:rFonts w:ascii="Arial Narrow" w:eastAsiaTheme="majorEastAsia" w:hAnsi="Arial Narrow" w:cs="Times New Roman"/>
                <w:b/>
                <w:sz w:val="20"/>
              </w:rPr>
            </w:pPr>
            <w:r w:rsidRPr="00B07FB9">
              <w:rPr>
                <w:rFonts w:ascii="Arial Narrow" w:eastAsiaTheme="majorEastAsia" w:hAnsi="Arial Narrow" w:cs="Times New Roman"/>
                <w:b/>
                <w:sz w:val="20"/>
              </w:rPr>
              <w:t xml:space="preserve">Step 5: Application of health care resource costs </w:t>
            </w:r>
          </w:p>
        </w:tc>
      </w:tr>
      <w:tr w:rsidR="00460E9B" w:rsidRPr="00B07FB9" w14:paraId="0C259217" w14:textId="77777777" w:rsidTr="007A0897">
        <w:tc>
          <w:tcPr>
            <w:tcW w:w="1529" w:type="pct"/>
            <w:vAlign w:val="center"/>
          </w:tcPr>
          <w:p w14:paraId="58036DBB" w14:textId="4D2CB9C1"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Costs</w:t>
            </w:r>
            <w:r w:rsidR="002145E9">
              <w:rPr>
                <w:rFonts w:ascii="Arial Narrow" w:eastAsiaTheme="majorEastAsia" w:hAnsi="Arial Narrow" w:cs="Times New Roman"/>
                <w:bCs/>
                <w:sz w:val="20"/>
              </w:rPr>
              <w:t xml:space="preserve"> ($)</w:t>
            </w:r>
          </w:p>
        </w:tc>
        <w:tc>
          <w:tcPr>
            <w:tcW w:w="1359" w:type="pct"/>
            <w:shd w:val="solid" w:color="000000" w:fill="000000"/>
            <w:vAlign w:val="bottom"/>
          </w:tcPr>
          <w:p w14:paraId="16957CAC" w14:textId="6FC3C681"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1274" w:type="pct"/>
            <w:shd w:val="solid" w:color="000000" w:fill="000000"/>
            <w:vAlign w:val="bottom"/>
          </w:tcPr>
          <w:p w14:paraId="7FDC8EDF" w14:textId="5A29650A"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838" w:type="pct"/>
            <w:shd w:val="solid" w:color="000000" w:fill="000000"/>
            <w:vAlign w:val="bottom"/>
          </w:tcPr>
          <w:p w14:paraId="4B6210A6" w14:textId="0F9D82C3"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r>
      <w:tr w:rsidR="00460E9B" w:rsidRPr="00B07FB9" w14:paraId="720DB957" w14:textId="77777777" w:rsidTr="00460E9B">
        <w:tc>
          <w:tcPr>
            <w:tcW w:w="1529" w:type="pct"/>
            <w:vAlign w:val="center"/>
          </w:tcPr>
          <w:p w14:paraId="18623168" w14:textId="77777777"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QALYs</w:t>
            </w:r>
          </w:p>
        </w:tc>
        <w:tc>
          <w:tcPr>
            <w:tcW w:w="1359" w:type="pct"/>
            <w:vAlign w:val="bottom"/>
          </w:tcPr>
          <w:p w14:paraId="0A0E2D57"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2.8970</w:t>
            </w:r>
          </w:p>
        </w:tc>
        <w:tc>
          <w:tcPr>
            <w:tcW w:w="1274" w:type="pct"/>
            <w:vAlign w:val="bottom"/>
          </w:tcPr>
          <w:p w14:paraId="5CEE0BD1"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2.5619</w:t>
            </w:r>
          </w:p>
        </w:tc>
        <w:tc>
          <w:tcPr>
            <w:tcW w:w="838" w:type="pct"/>
            <w:vAlign w:val="bottom"/>
          </w:tcPr>
          <w:p w14:paraId="33482705"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0.3352</w:t>
            </w:r>
          </w:p>
        </w:tc>
      </w:tr>
      <w:tr w:rsidR="00460E9B" w:rsidRPr="00B07FB9" w14:paraId="568CE422" w14:textId="77777777" w:rsidTr="00460E9B">
        <w:tc>
          <w:tcPr>
            <w:tcW w:w="4162" w:type="pct"/>
            <w:gridSpan w:val="3"/>
            <w:vAlign w:val="center"/>
          </w:tcPr>
          <w:p w14:paraId="138C263C" w14:textId="47DF0298"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Incremental cost/extra QALY gained</w:t>
            </w:r>
            <w:r w:rsidR="002145E9">
              <w:rPr>
                <w:rFonts w:ascii="Arial Narrow" w:eastAsiaTheme="majorEastAsia" w:hAnsi="Arial Narrow" w:cs="Times New Roman"/>
                <w:bCs/>
                <w:sz w:val="20"/>
              </w:rPr>
              <w:t xml:space="preserve"> ($)</w:t>
            </w:r>
          </w:p>
        </w:tc>
        <w:tc>
          <w:tcPr>
            <w:tcW w:w="838" w:type="pct"/>
          </w:tcPr>
          <w:p w14:paraId="02A3875E" w14:textId="1B6B3AAD" w:rsidR="00460E9B" w:rsidRPr="00B07FB9"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shd w:val="solid" w:color="000000" w:fill="000000"/>
                <w14:textFill>
                  <w14:solidFill>
                    <w14:srgbClr w14:val="000000">
                      <w14:alpha w14:val="100000"/>
                    </w14:srgbClr>
                  </w14:solidFill>
                </w14:textFill>
              </w:rPr>
              <w:t>|</w:t>
            </w:r>
            <w:r w:rsidR="002145E9" w:rsidRPr="002145E9">
              <w:rPr>
                <w:rFonts w:ascii="Arial Narrow" w:eastAsiaTheme="majorEastAsia" w:hAnsi="Arial Narrow" w:cs="Times New Roman"/>
                <w:bCs/>
                <w:sz w:val="20"/>
                <w:vertAlign w:val="superscript"/>
              </w:rPr>
              <w:t>2</w:t>
            </w:r>
          </w:p>
        </w:tc>
      </w:tr>
      <w:tr w:rsidR="00460E9B" w:rsidRPr="00B07FB9" w14:paraId="31B154DF" w14:textId="77777777" w:rsidTr="00460E9B">
        <w:tc>
          <w:tcPr>
            <w:tcW w:w="5000" w:type="pct"/>
            <w:gridSpan w:val="4"/>
            <w:vAlign w:val="center"/>
          </w:tcPr>
          <w:p w14:paraId="7618D507" w14:textId="77777777" w:rsidR="00460E9B" w:rsidRPr="00B07FB9" w:rsidRDefault="00460E9B" w:rsidP="00A4339A">
            <w:pPr>
              <w:keepNext/>
              <w:keepLines/>
              <w:widowControl w:val="0"/>
              <w:jc w:val="left"/>
              <w:rPr>
                <w:rFonts w:ascii="Arial Narrow" w:eastAsiaTheme="majorEastAsia" w:hAnsi="Arial Narrow" w:cs="Times New Roman"/>
                <w:b/>
                <w:sz w:val="20"/>
              </w:rPr>
            </w:pPr>
            <w:r w:rsidRPr="00B07FB9">
              <w:rPr>
                <w:rFonts w:ascii="Arial Narrow" w:eastAsiaTheme="majorEastAsia" w:hAnsi="Arial Narrow" w:cs="Times New Roman"/>
                <w:b/>
                <w:sz w:val="20"/>
              </w:rPr>
              <w:t xml:space="preserve">Step 6: Translation of </w:t>
            </w:r>
            <w:r w:rsidRPr="00B07FB9">
              <w:rPr>
                <w:rFonts w:ascii="Arial Narrow" w:eastAsiaTheme="majorEastAsia" w:hAnsi="Arial Narrow" w:cs="Times New Roman"/>
                <w:b/>
                <w:bCs/>
                <w:sz w:val="20"/>
              </w:rPr>
              <w:t>drug exposure</w:t>
            </w:r>
            <w:r w:rsidRPr="00B07FB9">
              <w:rPr>
                <w:rFonts w:ascii="Arial Narrow" w:eastAsiaTheme="majorEastAsia" w:hAnsi="Arial Narrow" w:cs="Times New Roman"/>
                <w:b/>
                <w:sz w:val="20"/>
              </w:rPr>
              <w:t xml:space="preserve"> to an Australian setting (PRIMA ITT cohort to ISD cohort)</w:t>
            </w:r>
          </w:p>
        </w:tc>
      </w:tr>
      <w:tr w:rsidR="00460E9B" w:rsidRPr="00B07FB9" w14:paraId="409A98FD" w14:textId="77777777" w:rsidTr="007A0897">
        <w:tc>
          <w:tcPr>
            <w:tcW w:w="1529" w:type="pct"/>
            <w:vAlign w:val="center"/>
          </w:tcPr>
          <w:p w14:paraId="7B11B511" w14:textId="5173671F"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Costs</w:t>
            </w:r>
            <w:r w:rsidR="002145E9">
              <w:rPr>
                <w:rFonts w:ascii="Arial Narrow" w:eastAsiaTheme="majorEastAsia" w:hAnsi="Arial Narrow" w:cs="Times New Roman"/>
                <w:bCs/>
                <w:sz w:val="20"/>
              </w:rPr>
              <w:t xml:space="preserve"> ($)</w:t>
            </w:r>
          </w:p>
        </w:tc>
        <w:tc>
          <w:tcPr>
            <w:tcW w:w="1359" w:type="pct"/>
            <w:shd w:val="solid" w:color="000000" w:fill="000000"/>
            <w:vAlign w:val="bottom"/>
          </w:tcPr>
          <w:p w14:paraId="715C4702" w14:textId="3853A730"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1274" w:type="pct"/>
            <w:shd w:val="solid" w:color="000000" w:fill="000000"/>
            <w:vAlign w:val="bottom"/>
          </w:tcPr>
          <w:p w14:paraId="7C1CFF0D" w14:textId="7AEE5BC7"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c>
          <w:tcPr>
            <w:tcW w:w="838" w:type="pct"/>
            <w:shd w:val="solid" w:color="000000" w:fill="000000"/>
            <w:vAlign w:val="bottom"/>
          </w:tcPr>
          <w:p w14:paraId="7F718224" w14:textId="356421A8" w:rsidR="00460E9B" w:rsidRPr="007A0897" w:rsidRDefault="007A0897" w:rsidP="00A4339A">
            <w:pPr>
              <w:keepNext/>
              <w:keepLines/>
              <w:widowControl w:val="0"/>
              <w:jc w:val="center"/>
              <w:rPr>
                <w:rFonts w:ascii="Arial Narrow" w:eastAsiaTheme="majorEastAsia" w:hAnsi="Arial Narrow" w:cs="Times New Roman"/>
                <w:bCs/>
                <w:sz w:val="20"/>
              </w:rPr>
            </w:pPr>
            <w:r w:rsidRPr="007A0897">
              <w:rPr>
                <w:rFonts w:ascii="Arial Narrow" w:eastAsiaTheme="majorEastAsia" w:hAnsi="Arial Narrow" w:cs="Times New Roman"/>
                <w:bCs/>
                <w:color w:val="000000"/>
                <w:sz w:val="20"/>
                <w14:textFill>
                  <w14:solidFill>
                    <w14:srgbClr w14:val="000000">
                      <w14:alpha w14:val="100000"/>
                    </w14:srgbClr>
                  </w14:solidFill>
                </w14:textFill>
              </w:rPr>
              <w:t>|</w:t>
            </w:r>
          </w:p>
        </w:tc>
      </w:tr>
      <w:tr w:rsidR="00460E9B" w:rsidRPr="00B07FB9" w14:paraId="097D2DE4" w14:textId="77777777" w:rsidTr="00460E9B">
        <w:tc>
          <w:tcPr>
            <w:tcW w:w="1529" w:type="pct"/>
            <w:vAlign w:val="center"/>
          </w:tcPr>
          <w:p w14:paraId="05EBE9C5" w14:textId="77777777" w:rsidR="00460E9B" w:rsidRPr="00B07FB9" w:rsidRDefault="00460E9B" w:rsidP="00A4339A">
            <w:pPr>
              <w:keepNext/>
              <w:keepLines/>
              <w:widowControl w:val="0"/>
              <w:jc w:val="left"/>
              <w:rPr>
                <w:rFonts w:ascii="Times" w:eastAsiaTheme="majorEastAsia" w:hAnsi="Times" w:cs="Times New Roman"/>
                <w:bCs/>
                <w:sz w:val="20"/>
              </w:rPr>
            </w:pPr>
            <w:r w:rsidRPr="00B07FB9">
              <w:rPr>
                <w:rFonts w:ascii="Arial Narrow" w:eastAsiaTheme="majorEastAsia" w:hAnsi="Arial Narrow" w:cs="Times New Roman"/>
                <w:bCs/>
                <w:sz w:val="20"/>
              </w:rPr>
              <w:t>QALYs</w:t>
            </w:r>
          </w:p>
        </w:tc>
        <w:tc>
          <w:tcPr>
            <w:tcW w:w="1359" w:type="pct"/>
            <w:vAlign w:val="bottom"/>
          </w:tcPr>
          <w:p w14:paraId="4673E576"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2.8970</w:t>
            </w:r>
          </w:p>
        </w:tc>
        <w:tc>
          <w:tcPr>
            <w:tcW w:w="1274" w:type="pct"/>
            <w:vAlign w:val="bottom"/>
          </w:tcPr>
          <w:p w14:paraId="6736B0DD"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2.5619</w:t>
            </w:r>
          </w:p>
        </w:tc>
        <w:tc>
          <w:tcPr>
            <w:tcW w:w="838" w:type="pct"/>
            <w:vAlign w:val="bottom"/>
          </w:tcPr>
          <w:p w14:paraId="382BF5B0" w14:textId="77777777" w:rsidR="00460E9B" w:rsidRPr="00B07FB9" w:rsidRDefault="00460E9B" w:rsidP="00A4339A">
            <w:pPr>
              <w:keepNext/>
              <w:keepLines/>
              <w:widowControl w:val="0"/>
              <w:jc w:val="center"/>
              <w:rPr>
                <w:rFonts w:ascii="Arial Narrow" w:eastAsiaTheme="majorEastAsia" w:hAnsi="Arial Narrow" w:cs="Times New Roman"/>
                <w:bCs/>
                <w:sz w:val="20"/>
              </w:rPr>
            </w:pPr>
            <w:r w:rsidRPr="00B07FB9">
              <w:rPr>
                <w:rFonts w:ascii="Arial Narrow" w:eastAsiaTheme="majorEastAsia" w:hAnsi="Arial Narrow" w:cs="Times New Roman"/>
                <w:bCs/>
                <w:sz w:val="20"/>
              </w:rPr>
              <w:t>0.3352</w:t>
            </w:r>
          </w:p>
        </w:tc>
      </w:tr>
      <w:tr w:rsidR="00460E9B" w:rsidRPr="00B07FB9" w14:paraId="6A49F69C" w14:textId="77777777" w:rsidTr="00460E9B">
        <w:tc>
          <w:tcPr>
            <w:tcW w:w="4162" w:type="pct"/>
            <w:gridSpan w:val="3"/>
            <w:vAlign w:val="center"/>
          </w:tcPr>
          <w:p w14:paraId="22564C36" w14:textId="5347EB4C" w:rsidR="00460E9B" w:rsidRPr="00B07FB9" w:rsidRDefault="00460E9B" w:rsidP="00A4339A">
            <w:pPr>
              <w:keepNext/>
              <w:keepLines/>
              <w:widowControl w:val="0"/>
              <w:jc w:val="left"/>
              <w:rPr>
                <w:rFonts w:ascii="Times" w:eastAsiaTheme="majorEastAsia" w:hAnsi="Times" w:cs="Times New Roman"/>
                <w:b/>
                <w:bCs/>
                <w:sz w:val="20"/>
              </w:rPr>
            </w:pPr>
            <w:r w:rsidRPr="00B07FB9">
              <w:rPr>
                <w:rFonts w:ascii="Arial Narrow" w:eastAsiaTheme="majorEastAsia" w:hAnsi="Arial Narrow" w:cs="Times New Roman"/>
                <w:b/>
                <w:bCs/>
                <w:sz w:val="20"/>
              </w:rPr>
              <w:t>Incremental cost/extra QALY gained (base case)</w:t>
            </w:r>
            <w:r w:rsidR="002145E9">
              <w:rPr>
                <w:rFonts w:ascii="Arial Narrow" w:eastAsiaTheme="majorEastAsia" w:hAnsi="Arial Narrow" w:cs="Times New Roman"/>
                <w:bCs/>
                <w:sz w:val="20"/>
              </w:rPr>
              <w:t xml:space="preserve"> ($)</w:t>
            </w:r>
          </w:p>
        </w:tc>
        <w:tc>
          <w:tcPr>
            <w:tcW w:w="838" w:type="pct"/>
            <w:vAlign w:val="center"/>
          </w:tcPr>
          <w:p w14:paraId="63B678ED" w14:textId="4F0068F0" w:rsidR="00460E9B" w:rsidRPr="00B07FB9" w:rsidRDefault="007A0897" w:rsidP="00A4339A">
            <w:pPr>
              <w:keepNext/>
              <w:keepLines/>
              <w:widowControl w:val="0"/>
              <w:jc w:val="center"/>
              <w:rPr>
                <w:rFonts w:ascii="Arial Narrow" w:eastAsiaTheme="majorEastAsia" w:hAnsi="Arial Narrow" w:cs="Times New Roman"/>
                <w:b/>
                <w:bCs/>
                <w:sz w:val="20"/>
              </w:rPr>
            </w:pPr>
            <w:r w:rsidRPr="007A0897">
              <w:rPr>
                <w:rFonts w:ascii="Arial Narrow" w:eastAsiaTheme="majorEastAsia" w:hAnsi="Arial Narrow" w:cs="Times New Roman"/>
                <w:b/>
                <w:bCs/>
                <w:color w:val="000000"/>
                <w:sz w:val="20"/>
                <w:shd w:val="solid" w:color="000000" w:fill="000000"/>
                <w14:textFill>
                  <w14:solidFill>
                    <w14:srgbClr w14:val="000000">
                      <w14:alpha w14:val="100000"/>
                    </w14:srgbClr>
                  </w14:solidFill>
                </w14:textFill>
              </w:rPr>
              <w:t>|</w:t>
            </w:r>
            <w:r w:rsidR="002145E9" w:rsidRPr="002145E9">
              <w:rPr>
                <w:rFonts w:ascii="Arial Narrow" w:eastAsiaTheme="majorEastAsia" w:hAnsi="Arial Narrow" w:cs="Times New Roman"/>
                <w:bCs/>
                <w:sz w:val="20"/>
                <w:vertAlign w:val="superscript"/>
              </w:rPr>
              <w:t>2</w:t>
            </w:r>
          </w:p>
        </w:tc>
      </w:tr>
      <w:tr w:rsidR="00460E9B" w:rsidRPr="00B07FB9" w14:paraId="44415B1D" w14:textId="77777777" w:rsidTr="007A0897">
        <w:tc>
          <w:tcPr>
            <w:tcW w:w="4162" w:type="pct"/>
            <w:gridSpan w:val="3"/>
            <w:shd w:val="clear" w:color="auto" w:fill="CCECFF"/>
            <w:vAlign w:val="center"/>
          </w:tcPr>
          <w:p w14:paraId="3286A8B2" w14:textId="77777777" w:rsidR="00460E9B" w:rsidRPr="00B07FB9" w:rsidRDefault="00460E9B" w:rsidP="00A4339A">
            <w:pPr>
              <w:pStyle w:val="TableText0"/>
              <w:keepLines/>
              <w:widowControl w:val="0"/>
              <w:rPr>
                <w:rFonts w:cs="Times New Roman"/>
                <w:b/>
              </w:rPr>
            </w:pPr>
            <w:r w:rsidRPr="00B07FB9">
              <w:t>July 2021 Submission</w:t>
            </w:r>
          </w:p>
        </w:tc>
        <w:tc>
          <w:tcPr>
            <w:tcW w:w="838" w:type="pct"/>
            <w:tcBorders>
              <w:bottom w:val="single" w:sz="4" w:space="0" w:color="auto"/>
            </w:tcBorders>
            <w:shd w:val="clear" w:color="auto" w:fill="CCECFF"/>
            <w:vAlign w:val="center"/>
          </w:tcPr>
          <w:p w14:paraId="73028F53" w14:textId="77777777" w:rsidR="00460E9B" w:rsidRPr="00B07FB9" w:rsidRDefault="00460E9B" w:rsidP="00A4339A">
            <w:pPr>
              <w:keepNext/>
              <w:keepLines/>
              <w:widowControl w:val="0"/>
              <w:jc w:val="center"/>
              <w:rPr>
                <w:rFonts w:ascii="Arial Narrow" w:eastAsiaTheme="majorEastAsia" w:hAnsi="Arial Narrow" w:cs="Times New Roman"/>
                <w:b/>
                <w:bCs/>
                <w:sz w:val="20"/>
              </w:rPr>
            </w:pPr>
          </w:p>
        </w:tc>
      </w:tr>
      <w:tr w:rsidR="00460E9B" w:rsidRPr="00B07FB9" w14:paraId="2065DC10" w14:textId="77777777" w:rsidTr="007A0897">
        <w:tc>
          <w:tcPr>
            <w:tcW w:w="1529" w:type="pct"/>
            <w:shd w:val="clear" w:color="auto" w:fill="CCECFF"/>
            <w:vAlign w:val="center"/>
          </w:tcPr>
          <w:p w14:paraId="1A513A09" w14:textId="091AB70D" w:rsidR="00460E9B" w:rsidRPr="00B07FB9" w:rsidRDefault="00460E9B" w:rsidP="00A4339A">
            <w:pPr>
              <w:pStyle w:val="TableText0"/>
              <w:keepLines/>
              <w:widowControl w:val="0"/>
              <w:rPr>
                <w:rFonts w:cs="Times New Roman"/>
              </w:rPr>
            </w:pPr>
            <w:r w:rsidRPr="00B07FB9">
              <w:t>Costs</w:t>
            </w:r>
            <w:r w:rsidR="002145E9">
              <w:rPr>
                <w:rFonts w:cs="Times New Roman"/>
                <w:bCs w:val="0"/>
              </w:rPr>
              <w:t xml:space="preserve"> ($)</w:t>
            </w:r>
          </w:p>
        </w:tc>
        <w:tc>
          <w:tcPr>
            <w:tcW w:w="1359" w:type="pct"/>
            <w:shd w:val="solid" w:color="000000" w:fill="000000"/>
            <w:vAlign w:val="center"/>
          </w:tcPr>
          <w:p w14:paraId="392C1E39" w14:textId="180524CF" w:rsidR="00460E9B" w:rsidRPr="007A0897" w:rsidRDefault="007A0897" w:rsidP="00A4339A">
            <w:pPr>
              <w:pStyle w:val="TableText0"/>
              <w:keepLines/>
              <w:widowControl w:val="0"/>
              <w:jc w:val="center"/>
              <w:rPr>
                <w:rFonts w:cs="Times New Roman"/>
              </w:rPr>
            </w:pPr>
            <w:r w:rsidRPr="007A0897">
              <w:rPr>
                <w:color w:val="000000"/>
                <w14:textFill>
                  <w14:solidFill>
                    <w14:srgbClr w14:val="000000">
                      <w14:alpha w14:val="100000"/>
                    </w14:srgbClr>
                  </w14:solidFill>
                </w14:textFill>
              </w:rPr>
              <w:t>|</w:t>
            </w:r>
          </w:p>
        </w:tc>
        <w:tc>
          <w:tcPr>
            <w:tcW w:w="1274" w:type="pct"/>
            <w:shd w:val="solid" w:color="000000" w:fill="000000"/>
            <w:vAlign w:val="center"/>
          </w:tcPr>
          <w:p w14:paraId="6C9037F6" w14:textId="09AB3639" w:rsidR="00460E9B" w:rsidRPr="007A0897" w:rsidRDefault="007A0897" w:rsidP="00A4339A">
            <w:pPr>
              <w:pStyle w:val="TableText0"/>
              <w:keepLines/>
              <w:widowControl w:val="0"/>
              <w:jc w:val="center"/>
              <w:rPr>
                <w:rFonts w:cs="Times New Roman"/>
              </w:rPr>
            </w:pPr>
            <w:r w:rsidRPr="007A0897">
              <w:rPr>
                <w:color w:val="000000"/>
                <w14:textFill>
                  <w14:solidFill>
                    <w14:srgbClr w14:val="000000">
                      <w14:alpha w14:val="100000"/>
                    </w14:srgbClr>
                  </w14:solidFill>
                </w14:textFill>
              </w:rPr>
              <w:t>|</w:t>
            </w:r>
          </w:p>
        </w:tc>
        <w:tc>
          <w:tcPr>
            <w:tcW w:w="838" w:type="pct"/>
            <w:shd w:val="solid" w:color="000000" w:fill="000000"/>
            <w:vAlign w:val="center"/>
          </w:tcPr>
          <w:p w14:paraId="73BFCE9A" w14:textId="4F771C51" w:rsidR="00460E9B" w:rsidRPr="007A0897" w:rsidRDefault="007A0897" w:rsidP="00A4339A">
            <w:pPr>
              <w:pStyle w:val="TableText0"/>
              <w:keepLines/>
              <w:widowControl w:val="0"/>
              <w:jc w:val="center"/>
              <w:rPr>
                <w:rFonts w:cs="Times New Roman"/>
              </w:rPr>
            </w:pPr>
            <w:r w:rsidRPr="007A0897">
              <w:rPr>
                <w:color w:val="000000"/>
                <w14:textFill>
                  <w14:solidFill>
                    <w14:srgbClr w14:val="000000">
                      <w14:alpha w14:val="100000"/>
                    </w14:srgbClr>
                  </w14:solidFill>
                </w14:textFill>
              </w:rPr>
              <w:t>|</w:t>
            </w:r>
          </w:p>
        </w:tc>
      </w:tr>
      <w:tr w:rsidR="00460E9B" w:rsidRPr="00B07FB9" w14:paraId="37950ACC" w14:textId="77777777" w:rsidTr="00460E9B">
        <w:tc>
          <w:tcPr>
            <w:tcW w:w="1529" w:type="pct"/>
            <w:shd w:val="clear" w:color="auto" w:fill="CCECFF"/>
            <w:vAlign w:val="center"/>
          </w:tcPr>
          <w:p w14:paraId="7EB81DDC" w14:textId="77777777" w:rsidR="00460E9B" w:rsidRPr="00B07FB9" w:rsidRDefault="00460E9B" w:rsidP="00A4339A">
            <w:pPr>
              <w:pStyle w:val="TableText0"/>
              <w:keepLines/>
              <w:widowControl w:val="0"/>
              <w:rPr>
                <w:rFonts w:cs="Times New Roman"/>
              </w:rPr>
            </w:pPr>
            <w:r w:rsidRPr="00B07FB9">
              <w:t>QALYs</w:t>
            </w:r>
          </w:p>
        </w:tc>
        <w:tc>
          <w:tcPr>
            <w:tcW w:w="1359" w:type="pct"/>
            <w:shd w:val="clear" w:color="auto" w:fill="CCECFF"/>
            <w:vAlign w:val="center"/>
          </w:tcPr>
          <w:p w14:paraId="785E8F22" w14:textId="77777777" w:rsidR="00460E9B" w:rsidRPr="00B07FB9" w:rsidRDefault="00460E9B" w:rsidP="00A4339A">
            <w:pPr>
              <w:pStyle w:val="TableText0"/>
              <w:keepLines/>
              <w:widowControl w:val="0"/>
              <w:jc w:val="center"/>
              <w:rPr>
                <w:rFonts w:cs="Times New Roman"/>
              </w:rPr>
            </w:pPr>
            <w:r w:rsidRPr="00B07FB9">
              <w:t>3.77</w:t>
            </w:r>
          </w:p>
        </w:tc>
        <w:tc>
          <w:tcPr>
            <w:tcW w:w="1274" w:type="pct"/>
            <w:shd w:val="clear" w:color="auto" w:fill="CCECFF"/>
            <w:vAlign w:val="center"/>
          </w:tcPr>
          <w:p w14:paraId="5EA60243" w14:textId="77777777" w:rsidR="00460E9B" w:rsidRPr="00B07FB9" w:rsidRDefault="00460E9B" w:rsidP="00A4339A">
            <w:pPr>
              <w:pStyle w:val="TableText0"/>
              <w:keepLines/>
              <w:widowControl w:val="0"/>
              <w:jc w:val="center"/>
              <w:rPr>
                <w:rFonts w:cs="Times New Roman"/>
              </w:rPr>
            </w:pPr>
            <w:r w:rsidRPr="00B07FB9">
              <w:t>3.38</w:t>
            </w:r>
          </w:p>
        </w:tc>
        <w:tc>
          <w:tcPr>
            <w:tcW w:w="838" w:type="pct"/>
            <w:shd w:val="clear" w:color="auto" w:fill="CCECFF"/>
            <w:vAlign w:val="center"/>
          </w:tcPr>
          <w:p w14:paraId="21B1A85F" w14:textId="77777777" w:rsidR="00460E9B" w:rsidRPr="00B07FB9" w:rsidRDefault="00460E9B" w:rsidP="00A4339A">
            <w:pPr>
              <w:pStyle w:val="TableText0"/>
              <w:keepLines/>
              <w:widowControl w:val="0"/>
              <w:jc w:val="center"/>
              <w:rPr>
                <w:rFonts w:cs="Times New Roman"/>
              </w:rPr>
            </w:pPr>
            <w:r w:rsidRPr="00B07FB9">
              <w:t>0.39</w:t>
            </w:r>
          </w:p>
        </w:tc>
      </w:tr>
      <w:tr w:rsidR="00460E9B" w:rsidRPr="00B07FB9" w14:paraId="4B2D5E70" w14:textId="77777777" w:rsidTr="00460E9B">
        <w:tc>
          <w:tcPr>
            <w:tcW w:w="4162" w:type="pct"/>
            <w:gridSpan w:val="3"/>
            <w:shd w:val="clear" w:color="auto" w:fill="CCECFF"/>
            <w:vAlign w:val="center"/>
          </w:tcPr>
          <w:p w14:paraId="6BCBF61E" w14:textId="60ED2B89" w:rsidR="00460E9B" w:rsidRPr="00B07FB9" w:rsidRDefault="00460E9B" w:rsidP="00A4339A">
            <w:pPr>
              <w:pStyle w:val="TableText0"/>
              <w:keepLines/>
              <w:widowControl w:val="0"/>
              <w:rPr>
                <w:rFonts w:cs="Times New Roman"/>
              </w:rPr>
            </w:pPr>
            <w:r w:rsidRPr="00B07FB9">
              <w:rPr>
                <w:b/>
              </w:rPr>
              <w:t>Incremental cost/extra QALY gained (base case)</w:t>
            </w:r>
            <w:r w:rsidR="002145E9">
              <w:rPr>
                <w:rFonts w:cs="Times New Roman"/>
                <w:bCs w:val="0"/>
              </w:rPr>
              <w:t xml:space="preserve"> ($)</w:t>
            </w:r>
          </w:p>
        </w:tc>
        <w:tc>
          <w:tcPr>
            <w:tcW w:w="838" w:type="pct"/>
            <w:shd w:val="clear" w:color="auto" w:fill="CCECFF"/>
            <w:vAlign w:val="bottom"/>
          </w:tcPr>
          <w:p w14:paraId="0AADDE14" w14:textId="6B0B0179" w:rsidR="00460E9B" w:rsidRPr="00B07FB9" w:rsidRDefault="007A0897" w:rsidP="00A4339A">
            <w:pPr>
              <w:pStyle w:val="TableText0"/>
              <w:keepLines/>
              <w:widowControl w:val="0"/>
              <w:jc w:val="center"/>
              <w:rPr>
                <w:rFonts w:cs="Times New Roman"/>
              </w:rPr>
            </w:pPr>
            <w:r w:rsidRPr="007A0897">
              <w:rPr>
                <w:b/>
                <w:color w:val="000000"/>
                <w:shd w:val="solid" w:color="000000" w:fill="000000"/>
                <w14:textFill>
                  <w14:solidFill>
                    <w14:srgbClr w14:val="000000">
                      <w14:alpha w14:val="100000"/>
                    </w14:srgbClr>
                  </w14:solidFill>
                </w14:textFill>
              </w:rPr>
              <w:t>|</w:t>
            </w:r>
            <w:r w:rsidR="002145E9" w:rsidRPr="002145E9">
              <w:rPr>
                <w:rFonts w:cs="Times New Roman"/>
                <w:bCs w:val="0"/>
                <w:vertAlign w:val="superscript"/>
              </w:rPr>
              <w:t>2</w:t>
            </w:r>
          </w:p>
        </w:tc>
      </w:tr>
    </w:tbl>
    <w:p w14:paraId="268CB8DE" w14:textId="77777777" w:rsidR="00460E9B" w:rsidRPr="00B07FB9" w:rsidRDefault="00460E9B" w:rsidP="000C6F49">
      <w:pPr>
        <w:pStyle w:val="TableFigureFooter"/>
        <w:widowControl w:val="0"/>
      </w:pPr>
      <w:r w:rsidRPr="00B07FB9">
        <w:t>Source: Table 87, p55 of the submission and ‘CUA Results’ worksheet of the Excel workbook ‘</w:t>
      </w:r>
      <w:proofErr w:type="spellStart"/>
      <w:r w:rsidRPr="00B07FB9">
        <w:t>Zejula</w:t>
      </w:r>
      <w:proofErr w:type="spellEnd"/>
      <w:r w:rsidRPr="00B07FB9">
        <w:t xml:space="preserve"> (niraparib) 1L </w:t>
      </w:r>
      <w:proofErr w:type="spellStart"/>
      <w:r w:rsidRPr="00B07FB9">
        <w:t>nonBRCAm</w:t>
      </w:r>
      <w:proofErr w:type="spellEnd"/>
      <w:r w:rsidRPr="00B07FB9">
        <w:t xml:space="preserve"> CUA’ </w:t>
      </w:r>
    </w:p>
    <w:p w14:paraId="7F9CEFBE" w14:textId="77777777" w:rsidR="00460E9B" w:rsidRPr="00B07FB9" w:rsidRDefault="00460E9B" w:rsidP="000C6F49">
      <w:pPr>
        <w:pStyle w:val="TableFigureFooter"/>
        <w:widowControl w:val="0"/>
      </w:pPr>
      <w:r w:rsidRPr="00B07FB9">
        <w:t>ISD = individualised starting dose; ITT = intent-to-treat; LY = life-year; OS = overall survival; PFLY = progression-free life year; PFS = progression free survival; QALY = quality-adjusted life-year; TTD = time to treatment discontinuation</w:t>
      </w:r>
    </w:p>
    <w:p w14:paraId="42A636B9" w14:textId="356CE41B" w:rsidR="00460E9B" w:rsidRDefault="00460E9B" w:rsidP="002145E9">
      <w:pPr>
        <w:pStyle w:val="TableFigureFooter"/>
        <w:widowControl w:val="0"/>
        <w:spacing w:after="0"/>
        <w:rPr>
          <w:rStyle w:val="CommentReference"/>
          <w:b w:val="0"/>
          <w:bCs/>
          <w:iCs/>
          <w:sz w:val="16"/>
        </w:rPr>
      </w:pPr>
      <w:r w:rsidRPr="00B07FB9">
        <w:t xml:space="preserve">Note: </w:t>
      </w:r>
      <w:r w:rsidRPr="00B07FB9">
        <w:rPr>
          <w:shd w:val="clear" w:color="auto" w:fill="CCECFF"/>
        </w:rPr>
        <w:t>Blue shading</w:t>
      </w:r>
      <w:r w:rsidRPr="00B07FB9">
        <w:t xml:space="preserve"> indicates data previously seen by the PBAC</w:t>
      </w:r>
      <w:r w:rsidRPr="00B07FB9">
        <w:rPr>
          <w:rStyle w:val="CommentReference"/>
          <w:b w:val="0"/>
          <w:bCs/>
          <w:iCs/>
          <w:sz w:val="16"/>
        </w:rPr>
        <w:t>.</w:t>
      </w:r>
    </w:p>
    <w:p w14:paraId="63007629" w14:textId="77777777" w:rsidR="002145E9" w:rsidRPr="009A6D58" w:rsidRDefault="002145E9" w:rsidP="002145E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3C1FCF4" w14:textId="578CC896" w:rsidR="002145E9" w:rsidRPr="009A6D58" w:rsidRDefault="002145E9" w:rsidP="002145E9">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145E9">
        <w:rPr>
          <w:rFonts w:ascii="Arial Narrow" w:hAnsi="Arial Narrow"/>
          <w:i/>
          <w:sz w:val="18"/>
          <w:szCs w:val="18"/>
        </w:rPr>
        <w:t>$115,000 to &lt; $135,000</w:t>
      </w:r>
    </w:p>
    <w:p w14:paraId="6411F25B" w14:textId="32F509F0" w:rsidR="002145E9" w:rsidRPr="009A6D58" w:rsidRDefault="002145E9" w:rsidP="002145E9">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2145E9">
        <w:rPr>
          <w:rFonts w:ascii="Arial Narrow" w:hAnsi="Arial Narrow"/>
          <w:i/>
          <w:sz w:val="18"/>
          <w:szCs w:val="18"/>
        </w:rPr>
        <w:t>$55,000 to &lt; $75,000</w:t>
      </w:r>
    </w:p>
    <w:p w14:paraId="2D77ABA4" w14:textId="14822FF3" w:rsidR="002145E9" w:rsidRPr="00B07FB9" w:rsidRDefault="002145E9" w:rsidP="002145E9">
      <w:pPr>
        <w:spacing w:after="240"/>
      </w:pPr>
      <w:r w:rsidRPr="009A6D58">
        <w:rPr>
          <w:rFonts w:ascii="Arial Narrow" w:hAnsi="Arial Narrow"/>
          <w:i/>
          <w:sz w:val="18"/>
          <w:szCs w:val="18"/>
          <w:vertAlign w:val="superscript"/>
        </w:rPr>
        <w:t>3</w:t>
      </w:r>
      <w:r>
        <w:rPr>
          <w:rFonts w:ascii="Arial Narrow" w:hAnsi="Arial Narrow"/>
          <w:i/>
          <w:sz w:val="18"/>
          <w:szCs w:val="18"/>
        </w:rPr>
        <w:t xml:space="preserve"> </w:t>
      </w:r>
      <w:r w:rsidRPr="002145E9">
        <w:rPr>
          <w:rFonts w:ascii="Arial Narrow" w:hAnsi="Arial Narrow"/>
          <w:i/>
          <w:sz w:val="18"/>
          <w:szCs w:val="18"/>
        </w:rPr>
        <w:t>$45,000 to &lt; $55,000</w:t>
      </w:r>
    </w:p>
    <w:p w14:paraId="7D8E23DB" w14:textId="77777777" w:rsidR="00460E9B" w:rsidRPr="00B07FB9" w:rsidRDefault="00460E9B" w:rsidP="000C6F49">
      <w:pPr>
        <w:pStyle w:val="3-BodyText"/>
        <w:widowControl w:val="0"/>
      </w:pPr>
      <w:r w:rsidRPr="00B07FB9">
        <w:t xml:space="preserve">The results of key sensitivity analyses are summarised below. </w:t>
      </w:r>
    </w:p>
    <w:p w14:paraId="510281CB" w14:textId="6A20DDAE" w:rsidR="00460E9B" w:rsidRPr="00B07FB9" w:rsidRDefault="00460E9B" w:rsidP="00A4339A">
      <w:pPr>
        <w:pStyle w:val="TableFigureHeading"/>
        <w:keepLines/>
        <w:widowControl w:val="0"/>
        <w:rPr>
          <w:rStyle w:val="CommentReference"/>
          <w:rFonts w:ascii="Calibri" w:hAnsi="Calibri"/>
          <w:b/>
          <w:sz w:val="18"/>
          <w:szCs w:val="18"/>
        </w:rPr>
      </w:pPr>
      <w:bookmarkStart w:id="45" w:name="_Ref92879374"/>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15</w:t>
      </w:r>
      <w:r w:rsidR="00385E8C">
        <w:fldChar w:fldCharType="end"/>
      </w:r>
      <w:bookmarkEnd w:id="45"/>
      <w:r w:rsidRPr="00B07FB9">
        <w:t>: Results of key sensitivity analyses</w:t>
      </w:r>
    </w:p>
    <w:tbl>
      <w:tblPr>
        <w:tblStyle w:val="Submissionstandard"/>
        <w:tblW w:w="5000" w:type="pct"/>
        <w:tblLayout w:type="fixed"/>
        <w:tblCellMar>
          <w:top w:w="11" w:type="dxa"/>
          <w:left w:w="28" w:type="dxa"/>
          <w:bottom w:w="11" w:type="dxa"/>
          <w:right w:w="28" w:type="dxa"/>
        </w:tblCellMar>
        <w:tblLook w:val="04A0" w:firstRow="1" w:lastRow="0" w:firstColumn="1" w:lastColumn="0" w:noHBand="0" w:noVBand="1"/>
        <w:tblCaption w:val="Table 15: Results of key sensitivity analyses"/>
      </w:tblPr>
      <w:tblGrid>
        <w:gridCol w:w="4542"/>
        <w:gridCol w:w="1122"/>
        <w:gridCol w:w="1122"/>
        <w:gridCol w:w="1122"/>
        <w:gridCol w:w="1109"/>
      </w:tblGrid>
      <w:tr w:rsidR="00460E9B" w:rsidRPr="00B07FB9" w14:paraId="6FC28ABC" w14:textId="77777777" w:rsidTr="007A0897">
        <w:trPr>
          <w:cnfStyle w:val="100000000000" w:firstRow="1" w:lastRow="0" w:firstColumn="0" w:lastColumn="0" w:oddVBand="0" w:evenVBand="0" w:oddHBand="0" w:evenHBand="0" w:firstRowFirstColumn="0" w:firstRowLastColumn="0" w:lastRowFirstColumn="0" w:lastRowLastColumn="0"/>
          <w:trHeight w:val="20"/>
          <w:tblHeader/>
        </w:trPr>
        <w:tc>
          <w:tcPr>
            <w:tcW w:w="2519" w:type="pct"/>
            <w:shd w:val="clear" w:color="auto" w:fill="auto"/>
          </w:tcPr>
          <w:p w14:paraId="683A1EB0" w14:textId="77777777" w:rsidR="00460E9B" w:rsidRPr="00B07FB9" w:rsidRDefault="00460E9B" w:rsidP="00A4339A">
            <w:pPr>
              <w:pStyle w:val="In-tableHeading"/>
              <w:keepLines/>
              <w:widowControl w:val="0"/>
              <w:rPr>
                <w:b/>
                <w:lang w:val="en-AU"/>
              </w:rPr>
            </w:pPr>
            <w:r w:rsidRPr="00B07FB9">
              <w:rPr>
                <w:b/>
                <w:lang w:val="en-AU"/>
              </w:rPr>
              <w:t>Model variable</w:t>
            </w:r>
          </w:p>
        </w:tc>
        <w:tc>
          <w:tcPr>
            <w:tcW w:w="622" w:type="pct"/>
            <w:tcBorders>
              <w:bottom w:val="single" w:sz="4" w:space="0" w:color="auto"/>
            </w:tcBorders>
            <w:shd w:val="clear" w:color="auto" w:fill="auto"/>
            <w:vAlign w:val="center"/>
          </w:tcPr>
          <w:p w14:paraId="18B82CE4" w14:textId="131D1B0F" w:rsidR="00460E9B" w:rsidRPr="00B07FB9" w:rsidRDefault="00460E9B" w:rsidP="00A4339A">
            <w:pPr>
              <w:pStyle w:val="In-tableHeading"/>
              <w:keepLines/>
              <w:widowControl w:val="0"/>
              <w:jc w:val="center"/>
              <w:rPr>
                <w:b/>
                <w:lang w:val="en-AU"/>
              </w:rPr>
            </w:pPr>
            <w:r w:rsidRPr="00B07FB9">
              <w:rPr>
                <w:b/>
                <w:lang w:val="en-AU"/>
              </w:rPr>
              <w:t>Incremental cost</w:t>
            </w:r>
            <w:r w:rsidR="002145E9">
              <w:rPr>
                <w:b/>
                <w:lang w:val="en-AU"/>
              </w:rPr>
              <w:t xml:space="preserve"> ($)</w:t>
            </w:r>
          </w:p>
        </w:tc>
        <w:tc>
          <w:tcPr>
            <w:tcW w:w="622" w:type="pct"/>
            <w:shd w:val="clear" w:color="auto" w:fill="auto"/>
            <w:vAlign w:val="center"/>
          </w:tcPr>
          <w:p w14:paraId="6C9EF055" w14:textId="77777777" w:rsidR="00460E9B" w:rsidRPr="00B07FB9" w:rsidRDefault="00460E9B" w:rsidP="00A4339A">
            <w:pPr>
              <w:pStyle w:val="In-tableHeading"/>
              <w:keepLines/>
              <w:widowControl w:val="0"/>
              <w:jc w:val="center"/>
              <w:rPr>
                <w:b/>
                <w:lang w:val="en-AU"/>
              </w:rPr>
            </w:pPr>
            <w:r w:rsidRPr="00B07FB9">
              <w:rPr>
                <w:b/>
                <w:lang w:val="en-AU"/>
              </w:rPr>
              <w:t>Incremental QALYs</w:t>
            </w:r>
          </w:p>
        </w:tc>
        <w:tc>
          <w:tcPr>
            <w:tcW w:w="622" w:type="pct"/>
            <w:shd w:val="clear" w:color="auto" w:fill="auto"/>
            <w:vAlign w:val="center"/>
          </w:tcPr>
          <w:p w14:paraId="2876CDFD" w14:textId="35F49EB4" w:rsidR="00460E9B" w:rsidRPr="00B07FB9" w:rsidRDefault="00460E9B" w:rsidP="00A4339A">
            <w:pPr>
              <w:pStyle w:val="In-tableHeading"/>
              <w:keepLines/>
              <w:widowControl w:val="0"/>
              <w:jc w:val="center"/>
              <w:rPr>
                <w:b/>
                <w:lang w:val="en-AU"/>
              </w:rPr>
            </w:pPr>
            <w:r w:rsidRPr="00B07FB9">
              <w:rPr>
                <w:b/>
                <w:lang w:val="en-AU"/>
              </w:rPr>
              <w:t>ICER per QALY</w:t>
            </w:r>
            <w:r w:rsidR="002145E9">
              <w:rPr>
                <w:b/>
                <w:lang w:val="en-AU"/>
              </w:rPr>
              <w:t xml:space="preserve"> ($)</w:t>
            </w:r>
          </w:p>
        </w:tc>
        <w:tc>
          <w:tcPr>
            <w:tcW w:w="615" w:type="pct"/>
            <w:shd w:val="clear" w:color="auto" w:fill="auto"/>
            <w:vAlign w:val="center"/>
          </w:tcPr>
          <w:p w14:paraId="70C925F8" w14:textId="77777777" w:rsidR="00460E9B" w:rsidRPr="00B07FB9" w:rsidRDefault="00460E9B" w:rsidP="00A4339A">
            <w:pPr>
              <w:pStyle w:val="In-tableHeading"/>
              <w:keepLines/>
              <w:widowControl w:val="0"/>
              <w:jc w:val="center"/>
              <w:rPr>
                <w:b/>
                <w:lang w:val="en-AU"/>
              </w:rPr>
            </w:pPr>
            <w:r w:rsidRPr="00B07FB9">
              <w:rPr>
                <w:b/>
                <w:lang w:val="en-AU"/>
              </w:rPr>
              <w:t>% difference</w:t>
            </w:r>
          </w:p>
        </w:tc>
      </w:tr>
      <w:tr w:rsidR="00460E9B" w:rsidRPr="00B07FB9" w14:paraId="49016DB7" w14:textId="77777777" w:rsidTr="007A0897">
        <w:trPr>
          <w:trHeight w:val="20"/>
        </w:trPr>
        <w:tc>
          <w:tcPr>
            <w:tcW w:w="2519" w:type="pct"/>
            <w:tcBorders>
              <w:bottom w:val="single" w:sz="4" w:space="0" w:color="auto"/>
            </w:tcBorders>
            <w:shd w:val="clear" w:color="auto" w:fill="auto"/>
          </w:tcPr>
          <w:p w14:paraId="15514104" w14:textId="77777777" w:rsidR="00460E9B" w:rsidRPr="00B07FB9" w:rsidRDefault="00460E9B" w:rsidP="00A4339A">
            <w:pPr>
              <w:pStyle w:val="TableText0"/>
              <w:keepLines/>
              <w:widowControl w:val="0"/>
              <w:rPr>
                <w:lang w:val="en-AU"/>
              </w:rPr>
            </w:pPr>
            <w:r w:rsidRPr="00B07FB9">
              <w:rPr>
                <w:lang w:val="en-AU"/>
              </w:rPr>
              <w:t>Base case</w:t>
            </w:r>
          </w:p>
        </w:tc>
        <w:tc>
          <w:tcPr>
            <w:tcW w:w="622" w:type="pct"/>
            <w:tcBorders>
              <w:bottom w:val="single" w:sz="4" w:space="0" w:color="auto"/>
            </w:tcBorders>
            <w:shd w:val="solid" w:color="000000" w:fill="000000"/>
            <w:vAlign w:val="center"/>
          </w:tcPr>
          <w:p w14:paraId="6937ED86" w14:textId="20D83CC2" w:rsidR="00460E9B" w:rsidRPr="007A0897" w:rsidRDefault="007A0897" w:rsidP="00A4339A">
            <w:pPr>
              <w:pStyle w:val="TableText0"/>
              <w:keepLines/>
              <w:widowControl w:val="0"/>
              <w:jc w:val="center"/>
              <w:rPr>
                <w:lang w:val="en-AU"/>
              </w:rPr>
            </w:pPr>
            <w:r w:rsidRPr="00385E8C">
              <w:rPr>
                <w:rFonts w:hint="eastAsia"/>
                <w:color w:val="000000"/>
                <w:w w:val="15"/>
                <w:fitText w:val="20" w:id="-1500824824"/>
                <w:lang w:val="en-AU"/>
                <w14:textFill>
                  <w14:solidFill>
                    <w14:srgbClr w14:val="000000">
                      <w14:alpha w14:val="100000"/>
                    </w14:srgbClr>
                  </w14:solidFill>
                </w14:textFill>
              </w:rPr>
              <w:t xml:space="preserve">　</w:t>
            </w:r>
            <w:r w:rsidRPr="00385E8C">
              <w:rPr>
                <w:color w:val="000000"/>
                <w:w w:val="15"/>
                <w:fitText w:val="20" w:id="-1500824824"/>
                <w:lang w:val="en-AU"/>
                <w14:textFill>
                  <w14:solidFill>
                    <w14:srgbClr w14:val="000000">
                      <w14:alpha w14:val="100000"/>
                    </w14:srgbClr>
                  </w14:solidFill>
                </w14:textFill>
              </w:rPr>
              <w:t>|</w:t>
            </w:r>
            <w:r w:rsidRPr="00385E8C">
              <w:rPr>
                <w:rFonts w:hint="eastAsia"/>
                <w:color w:val="000000"/>
                <w:spacing w:val="-45"/>
                <w:w w:val="15"/>
                <w:fitText w:val="20" w:id="-1500824824"/>
                <w:lang w:val="en-AU"/>
                <w14:textFill>
                  <w14:solidFill>
                    <w14:srgbClr w14:val="000000">
                      <w14:alpha w14:val="100000"/>
                    </w14:srgbClr>
                  </w14:solidFill>
                </w14:textFill>
              </w:rPr>
              <w:t xml:space="preserve">　</w:t>
            </w:r>
          </w:p>
        </w:tc>
        <w:tc>
          <w:tcPr>
            <w:tcW w:w="622" w:type="pct"/>
            <w:tcBorders>
              <w:bottom w:val="single" w:sz="4" w:space="0" w:color="auto"/>
            </w:tcBorders>
            <w:shd w:val="clear" w:color="auto" w:fill="auto"/>
            <w:vAlign w:val="center"/>
          </w:tcPr>
          <w:p w14:paraId="21A01AED" w14:textId="77777777" w:rsidR="00460E9B" w:rsidRPr="00B07FB9" w:rsidRDefault="00460E9B" w:rsidP="00A4339A">
            <w:pPr>
              <w:pStyle w:val="TableText0"/>
              <w:keepLines/>
              <w:widowControl w:val="0"/>
              <w:jc w:val="center"/>
              <w:rPr>
                <w:lang w:val="en-AU"/>
              </w:rPr>
            </w:pPr>
            <w:r w:rsidRPr="00B07FB9">
              <w:rPr>
                <w:lang w:val="en-AU"/>
              </w:rPr>
              <w:t>0.3352</w:t>
            </w:r>
          </w:p>
        </w:tc>
        <w:tc>
          <w:tcPr>
            <w:tcW w:w="622" w:type="pct"/>
            <w:tcBorders>
              <w:bottom w:val="single" w:sz="4" w:space="0" w:color="auto"/>
            </w:tcBorders>
            <w:shd w:val="clear" w:color="auto" w:fill="auto"/>
            <w:vAlign w:val="center"/>
          </w:tcPr>
          <w:p w14:paraId="1635C97F" w14:textId="5D3C2B0C" w:rsidR="00460E9B" w:rsidRPr="005D778D" w:rsidRDefault="007A0897" w:rsidP="00A4339A">
            <w:pPr>
              <w:pStyle w:val="TableText0"/>
              <w:keepLines/>
              <w:widowControl w:val="0"/>
              <w:jc w:val="center"/>
              <w:rPr>
                <w:highlight w:val="yellow"/>
                <w:vertAlign w:val="superscript"/>
                <w:lang w:val="en-AU"/>
              </w:rPr>
            </w:pPr>
            <w:r w:rsidRPr="007A0897">
              <w:rPr>
                <w:rFonts w:hint="eastAsia"/>
                <w:color w:val="000000"/>
                <w:w w:val="15"/>
                <w:shd w:val="solid" w:color="000000" w:fill="000000"/>
                <w:fitText w:val="50" w:id="-1500824823"/>
                <w:lang w:val="en-AU"/>
                <w14:textFill>
                  <w14:solidFill>
                    <w14:srgbClr w14:val="000000">
                      <w14:alpha w14:val="100000"/>
                    </w14:srgbClr>
                  </w14:solidFill>
                </w14:textFill>
              </w:rPr>
              <w:t xml:space="preserve">　</w:t>
            </w:r>
            <w:r w:rsidRPr="007A0897">
              <w:rPr>
                <w:color w:val="000000"/>
                <w:w w:val="15"/>
                <w:shd w:val="solid" w:color="000000" w:fill="000000"/>
                <w:fitText w:val="50" w:id="-1500824823"/>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23"/>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tcBorders>
              <w:bottom w:val="single" w:sz="4" w:space="0" w:color="auto"/>
            </w:tcBorders>
            <w:shd w:val="clear" w:color="auto" w:fill="auto"/>
            <w:vAlign w:val="center"/>
          </w:tcPr>
          <w:p w14:paraId="287FC6FC" w14:textId="77777777" w:rsidR="00460E9B" w:rsidRPr="00B07FB9" w:rsidRDefault="00460E9B" w:rsidP="00A4339A">
            <w:pPr>
              <w:pStyle w:val="TableText0"/>
              <w:keepLines/>
              <w:widowControl w:val="0"/>
              <w:jc w:val="center"/>
              <w:rPr>
                <w:lang w:val="en-AU"/>
              </w:rPr>
            </w:pPr>
            <w:r w:rsidRPr="00B07FB9">
              <w:rPr>
                <w:lang w:val="en-AU"/>
              </w:rPr>
              <w:t>-</w:t>
            </w:r>
          </w:p>
        </w:tc>
      </w:tr>
      <w:tr w:rsidR="00460E9B" w:rsidRPr="00B07FB9" w14:paraId="788FD7E5" w14:textId="77777777" w:rsidTr="007A0897">
        <w:trPr>
          <w:trHeight w:val="20"/>
        </w:trPr>
        <w:tc>
          <w:tcPr>
            <w:tcW w:w="2519" w:type="pct"/>
            <w:tcBorders>
              <w:right w:val="nil"/>
            </w:tcBorders>
            <w:shd w:val="clear" w:color="auto" w:fill="auto"/>
            <w:vAlign w:val="center"/>
          </w:tcPr>
          <w:p w14:paraId="56DAD9D9" w14:textId="77777777" w:rsidR="00460E9B" w:rsidRPr="00B07FB9" w:rsidRDefault="00460E9B" w:rsidP="00A4339A">
            <w:pPr>
              <w:pStyle w:val="TableText0"/>
              <w:keepLines/>
              <w:widowControl w:val="0"/>
              <w:rPr>
                <w:b/>
                <w:lang w:val="en-AU"/>
              </w:rPr>
            </w:pPr>
            <w:r w:rsidRPr="00B07FB9">
              <w:rPr>
                <w:b/>
                <w:lang w:val="en-AU"/>
              </w:rPr>
              <w:t>Time horizon: 15 years</w:t>
            </w:r>
          </w:p>
        </w:tc>
        <w:tc>
          <w:tcPr>
            <w:tcW w:w="622" w:type="pct"/>
            <w:tcBorders>
              <w:left w:val="nil"/>
              <w:bottom w:val="single" w:sz="4" w:space="0" w:color="auto"/>
              <w:right w:val="nil"/>
            </w:tcBorders>
            <w:shd w:val="clear" w:color="auto" w:fill="auto"/>
            <w:vAlign w:val="center"/>
          </w:tcPr>
          <w:p w14:paraId="24E447E7" w14:textId="77777777" w:rsidR="00460E9B" w:rsidRPr="00B07FB9" w:rsidRDefault="00460E9B" w:rsidP="00A4339A">
            <w:pPr>
              <w:pStyle w:val="TableText0"/>
              <w:keepLines/>
              <w:widowControl w:val="0"/>
              <w:jc w:val="center"/>
              <w:rPr>
                <w:lang w:val="en-AU"/>
              </w:rPr>
            </w:pPr>
          </w:p>
        </w:tc>
        <w:tc>
          <w:tcPr>
            <w:tcW w:w="622" w:type="pct"/>
            <w:tcBorders>
              <w:left w:val="nil"/>
              <w:right w:val="nil"/>
            </w:tcBorders>
            <w:shd w:val="clear" w:color="auto" w:fill="auto"/>
            <w:vAlign w:val="center"/>
          </w:tcPr>
          <w:p w14:paraId="64A73C3C" w14:textId="77777777" w:rsidR="00460E9B" w:rsidRPr="00B07FB9" w:rsidRDefault="00460E9B" w:rsidP="00A4339A">
            <w:pPr>
              <w:pStyle w:val="TableText0"/>
              <w:keepLines/>
              <w:widowControl w:val="0"/>
              <w:jc w:val="center"/>
              <w:rPr>
                <w:lang w:val="en-AU"/>
              </w:rPr>
            </w:pPr>
          </w:p>
        </w:tc>
        <w:tc>
          <w:tcPr>
            <w:tcW w:w="622" w:type="pct"/>
            <w:tcBorders>
              <w:left w:val="nil"/>
              <w:right w:val="nil"/>
            </w:tcBorders>
            <w:shd w:val="clear" w:color="auto" w:fill="auto"/>
            <w:vAlign w:val="center"/>
          </w:tcPr>
          <w:p w14:paraId="7EBEC965" w14:textId="77777777" w:rsidR="00460E9B" w:rsidRPr="00B07FB9" w:rsidRDefault="00460E9B" w:rsidP="00A4339A">
            <w:pPr>
              <w:pStyle w:val="TableText0"/>
              <w:keepLines/>
              <w:widowControl w:val="0"/>
              <w:jc w:val="center"/>
              <w:rPr>
                <w:lang w:val="en-AU"/>
              </w:rPr>
            </w:pPr>
          </w:p>
        </w:tc>
        <w:tc>
          <w:tcPr>
            <w:tcW w:w="615" w:type="pct"/>
            <w:tcBorders>
              <w:left w:val="nil"/>
            </w:tcBorders>
            <w:shd w:val="clear" w:color="auto" w:fill="auto"/>
            <w:vAlign w:val="center"/>
          </w:tcPr>
          <w:p w14:paraId="784134B4" w14:textId="77777777" w:rsidR="00460E9B" w:rsidRPr="00B07FB9" w:rsidRDefault="00460E9B" w:rsidP="00A4339A">
            <w:pPr>
              <w:pStyle w:val="TableText0"/>
              <w:keepLines/>
              <w:widowControl w:val="0"/>
              <w:jc w:val="center"/>
              <w:rPr>
                <w:lang w:val="en-AU"/>
              </w:rPr>
            </w:pPr>
          </w:p>
        </w:tc>
      </w:tr>
      <w:tr w:rsidR="00460E9B" w:rsidRPr="00B07FB9" w14:paraId="5AC13AA0" w14:textId="77777777" w:rsidTr="007A0897">
        <w:trPr>
          <w:trHeight w:val="20"/>
        </w:trPr>
        <w:tc>
          <w:tcPr>
            <w:tcW w:w="2519" w:type="pct"/>
            <w:shd w:val="clear" w:color="auto" w:fill="auto"/>
          </w:tcPr>
          <w:p w14:paraId="415A6BCB" w14:textId="77777777" w:rsidR="00460E9B" w:rsidRPr="00B07FB9" w:rsidRDefault="00460E9B" w:rsidP="00A4339A">
            <w:pPr>
              <w:pStyle w:val="TableText0"/>
              <w:keepLines/>
              <w:widowControl w:val="0"/>
              <w:rPr>
                <w:lang w:val="en-AU"/>
              </w:rPr>
            </w:pPr>
            <w:r w:rsidRPr="00B07FB9">
              <w:rPr>
                <w:lang w:val="en-AU"/>
              </w:rPr>
              <w:t>20 years</w:t>
            </w:r>
          </w:p>
        </w:tc>
        <w:tc>
          <w:tcPr>
            <w:tcW w:w="622" w:type="pct"/>
            <w:tcBorders>
              <w:bottom w:val="single" w:sz="4" w:space="0" w:color="auto"/>
            </w:tcBorders>
            <w:shd w:val="solid" w:color="000000" w:fill="000000"/>
            <w:vAlign w:val="center"/>
          </w:tcPr>
          <w:p w14:paraId="44E63179" w14:textId="11397069" w:rsidR="00460E9B" w:rsidRPr="007A0897" w:rsidRDefault="007A0897" w:rsidP="00A4339A">
            <w:pPr>
              <w:pStyle w:val="TableText0"/>
              <w:keepLines/>
              <w:widowControl w:val="0"/>
              <w:jc w:val="center"/>
              <w:rPr>
                <w:lang w:val="en-AU"/>
              </w:rPr>
            </w:pPr>
            <w:r w:rsidRPr="00385E8C">
              <w:rPr>
                <w:rFonts w:hint="eastAsia"/>
                <w:color w:val="000000"/>
                <w:w w:val="15"/>
                <w:fitText w:val="20" w:id="-1500824822"/>
                <w:lang w:val="en-AU"/>
                <w14:textFill>
                  <w14:solidFill>
                    <w14:srgbClr w14:val="000000">
                      <w14:alpha w14:val="100000"/>
                    </w14:srgbClr>
                  </w14:solidFill>
                </w14:textFill>
              </w:rPr>
              <w:t xml:space="preserve">　</w:t>
            </w:r>
            <w:r w:rsidRPr="00385E8C">
              <w:rPr>
                <w:color w:val="000000"/>
                <w:w w:val="15"/>
                <w:fitText w:val="20" w:id="-1500824822"/>
                <w:lang w:val="en-AU"/>
                <w14:textFill>
                  <w14:solidFill>
                    <w14:srgbClr w14:val="000000">
                      <w14:alpha w14:val="100000"/>
                    </w14:srgbClr>
                  </w14:solidFill>
                </w14:textFill>
              </w:rPr>
              <w:t>|</w:t>
            </w:r>
            <w:r w:rsidRPr="00385E8C">
              <w:rPr>
                <w:rFonts w:hint="eastAsia"/>
                <w:color w:val="000000"/>
                <w:spacing w:val="-45"/>
                <w:w w:val="15"/>
                <w:fitText w:val="20" w:id="-1500824822"/>
                <w:lang w:val="en-AU"/>
                <w14:textFill>
                  <w14:solidFill>
                    <w14:srgbClr w14:val="000000">
                      <w14:alpha w14:val="100000"/>
                    </w14:srgbClr>
                  </w14:solidFill>
                </w14:textFill>
              </w:rPr>
              <w:t xml:space="preserve">　</w:t>
            </w:r>
          </w:p>
        </w:tc>
        <w:tc>
          <w:tcPr>
            <w:tcW w:w="622" w:type="pct"/>
            <w:shd w:val="clear" w:color="auto" w:fill="auto"/>
            <w:vAlign w:val="center"/>
          </w:tcPr>
          <w:p w14:paraId="4E04C9EB" w14:textId="77777777" w:rsidR="00460E9B" w:rsidRPr="00B07FB9" w:rsidRDefault="00460E9B" w:rsidP="00A4339A">
            <w:pPr>
              <w:pStyle w:val="TableText0"/>
              <w:keepLines/>
              <w:widowControl w:val="0"/>
              <w:jc w:val="center"/>
              <w:rPr>
                <w:lang w:val="en-AU"/>
              </w:rPr>
            </w:pPr>
            <w:r w:rsidRPr="00B07FB9">
              <w:rPr>
                <w:lang w:val="en-AU"/>
              </w:rPr>
              <w:t>0.3423</w:t>
            </w:r>
          </w:p>
        </w:tc>
        <w:tc>
          <w:tcPr>
            <w:tcW w:w="622" w:type="pct"/>
            <w:shd w:val="clear" w:color="auto" w:fill="auto"/>
            <w:vAlign w:val="center"/>
          </w:tcPr>
          <w:p w14:paraId="28C329D8" w14:textId="467E135F" w:rsidR="00460E9B" w:rsidRPr="002145E9" w:rsidRDefault="007A0897" w:rsidP="00A4339A">
            <w:pPr>
              <w:pStyle w:val="TableText0"/>
              <w:keepLines/>
              <w:widowControl w:val="0"/>
              <w:jc w:val="center"/>
              <w:rPr>
                <w:highlight w:val="yellow"/>
                <w:lang w:val="en-AU"/>
              </w:rPr>
            </w:pPr>
            <w:r w:rsidRPr="007A0897">
              <w:rPr>
                <w:rFonts w:hint="eastAsia"/>
                <w:color w:val="000000"/>
                <w:w w:val="15"/>
                <w:shd w:val="solid" w:color="000000" w:fill="000000"/>
                <w:fitText w:val="50" w:id="-1500824821"/>
                <w:lang w:val="en-AU"/>
                <w14:textFill>
                  <w14:solidFill>
                    <w14:srgbClr w14:val="000000">
                      <w14:alpha w14:val="100000"/>
                    </w14:srgbClr>
                  </w14:solidFill>
                </w14:textFill>
              </w:rPr>
              <w:t xml:space="preserve">　</w:t>
            </w:r>
            <w:r w:rsidRPr="007A0897">
              <w:rPr>
                <w:color w:val="000000"/>
                <w:w w:val="15"/>
                <w:shd w:val="solid" w:color="000000" w:fill="000000"/>
                <w:fitText w:val="50" w:id="-1500824821"/>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21"/>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shd w:val="clear" w:color="auto" w:fill="auto"/>
            <w:vAlign w:val="center"/>
          </w:tcPr>
          <w:p w14:paraId="62290567" w14:textId="77777777" w:rsidR="00460E9B" w:rsidRPr="00B07FB9" w:rsidRDefault="00460E9B" w:rsidP="00A4339A">
            <w:pPr>
              <w:pStyle w:val="TableText0"/>
              <w:keepLines/>
              <w:widowControl w:val="0"/>
              <w:jc w:val="center"/>
              <w:rPr>
                <w:lang w:val="en-AU"/>
              </w:rPr>
            </w:pPr>
            <w:r w:rsidRPr="00B07FB9">
              <w:rPr>
                <w:lang w:val="en-AU"/>
              </w:rPr>
              <w:t>-1.8%</w:t>
            </w:r>
          </w:p>
        </w:tc>
      </w:tr>
      <w:tr w:rsidR="00460E9B" w:rsidRPr="00B07FB9" w14:paraId="5D527B6A" w14:textId="77777777" w:rsidTr="007A0897">
        <w:trPr>
          <w:trHeight w:val="20"/>
        </w:trPr>
        <w:tc>
          <w:tcPr>
            <w:tcW w:w="2519" w:type="pct"/>
            <w:tcBorders>
              <w:bottom w:val="single" w:sz="4" w:space="0" w:color="auto"/>
            </w:tcBorders>
            <w:shd w:val="clear" w:color="auto" w:fill="auto"/>
          </w:tcPr>
          <w:p w14:paraId="41F2EFC8" w14:textId="77777777" w:rsidR="00460E9B" w:rsidRPr="00B07FB9" w:rsidRDefault="00460E9B" w:rsidP="00A4339A">
            <w:pPr>
              <w:pStyle w:val="TableText0"/>
              <w:keepLines/>
              <w:widowControl w:val="0"/>
              <w:rPr>
                <w:lang w:val="en-AU"/>
              </w:rPr>
            </w:pPr>
            <w:r w:rsidRPr="00B07FB9">
              <w:rPr>
                <w:lang w:val="en-AU"/>
              </w:rPr>
              <w:t>10 years</w:t>
            </w:r>
          </w:p>
        </w:tc>
        <w:tc>
          <w:tcPr>
            <w:tcW w:w="622" w:type="pct"/>
            <w:tcBorders>
              <w:bottom w:val="single" w:sz="4" w:space="0" w:color="auto"/>
            </w:tcBorders>
            <w:shd w:val="solid" w:color="000000" w:fill="000000"/>
            <w:vAlign w:val="center"/>
          </w:tcPr>
          <w:p w14:paraId="1FE59577" w14:textId="4BB7B6B3" w:rsidR="00460E9B" w:rsidRPr="007A0897" w:rsidRDefault="007A0897" w:rsidP="00A4339A">
            <w:pPr>
              <w:pStyle w:val="TableText0"/>
              <w:keepLines/>
              <w:widowControl w:val="0"/>
              <w:jc w:val="center"/>
              <w:rPr>
                <w:lang w:val="en-AU"/>
              </w:rPr>
            </w:pPr>
            <w:r w:rsidRPr="00385E8C">
              <w:rPr>
                <w:rFonts w:hint="eastAsia"/>
                <w:color w:val="000000"/>
                <w:w w:val="15"/>
                <w:fitText w:val="20" w:id="-1500824820"/>
                <w:lang w:val="en-AU"/>
                <w14:textFill>
                  <w14:solidFill>
                    <w14:srgbClr w14:val="000000">
                      <w14:alpha w14:val="100000"/>
                    </w14:srgbClr>
                  </w14:solidFill>
                </w14:textFill>
              </w:rPr>
              <w:t xml:space="preserve">　</w:t>
            </w:r>
            <w:r w:rsidRPr="00385E8C">
              <w:rPr>
                <w:color w:val="000000"/>
                <w:w w:val="15"/>
                <w:fitText w:val="20" w:id="-1500824820"/>
                <w:lang w:val="en-AU"/>
                <w14:textFill>
                  <w14:solidFill>
                    <w14:srgbClr w14:val="000000">
                      <w14:alpha w14:val="100000"/>
                    </w14:srgbClr>
                  </w14:solidFill>
                </w14:textFill>
              </w:rPr>
              <w:t>|</w:t>
            </w:r>
            <w:r w:rsidRPr="00385E8C">
              <w:rPr>
                <w:rFonts w:hint="eastAsia"/>
                <w:color w:val="000000"/>
                <w:spacing w:val="-45"/>
                <w:w w:val="15"/>
                <w:fitText w:val="20" w:id="-1500824820"/>
                <w:lang w:val="en-AU"/>
                <w14:textFill>
                  <w14:solidFill>
                    <w14:srgbClr w14:val="000000">
                      <w14:alpha w14:val="100000"/>
                    </w14:srgbClr>
                  </w14:solidFill>
                </w14:textFill>
              </w:rPr>
              <w:t xml:space="preserve">　</w:t>
            </w:r>
          </w:p>
        </w:tc>
        <w:tc>
          <w:tcPr>
            <w:tcW w:w="622" w:type="pct"/>
            <w:tcBorders>
              <w:bottom w:val="single" w:sz="4" w:space="0" w:color="auto"/>
            </w:tcBorders>
            <w:shd w:val="clear" w:color="auto" w:fill="auto"/>
            <w:vAlign w:val="center"/>
          </w:tcPr>
          <w:p w14:paraId="45A3A67C" w14:textId="77777777" w:rsidR="00460E9B" w:rsidRPr="00B07FB9" w:rsidRDefault="00460E9B" w:rsidP="00A4339A">
            <w:pPr>
              <w:pStyle w:val="TableText0"/>
              <w:keepLines/>
              <w:widowControl w:val="0"/>
              <w:jc w:val="center"/>
              <w:rPr>
                <w:lang w:val="en-AU"/>
              </w:rPr>
            </w:pPr>
            <w:r w:rsidRPr="00B07FB9">
              <w:rPr>
                <w:lang w:val="en-AU"/>
              </w:rPr>
              <w:t>0.3156</w:t>
            </w:r>
          </w:p>
        </w:tc>
        <w:tc>
          <w:tcPr>
            <w:tcW w:w="622" w:type="pct"/>
            <w:tcBorders>
              <w:bottom w:val="single" w:sz="4" w:space="0" w:color="auto"/>
            </w:tcBorders>
            <w:shd w:val="clear" w:color="auto" w:fill="auto"/>
            <w:vAlign w:val="center"/>
          </w:tcPr>
          <w:p w14:paraId="3236BBFD" w14:textId="57FEE75B" w:rsidR="00460E9B" w:rsidRPr="002145E9" w:rsidRDefault="007A0897" w:rsidP="00A4339A">
            <w:pPr>
              <w:pStyle w:val="TableText0"/>
              <w:keepLines/>
              <w:widowControl w:val="0"/>
              <w:jc w:val="center"/>
              <w:rPr>
                <w:highlight w:val="yellow"/>
                <w:lang w:val="en-AU"/>
              </w:rPr>
            </w:pPr>
            <w:r w:rsidRPr="007A0897">
              <w:rPr>
                <w:rFonts w:hint="eastAsia"/>
                <w:color w:val="000000"/>
                <w:w w:val="15"/>
                <w:shd w:val="solid" w:color="000000" w:fill="000000"/>
                <w:fitText w:val="50" w:id="-1500824819"/>
                <w:lang w:val="en-AU"/>
                <w14:textFill>
                  <w14:solidFill>
                    <w14:srgbClr w14:val="000000">
                      <w14:alpha w14:val="100000"/>
                    </w14:srgbClr>
                  </w14:solidFill>
                </w14:textFill>
              </w:rPr>
              <w:t xml:space="preserve">　</w:t>
            </w:r>
            <w:r w:rsidRPr="007A0897">
              <w:rPr>
                <w:color w:val="000000"/>
                <w:w w:val="15"/>
                <w:shd w:val="solid" w:color="000000" w:fill="000000"/>
                <w:fitText w:val="50" w:id="-1500824819"/>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19"/>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tcBorders>
              <w:bottom w:val="single" w:sz="4" w:space="0" w:color="auto"/>
            </w:tcBorders>
            <w:shd w:val="clear" w:color="auto" w:fill="auto"/>
            <w:vAlign w:val="center"/>
          </w:tcPr>
          <w:p w14:paraId="78D6A3AF" w14:textId="77777777" w:rsidR="00460E9B" w:rsidRPr="00B07FB9" w:rsidRDefault="00460E9B" w:rsidP="00A4339A">
            <w:pPr>
              <w:pStyle w:val="TableText0"/>
              <w:keepLines/>
              <w:widowControl w:val="0"/>
              <w:jc w:val="center"/>
              <w:rPr>
                <w:lang w:val="en-AU"/>
              </w:rPr>
            </w:pPr>
            <w:r w:rsidRPr="00B07FB9">
              <w:rPr>
                <w:lang w:val="en-AU"/>
              </w:rPr>
              <w:t>5.1%</w:t>
            </w:r>
          </w:p>
        </w:tc>
      </w:tr>
      <w:tr w:rsidR="00460E9B" w:rsidRPr="00B07FB9" w14:paraId="7DCD9484" w14:textId="77777777" w:rsidTr="007A0897">
        <w:trPr>
          <w:trHeight w:val="20"/>
        </w:trPr>
        <w:tc>
          <w:tcPr>
            <w:tcW w:w="2519" w:type="pct"/>
            <w:tcBorders>
              <w:right w:val="nil"/>
            </w:tcBorders>
            <w:shd w:val="clear" w:color="auto" w:fill="auto"/>
            <w:vAlign w:val="center"/>
          </w:tcPr>
          <w:p w14:paraId="405581AD" w14:textId="77777777" w:rsidR="00460E9B" w:rsidRPr="00B07FB9" w:rsidRDefault="00460E9B" w:rsidP="00A4339A">
            <w:pPr>
              <w:pStyle w:val="TableText0"/>
              <w:keepLines/>
              <w:widowControl w:val="0"/>
              <w:rPr>
                <w:b/>
                <w:lang w:val="en-AU"/>
              </w:rPr>
            </w:pPr>
            <w:r w:rsidRPr="00B07FB9">
              <w:rPr>
                <w:b/>
                <w:lang w:val="en-AU"/>
              </w:rPr>
              <w:t>Terminal care costs: $38,443</w:t>
            </w:r>
          </w:p>
        </w:tc>
        <w:tc>
          <w:tcPr>
            <w:tcW w:w="622" w:type="pct"/>
            <w:tcBorders>
              <w:left w:val="nil"/>
              <w:bottom w:val="single" w:sz="4" w:space="0" w:color="auto"/>
              <w:right w:val="nil"/>
            </w:tcBorders>
            <w:shd w:val="clear" w:color="auto" w:fill="auto"/>
            <w:vAlign w:val="center"/>
          </w:tcPr>
          <w:p w14:paraId="2B5CA077" w14:textId="77777777" w:rsidR="00460E9B" w:rsidRPr="00B07FB9" w:rsidRDefault="00460E9B" w:rsidP="00A4339A">
            <w:pPr>
              <w:pStyle w:val="TableText0"/>
              <w:keepLines/>
              <w:widowControl w:val="0"/>
              <w:jc w:val="center"/>
              <w:rPr>
                <w:lang w:val="en-AU"/>
              </w:rPr>
            </w:pPr>
          </w:p>
        </w:tc>
        <w:tc>
          <w:tcPr>
            <w:tcW w:w="622" w:type="pct"/>
            <w:tcBorders>
              <w:left w:val="nil"/>
              <w:right w:val="nil"/>
            </w:tcBorders>
            <w:shd w:val="clear" w:color="auto" w:fill="auto"/>
            <w:vAlign w:val="center"/>
          </w:tcPr>
          <w:p w14:paraId="1B84CE2C" w14:textId="77777777" w:rsidR="00460E9B" w:rsidRPr="00B07FB9" w:rsidRDefault="00460E9B" w:rsidP="00A4339A">
            <w:pPr>
              <w:pStyle w:val="TableText0"/>
              <w:keepLines/>
              <w:widowControl w:val="0"/>
              <w:jc w:val="center"/>
              <w:rPr>
                <w:lang w:val="en-AU"/>
              </w:rPr>
            </w:pPr>
          </w:p>
        </w:tc>
        <w:tc>
          <w:tcPr>
            <w:tcW w:w="622" w:type="pct"/>
            <w:tcBorders>
              <w:left w:val="nil"/>
              <w:right w:val="nil"/>
            </w:tcBorders>
            <w:shd w:val="clear" w:color="auto" w:fill="auto"/>
            <w:vAlign w:val="center"/>
          </w:tcPr>
          <w:p w14:paraId="50E638C3" w14:textId="77777777" w:rsidR="00460E9B" w:rsidRPr="00B07FB9" w:rsidRDefault="00460E9B" w:rsidP="00A4339A">
            <w:pPr>
              <w:pStyle w:val="TableText0"/>
              <w:keepLines/>
              <w:widowControl w:val="0"/>
              <w:jc w:val="center"/>
              <w:rPr>
                <w:lang w:val="en-AU"/>
              </w:rPr>
            </w:pPr>
          </w:p>
        </w:tc>
        <w:tc>
          <w:tcPr>
            <w:tcW w:w="615" w:type="pct"/>
            <w:tcBorders>
              <w:left w:val="nil"/>
            </w:tcBorders>
            <w:shd w:val="clear" w:color="auto" w:fill="auto"/>
            <w:vAlign w:val="center"/>
          </w:tcPr>
          <w:p w14:paraId="2B1C7552" w14:textId="77777777" w:rsidR="00460E9B" w:rsidRPr="00B07FB9" w:rsidRDefault="00460E9B" w:rsidP="00A4339A">
            <w:pPr>
              <w:pStyle w:val="TableText0"/>
              <w:keepLines/>
              <w:widowControl w:val="0"/>
              <w:jc w:val="center"/>
              <w:rPr>
                <w:lang w:val="en-AU"/>
              </w:rPr>
            </w:pPr>
          </w:p>
        </w:tc>
      </w:tr>
      <w:tr w:rsidR="00460E9B" w:rsidRPr="00B07FB9" w14:paraId="06864214" w14:textId="77777777" w:rsidTr="007A0897">
        <w:trPr>
          <w:trHeight w:val="20"/>
        </w:trPr>
        <w:tc>
          <w:tcPr>
            <w:tcW w:w="2519" w:type="pct"/>
            <w:shd w:val="clear" w:color="auto" w:fill="auto"/>
          </w:tcPr>
          <w:p w14:paraId="52C781F7" w14:textId="77777777" w:rsidR="00460E9B" w:rsidRPr="00B07FB9" w:rsidRDefault="00460E9B" w:rsidP="00A4339A">
            <w:pPr>
              <w:pStyle w:val="TableText0"/>
              <w:keepLines/>
              <w:widowControl w:val="0"/>
              <w:rPr>
                <w:lang w:val="en-AU"/>
              </w:rPr>
            </w:pPr>
            <w:proofErr w:type="spellStart"/>
            <w:r w:rsidRPr="00B07FB9">
              <w:rPr>
                <w:lang w:val="en-AU"/>
              </w:rPr>
              <w:t>Goldsbury</w:t>
            </w:r>
            <w:proofErr w:type="spellEnd"/>
            <w:r w:rsidRPr="00B07FB9">
              <w:rPr>
                <w:lang w:val="en-AU"/>
              </w:rPr>
              <w:t xml:space="preserve"> 2018 ($63,760)</w:t>
            </w:r>
          </w:p>
        </w:tc>
        <w:tc>
          <w:tcPr>
            <w:tcW w:w="622" w:type="pct"/>
            <w:tcBorders>
              <w:bottom w:val="single" w:sz="4" w:space="0" w:color="auto"/>
            </w:tcBorders>
            <w:shd w:val="solid" w:color="000000" w:fill="000000"/>
            <w:vAlign w:val="center"/>
          </w:tcPr>
          <w:p w14:paraId="4AD1BDDE" w14:textId="09AADA35" w:rsidR="00460E9B" w:rsidRPr="007A0897" w:rsidRDefault="007A0897" w:rsidP="00A4339A">
            <w:pPr>
              <w:pStyle w:val="TableText0"/>
              <w:keepLines/>
              <w:widowControl w:val="0"/>
              <w:jc w:val="center"/>
              <w:rPr>
                <w:lang w:val="en-AU"/>
              </w:rPr>
            </w:pPr>
            <w:r w:rsidRPr="00385E8C">
              <w:rPr>
                <w:rFonts w:hint="eastAsia"/>
                <w:color w:val="000000"/>
                <w:w w:val="15"/>
                <w:fitText w:val="20" w:id="-1500824818"/>
                <w:lang w:val="en-AU"/>
                <w14:textFill>
                  <w14:solidFill>
                    <w14:srgbClr w14:val="000000">
                      <w14:alpha w14:val="100000"/>
                    </w14:srgbClr>
                  </w14:solidFill>
                </w14:textFill>
              </w:rPr>
              <w:t xml:space="preserve">　</w:t>
            </w:r>
            <w:r w:rsidRPr="00385E8C">
              <w:rPr>
                <w:color w:val="000000"/>
                <w:w w:val="15"/>
                <w:fitText w:val="20" w:id="-1500824818"/>
                <w:lang w:val="en-AU"/>
                <w14:textFill>
                  <w14:solidFill>
                    <w14:srgbClr w14:val="000000">
                      <w14:alpha w14:val="100000"/>
                    </w14:srgbClr>
                  </w14:solidFill>
                </w14:textFill>
              </w:rPr>
              <w:t>|</w:t>
            </w:r>
            <w:r w:rsidRPr="00385E8C">
              <w:rPr>
                <w:rFonts w:hint="eastAsia"/>
                <w:color w:val="000000"/>
                <w:spacing w:val="-45"/>
                <w:w w:val="15"/>
                <w:fitText w:val="20" w:id="-1500824818"/>
                <w:lang w:val="en-AU"/>
                <w14:textFill>
                  <w14:solidFill>
                    <w14:srgbClr w14:val="000000">
                      <w14:alpha w14:val="100000"/>
                    </w14:srgbClr>
                  </w14:solidFill>
                </w14:textFill>
              </w:rPr>
              <w:t xml:space="preserve">　</w:t>
            </w:r>
          </w:p>
        </w:tc>
        <w:tc>
          <w:tcPr>
            <w:tcW w:w="622" w:type="pct"/>
            <w:shd w:val="clear" w:color="auto" w:fill="auto"/>
            <w:vAlign w:val="center"/>
          </w:tcPr>
          <w:p w14:paraId="6B6DBF05" w14:textId="77777777" w:rsidR="00460E9B" w:rsidRPr="00B07FB9" w:rsidRDefault="00460E9B" w:rsidP="00A4339A">
            <w:pPr>
              <w:pStyle w:val="TableText0"/>
              <w:keepLines/>
              <w:widowControl w:val="0"/>
              <w:jc w:val="center"/>
              <w:rPr>
                <w:lang w:val="en-AU"/>
              </w:rPr>
            </w:pPr>
            <w:r w:rsidRPr="00B07FB9">
              <w:rPr>
                <w:lang w:val="en-AU"/>
              </w:rPr>
              <w:t>0.3352</w:t>
            </w:r>
          </w:p>
        </w:tc>
        <w:tc>
          <w:tcPr>
            <w:tcW w:w="622" w:type="pct"/>
            <w:shd w:val="clear" w:color="auto" w:fill="auto"/>
            <w:vAlign w:val="center"/>
          </w:tcPr>
          <w:p w14:paraId="6C4606B2" w14:textId="379156F5" w:rsidR="00460E9B" w:rsidRPr="002145E9" w:rsidRDefault="007A0897" w:rsidP="00A4339A">
            <w:pPr>
              <w:pStyle w:val="TableText0"/>
              <w:keepLines/>
              <w:widowControl w:val="0"/>
              <w:jc w:val="center"/>
              <w:rPr>
                <w:highlight w:val="yellow"/>
                <w:lang w:val="en-AU"/>
              </w:rPr>
            </w:pPr>
            <w:r w:rsidRPr="007A0897">
              <w:rPr>
                <w:rFonts w:hint="eastAsia"/>
                <w:color w:val="000000"/>
                <w:w w:val="15"/>
                <w:shd w:val="solid" w:color="000000" w:fill="000000"/>
                <w:fitText w:val="50" w:id="-1500824817"/>
                <w:lang w:val="en-AU"/>
                <w14:textFill>
                  <w14:solidFill>
                    <w14:srgbClr w14:val="000000">
                      <w14:alpha w14:val="100000"/>
                    </w14:srgbClr>
                  </w14:solidFill>
                </w14:textFill>
              </w:rPr>
              <w:t xml:space="preserve">　</w:t>
            </w:r>
            <w:r w:rsidRPr="007A0897">
              <w:rPr>
                <w:color w:val="000000"/>
                <w:w w:val="15"/>
                <w:shd w:val="solid" w:color="000000" w:fill="000000"/>
                <w:fitText w:val="50" w:id="-1500824817"/>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17"/>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shd w:val="clear" w:color="auto" w:fill="auto"/>
            <w:vAlign w:val="center"/>
          </w:tcPr>
          <w:p w14:paraId="557BB973" w14:textId="77777777" w:rsidR="00460E9B" w:rsidRPr="00B07FB9" w:rsidRDefault="00460E9B" w:rsidP="00A4339A">
            <w:pPr>
              <w:pStyle w:val="TableText0"/>
              <w:keepLines/>
              <w:widowControl w:val="0"/>
              <w:jc w:val="center"/>
              <w:rPr>
                <w:lang w:val="en-AU"/>
              </w:rPr>
            </w:pPr>
            <w:r w:rsidRPr="00B07FB9">
              <w:rPr>
                <w:lang w:val="en-AU"/>
              </w:rPr>
              <w:t>-2.9%</w:t>
            </w:r>
          </w:p>
        </w:tc>
      </w:tr>
      <w:tr w:rsidR="00460E9B" w:rsidRPr="00B07FB9" w14:paraId="48692011" w14:textId="77777777" w:rsidTr="007A0897">
        <w:trPr>
          <w:trHeight w:val="20"/>
        </w:trPr>
        <w:tc>
          <w:tcPr>
            <w:tcW w:w="2519" w:type="pct"/>
            <w:tcBorders>
              <w:bottom w:val="single" w:sz="4" w:space="0" w:color="auto"/>
            </w:tcBorders>
            <w:shd w:val="clear" w:color="auto" w:fill="auto"/>
          </w:tcPr>
          <w:p w14:paraId="67A1AFD0" w14:textId="77777777" w:rsidR="00460E9B" w:rsidRPr="00B07FB9" w:rsidRDefault="00460E9B" w:rsidP="00A4339A">
            <w:pPr>
              <w:pStyle w:val="TableText0"/>
              <w:keepLines/>
              <w:widowControl w:val="0"/>
              <w:rPr>
                <w:lang w:val="en-AU"/>
              </w:rPr>
            </w:pPr>
            <w:r w:rsidRPr="00B07FB9">
              <w:rPr>
                <w:lang w:val="en-AU"/>
              </w:rPr>
              <w:t>Excluded ($0)</w:t>
            </w:r>
          </w:p>
        </w:tc>
        <w:tc>
          <w:tcPr>
            <w:tcW w:w="622" w:type="pct"/>
            <w:tcBorders>
              <w:bottom w:val="single" w:sz="4" w:space="0" w:color="auto"/>
            </w:tcBorders>
            <w:shd w:val="solid" w:color="000000" w:fill="000000"/>
            <w:vAlign w:val="center"/>
          </w:tcPr>
          <w:p w14:paraId="40E2A165" w14:textId="2AE24358" w:rsidR="00460E9B" w:rsidRPr="007A0897" w:rsidRDefault="007A0897" w:rsidP="00A4339A">
            <w:pPr>
              <w:pStyle w:val="TableText0"/>
              <w:keepLines/>
              <w:widowControl w:val="0"/>
              <w:jc w:val="center"/>
              <w:rPr>
                <w:lang w:val="en-AU"/>
              </w:rPr>
            </w:pPr>
            <w:r w:rsidRPr="00385E8C">
              <w:rPr>
                <w:rFonts w:hint="eastAsia"/>
                <w:color w:val="000000"/>
                <w:w w:val="15"/>
                <w:fitText w:val="20" w:id="-1500824816"/>
                <w:lang w:val="en-AU"/>
                <w14:textFill>
                  <w14:solidFill>
                    <w14:srgbClr w14:val="000000">
                      <w14:alpha w14:val="100000"/>
                    </w14:srgbClr>
                  </w14:solidFill>
                </w14:textFill>
              </w:rPr>
              <w:t xml:space="preserve">　</w:t>
            </w:r>
            <w:r w:rsidRPr="00385E8C">
              <w:rPr>
                <w:color w:val="000000"/>
                <w:w w:val="15"/>
                <w:fitText w:val="20" w:id="-1500824816"/>
                <w:lang w:val="en-AU"/>
                <w14:textFill>
                  <w14:solidFill>
                    <w14:srgbClr w14:val="000000">
                      <w14:alpha w14:val="100000"/>
                    </w14:srgbClr>
                  </w14:solidFill>
                </w14:textFill>
              </w:rPr>
              <w:t>|</w:t>
            </w:r>
            <w:r w:rsidRPr="00385E8C">
              <w:rPr>
                <w:rFonts w:hint="eastAsia"/>
                <w:color w:val="000000"/>
                <w:spacing w:val="-45"/>
                <w:w w:val="15"/>
                <w:fitText w:val="20" w:id="-1500824816"/>
                <w:lang w:val="en-AU"/>
                <w14:textFill>
                  <w14:solidFill>
                    <w14:srgbClr w14:val="000000">
                      <w14:alpha w14:val="100000"/>
                    </w14:srgbClr>
                  </w14:solidFill>
                </w14:textFill>
              </w:rPr>
              <w:t xml:space="preserve">　</w:t>
            </w:r>
          </w:p>
        </w:tc>
        <w:tc>
          <w:tcPr>
            <w:tcW w:w="622" w:type="pct"/>
            <w:tcBorders>
              <w:bottom w:val="single" w:sz="4" w:space="0" w:color="auto"/>
            </w:tcBorders>
            <w:shd w:val="clear" w:color="auto" w:fill="auto"/>
            <w:vAlign w:val="center"/>
          </w:tcPr>
          <w:p w14:paraId="51566992" w14:textId="77777777" w:rsidR="00460E9B" w:rsidRPr="00B07FB9" w:rsidRDefault="00460E9B" w:rsidP="00A4339A">
            <w:pPr>
              <w:pStyle w:val="TableText0"/>
              <w:keepLines/>
              <w:widowControl w:val="0"/>
              <w:jc w:val="center"/>
              <w:rPr>
                <w:lang w:val="en-AU"/>
              </w:rPr>
            </w:pPr>
            <w:r w:rsidRPr="00B07FB9">
              <w:rPr>
                <w:lang w:val="en-AU"/>
              </w:rPr>
              <w:t>0.3352</w:t>
            </w:r>
          </w:p>
        </w:tc>
        <w:tc>
          <w:tcPr>
            <w:tcW w:w="622" w:type="pct"/>
            <w:tcBorders>
              <w:bottom w:val="single" w:sz="4" w:space="0" w:color="auto"/>
            </w:tcBorders>
            <w:shd w:val="clear" w:color="auto" w:fill="auto"/>
            <w:vAlign w:val="center"/>
          </w:tcPr>
          <w:p w14:paraId="7B1CE39F" w14:textId="0A192644" w:rsidR="00460E9B" w:rsidRPr="002145E9" w:rsidRDefault="007A0897" w:rsidP="00A4339A">
            <w:pPr>
              <w:pStyle w:val="TableText0"/>
              <w:keepLines/>
              <w:widowControl w:val="0"/>
              <w:jc w:val="center"/>
              <w:rPr>
                <w:highlight w:val="yellow"/>
                <w:lang w:val="en-AU"/>
              </w:rPr>
            </w:pPr>
            <w:r w:rsidRPr="007A0897">
              <w:rPr>
                <w:rFonts w:hint="eastAsia"/>
                <w:color w:val="000000"/>
                <w:w w:val="15"/>
                <w:shd w:val="solid" w:color="000000" w:fill="000000"/>
                <w:fitText w:val="50" w:id="-1500824832"/>
                <w:lang w:val="en-AU"/>
                <w14:textFill>
                  <w14:solidFill>
                    <w14:srgbClr w14:val="000000">
                      <w14:alpha w14:val="100000"/>
                    </w14:srgbClr>
                  </w14:solidFill>
                </w14:textFill>
              </w:rPr>
              <w:t xml:space="preserve">　</w:t>
            </w:r>
            <w:r w:rsidRPr="007A0897">
              <w:rPr>
                <w:color w:val="000000"/>
                <w:w w:val="15"/>
                <w:shd w:val="solid" w:color="000000" w:fill="000000"/>
                <w:fitText w:val="50" w:id="-1500824832"/>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32"/>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tcBorders>
              <w:bottom w:val="single" w:sz="4" w:space="0" w:color="auto"/>
            </w:tcBorders>
            <w:shd w:val="clear" w:color="auto" w:fill="auto"/>
            <w:vAlign w:val="center"/>
          </w:tcPr>
          <w:p w14:paraId="1E5545F2" w14:textId="77777777" w:rsidR="00460E9B" w:rsidRPr="00B07FB9" w:rsidRDefault="00460E9B" w:rsidP="00A4339A">
            <w:pPr>
              <w:pStyle w:val="TableText0"/>
              <w:keepLines/>
              <w:widowControl w:val="0"/>
              <w:jc w:val="center"/>
              <w:rPr>
                <w:lang w:val="en-AU"/>
              </w:rPr>
            </w:pPr>
            <w:r w:rsidRPr="00B07FB9">
              <w:rPr>
                <w:lang w:val="en-AU"/>
              </w:rPr>
              <w:t>4.4%</w:t>
            </w:r>
          </w:p>
        </w:tc>
      </w:tr>
      <w:tr w:rsidR="00460E9B" w:rsidRPr="00B07FB9" w14:paraId="0E7A2AB2" w14:textId="77777777" w:rsidTr="007A0897">
        <w:trPr>
          <w:trHeight w:val="20"/>
        </w:trPr>
        <w:tc>
          <w:tcPr>
            <w:tcW w:w="2519" w:type="pct"/>
            <w:tcBorders>
              <w:right w:val="nil"/>
            </w:tcBorders>
            <w:shd w:val="clear" w:color="auto" w:fill="auto"/>
            <w:vAlign w:val="center"/>
          </w:tcPr>
          <w:p w14:paraId="04000D23" w14:textId="77777777" w:rsidR="00460E9B" w:rsidRPr="00B07FB9" w:rsidRDefault="00460E9B" w:rsidP="00A4339A">
            <w:pPr>
              <w:pStyle w:val="TableText0"/>
              <w:keepLines/>
              <w:widowControl w:val="0"/>
              <w:rPr>
                <w:b/>
                <w:lang w:val="en-AU"/>
              </w:rPr>
            </w:pPr>
            <w:r w:rsidRPr="00B07FB9">
              <w:rPr>
                <w:b/>
                <w:lang w:val="en-AU"/>
              </w:rPr>
              <w:t>Utility values: PRIMA ITT cohort (Australian dataset)</w:t>
            </w:r>
          </w:p>
        </w:tc>
        <w:tc>
          <w:tcPr>
            <w:tcW w:w="622" w:type="pct"/>
            <w:tcBorders>
              <w:left w:val="nil"/>
              <w:bottom w:val="single" w:sz="4" w:space="0" w:color="auto"/>
              <w:right w:val="nil"/>
            </w:tcBorders>
            <w:shd w:val="clear" w:color="auto" w:fill="auto"/>
            <w:vAlign w:val="center"/>
          </w:tcPr>
          <w:p w14:paraId="1104ACD8" w14:textId="77777777" w:rsidR="00460E9B" w:rsidRPr="00B07FB9" w:rsidRDefault="00460E9B" w:rsidP="00A4339A">
            <w:pPr>
              <w:pStyle w:val="TableText0"/>
              <w:keepLines/>
              <w:widowControl w:val="0"/>
              <w:jc w:val="center"/>
              <w:rPr>
                <w:lang w:val="en-AU"/>
              </w:rPr>
            </w:pPr>
          </w:p>
        </w:tc>
        <w:tc>
          <w:tcPr>
            <w:tcW w:w="622" w:type="pct"/>
            <w:tcBorders>
              <w:left w:val="nil"/>
              <w:right w:val="nil"/>
            </w:tcBorders>
            <w:shd w:val="clear" w:color="auto" w:fill="auto"/>
            <w:vAlign w:val="center"/>
          </w:tcPr>
          <w:p w14:paraId="7B6785A0" w14:textId="77777777" w:rsidR="00460E9B" w:rsidRPr="00B07FB9" w:rsidRDefault="00460E9B" w:rsidP="00A4339A">
            <w:pPr>
              <w:pStyle w:val="TableText0"/>
              <w:keepLines/>
              <w:widowControl w:val="0"/>
              <w:jc w:val="center"/>
              <w:rPr>
                <w:lang w:val="en-AU"/>
              </w:rPr>
            </w:pPr>
          </w:p>
        </w:tc>
        <w:tc>
          <w:tcPr>
            <w:tcW w:w="622" w:type="pct"/>
            <w:tcBorders>
              <w:left w:val="nil"/>
              <w:right w:val="nil"/>
            </w:tcBorders>
            <w:shd w:val="clear" w:color="auto" w:fill="auto"/>
            <w:vAlign w:val="center"/>
          </w:tcPr>
          <w:p w14:paraId="4D7E3CF1" w14:textId="77777777" w:rsidR="00460E9B" w:rsidRPr="00B07FB9" w:rsidRDefault="00460E9B" w:rsidP="00A4339A">
            <w:pPr>
              <w:pStyle w:val="TableText0"/>
              <w:keepLines/>
              <w:widowControl w:val="0"/>
              <w:jc w:val="center"/>
              <w:rPr>
                <w:lang w:val="en-AU"/>
              </w:rPr>
            </w:pPr>
          </w:p>
        </w:tc>
        <w:tc>
          <w:tcPr>
            <w:tcW w:w="615" w:type="pct"/>
            <w:tcBorders>
              <w:left w:val="nil"/>
            </w:tcBorders>
            <w:shd w:val="clear" w:color="auto" w:fill="auto"/>
            <w:vAlign w:val="center"/>
          </w:tcPr>
          <w:p w14:paraId="7EF4C017" w14:textId="77777777" w:rsidR="00460E9B" w:rsidRPr="00B07FB9" w:rsidRDefault="00460E9B" w:rsidP="00A4339A">
            <w:pPr>
              <w:pStyle w:val="TableText0"/>
              <w:keepLines/>
              <w:widowControl w:val="0"/>
              <w:jc w:val="center"/>
              <w:rPr>
                <w:lang w:val="en-AU"/>
              </w:rPr>
            </w:pPr>
          </w:p>
        </w:tc>
      </w:tr>
      <w:tr w:rsidR="00460E9B" w:rsidRPr="00B07FB9" w14:paraId="33093E07" w14:textId="77777777" w:rsidTr="007A0897">
        <w:trPr>
          <w:trHeight w:val="20"/>
        </w:trPr>
        <w:tc>
          <w:tcPr>
            <w:tcW w:w="2519" w:type="pct"/>
            <w:shd w:val="clear" w:color="auto" w:fill="auto"/>
          </w:tcPr>
          <w:p w14:paraId="7FC49759" w14:textId="77777777" w:rsidR="00460E9B" w:rsidRPr="00B07FB9" w:rsidRDefault="00460E9B" w:rsidP="00A4339A">
            <w:pPr>
              <w:pStyle w:val="TableText0"/>
              <w:keepLines/>
              <w:widowControl w:val="0"/>
              <w:rPr>
                <w:lang w:val="en-AU"/>
              </w:rPr>
            </w:pPr>
            <w:r w:rsidRPr="00B07FB9">
              <w:rPr>
                <w:lang w:val="en-AU"/>
              </w:rPr>
              <w:t>Olaparib July 2020 PSD</w:t>
            </w:r>
          </w:p>
        </w:tc>
        <w:tc>
          <w:tcPr>
            <w:tcW w:w="622" w:type="pct"/>
            <w:tcBorders>
              <w:bottom w:val="single" w:sz="4" w:space="0" w:color="auto"/>
            </w:tcBorders>
            <w:shd w:val="solid" w:color="000000" w:fill="000000"/>
            <w:vAlign w:val="center"/>
          </w:tcPr>
          <w:p w14:paraId="33EF2360" w14:textId="6BC0B967" w:rsidR="00460E9B" w:rsidRPr="007A0897" w:rsidRDefault="007A0897" w:rsidP="00A4339A">
            <w:pPr>
              <w:pStyle w:val="TableText0"/>
              <w:keepLines/>
              <w:widowControl w:val="0"/>
              <w:jc w:val="center"/>
              <w:rPr>
                <w:lang w:val="en-AU"/>
              </w:rPr>
            </w:pPr>
            <w:r w:rsidRPr="00385E8C">
              <w:rPr>
                <w:rFonts w:hint="eastAsia"/>
                <w:color w:val="000000"/>
                <w:w w:val="15"/>
                <w:fitText w:val="20" w:id="-1500824831"/>
                <w:lang w:val="en-AU"/>
                <w14:textFill>
                  <w14:solidFill>
                    <w14:srgbClr w14:val="000000">
                      <w14:alpha w14:val="100000"/>
                    </w14:srgbClr>
                  </w14:solidFill>
                </w14:textFill>
              </w:rPr>
              <w:t xml:space="preserve">　</w:t>
            </w:r>
            <w:r w:rsidRPr="00385E8C">
              <w:rPr>
                <w:color w:val="000000"/>
                <w:w w:val="15"/>
                <w:fitText w:val="20" w:id="-1500824831"/>
                <w:lang w:val="en-AU"/>
                <w14:textFill>
                  <w14:solidFill>
                    <w14:srgbClr w14:val="000000">
                      <w14:alpha w14:val="100000"/>
                    </w14:srgbClr>
                  </w14:solidFill>
                </w14:textFill>
              </w:rPr>
              <w:t>|</w:t>
            </w:r>
            <w:r w:rsidRPr="00385E8C">
              <w:rPr>
                <w:rFonts w:hint="eastAsia"/>
                <w:color w:val="000000"/>
                <w:spacing w:val="-45"/>
                <w:w w:val="15"/>
                <w:fitText w:val="20" w:id="-1500824831"/>
                <w:lang w:val="en-AU"/>
                <w14:textFill>
                  <w14:solidFill>
                    <w14:srgbClr w14:val="000000">
                      <w14:alpha w14:val="100000"/>
                    </w14:srgbClr>
                  </w14:solidFill>
                </w14:textFill>
              </w:rPr>
              <w:t xml:space="preserve">　</w:t>
            </w:r>
          </w:p>
        </w:tc>
        <w:tc>
          <w:tcPr>
            <w:tcW w:w="622" w:type="pct"/>
            <w:shd w:val="clear" w:color="auto" w:fill="auto"/>
            <w:vAlign w:val="center"/>
          </w:tcPr>
          <w:p w14:paraId="782CDF08" w14:textId="77777777" w:rsidR="00460E9B" w:rsidRPr="00B07FB9" w:rsidRDefault="00460E9B" w:rsidP="00A4339A">
            <w:pPr>
              <w:pStyle w:val="TableText0"/>
              <w:keepLines/>
              <w:widowControl w:val="0"/>
              <w:jc w:val="center"/>
              <w:rPr>
                <w:lang w:val="en-AU"/>
              </w:rPr>
            </w:pPr>
            <w:r w:rsidRPr="00B07FB9">
              <w:rPr>
                <w:lang w:val="en-AU"/>
              </w:rPr>
              <w:t>0.3375</w:t>
            </w:r>
          </w:p>
        </w:tc>
        <w:tc>
          <w:tcPr>
            <w:tcW w:w="622" w:type="pct"/>
            <w:shd w:val="clear" w:color="auto" w:fill="auto"/>
            <w:vAlign w:val="center"/>
          </w:tcPr>
          <w:p w14:paraId="6C7528D8" w14:textId="21FB8BE9" w:rsidR="00460E9B" w:rsidRPr="002145E9" w:rsidRDefault="007A0897" w:rsidP="00A4339A">
            <w:pPr>
              <w:pStyle w:val="TableText0"/>
              <w:keepLines/>
              <w:widowControl w:val="0"/>
              <w:jc w:val="center"/>
              <w:rPr>
                <w:highlight w:val="yellow"/>
                <w:lang w:val="en-AU"/>
              </w:rPr>
            </w:pPr>
            <w:r w:rsidRPr="007A0897">
              <w:rPr>
                <w:rFonts w:hint="eastAsia"/>
                <w:color w:val="000000"/>
                <w:w w:val="15"/>
                <w:shd w:val="solid" w:color="000000" w:fill="000000"/>
                <w:fitText w:val="50" w:id="-1500824830"/>
                <w:lang w:val="en-AU"/>
                <w14:textFill>
                  <w14:solidFill>
                    <w14:srgbClr w14:val="000000">
                      <w14:alpha w14:val="100000"/>
                    </w14:srgbClr>
                  </w14:solidFill>
                </w14:textFill>
              </w:rPr>
              <w:t xml:space="preserve">　</w:t>
            </w:r>
            <w:r w:rsidRPr="007A0897">
              <w:rPr>
                <w:color w:val="000000"/>
                <w:w w:val="15"/>
                <w:shd w:val="solid" w:color="000000" w:fill="000000"/>
                <w:fitText w:val="50" w:id="-1500824830"/>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30"/>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shd w:val="clear" w:color="auto" w:fill="auto"/>
            <w:vAlign w:val="center"/>
          </w:tcPr>
          <w:p w14:paraId="65ACD8E2" w14:textId="77777777" w:rsidR="00460E9B" w:rsidRPr="00B07FB9" w:rsidRDefault="00460E9B" w:rsidP="00A4339A">
            <w:pPr>
              <w:pStyle w:val="TableText0"/>
              <w:keepLines/>
              <w:widowControl w:val="0"/>
              <w:jc w:val="center"/>
              <w:rPr>
                <w:lang w:val="en-AU"/>
              </w:rPr>
            </w:pPr>
            <w:r w:rsidRPr="00B07FB9">
              <w:rPr>
                <w:lang w:val="en-AU"/>
              </w:rPr>
              <w:t>-0.7%</w:t>
            </w:r>
          </w:p>
        </w:tc>
      </w:tr>
      <w:tr w:rsidR="00460E9B" w:rsidRPr="00B07FB9" w14:paraId="761EA3D1" w14:textId="77777777" w:rsidTr="007A0897">
        <w:trPr>
          <w:trHeight w:val="20"/>
        </w:trPr>
        <w:tc>
          <w:tcPr>
            <w:tcW w:w="2519" w:type="pct"/>
            <w:tcBorders>
              <w:bottom w:val="single" w:sz="4" w:space="0" w:color="auto"/>
            </w:tcBorders>
            <w:shd w:val="clear" w:color="auto" w:fill="auto"/>
          </w:tcPr>
          <w:p w14:paraId="049D69EA" w14:textId="77777777" w:rsidR="00460E9B" w:rsidRPr="00B07FB9" w:rsidRDefault="00460E9B" w:rsidP="00A4339A">
            <w:pPr>
              <w:pStyle w:val="TableText0"/>
              <w:keepLines/>
              <w:widowControl w:val="0"/>
              <w:rPr>
                <w:lang w:val="en-AU"/>
              </w:rPr>
            </w:pPr>
            <w:r w:rsidRPr="00B07FB9">
              <w:rPr>
                <w:lang w:val="en-AU"/>
              </w:rPr>
              <w:t>PRIMA, ITT cohort (UK dataset)</w:t>
            </w:r>
          </w:p>
        </w:tc>
        <w:tc>
          <w:tcPr>
            <w:tcW w:w="622" w:type="pct"/>
            <w:tcBorders>
              <w:bottom w:val="single" w:sz="4" w:space="0" w:color="auto"/>
            </w:tcBorders>
            <w:shd w:val="solid" w:color="000000" w:fill="000000"/>
            <w:vAlign w:val="center"/>
          </w:tcPr>
          <w:p w14:paraId="25F4E18B" w14:textId="69AC3C9E" w:rsidR="00460E9B" w:rsidRPr="007A0897" w:rsidRDefault="007A0897" w:rsidP="00A4339A">
            <w:pPr>
              <w:pStyle w:val="TableText0"/>
              <w:keepLines/>
              <w:widowControl w:val="0"/>
              <w:jc w:val="center"/>
              <w:rPr>
                <w:lang w:val="en-AU"/>
              </w:rPr>
            </w:pPr>
            <w:r w:rsidRPr="00385E8C">
              <w:rPr>
                <w:rFonts w:hint="eastAsia"/>
                <w:color w:val="000000"/>
                <w:w w:val="15"/>
                <w:fitText w:val="20" w:id="-1500824829"/>
                <w:lang w:val="en-AU"/>
                <w14:textFill>
                  <w14:solidFill>
                    <w14:srgbClr w14:val="000000">
                      <w14:alpha w14:val="100000"/>
                    </w14:srgbClr>
                  </w14:solidFill>
                </w14:textFill>
              </w:rPr>
              <w:t xml:space="preserve">　</w:t>
            </w:r>
            <w:r w:rsidRPr="00385E8C">
              <w:rPr>
                <w:color w:val="000000"/>
                <w:w w:val="15"/>
                <w:fitText w:val="20" w:id="-1500824829"/>
                <w:lang w:val="en-AU"/>
                <w14:textFill>
                  <w14:solidFill>
                    <w14:srgbClr w14:val="000000">
                      <w14:alpha w14:val="100000"/>
                    </w14:srgbClr>
                  </w14:solidFill>
                </w14:textFill>
              </w:rPr>
              <w:t>|</w:t>
            </w:r>
            <w:r w:rsidRPr="00385E8C">
              <w:rPr>
                <w:rFonts w:hint="eastAsia"/>
                <w:color w:val="000000"/>
                <w:spacing w:val="-45"/>
                <w:w w:val="15"/>
                <w:fitText w:val="20" w:id="-1500824829"/>
                <w:lang w:val="en-AU"/>
                <w14:textFill>
                  <w14:solidFill>
                    <w14:srgbClr w14:val="000000">
                      <w14:alpha w14:val="100000"/>
                    </w14:srgbClr>
                  </w14:solidFill>
                </w14:textFill>
              </w:rPr>
              <w:t xml:space="preserve">　</w:t>
            </w:r>
          </w:p>
        </w:tc>
        <w:tc>
          <w:tcPr>
            <w:tcW w:w="622" w:type="pct"/>
            <w:tcBorders>
              <w:bottom w:val="single" w:sz="4" w:space="0" w:color="auto"/>
            </w:tcBorders>
            <w:shd w:val="clear" w:color="auto" w:fill="auto"/>
            <w:vAlign w:val="center"/>
          </w:tcPr>
          <w:p w14:paraId="3E7D596D" w14:textId="77777777" w:rsidR="00460E9B" w:rsidRPr="00B07FB9" w:rsidRDefault="00460E9B" w:rsidP="00A4339A">
            <w:pPr>
              <w:pStyle w:val="TableText0"/>
              <w:keepLines/>
              <w:widowControl w:val="0"/>
              <w:jc w:val="center"/>
              <w:rPr>
                <w:lang w:val="en-AU"/>
              </w:rPr>
            </w:pPr>
            <w:r w:rsidRPr="00B07FB9">
              <w:rPr>
                <w:lang w:val="en-AU"/>
              </w:rPr>
              <w:t>0.3475</w:t>
            </w:r>
          </w:p>
        </w:tc>
        <w:tc>
          <w:tcPr>
            <w:tcW w:w="622" w:type="pct"/>
            <w:tcBorders>
              <w:bottom w:val="single" w:sz="4" w:space="0" w:color="auto"/>
            </w:tcBorders>
            <w:shd w:val="clear" w:color="auto" w:fill="auto"/>
            <w:vAlign w:val="center"/>
          </w:tcPr>
          <w:p w14:paraId="69DC92D2" w14:textId="415C1F92" w:rsidR="00460E9B" w:rsidRPr="002145E9" w:rsidRDefault="007A0897" w:rsidP="00A4339A">
            <w:pPr>
              <w:pStyle w:val="TableText0"/>
              <w:keepLines/>
              <w:widowControl w:val="0"/>
              <w:jc w:val="center"/>
              <w:rPr>
                <w:highlight w:val="yellow"/>
                <w:lang w:val="en-AU"/>
              </w:rPr>
            </w:pPr>
            <w:r w:rsidRPr="007A0897">
              <w:rPr>
                <w:rFonts w:hint="eastAsia"/>
                <w:color w:val="000000"/>
                <w:w w:val="15"/>
                <w:shd w:val="solid" w:color="000000" w:fill="000000"/>
                <w:fitText w:val="50" w:id="-1500824828"/>
                <w:lang w:val="en-AU"/>
                <w14:textFill>
                  <w14:solidFill>
                    <w14:srgbClr w14:val="000000">
                      <w14:alpha w14:val="100000"/>
                    </w14:srgbClr>
                  </w14:solidFill>
                </w14:textFill>
              </w:rPr>
              <w:t xml:space="preserve">　</w:t>
            </w:r>
            <w:r w:rsidRPr="007A0897">
              <w:rPr>
                <w:color w:val="000000"/>
                <w:w w:val="15"/>
                <w:shd w:val="solid" w:color="000000" w:fill="000000"/>
                <w:fitText w:val="50" w:id="-1500824828"/>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28"/>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tcBorders>
              <w:bottom w:val="single" w:sz="4" w:space="0" w:color="auto"/>
            </w:tcBorders>
            <w:shd w:val="clear" w:color="auto" w:fill="auto"/>
            <w:vAlign w:val="center"/>
          </w:tcPr>
          <w:p w14:paraId="4DF97587" w14:textId="77777777" w:rsidR="00460E9B" w:rsidRPr="00B07FB9" w:rsidRDefault="00460E9B" w:rsidP="00A4339A">
            <w:pPr>
              <w:pStyle w:val="TableText0"/>
              <w:keepLines/>
              <w:widowControl w:val="0"/>
              <w:jc w:val="center"/>
              <w:rPr>
                <w:lang w:val="en-AU"/>
              </w:rPr>
            </w:pPr>
            <w:r w:rsidRPr="00B07FB9">
              <w:rPr>
                <w:lang w:val="en-AU"/>
              </w:rPr>
              <w:t>-3.5%</w:t>
            </w:r>
          </w:p>
        </w:tc>
      </w:tr>
      <w:tr w:rsidR="00444F55" w:rsidRPr="00B07FB9" w14:paraId="7066DBFD" w14:textId="77777777" w:rsidTr="007A0897">
        <w:trPr>
          <w:trHeight w:val="20"/>
        </w:trPr>
        <w:tc>
          <w:tcPr>
            <w:tcW w:w="2519" w:type="pct"/>
            <w:tcBorders>
              <w:bottom w:val="single" w:sz="4" w:space="0" w:color="auto"/>
            </w:tcBorders>
            <w:shd w:val="clear" w:color="auto" w:fill="auto"/>
          </w:tcPr>
          <w:p w14:paraId="2992667D" w14:textId="501A2CBE" w:rsidR="00444F55" w:rsidRPr="00B07FB9" w:rsidRDefault="00444F55" w:rsidP="00444F55">
            <w:pPr>
              <w:pStyle w:val="TableText0"/>
              <w:keepLines/>
              <w:widowControl w:val="0"/>
              <w:rPr>
                <w:lang w:val="en-AU"/>
              </w:rPr>
            </w:pPr>
            <w:r w:rsidRPr="00B07FB9">
              <w:rPr>
                <w:lang w:val="en-AU" w:bidi="en-US"/>
              </w:rPr>
              <w:t>Assuming a total QALY loss of 0.008 (PSCR)</w:t>
            </w:r>
          </w:p>
        </w:tc>
        <w:tc>
          <w:tcPr>
            <w:tcW w:w="622" w:type="pct"/>
            <w:tcBorders>
              <w:bottom w:val="single" w:sz="4" w:space="0" w:color="auto"/>
            </w:tcBorders>
            <w:shd w:val="solid" w:color="000000" w:fill="000000"/>
            <w:vAlign w:val="center"/>
          </w:tcPr>
          <w:p w14:paraId="707291DD" w14:textId="787A123C" w:rsidR="00444F55" w:rsidRPr="007A0897" w:rsidRDefault="007A0897" w:rsidP="00444F55">
            <w:pPr>
              <w:pStyle w:val="TableText0"/>
              <w:keepLines/>
              <w:widowControl w:val="0"/>
              <w:jc w:val="center"/>
              <w:rPr>
                <w:lang w:val="en-AU"/>
              </w:rPr>
            </w:pPr>
            <w:r w:rsidRPr="00385E8C">
              <w:rPr>
                <w:rFonts w:hint="eastAsia"/>
                <w:color w:val="000000"/>
                <w:w w:val="15"/>
                <w:fitText w:val="20" w:id="-1500824827"/>
                <w:lang w:val="en-AU"/>
                <w14:textFill>
                  <w14:solidFill>
                    <w14:srgbClr w14:val="000000">
                      <w14:alpha w14:val="100000"/>
                    </w14:srgbClr>
                  </w14:solidFill>
                </w14:textFill>
              </w:rPr>
              <w:t xml:space="preserve">　</w:t>
            </w:r>
            <w:r w:rsidRPr="00385E8C">
              <w:rPr>
                <w:color w:val="000000"/>
                <w:w w:val="15"/>
                <w:fitText w:val="20" w:id="-1500824827"/>
                <w:lang w:val="en-AU"/>
                <w14:textFill>
                  <w14:solidFill>
                    <w14:srgbClr w14:val="000000">
                      <w14:alpha w14:val="100000"/>
                    </w14:srgbClr>
                  </w14:solidFill>
                </w14:textFill>
              </w:rPr>
              <w:t>|</w:t>
            </w:r>
            <w:r w:rsidRPr="00385E8C">
              <w:rPr>
                <w:rFonts w:hint="eastAsia"/>
                <w:color w:val="000000"/>
                <w:spacing w:val="-45"/>
                <w:w w:val="15"/>
                <w:fitText w:val="20" w:id="-1500824827"/>
                <w:lang w:val="en-AU"/>
                <w14:textFill>
                  <w14:solidFill>
                    <w14:srgbClr w14:val="000000">
                      <w14:alpha w14:val="100000"/>
                    </w14:srgbClr>
                  </w14:solidFill>
                </w14:textFill>
              </w:rPr>
              <w:t xml:space="preserve">　</w:t>
            </w:r>
          </w:p>
        </w:tc>
        <w:tc>
          <w:tcPr>
            <w:tcW w:w="622" w:type="pct"/>
            <w:tcBorders>
              <w:bottom w:val="single" w:sz="4" w:space="0" w:color="auto"/>
            </w:tcBorders>
            <w:shd w:val="clear" w:color="auto" w:fill="auto"/>
            <w:vAlign w:val="center"/>
          </w:tcPr>
          <w:p w14:paraId="7652BDEC" w14:textId="1476948A" w:rsidR="00444F55" w:rsidRPr="00B07FB9" w:rsidRDefault="00444F55" w:rsidP="00444F55">
            <w:pPr>
              <w:pStyle w:val="TableText0"/>
              <w:keepLines/>
              <w:widowControl w:val="0"/>
              <w:jc w:val="center"/>
              <w:rPr>
                <w:lang w:val="en-AU"/>
              </w:rPr>
            </w:pPr>
            <w:r w:rsidRPr="00B07FB9">
              <w:rPr>
                <w:lang w:val="en-AU"/>
              </w:rPr>
              <w:t>0.3274</w:t>
            </w:r>
          </w:p>
        </w:tc>
        <w:tc>
          <w:tcPr>
            <w:tcW w:w="622" w:type="pct"/>
            <w:tcBorders>
              <w:bottom w:val="single" w:sz="4" w:space="0" w:color="auto"/>
            </w:tcBorders>
            <w:shd w:val="clear" w:color="auto" w:fill="auto"/>
            <w:vAlign w:val="center"/>
          </w:tcPr>
          <w:p w14:paraId="5F4D03A3" w14:textId="3A37173B" w:rsidR="00444F55" w:rsidRPr="002145E9" w:rsidRDefault="007A0897" w:rsidP="00444F55">
            <w:pPr>
              <w:pStyle w:val="TableText0"/>
              <w:keepLines/>
              <w:widowControl w:val="0"/>
              <w:jc w:val="center"/>
              <w:rPr>
                <w:highlight w:val="yellow"/>
                <w:lang w:val="en-AU"/>
              </w:rPr>
            </w:pPr>
            <w:r w:rsidRPr="007A0897">
              <w:rPr>
                <w:rFonts w:hint="eastAsia"/>
                <w:color w:val="000000"/>
                <w:w w:val="15"/>
                <w:shd w:val="solid" w:color="000000" w:fill="000000"/>
                <w:fitText w:val="50" w:id="-1500824826"/>
                <w:lang w:val="en-AU"/>
                <w14:textFill>
                  <w14:solidFill>
                    <w14:srgbClr w14:val="000000">
                      <w14:alpha w14:val="100000"/>
                    </w14:srgbClr>
                  </w14:solidFill>
                </w14:textFill>
              </w:rPr>
              <w:t xml:space="preserve">　</w:t>
            </w:r>
            <w:r w:rsidRPr="007A0897">
              <w:rPr>
                <w:color w:val="000000"/>
                <w:w w:val="15"/>
                <w:shd w:val="solid" w:color="000000" w:fill="000000"/>
                <w:fitText w:val="50" w:id="-1500824826"/>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26"/>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tcBorders>
              <w:bottom w:val="single" w:sz="4" w:space="0" w:color="auto"/>
            </w:tcBorders>
            <w:shd w:val="clear" w:color="auto" w:fill="auto"/>
            <w:vAlign w:val="center"/>
          </w:tcPr>
          <w:p w14:paraId="28917CA0" w14:textId="285E7D74" w:rsidR="00444F55" w:rsidRPr="00B07FB9" w:rsidRDefault="00444F55" w:rsidP="00444F55">
            <w:pPr>
              <w:pStyle w:val="TableText0"/>
              <w:keepLines/>
              <w:widowControl w:val="0"/>
              <w:jc w:val="center"/>
              <w:rPr>
                <w:lang w:val="en-AU"/>
              </w:rPr>
            </w:pPr>
            <w:r w:rsidRPr="00B07FB9">
              <w:rPr>
                <w:lang w:val="en-AU"/>
              </w:rPr>
              <w:t>2.4%</w:t>
            </w:r>
          </w:p>
        </w:tc>
      </w:tr>
      <w:tr w:rsidR="00444F55" w:rsidRPr="00B07FB9" w14:paraId="09CF12AB" w14:textId="77777777" w:rsidTr="007A0897">
        <w:trPr>
          <w:trHeight w:val="20"/>
        </w:trPr>
        <w:tc>
          <w:tcPr>
            <w:tcW w:w="2519" w:type="pct"/>
            <w:tcBorders>
              <w:right w:val="nil"/>
            </w:tcBorders>
            <w:shd w:val="clear" w:color="auto" w:fill="auto"/>
            <w:vAlign w:val="center"/>
          </w:tcPr>
          <w:p w14:paraId="17BD58BA" w14:textId="77777777" w:rsidR="00444F55" w:rsidRPr="00B07FB9" w:rsidRDefault="00444F55" w:rsidP="00444F55">
            <w:pPr>
              <w:pStyle w:val="TableText0"/>
              <w:keepLines/>
              <w:widowControl w:val="0"/>
              <w:rPr>
                <w:b/>
                <w:lang w:val="en-AU"/>
              </w:rPr>
            </w:pPr>
            <w:r w:rsidRPr="00B07FB9">
              <w:rPr>
                <w:b/>
                <w:lang w:val="en-AU"/>
              </w:rPr>
              <w:t xml:space="preserve">Exposure: PRIMA ISD cohort </w:t>
            </w:r>
          </w:p>
        </w:tc>
        <w:tc>
          <w:tcPr>
            <w:tcW w:w="622" w:type="pct"/>
            <w:tcBorders>
              <w:left w:val="nil"/>
              <w:bottom w:val="single" w:sz="4" w:space="0" w:color="auto"/>
              <w:right w:val="nil"/>
            </w:tcBorders>
            <w:shd w:val="clear" w:color="auto" w:fill="auto"/>
            <w:vAlign w:val="center"/>
          </w:tcPr>
          <w:p w14:paraId="5601A81E" w14:textId="77777777" w:rsidR="00444F55" w:rsidRPr="00B07FB9" w:rsidRDefault="00444F55" w:rsidP="00444F55">
            <w:pPr>
              <w:pStyle w:val="TableText0"/>
              <w:keepLines/>
              <w:widowControl w:val="0"/>
              <w:jc w:val="center"/>
              <w:rPr>
                <w:lang w:val="en-AU"/>
              </w:rPr>
            </w:pPr>
          </w:p>
        </w:tc>
        <w:tc>
          <w:tcPr>
            <w:tcW w:w="622" w:type="pct"/>
            <w:tcBorders>
              <w:left w:val="nil"/>
              <w:right w:val="nil"/>
            </w:tcBorders>
            <w:shd w:val="clear" w:color="auto" w:fill="auto"/>
            <w:vAlign w:val="center"/>
          </w:tcPr>
          <w:p w14:paraId="189B6ADB" w14:textId="77777777" w:rsidR="00444F55" w:rsidRPr="00B07FB9" w:rsidRDefault="00444F55" w:rsidP="00444F55">
            <w:pPr>
              <w:pStyle w:val="TableText0"/>
              <w:keepLines/>
              <w:widowControl w:val="0"/>
              <w:jc w:val="center"/>
              <w:rPr>
                <w:lang w:val="en-AU"/>
              </w:rPr>
            </w:pPr>
          </w:p>
        </w:tc>
        <w:tc>
          <w:tcPr>
            <w:tcW w:w="622" w:type="pct"/>
            <w:tcBorders>
              <w:left w:val="nil"/>
              <w:right w:val="nil"/>
            </w:tcBorders>
            <w:shd w:val="clear" w:color="auto" w:fill="auto"/>
            <w:vAlign w:val="center"/>
          </w:tcPr>
          <w:p w14:paraId="1D5F12E0" w14:textId="77777777" w:rsidR="00444F55" w:rsidRPr="00B07FB9" w:rsidRDefault="00444F55" w:rsidP="00444F55">
            <w:pPr>
              <w:pStyle w:val="TableText0"/>
              <w:keepLines/>
              <w:widowControl w:val="0"/>
              <w:jc w:val="center"/>
              <w:rPr>
                <w:lang w:val="en-AU"/>
              </w:rPr>
            </w:pPr>
          </w:p>
        </w:tc>
        <w:tc>
          <w:tcPr>
            <w:tcW w:w="615" w:type="pct"/>
            <w:tcBorders>
              <w:left w:val="nil"/>
            </w:tcBorders>
            <w:shd w:val="clear" w:color="auto" w:fill="auto"/>
            <w:vAlign w:val="center"/>
          </w:tcPr>
          <w:p w14:paraId="6363E182" w14:textId="77777777" w:rsidR="00444F55" w:rsidRPr="00B07FB9" w:rsidRDefault="00444F55" w:rsidP="00444F55">
            <w:pPr>
              <w:pStyle w:val="TableText0"/>
              <w:keepLines/>
              <w:widowControl w:val="0"/>
              <w:jc w:val="center"/>
              <w:rPr>
                <w:lang w:val="en-AU"/>
              </w:rPr>
            </w:pPr>
          </w:p>
        </w:tc>
      </w:tr>
      <w:tr w:rsidR="00444F55" w:rsidRPr="00B07FB9" w14:paraId="27349D25" w14:textId="77777777" w:rsidTr="007A0897">
        <w:trPr>
          <w:trHeight w:val="20"/>
        </w:trPr>
        <w:tc>
          <w:tcPr>
            <w:tcW w:w="2519" w:type="pct"/>
            <w:tcBorders>
              <w:bottom w:val="single" w:sz="4" w:space="0" w:color="auto"/>
            </w:tcBorders>
            <w:shd w:val="clear" w:color="auto" w:fill="auto"/>
          </w:tcPr>
          <w:p w14:paraId="680BE6D0" w14:textId="77777777" w:rsidR="00444F55" w:rsidRPr="00B07FB9" w:rsidRDefault="00444F55" w:rsidP="00444F55">
            <w:pPr>
              <w:pStyle w:val="TableText0"/>
              <w:keepLines/>
              <w:widowControl w:val="0"/>
              <w:rPr>
                <w:lang w:val="en-AU"/>
              </w:rPr>
            </w:pPr>
            <w:r w:rsidRPr="00B07FB9">
              <w:rPr>
                <w:lang w:val="en-AU"/>
              </w:rPr>
              <w:t>PRIMA ITT cohort</w:t>
            </w:r>
          </w:p>
        </w:tc>
        <w:tc>
          <w:tcPr>
            <w:tcW w:w="622" w:type="pct"/>
            <w:tcBorders>
              <w:bottom w:val="single" w:sz="4" w:space="0" w:color="auto"/>
            </w:tcBorders>
            <w:shd w:val="solid" w:color="000000" w:fill="000000"/>
            <w:vAlign w:val="center"/>
          </w:tcPr>
          <w:p w14:paraId="2BA29859" w14:textId="3711FDBB" w:rsidR="00444F55" w:rsidRPr="007A0897" w:rsidRDefault="007A0897" w:rsidP="00444F55">
            <w:pPr>
              <w:pStyle w:val="TableText0"/>
              <w:keepLines/>
              <w:widowControl w:val="0"/>
              <w:jc w:val="center"/>
              <w:rPr>
                <w:lang w:val="en-AU"/>
              </w:rPr>
            </w:pPr>
            <w:r w:rsidRPr="00385E8C">
              <w:rPr>
                <w:rFonts w:hint="eastAsia"/>
                <w:color w:val="000000"/>
                <w:w w:val="15"/>
                <w:fitText w:val="20" w:id="-1500824825"/>
                <w:lang w:val="en-AU"/>
                <w14:textFill>
                  <w14:solidFill>
                    <w14:srgbClr w14:val="000000">
                      <w14:alpha w14:val="100000"/>
                    </w14:srgbClr>
                  </w14:solidFill>
                </w14:textFill>
              </w:rPr>
              <w:t xml:space="preserve">　</w:t>
            </w:r>
            <w:r w:rsidRPr="00385E8C">
              <w:rPr>
                <w:color w:val="000000"/>
                <w:w w:val="15"/>
                <w:fitText w:val="20" w:id="-1500824825"/>
                <w:lang w:val="en-AU"/>
                <w14:textFill>
                  <w14:solidFill>
                    <w14:srgbClr w14:val="000000">
                      <w14:alpha w14:val="100000"/>
                    </w14:srgbClr>
                  </w14:solidFill>
                </w14:textFill>
              </w:rPr>
              <w:t>|</w:t>
            </w:r>
            <w:r w:rsidRPr="00385E8C">
              <w:rPr>
                <w:rFonts w:hint="eastAsia"/>
                <w:color w:val="000000"/>
                <w:spacing w:val="-45"/>
                <w:w w:val="15"/>
                <w:fitText w:val="20" w:id="-1500824825"/>
                <w:lang w:val="en-AU"/>
                <w14:textFill>
                  <w14:solidFill>
                    <w14:srgbClr w14:val="000000">
                      <w14:alpha w14:val="100000"/>
                    </w14:srgbClr>
                  </w14:solidFill>
                </w14:textFill>
              </w:rPr>
              <w:t xml:space="preserve">　</w:t>
            </w:r>
          </w:p>
        </w:tc>
        <w:tc>
          <w:tcPr>
            <w:tcW w:w="622" w:type="pct"/>
            <w:tcBorders>
              <w:bottom w:val="single" w:sz="4" w:space="0" w:color="auto"/>
            </w:tcBorders>
            <w:shd w:val="clear" w:color="auto" w:fill="auto"/>
            <w:vAlign w:val="center"/>
          </w:tcPr>
          <w:p w14:paraId="17BB5F8F" w14:textId="77777777" w:rsidR="00444F55" w:rsidRPr="00B07FB9" w:rsidRDefault="00444F55" w:rsidP="00444F55">
            <w:pPr>
              <w:pStyle w:val="TableText0"/>
              <w:keepLines/>
              <w:widowControl w:val="0"/>
              <w:jc w:val="center"/>
              <w:rPr>
                <w:lang w:val="en-AU"/>
              </w:rPr>
            </w:pPr>
            <w:r w:rsidRPr="00B07FB9">
              <w:rPr>
                <w:lang w:val="en-AU"/>
              </w:rPr>
              <w:t>0.3352</w:t>
            </w:r>
          </w:p>
        </w:tc>
        <w:tc>
          <w:tcPr>
            <w:tcW w:w="622" w:type="pct"/>
            <w:tcBorders>
              <w:bottom w:val="single" w:sz="4" w:space="0" w:color="auto"/>
            </w:tcBorders>
            <w:shd w:val="clear" w:color="auto" w:fill="auto"/>
            <w:vAlign w:val="center"/>
          </w:tcPr>
          <w:p w14:paraId="0A4DA088" w14:textId="36B7EAB9" w:rsidR="00444F55" w:rsidRPr="002145E9" w:rsidRDefault="007A0897" w:rsidP="00444F55">
            <w:pPr>
              <w:pStyle w:val="TableText0"/>
              <w:keepLines/>
              <w:widowControl w:val="0"/>
              <w:jc w:val="center"/>
              <w:rPr>
                <w:highlight w:val="yellow"/>
                <w:lang w:val="en-AU"/>
              </w:rPr>
            </w:pPr>
            <w:r w:rsidRPr="007A0897">
              <w:rPr>
                <w:rFonts w:hint="eastAsia"/>
                <w:color w:val="000000"/>
                <w:w w:val="15"/>
                <w:shd w:val="solid" w:color="000000" w:fill="000000"/>
                <w:fitText w:val="50" w:id="-1500824824"/>
                <w:lang w:val="en-AU"/>
                <w14:textFill>
                  <w14:solidFill>
                    <w14:srgbClr w14:val="000000">
                      <w14:alpha w14:val="100000"/>
                    </w14:srgbClr>
                  </w14:solidFill>
                </w14:textFill>
              </w:rPr>
              <w:t xml:space="preserve">　</w:t>
            </w:r>
            <w:r w:rsidRPr="007A0897">
              <w:rPr>
                <w:color w:val="000000"/>
                <w:w w:val="15"/>
                <w:shd w:val="solid" w:color="000000" w:fill="000000"/>
                <w:fitText w:val="50" w:id="-1500824824"/>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24"/>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tcBorders>
              <w:bottom w:val="single" w:sz="4" w:space="0" w:color="auto"/>
            </w:tcBorders>
            <w:shd w:val="clear" w:color="auto" w:fill="auto"/>
            <w:vAlign w:val="center"/>
          </w:tcPr>
          <w:p w14:paraId="5F1441FE" w14:textId="77777777" w:rsidR="00444F55" w:rsidRPr="00B07FB9" w:rsidRDefault="00444F55" w:rsidP="00444F55">
            <w:pPr>
              <w:pStyle w:val="TableText0"/>
              <w:keepLines/>
              <w:widowControl w:val="0"/>
              <w:jc w:val="center"/>
              <w:rPr>
                <w:lang w:val="en-AU"/>
              </w:rPr>
            </w:pPr>
            <w:r w:rsidRPr="00B07FB9">
              <w:rPr>
                <w:lang w:val="en-AU"/>
              </w:rPr>
              <w:t>7.6%</w:t>
            </w:r>
          </w:p>
        </w:tc>
      </w:tr>
      <w:tr w:rsidR="00444F55" w:rsidRPr="00B07FB9" w14:paraId="6A53A77F" w14:textId="77777777" w:rsidTr="00990236">
        <w:trPr>
          <w:trHeight w:val="20"/>
        </w:trPr>
        <w:tc>
          <w:tcPr>
            <w:tcW w:w="5000" w:type="pct"/>
            <w:gridSpan w:val="5"/>
            <w:tcBorders>
              <w:bottom w:val="single" w:sz="4" w:space="0" w:color="auto"/>
            </w:tcBorders>
            <w:shd w:val="clear" w:color="auto" w:fill="auto"/>
          </w:tcPr>
          <w:p w14:paraId="287D4F30" w14:textId="77777777" w:rsidR="00444F55" w:rsidRPr="00B07FB9" w:rsidRDefault="00444F55" w:rsidP="00444F55">
            <w:pPr>
              <w:pStyle w:val="TableText0"/>
              <w:keepLines/>
              <w:widowControl w:val="0"/>
              <w:rPr>
                <w:lang w:val="en-AU"/>
              </w:rPr>
            </w:pPr>
            <w:r w:rsidRPr="00B07FB9">
              <w:rPr>
                <w:b/>
                <w:lang w:val="en-AU"/>
              </w:rPr>
              <w:t>OS KM truncation time point: Niraparib 15.0 months, SMM: 15.4 months</w:t>
            </w:r>
          </w:p>
        </w:tc>
      </w:tr>
      <w:tr w:rsidR="00444F55" w:rsidRPr="00B07FB9" w14:paraId="5ED91E39" w14:textId="77777777" w:rsidTr="007A0897">
        <w:trPr>
          <w:trHeight w:val="20"/>
        </w:trPr>
        <w:tc>
          <w:tcPr>
            <w:tcW w:w="2519" w:type="pct"/>
            <w:tcBorders>
              <w:bottom w:val="single" w:sz="4" w:space="0" w:color="auto"/>
              <w:right w:val="single" w:sz="4" w:space="0" w:color="auto"/>
            </w:tcBorders>
            <w:shd w:val="clear" w:color="auto" w:fill="auto"/>
          </w:tcPr>
          <w:p w14:paraId="264DA2C8" w14:textId="77777777" w:rsidR="00444F55" w:rsidRPr="00B07FB9" w:rsidRDefault="00444F55" w:rsidP="00444F55">
            <w:pPr>
              <w:pStyle w:val="TableText0"/>
              <w:keepLines/>
              <w:widowControl w:val="0"/>
              <w:rPr>
                <w:b/>
                <w:lang w:val="en-AU"/>
              </w:rPr>
            </w:pPr>
            <w:r w:rsidRPr="00B07FB9">
              <w:rPr>
                <w:lang w:val="en-AU"/>
              </w:rPr>
              <w:t>Niraparib: 13.8 months, SMM: 13.7 months (PFS median follow-up time)</w:t>
            </w:r>
          </w:p>
        </w:tc>
        <w:tc>
          <w:tcPr>
            <w:tcW w:w="622" w:type="pct"/>
            <w:tcBorders>
              <w:left w:val="single" w:sz="4" w:space="0" w:color="auto"/>
              <w:bottom w:val="single" w:sz="4" w:space="0" w:color="auto"/>
              <w:right w:val="single" w:sz="4" w:space="0" w:color="auto"/>
            </w:tcBorders>
            <w:shd w:val="solid" w:color="000000" w:fill="000000"/>
            <w:vAlign w:val="center"/>
          </w:tcPr>
          <w:p w14:paraId="0B6A9EDD" w14:textId="786FAFFC" w:rsidR="00444F55" w:rsidRPr="007A0897" w:rsidRDefault="007A0897" w:rsidP="00444F55">
            <w:pPr>
              <w:pStyle w:val="TableText0"/>
              <w:keepLines/>
              <w:widowControl w:val="0"/>
              <w:jc w:val="center"/>
              <w:rPr>
                <w:lang w:val="en-AU"/>
              </w:rPr>
            </w:pPr>
            <w:r w:rsidRPr="00385E8C">
              <w:rPr>
                <w:rFonts w:hint="eastAsia"/>
                <w:color w:val="000000"/>
                <w:w w:val="15"/>
                <w:fitText w:val="20" w:id="-1500824823"/>
                <w:lang w:val="en-AU"/>
                <w14:textFill>
                  <w14:solidFill>
                    <w14:srgbClr w14:val="000000">
                      <w14:alpha w14:val="100000"/>
                    </w14:srgbClr>
                  </w14:solidFill>
                </w14:textFill>
              </w:rPr>
              <w:t xml:space="preserve">　</w:t>
            </w:r>
            <w:r w:rsidRPr="00385E8C">
              <w:rPr>
                <w:color w:val="000000"/>
                <w:w w:val="15"/>
                <w:fitText w:val="20" w:id="-1500824823"/>
                <w:lang w:val="en-AU"/>
                <w14:textFill>
                  <w14:solidFill>
                    <w14:srgbClr w14:val="000000">
                      <w14:alpha w14:val="100000"/>
                    </w14:srgbClr>
                  </w14:solidFill>
                </w14:textFill>
              </w:rPr>
              <w:t>|</w:t>
            </w:r>
            <w:r w:rsidRPr="00385E8C">
              <w:rPr>
                <w:rFonts w:hint="eastAsia"/>
                <w:color w:val="000000"/>
                <w:spacing w:val="-45"/>
                <w:w w:val="15"/>
                <w:fitText w:val="20" w:id="-1500824823"/>
                <w:lang w:val="en-AU"/>
                <w14:textFill>
                  <w14:solidFill>
                    <w14:srgbClr w14:val="000000">
                      <w14:alpha w14:val="100000"/>
                    </w14:srgbClr>
                  </w14:solidFill>
                </w14:textFill>
              </w:rPr>
              <w:t xml:space="preserve">　</w:t>
            </w:r>
          </w:p>
        </w:tc>
        <w:tc>
          <w:tcPr>
            <w:tcW w:w="622" w:type="pct"/>
            <w:tcBorders>
              <w:left w:val="single" w:sz="4" w:space="0" w:color="auto"/>
              <w:bottom w:val="single" w:sz="4" w:space="0" w:color="auto"/>
              <w:right w:val="single" w:sz="4" w:space="0" w:color="auto"/>
            </w:tcBorders>
            <w:shd w:val="clear" w:color="auto" w:fill="auto"/>
            <w:vAlign w:val="center"/>
          </w:tcPr>
          <w:p w14:paraId="145D2D59" w14:textId="77777777" w:rsidR="00444F55" w:rsidRPr="00B07FB9" w:rsidRDefault="00444F55" w:rsidP="00444F55">
            <w:pPr>
              <w:pStyle w:val="TableText0"/>
              <w:keepLines/>
              <w:widowControl w:val="0"/>
              <w:jc w:val="center"/>
              <w:rPr>
                <w:lang w:val="en-AU"/>
              </w:rPr>
            </w:pPr>
            <w:r w:rsidRPr="00B07FB9">
              <w:rPr>
                <w:lang w:val="en-AU"/>
              </w:rPr>
              <w:t>0.2981</w:t>
            </w:r>
          </w:p>
        </w:tc>
        <w:tc>
          <w:tcPr>
            <w:tcW w:w="622" w:type="pct"/>
            <w:tcBorders>
              <w:left w:val="single" w:sz="4" w:space="0" w:color="auto"/>
              <w:bottom w:val="single" w:sz="4" w:space="0" w:color="auto"/>
              <w:right w:val="single" w:sz="4" w:space="0" w:color="auto"/>
            </w:tcBorders>
            <w:shd w:val="clear" w:color="auto" w:fill="auto"/>
            <w:vAlign w:val="center"/>
          </w:tcPr>
          <w:p w14:paraId="55A1777D" w14:textId="0B0C3610" w:rsidR="00444F55" w:rsidRPr="002145E9" w:rsidRDefault="007A0897" w:rsidP="00444F55">
            <w:pPr>
              <w:pStyle w:val="TableText0"/>
              <w:keepLines/>
              <w:widowControl w:val="0"/>
              <w:jc w:val="center"/>
              <w:rPr>
                <w:highlight w:val="yellow"/>
                <w:lang w:val="en-AU"/>
              </w:rPr>
            </w:pPr>
            <w:r w:rsidRPr="007A0897">
              <w:rPr>
                <w:rFonts w:hint="eastAsia"/>
                <w:color w:val="000000"/>
                <w:w w:val="15"/>
                <w:shd w:val="solid" w:color="000000" w:fill="000000"/>
                <w:fitText w:val="50" w:id="-1500824822"/>
                <w:lang w:val="en-AU"/>
                <w14:textFill>
                  <w14:solidFill>
                    <w14:srgbClr w14:val="000000">
                      <w14:alpha w14:val="100000"/>
                    </w14:srgbClr>
                  </w14:solidFill>
                </w14:textFill>
              </w:rPr>
              <w:t xml:space="preserve">　</w:t>
            </w:r>
            <w:r w:rsidRPr="007A0897">
              <w:rPr>
                <w:color w:val="000000"/>
                <w:w w:val="15"/>
                <w:shd w:val="solid" w:color="000000" w:fill="000000"/>
                <w:fitText w:val="50" w:id="-1500824822"/>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22"/>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tcBorders>
              <w:left w:val="single" w:sz="4" w:space="0" w:color="auto"/>
              <w:bottom w:val="single" w:sz="4" w:space="0" w:color="auto"/>
            </w:tcBorders>
            <w:shd w:val="clear" w:color="auto" w:fill="auto"/>
            <w:vAlign w:val="center"/>
          </w:tcPr>
          <w:p w14:paraId="2E71CD2E" w14:textId="77777777" w:rsidR="00444F55" w:rsidRPr="00B07FB9" w:rsidRDefault="00444F55" w:rsidP="00444F55">
            <w:pPr>
              <w:pStyle w:val="TableText0"/>
              <w:keepLines/>
              <w:widowControl w:val="0"/>
              <w:jc w:val="center"/>
              <w:rPr>
                <w:lang w:val="en-AU"/>
              </w:rPr>
            </w:pPr>
            <w:r w:rsidRPr="00B07FB9">
              <w:rPr>
                <w:lang w:val="en-AU"/>
              </w:rPr>
              <w:t>13.0%</w:t>
            </w:r>
          </w:p>
        </w:tc>
      </w:tr>
      <w:tr w:rsidR="00444F55" w:rsidRPr="00B07FB9" w14:paraId="230A30AE" w14:textId="77777777" w:rsidTr="007A0897">
        <w:trPr>
          <w:trHeight w:val="20"/>
        </w:trPr>
        <w:tc>
          <w:tcPr>
            <w:tcW w:w="2519" w:type="pct"/>
            <w:tcBorders>
              <w:bottom w:val="single" w:sz="4" w:space="0" w:color="auto"/>
              <w:right w:val="nil"/>
            </w:tcBorders>
            <w:shd w:val="clear" w:color="auto" w:fill="auto"/>
          </w:tcPr>
          <w:p w14:paraId="4A69599B" w14:textId="77777777" w:rsidR="00444F55" w:rsidRPr="00B07FB9" w:rsidRDefault="00444F55" w:rsidP="00444F55">
            <w:pPr>
              <w:pStyle w:val="TableText0"/>
              <w:keepLines/>
              <w:widowControl w:val="0"/>
              <w:rPr>
                <w:b/>
                <w:lang w:val="en-AU"/>
              </w:rPr>
            </w:pPr>
            <w:r w:rsidRPr="00B07FB9">
              <w:rPr>
                <w:b/>
                <w:lang w:val="en-AU"/>
              </w:rPr>
              <w:t>OS extrapolation: Loglogistic</w:t>
            </w:r>
          </w:p>
        </w:tc>
        <w:tc>
          <w:tcPr>
            <w:tcW w:w="622" w:type="pct"/>
            <w:tcBorders>
              <w:left w:val="nil"/>
              <w:bottom w:val="single" w:sz="4" w:space="0" w:color="auto"/>
              <w:right w:val="nil"/>
            </w:tcBorders>
            <w:shd w:val="clear" w:color="auto" w:fill="auto"/>
            <w:vAlign w:val="center"/>
          </w:tcPr>
          <w:p w14:paraId="469F7489" w14:textId="77777777" w:rsidR="00444F55" w:rsidRPr="00B07FB9" w:rsidRDefault="00444F55" w:rsidP="00444F55">
            <w:pPr>
              <w:pStyle w:val="TableText0"/>
              <w:keepLines/>
              <w:widowControl w:val="0"/>
              <w:jc w:val="center"/>
              <w:rPr>
                <w:lang w:val="en-AU"/>
              </w:rPr>
            </w:pPr>
          </w:p>
        </w:tc>
        <w:tc>
          <w:tcPr>
            <w:tcW w:w="622" w:type="pct"/>
            <w:tcBorders>
              <w:left w:val="nil"/>
              <w:bottom w:val="single" w:sz="4" w:space="0" w:color="auto"/>
              <w:right w:val="nil"/>
            </w:tcBorders>
            <w:shd w:val="clear" w:color="auto" w:fill="auto"/>
            <w:vAlign w:val="center"/>
          </w:tcPr>
          <w:p w14:paraId="6E4694D1" w14:textId="77777777" w:rsidR="00444F55" w:rsidRPr="00B07FB9" w:rsidRDefault="00444F55" w:rsidP="00444F55">
            <w:pPr>
              <w:pStyle w:val="TableText0"/>
              <w:keepLines/>
              <w:widowControl w:val="0"/>
              <w:jc w:val="center"/>
              <w:rPr>
                <w:lang w:val="en-AU"/>
              </w:rPr>
            </w:pPr>
          </w:p>
        </w:tc>
        <w:tc>
          <w:tcPr>
            <w:tcW w:w="622" w:type="pct"/>
            <w:tcBorders>
              <w:left w:val="nil"/>
              <w:bottom w:val="single" w:sz="4" w:space="0" w:color="auto"/>
              <w:right w:val="nil"/>
            </w:tcBorders>
            <w:shd w:val="clear" w:color="auto" w:fill="auto"/>
            <w:vAlign w:val="center"/>
          </w:tcPr>
          <w:p w14:paraId="24C80918" w14:textId="77777777" w:rsidR="00444F55" w:rsidRPr="00B07FB9" w:rsidRDefault="00444F55" w:rsidP="00444F55">
            <w:pPr>
              <w:pStyle w:val="TableText0"/>
              <w:keepLines/>
              <w:widowControl w:val="0"/>
              <w:jc w:val="center"/>
              <w:rPr>
                <w:lang w:val="en-AU"/>
              </w:rPr>
            </w:pPr>
          </w:p>
        </w:tc>
        <w:tc>
          <w:tcPr>
            <w:tcW w:w="615" w:type="pct"/>
            <w:tcBorders>
              <w:left w:val="nil"/>
              <w:bottom w:val="single" w:sz="4" w:space="0" w:color="auto"/>
            </w:tcBorders>
            <w:shd w:val="clear" w:color="auto" w:fill="auto"/>
            <w:vAlign w:val="center"/>
          </w:tcPr>
          <w:p w14:paraId="2911983D" w14:textId="77777777" w:rsidR="00444F55" w:rsidRPr="00B07FB9" w:rsidRDefault="00444F55" w:rsidP="00444F55">
            <w:pPr>
              <w:pStyle w:val="TableText0"/>
              <w:keepLines/>
              <w:widowControl w:val="0"/>
              <w:jc w:val="center"/>
              <w:rPr>
                <w:lang w:val="en-AU"/>
              </w:rPr>
            </w:pPr>
          </w:p>
        </w:tc>
      </w:tr>
      <w:tr w:rsidR="00444F55" w:rsidRPr="00B07FB9" w14:paraId="4EF10347" w14:textId="77777777" w:rsidTr="007A0897">
        <w:trPr>
          <w:trHeight w:val="20"/>
        </w:trPr>
        <w:tc>
          <w:tcPr>
            <w:tcW w:w="2519" w:type="pct"/>
            <w:tcBorders>
              <w:bottom w:val="single" w:sz="4" w:space="0" w:color="auto"/>
            </w:tcBorders>
            <w:shd w:val="clear" w:color="auto" w:fill="auto"/>
          </w:tcPr>
          <w:p w14:paraId="58FA58DA" w14:textId="77777777" w:rsidR="00444F55" w:rsidRPr="00B07FB9" w:rsidRDefault="00444F55" w:rsidP="00444F55">
            <w:pPr>
              <w:pStyle w:val="TableText0"/>
              <w:keepLines/>
              <w:widowControl w:val="0"/>
              <w:rPr>
                <w:lang w:val="en-AU"/>
              </w:rPr>
            </w:pPr>
            <w:r w:rsidRPr="00B07FB9">
              <w:rPr>
                <w:lang w:val="en-AU"/>
              </w:rPr>
              <w:t>Lognormal</w:t>
            </w:r>
          </w:p>
        </w:tc>
        <w:tc>
          <w:tcPr>
            <w:tcW w:w="622" w:type="pct"/>
            <w:tcBorders>
              <w:bottom w:val="single" w:sz="4" w:space="0" w:color="auto"/>
            </w:tcBorders>
            <w:shd w:val="solid" w:color="000000" w:fill="000000"/>
            <w:vAlign w:val="center"/>
          </w:tcPr>
          <w:p w14:paraId="172F94A4" w14:textId="13A40172" w:rsidR="00444F55" w:rsidRPr="007A0897" w:rsidRDefault="007A0897" w:rsidP="00444F55">
            <w:pPr>
              <w:pStyle w:val="TableText0"/>
              <w:keepLines/>
              <w:widowControl w:val="0"/>
              <w:jc w:val="center"/>
              <w:rPr>
                <w:lang w:val="en-AU"/>
              </w:rPr>
            </w:pPr>
            <w:r w:rsidRPr="00385E8C">
              <w:rPr>
                <w:rFonts w:hint="eastAsia"/>
                <w:color w:val="000000"/>
                <w:w w:val="15"/>
                <w:fitText w:val="20" w:id="-1500824821"/>
                <w:lang w:val="en-AU"/>
                <w14:textFill>
                  <w14:solidFill>
                    <w14:srgbClr w14:val="000000">
                      <w14:alpha w14:val="100000"/>
                    </w14:srgbClr>
                  </w14:solidFill>
                </w14:textFill>
              </w:rPr>
              <w:t xml:space="preserve">　</w:t>
            </w:r>
            <w:r w:rsidRPr="00385E8C">
              <w:rPr>
                <w:color w:val="000000"/>
                <w:w w:val="15"/>
                <w:fitText w:val="20" w:id="-1500824821"/>
                <w:lang w:val="en-AU"/>
                <w14:textFill>
                  <w14:solidFill>
                    <w14:srgbClr w14:val="000000">
                      <w14:alpha w14:val="100000"/>
                    </w14:srgbClr>
                  </w14:solidFill>
                </w14:textFill>
              </w:rPr>
              <w:t>|</w:t>
            </w:r>
            <w:r w:rsidRPr="00385E8C">
              <w:rPr>
                <w:rFonts w:hint="eastAsia"/>
                <w:color w:val="000000"/>
                <w:spacing w:val="-45"/>
                <w:w w:val="15"/>
                <w:fitText w:val="20" w:id="-1500824821"/>
                <w:lang w:val="en-AU"/>
                <w14:textFill>
                  <w14:solidFill>
                    <w14:srgbClr w14:val="000000">
                      <w14:alpha w14:val="100000"/>
                    </w14:srgbClr>
                  </w14:solidFill>
                </w14:textFill>
              </w:rPr>
              <w:t xml:space="preserve">　</w:t>
            </w:r>
          </w:p>
        </w:tc>
        <w:tc>
          <w:tcPr>
            <w:tcW w:w="622" w:type="pct"/>
            <w:tcBorders>
              <w:bottom w:val="single" w:sz="4" w:space="0" w:color="auto"/>
            </w:tcBorders>
            <w:shd w:val="clear" w:color="auto" w:fill="auto"/>
            <w:vAlign w:val="center"/>
          </w:tcPr>
          <w:p w14:paraId="17660B35" w14:textId="77777777" w:rsidR="00444F55" w:rsidRPr="00B07FB9" w:rsidRDefault="00444F55" w:rsidP="00444F55">
            <w:pPr>
              <w:pStyle w:val="TableText0"/>
              <w:keepLines/>
              <w:widowControl w:val="0"/>
              <w:jc w:val="center"/>
              <w:rPr>
                <w:lang w:val="en-AU"/>
              </w:rPr>
            </w:pPr>
            <w:r w:rsidRPr="00B07FB9">
              <w:rPr>
                <w:lang w:val="en-AU"/>
              </w:rPr>
              <w:t>0.4489</w:t>
            </w:r>
          </w:p>
        </w:tc>
        <w:tc>
          <w:tcPr>
            <w:tcW w:w="622" w:type="pct"/>
            <w:tcBorders>
              <w:bottom w:val="single" w:sz="4" w:space="0" w:color="auto"/>
            </w:tcBorders>
            <w:shd w:val="clear" w:color="auto" w:fill="auto"/>
            <w:vAlign w:val="center"/>
          </w:tcPr>
          <w:p w14:paraId="40C8A980" w14:textId="12F9E481" w:rsidR="00444F55" w:rsidRPr="002145E9" w:rsidRDefault="007A0897" w:rsidP="00444F55">
            <w:pPr>
              <w:pStyle w:val="TableText0"/>
              <w:keepLines/>
              <w:widowControl w:val="0"/>
              <w:jc w:val="center"/>
              <w:rPr>
                <w:highlight w:val="yellow"/>
                <w:lang w:val="en-AU"/>
              </w:rPr>
            </w:pPr>
            <w:r w:rsidRPr="007A0897">
              <w:rPr>
                <w:rFonts w:hint="eastAsia"/>
                <w:color w:val="000000"/>
                <w:w w:val="15"/>
                <w:shd w:val="solid" w:color="000000" w:fill="000000"/>
                <w:fitText w:val="50" w:id="-1500824820"/>
                <w:lang w:val="en-AU"/>
                <w14:textFill>
                  <w14:solidFill>
                    <w14:srgbClr w14:val="000000">
                      <w14:alpha w14:val="100000"/>
                    </w14:srgbClr>
                  </w14:solidFill>
                </w14:textFill>
              </w:rPr>
              <w:t xml:space="preserve">　</w:t>
            </w:r>
            <w:r w:rsidRPr="007A0897">
              <w:rPr>
                <w:color w:val="000000"/>
                <w:w w:val="15"/>
                <w:shd w:val="solid" w:color="000000" w:fill="000000"/>
                <w:fitText w:val="50" w:id="-1500824820"/>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20"/>
                <w:lang w:val="en-AU"/>
                <w14:textFill>
                  <w14:solidFill>
                    <w14:srgbClr w14:val="000000">
                      <w14:alpha w14:val="100000"/>
                    </w14:srgbClr>
                  </w14:solidFill>
                </w14:textFill>
              </w:rPr>
              <w:t xml:space="preserve">　</w:t>
            </w:r>
            <w:r w:rsidR="005D778D">
              <w:rPr>
                <w:vertAlign w:val="superscript"/>
                <w:lang w:val="en-AU"/>
              </w:rPr>
              <w:t>2</w:t>
            </w:r>
          </w:p>
        </w:tc>
        <w:tc>
          <w:tcPr>
            <w:tcW w:w="615" w:type="pct"/>
            <w:tcBorders>
              <w:bottom w:val="single" w:sz="4" w:space="0" w:color="auto"/>
            </w:tcBorders>
            <w:shd w:val="clear" w:color="auto" w:fill="auto"/>
            <w:vAlign w:val="center"/>
          </w:tcPr>
          <w:p w14:paraId="6D1B64A5" w14:textId="77777777" w:rsidR="00444F55" w:rsidRPr="00B07FB9" w:rsidRDefault="00444F55" w:rsidP="00444F55">
            <w:pPr>
              <w:pStyle w:val="TableText0"/>
              <w:keepLines/>
              <w:widowControl w:val="0"/>
              <w:jc w:val="center"/>
              <w:rPr>
                <w:lang w:val="en-AU"/>
              </w:rPr>
            </w:pPr>
            <w:r w:rsidRPr="00B07FB9">
              <w:rPr>
                <w:lang w:val="en-AU"/>
              </w:rPr>
              <w:t>-27.1%</w:t>
            </w:r>
          </w:p>
        </w:tc>
      </w:tr>
      <w:tr w:rsidR="00444F55" w:rsidRPr="00B07FB9" w14:paraId="1948BE86" w14:textId="77777777" w:rsidTr="00990236">
        <w:trPr>
          <w:trHeight w:val="20"/>
        </w:trPr>
        <w:tc>
          <w:tcPr>
            <w:tcW w:w="5000" w:type="pct"/>
            <w:gridSpan w:val="5"/>
            <w:tcBorders>
              <w:bottom w:val="single" w:sz="4" w:space="0" w:color="auto"/>
            </w:tcBorders>
            <w:shd w:val="clear" w:color="auto" w:fill="auto"/>
          </w:tcPr>
          <w:p w14:paraId="0F17A605" w14:textId="77777777" w:rsidR="00444F55" w:rsidRPr="00B07FB9" w:rsidRDefault="00444F55" w:rsidP="00444F55">
            <w:pPr>
              <w:pStyle w:val="TableText0"/>
              <w:keepLines/>
              <w:widowControl w:val="0"/>
              <w:rPr>
                <w:lang w:val="en-AU"/>
              </w:rPr>
            </w:pPr>
            <w:r w:rsidRPr="00B07FB9">
              <w:rPr>
                <w:b/>
                <w:lang w:val="en-AU"/>
              </w:rPr>
              <w:t>TTD KM truncation time point: Niraparib 13.8 months</w:t>
            </w:r>
          </w:p>
        </w:tc>
      </w:tr>
      <w:tr w:rsidR="00444F55" w:rsidRPr="00B07FB9" w14:paraId="26F212EF" w14:textId="77777777" w:rsidTr="007A0897">
        <w:trPr>
          <w:trHeight w:val="20"/>
        </w:trPr>
        <w:tc>
          <w:tcPr>
            <w:tcW w:w="2519" w:type="pct"/>
            <w:tcBorders>
              <w:bottom w:val="single" w:sz="4" w:space="0" w:color="auto"/>
              <w:right w:val="single" w:sz="4" w:space="0" w:color="auto"/>
            </w:tcBorders>
            <w:shd w:val="clear" w:color="auto" w:fill="auto"/>
          </w:tcPr>
          <w:p w14:paraId="16C1D0B5" w14:textId="77777777" w:rsidR="00444F55" w:rsidRPr="00B07FB9" w:rsidRDefault="00444F55" w:rsidP="00444F55">
            <w:pPr>
              <w:pStyle w:val="TableText0"/>
              <w:keepLines/>
              <w:widowControl w:val="0"/>
              <w:rPr>
                <w:b/>
                <w:lang w:val="en-AU"/>
              </w:rPr>
            </w:pPr>
            <w:r w:rsidRPr="00B07FB9">
              <w:rPr>
                <w:lang w:val="en-AU"/>
              </w:rPr>
              <w:t>Niraparib median PFS: 10.9 months</w:t>
            </w:r>
          </w:p>
        </w:tc>
        <w:tc>
          <w:tcPr>
            <w:tcW w:w="622" w:type="pct"/>
            <w:tcBorders>
              <w:left w:val="single" w:sz="4" w:space="0" w:color="auto"/>
              <w:bottom w:val="single" w:sz="4" w:space="0" w:color="auto"/>
              <w:right w:val="single" w:sz="4" w:space="0" w:color="auto"/>
            </w:tcBorders>
            <w:shd w:val="solid" w:color="000000" w:fill="000000"/>
            <w:vAlign w:val="center"/>
          </w:tcPr>
          <w:p w14:paraId="247061CF" w14:textId="0B8F718C" w:rsidR="00444F55" w:rsidRPr="007A0897" w:rsidRDefault="007A0897" w:rsidP="00444F55">
            <w:pPr>
              <w:pStyle w:val="TableText0"/>
              <w:keepLines/>
              <w:widowControl w:val="0"/>
              <w:jc w:val="center"/>
              <w:rPr>
                <w:lang w:val="en-AU"/>
              </w:rPr>
            </w:pPr>
            <w:r w:rsidRPr="00385E8C">
              <w:rPr>
                <w:rFonts w:hint="eastAsia"/>
                <w:color w:val="000000"/>
                <w:w w:val="15"/>
                <w:fitText w:val="20" w:id="-1500824819"/>
                <w:lang w:val="en-AU"/>
                <w14:textFill>
                  <w14:solidFill>
                    <w14:srgbClr w14:val="000000">
                      <w14:alpha w14:val="100000"/>
                    </w14:srgbClr>
                  </w14:solidFill>
                </w14:textFill>
              </w:rPr>
              <w:t xml:space="preserve">　</w:t>
            </w:r>
            <w:r w:rsidRPr="00385E8C">
              <w:rPr>
                <w:color w:val="000000"/>
                <w:w w:val="15"/>
                <w:fitText w:val="20" w:id="-1500824819"/>
                <w:lang w:val="en-AU"/>
                <w14:textFill>
                  <w14:solidFill>
                    <w14:srgbClr w14:val="000000">
                      <w14:alpha w14:val="100000"/>
                    </w14:srgbClr>
                  </w14:solidFill>
                </w14:textFill>
              </w:rPr>
              <w:t>|</w:t>
            </w:r>
            <w:r w:rsidRPr="00385E8C">
              <w:rPr>
                <w:rFonts w:hint="eastAsia"/>
                <w:color w:val="000000"/>
                <w:spacing w:val="-45"/>
                <w:w w:val="15"/>
                <w:fitText w:val="20" w:id="-1500824819"/>
                <w:lang w:val="en-AU"/>
                <w14:textFill>
                  <w14:solidFill>
                    <w14:srgbClr w14:val="000000">
                      <w14:alpha w14:val="100000"/>
                    </w14:srgbClr>
                  </w14:solidFill>
                </w14:textFill>
              </w:rPr>
              <w:t xml:space="preserve">　</w:t>
            </w:r>
          </w:p>
        </w:tc>
        <w:tc>
          <w:tcPr>
            <w:tcW w:w="622" w:type="pct"/>
            <w:tcBorders>
              <w:left w:val="single" w:sz="4" w:space="0" w:color="auto"/>
              <w:bottom w:val="single" w:sz="4" w:space="0" w:color="auto"/>
              <w:right w:val="single" w:sz="4" w:space="0" w:color="auto"/>
            </w:tcBorders>
            <w:shd w:val="clear" w:color="auto" w:fill="auto"/>
            <w:vAlign w:val="center"/>
          </w:tcPr>
          <w:p w14:paraId="06650291" w14:textId="77777777" w:rsidR="00444F55" w:rsidRPr="00B07FB9" w:rsidRDefault="00444F55" w:rsidP="00444F55">
            <w:pPr>
              <w:pStyle w:val="TableText0"/>
              <w:keepLines/>
              <w:widowControl w:val="0"/>
              <w:jc w:val="center"/>
              <w:rPr>
                <w:lang w:val="en-AU"/>
              </w:rPr>
            </w:pPr>
            <w:r w:rsidRPr="00B07FB9">
              <w:rPr>
                <w:lang w:val="en-AU"/>
              </w:rPr>
              <w:t>0.3352</w:t>
            </w:r>
          </w:p>
        </w:tc>
        <w:tc>
          <w:tcPr>
            <w:tcW w:w="622" w:type="pct"/>
            <w:tcBorders>
              <w:left w:val="single" w:sz="4" w:space="0" w:color="auto"/>
              <w:bottom w:val="single" w:sz="4" w:space="0" w:color="auto"/>
              <w:right w:val="single" w:sz="4" w:space="0" w:color="auto"/>
            </w:tcBorders>
            <w:shd w:val="clear" w:color="auto" w:fill="auto"/>
            <w:vAlign w:val="center"/>
          </w:tcPr>
          <w:p w14:paraId="6C202946" w14:textId="73F41F4E" w:rsidR="00444F55" w:rsidRPr="002145E9" w:rsidRDefault="007A0897" w:rsidP="00444F55">
            <w:pPr>
              <w:pStyle w:val="TableText0"/>
              <w:keepLines/>
              <w:widowControl w:val="0"/>
              <w:jc w:val="center"/>
              <w:rPr>
                <w:highlight w:val="yellow"/>
                <w:lang w:val="en-AU"/>
              </w:rPr>
            </w:pPr>
            <w:r w:rsidRPr="007A0897">
              <w:rPr>
                <w:rFonts w:hint="eastAsia"/>
                <w:color w:val="000000"/>
                <w:w w:val="15"/>
                <w:shd w:val="solid" w:color="000000" w:fill="000000"/>
                <w:fitText w:val="50" w:id="-1500824818"/>
                <w:lang w:val="en-AU"/>
                <w14:textFill>
                  <w14:solidFill>
                    <w14:srgbClr w14:val="000000">
                      <w14:alpha w14:val="100000"/>
                    </w14:srgbClr>
                  </w14:solidFill>
                </w14:textFill>
              </w:rPr>
              <w:t xml:space="preserve">　</w:t>
            </w:r>
            <w:r w:rsidRPr="007A0897">
              <w:rPr>
                <w:color w:val="000000"/>
                <w:w w:val="15"/>
                <w:shd w:val="solid" w:color="000000" w:fill="000000"/>
                <w:fitText w:val="50" w:id="-1500824818"/>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18"/>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tcBorders>
              <w:left w:val="single" w:sz="4" w:space="0" w:color="auto"/>
              <w:bottom w:val="single" w:sz="4" w:space="0" w:color="auto"/>
            </w:tcBorders>
            <w:shd w:val="clear" w:color="auto" w:fill="auto"/>
            <w:vAlign w:val="center"/>
          </w:tcPr>
          <w:p w14:paraId="28DC4FE7" w14:textId="77777777" w:rsidR="00444F55" w:rsidRPr="00B07FB9" w:rsidRDefault="00444F55" w:rsidP="00444F55">
            <w:pPr>
              <w:pStyle w:val="TableText0"/>
              <w:keepLines/>
              <w:widowControl w:val="0"/>
              <w:jc w:val="center"/>
              <w:rPr>
                <w:lang w:val="en-AU"/>
              </w:rPr>
            </w:pPr>
            <w:r w:rsidRPr="00B07FB9">
              <w:rPr>
                <w:lang w:val="en-AU"/>
              </w:rPr>
              <w:t>2.6%</w:t>
            </w:r>
          </w:p>
        </w:tc>
      </w:tr>
      <w:tr w:rsidR="00444F55" w:rsidRPr="00B07FB9" w14:paraId="273A2413" w14:textId="77777777" w:rsidTr="007A0897">
        <w:trPr>
          <w:trHeight w:val="20"/>
        </w:trPr>
        <w:tc>
          <w:tcPr>
            <w:tcW w:w="2519" w:type="pct"/>
            <w:tcBorders>
              <w:right w:val="nil"/>
            </w:tcBorders>
            <w:shd w:val="clear" w:color="auto" w:fill="auto"/>
          </w:tcPr>
          <w:p w14:paraId="2FCD0F46" w14:textId="77777777" w:rsidR="00444F55" w:rsidRPr="00B07FB9" w:rsidRDefault="00444F55" w:rsidP="00444F55">
            <w:pPr>
              <w:pStyle w:val="TableText0"/>
              <w:keepLines/>
              <w:widowControl w:val="0"/>
              <w:rPr>
                <w:b/>
                <w:lang w:val="en-AU"/>
              </w:rPr>
            </w:pPr>
            <w:r w:rsidRPr="00B07FB9">
              <w:rPr>
                <w:b/>
                <w:lang w:val="en-AU"/>
              </w:rPr>
              <w:t>TTD extrapolation: Weibull</w:t>
            </w:r>
          </w:p>
        </w:tc>
        <w:tc>
          <w:tcPr>
            <w:tcW w:w="622" w:type="pct"/>
            <w:tcBorders>
              <w:left w:val="nil"/>
              <w:bottom w:val="single" w:sz="4" w:space="0" w:color="auto"/>
              <w:right w:val="nil"/>
            </w:tcBorders>
            <w:shd w:val="clear" w:color="auto" w:fill="auto"/>
            <w:vAlign w:val="center"/>
          </w:tcPr>
          <w:p w14:paraId="68CFCFF6" w14:textId="77777777" w:rsidR="00444F55" w:rsidRPr="00B07FB9" w:rsidRDefault="00444F55" w:rsidP="00444F55">
            <w:pPr>
              <w:pStyle w:val="TableText0"/>
              <w:keepLines/>
              <w:widowControl w:val="0"/>
              <w:jc w:val="center"/>
              <w:rPr>
                <w:lang w:val="en-AU"/>
              </w:rPr>
            </w:pPr>
          </w:p>
        </w:tc>
        <w:tc>
          <w:tcPr>
            <w:tcW w:w="622" w:type="pct"/>
            <w:tcBorders>
              <w:left w:val="nil"/>
              <w:right w:val="nil"/>
            </w:tcBorders>
            <w:shd w:val="clear" w:color="auto" w:fill="auto"/>
            <w:vAlign w:val="center"/>
          </w:tcPr>
          <w:p w14:paraId="076A00EA" w14:textId="77777777" w:rsidR="00444F55" w:rsidRPr="00B07FB9" w:rsidRDefault="00444F55" w:rsidP="00444F55">
            <w:pPr>
              <w:pStyle w:val="TableText0"/>
              <w:keepLines/>
              <w:widowControl w:val="0"/>
              <w:jc w:val="center"/>
              <w:rPr>
                <w:lang w:val="en-AU"/>
              </w:rPr>
            </w:pPr>
          </w:p>
        </w:tc>
        <w:tc>
          <w:tcPr>
            <w:tcW w:w="622" w:type="pct"/>
            <w:tcBorders>
              <w:left w:val="nil"/>
              <w:right w:val="nil"/>
            </w:tcBorders>
            <w:shd w:val="clear" w:color="auto" w:fill="auto"/>
            <w:vAlign w:val="center"/>
          </w:tcPr>
          <w:p w14:paraId="08B1BDBE" w14:textId="77777777" w:rsidR="00444F55" w:rsidRPr="00B07FB9" w:rsidRDefault="00444F55" w:rsidP="00444F55">
            <w:pPr>
              <w:pStyle w:val="TableText0"/>
              <w:keepLines/>
              <w:widowControl w:val="0"/>
              <w:jc w:val="center"/>
              <w:rPr>
                <w:lang w:val="en-AU"/>
              </w:rPr>
            </w:pPr>
          </w:p>
        </w:tc>
        <w:tc>
          <w:tcPr>
            <w:tcW w:w="615" w:type="pct"/>
            <w:tcBorders>
              <w:left w:val="nil"/>
            </w:tcBorders>
            <w:shd w:val="clear" w:color="auto" w:fill="auto"/>
            <w:vAlign w:val="center"/>
          </w:tcPr>
          <w:p w14:paraId="25C8E65C" w14:textId="77777777" w:rsidR="00444F55" w:rsidRPr="00B07FB9" w:rsidRDefault="00444F55" w:rsidP="00444F55">
            <w:pPr>
              <w:pStyle w:val="TableText0"/>
              <w:keepLines/>
              <w:widowControl w:val="0"/>
              <w:jc w:val="center"/>
              <w:rPr>
                <w:lang w:val="en-AU"/>
              </w:rPr>
            </w:pPr>
          </w:p>
        </w:tc>
      </w:tr>
      <w:tr w:rsidR="00444F55" w:rsidRPr="00B07FB9" w14:paraId="295F7CCF" w14:textId="77777777" w:rsidTr="007A0897">
        <w:trPr>
          <w:trHeight w:val="20"/>
        </w:trPr>
        <w:tc>
          <w:tcPr>
            <w:tcW w:w="2519" w:type="pct"/>
            <w:shd w:val="clear" w:color="auto" w:fill="auto"/>
            <w:vAlign w:val="center"/>
          </w:tcPr>
          <w:p w14:paraId="7C86BFC5" w14:textId="77777777" w:rsidR="00444F55" w:rsidRPr="00B07FB9" w:rsidRDefault="00444F55" w:rsidP="00444F55">
            <w:pPr>
              <w:pStyle w:val="TableText0"/>
              <w:keepLines/>
              <w:widowControl w:val="0"/>
              <w:rPr>
                <w:lang w:val="en-AU"/>
              </w:rPr>
            </w:pPr>
            <w:r w:rsidRPr="00B07FB9">
              <w:rPr>
                <w:lang w:val="en-AU"/>
              </w:rPr>
              <w:t>Exponential</w:t>
            </w:r>
          </w:p>
        </w:tc>
        <w:tc>
          <w:tcPr>
            <w:tcW w:w="622" w:type="pct"/>
            <w:tcBorders>
              <w:bottom w:val="single" w:sz="4" w:space="0" w:color="auto"/>
            </w:tcBorders>
            <w:shd w:val="solid" w:color="000000" w:fill="000000"/>
            <w:vAlign w:val="center"/>
          </w:tcPr>
          <w:p w14:paraId="5877E4B9" w14:textId="0B13F6F2" w:rsidR="00444F55" w:rsidRPr="007A0897" w:rsidRDefault="007A0897" w:rsidP="00444F55">
            <w:pPr>
              <w:pStyle w:val="TableText0"/>
              <w:keepLines/>
              <w:widowControl w:val="0"/>
              <w:jc w:val="center"/>
              <w:rPr>
                <w:lang w:val="en-AU"/>
              </w:rPr>
            </w:pPr>
            <w:r w:rsidRPr="00385E8C">
              <w:rPr>
                <w:rFonts w:hint="eastAsia"/>
                <w:color w:val="000000"/>
                <w:w w:val="15"/>
                <w:fitText w:val="20" w:id="-1500824817"/>
                <w:lang w:val="en-AU"/>
                <w14:textFill>
                  <w14:solidFill>
                    <w14:srgbClr w14:val="000000">
                      <w14:alpha w14:val="100000"/>
                    </w14:srgbClr>
                  </w14:solidFill>
                </w14:textFill>
              </w:rPr>
              <w:t xml:space="preserve">　</w:t>
            </w:r>
            <w:r w:rsidRPr="00385E8C">
              <w:rPr>
                <w:color w:val="000000"/>
                <w:w w:val="15"/>
                <w:fitText w:val="20" w:id="-1500824817"/>
                <w:lang w:val="en-AU"/>
                <w14:textFill>
                  <w14:solidFill>
                    <w14:srgbClr w14:val="000000">
                      <w14:alpha w14:val="100000"/>
                    </w14:srgbClr>
                  </w14:solidFill>
                </w14:textFill>
              </w:rPr>
              <w:t>|</w:t>
            </w:r>
            <w:r w:rsidRPr="00385E8C">
              <w:rPr>
                <w:rFonts w:hint="eastAsia"/>
                <w:color w:val="000000"/>
                <w:spacing w:val="-45"/>
                <w:w w:val="15"/>
                <w:fitText w:val="20" w:id="-1500824817"/>
                <w:lang w:val="en-AU"/>
                <w14:textFill>
                  <w14:solidFill>
                    <w14:srgbClr w14:val="000000">
                      <w14:alpha w14:val="100000"/>
                    </w14:srgbClr>
                  </w14:solidFill>
                </w14:textFill>
              </w:rPr>
              <w:t xml:space="preserve">　</w:t>
            </w:r>
          </w:p>
        </w:tc>
        <w:tc>
          <w:tcPr>
            <w:tcW w:w="622" w:type="pct"/>
            <w:shd w:val="clear" w:color="auto" w:fill="auto"/>
            <w:vAlign w:val="center"/>
          </w:tcPr>
          <w:p w14:paraId="0A8E664D" w14:textId="77777777" w:rsidR="00444F55" w:rsidRPr="00B07FB9" w:rsidRDefault="00444F55" w:rsidP="00444F55">
            <w:pPr>
              <w:pStyle w:val="TableText0"/>
              <w:keepLines/>
              <w:widowControl w:val="0"/>
              <w:jc w:val="center"/>
              <w:rPr>
                <w:lang w:val="en-AU"/>
              </w:rPr>
            </w:pPr>
            <w:r w:rsidRPr="00B07FB9">
              <w:rPr>
                <w:lang w:val="en-AU"/>
              </w:rPr>
              <w:t>0.3352</w:t>
            </w:r>
          </w:p>
        </w:tc>
        <w:tc>
          <w:tcPr>
            <w:tcW w:w="622" w:type="pct"/>
            <w:shd w:val="clear" w:color="auto" w:fill="auto"/>
            <w:vAlign w:val="center"/>
          </w:tcPr>
          <w:p w14:paraId="13F74A54" w14:textId="5DDE2E4E" w:rsidR="00444F55" w:rsidRPr="002145E9" w:rsidRDefault="007A0897" w:rsidP="00444F55">
            <w:pPr>
              <w:pStyle w:val="TableText0"/>
              <w:keepLines/>
              <w:widowControl w:val="0"/>
              <w:jc w:val="center"/>
              <w:rPr>
                <w:highlight w:val="yellow"/>
                <w:lang w:val="en-AU"/>
              </w:rPr>
            </w:pPr>
            <w:r w:rsidRPr="007A0897">
              <w:rPr>
                <w:rFonts w:hint="eastAsia"/>
                <w:color w:val="000000"/>
                <w:w w:val="15"/>
                <w:shd w:val="solid" w:color="000000" w:fill="000000"/>
                <w:fitText w:val="50" w:id="-1500824816"/>
                <w:lang w:val="en-AU"/>
                <w14:textFill>
                  <w14:solidFill>
                    <w14:srgbClr w14:val="000000">
                      <w14:alpha w14:val="100000"/>
                    </w14:srgbClr>
                  </w14:solidFill>
                </w14:textFill>
              </w:rPr>
              <w:t xml:space="preserve">　</w:t>
            </w:r>
            <w:r w:rsidRPr="007A0897">
              <w:rPr>
                <w:color w:val="000000"/>
                <w:w w:val="15"/>
                <w:shd w:val="solid" w:color="000000" w:fill="000000"/>
                <w:fitText w:val="50" w:id="-1500824816"/>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16"/>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shd w:val="clear" w:color="auto" w:fill="auto"/>
            <w:vAlign w:val="center"/>
          </w:tcPr>
          <w:p w14:paraId="10EB2E64" w14:textId="77777777" w:rsidR="00444F55" w:rsidRPr="00B07FB9" w:rsidRDefault="00444F55" w:rsidP="00444F55">
            <w:pPr>
              <w:pStyle w:val="TableText0"/>
              <w:keepLines/>
              <w:widowControl w:val="0"/>
              <w:jc w:val="center"/>
              <w:rPr>
                <w:lang w:val="en-AU"/>
              </w:rPr>
            </w:pPr>
            <w:r w:rsidRPr="00B07FB9">
              <w:rPr>
                <w:lang w:val="en-AU"/>
              </w:rPr>
              <w:t>4.9%</w:t>
            </w:r>
          </w:p>
        </w:tc>
      </w:tr>
      <w:tr w:rsidR="00444F55" w:rsidRPr="00B07FB9" w14:paraId="4D0A32AC" w14:textId="77777777" w:rsidTr="007A0897">
        <w:trPr>
          <w:trHeight w:val="20"/>
        </w:trPr>
        <w:tc>
          <w:tcPr>
            <w:tcW w:w="2519" w:type="pct"/>
            <w:shd w:val="clear" w:color="auto" w:fill="auto"/>
            <w:vAlign w:val="center"/>
          </w:tcPr>
          <w:p w14:paraId="4F43D9CE" w14:textId="77777777" w:rsidR="00444F55" w:rsidRPr="00B07FB9" w:rsidRDefault="00444F55" w:rsidP="00444F55">
            <w:pPr>
              <w:pStyle w:val="TableText0"/>
              <w:keepLines/>
              <w:widowControl w:val="0"/>
              <w:rPr>
                <w:lang w:val="en-AU"/>
              </w:rPr>
            </w:pPr>
            <w:r w:rsidRPr="00B07FB9">
              <w:rPr>
                <w:lang w:val="en-AU"/>
              </w:rPr>
              <w:t>Generalised Gamma</w:t>
            </w:r>
          </w:p>
        </w:tc>
        <w:tc>
          <w:tcPr>
            <w:tcW w:w="622" w:type="pct"/>
            <w:shd w:val="solid" w:color="000000" w:fill="000000"/>
            <w:vAlign w:val="center"/>
          </w:tcPr>
          <w:p w14:paraId="79078E0C" w14:textId="2AA28690" w:rsidR="00444F55" w:rsidRPr="007A0897" w:rsidRDefault="007A0897" w:rsidP="00444F55">
            <w:pPr>
              <w:pStyle w:val="TableText0"/>
              <w:keepLines/>
              <w:widowControl w:val="0"/>
              <w:jc w:val="center"/>
              <w:rPr>
                <w:lang w:val="en-AU"/>
              </w:rPr>
            </w:pPr>
            <w:r w:rsidRPr="00385E8C">
              <w:rPr>
                <w:rFonts w:hint="eastAsia"/>
                <w:color w:val="000000"/>
                <w:w w:val="15"/>
                <w:fitText w:val="20" w:id="-1500824832"/>
                <w:lang w:val="en-AU"/>
                <w14:textFill>
                  <w14:solidFill>
                    <w14:srgbClr w14:val="000000">
                      <w14:alpha w14:val="100000"/>
                    </w14:srgbClr>
                  </w14:solidFill>
                </w14:textFill>
              </w:rPr>
              <w:t xml:space="preserve">　</w:t>
            </w:r>
            <w:r w:rsidRPr="00385E8C">
              <w:rPr>
                <w:color w:val="000000"/>
                <w:w w:val="15"/>
                <w:fitText w:val="20" w:id="-1500824832"/>
                <w:lang w:val="en-AU"/>
                <w14:textFill>
                  <w14:solidFill>
                    <w14:srgbClr w14:val="000000">
                      <w14:alpha w14:val="100000"/>
                    </w14:srgbClr>
                  </w14:solidFill>
                </w14:textFill>
              </w:rPr>
              <w:t>|</w:t>
            </w:r>
            <w:r w:rsidRPr="00385E8C">
              <w:rPr>
                <w:rFonts w:hint="eastAsia"/>
                <w:color w:val="000000"/>
                <w:spacing w:val="-45"/>
                <w:w w:val="15"/>
                <w:fitText w:val="20" w:id="-1500824832"/>
                <w:lang w:val="en-AU"/>
                <w14:textFill>
                  <w14:solidFill>
                    <w14:srgbClr w14:val="000000">
                      <w14:alpha w14:val="100000"/>
                    </w14:srgbClr>
                  </w14:solidFill>
                </w14:textFill>
              </w:rPr>
              <w:t xml:space="preserve">　</w:t>
            </w:r>
          </w:p>
        </w:tc>
        <w:tc>
          <w:tcPr>
            <w:tcW w:w="622" w:type="pct"/>
            <w:shd w:val="clear" w:color="auto" w:fill="auto"/>
            <w:vAlign w:val="center"/>
          </w:tcPr>
          <w:p w14:paraId="31E156E0" w14:textId="77777777" w:rsidR="00444F55" w:rsidRPr="00B07FB9" w:rsidRDefault="00444F55" w:rsidP="00444F55">
            <w:pPr>
              <w:pStyle w:val="TableText0"/>
              <w:keepLines/>
              <w:widowControl w:val="0"/>
              <w:jc w:val="center"/>
              <w:rPr>
                <w:lang w:val="en-AU"/>
              </w:rPr>
            </w:pPr>
            <w:r w:rsidRPr="00B07FB9">
              <w:rPr>
                <w:lang w:val="en-AU"/>
              </w:rPr>
              <w:t>0.3352</w:t>
            </w:r>
          </w:p>
        </w:tc>
        <w:tc>
          <w:tcPr>
            <w:tcW w:w="622" w:type="pct"/>
            <w:shd w:val="clear" w:color="auto" w:fill="auto"/>
            <w:vAlign w:val="center"/>
          </w:tcPr>
          <w:p w14:paraId="2CCE943C" w14:textId="06DC618B" w:rsidR="00444F55" w:rsidRPr="002145E9" w:rsidRDefault="007A0897" w:rsidP="00444F55">
            <w:pPr>
              <w:pStyle w:val="TableText0"/>
              <w:keepLines/>
              <w:widowControl w:val="0"/>
              <w:jc w:val="center"/>
              <w:rPr>
                <w:highlight w:val="yellow"/>
                <w:lang w:val="en-AU"/>
              </w:rPr>
            </w:pPr>
            <w:r w:rsidRPr="007A0897">
              <w:rPr>
                <w:rFonts w:hint="eastAsia"/>
                <w:color w:val="000000"/>
                <w:w w:val="15"/>
                <w:shd w:val="solid" w:color="000000" w:fill="000000"/>
                <w:fitText w:val="50" w:id="-1500824831"/>
                <w:lang w:val="en-AU"/>
                <w14:textFill>
                  <w14:solidFill>
                    <w14:srgbClr w14:val="000000">
                      <w14:alpha w14:val="100000"/>
                    </w14:srgbClr>
                  </w14:solidFill>
                </w14:textFill>
              </w:rPr>
              <w:t xml:space="preserve">　</w:t>
            </w:r>
            <w:r w:rsidRPr="007A0897">
              <w:rPr>
                <w:color w:val="000000"/>
                <w:w w:val="15"/>
                <w:shd w:val="solid" w:color="000000" w:fill="000000"/>
                <w:fitText w:val="50" w:id="-1500824831"/>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31"/>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shd w:val="clear" w:color="auto" w:fill="auto"/>
            <w:vAlign w:val="center"/>
          </w:tcPr>
          <w:p w14:paraId="0C1998DE" w14:textId="77777777" w:rsidR="00444F55" w:rsidRPr="00B07FB9" w:rsidRDefault="00444F55" w:rsidP="00444F55">
            <w:pPr>
              <w:pStyle w:val="TableText0"/>
              <w:keepLines/>
              <w:widowControl w:val="0"/>
              <w:jc w:val="center"/>
              <w:rPr>
                <w:lang w:val="en-AU"/>
              </w:rPr>
            </w:pPr>
            <w:r w:rsidRPr="00B07FB9">
              <w:rPr>
                <w:lang w:val="en-AU"/>
              </w:rPr>
              <w:t>7.1%</w:t>
            </w:r>
          </w:p>
        </w:tc>
      </w:tr>
      <w:tr w:rsidR="00444F55" w:rsidRPr="00B07FB9" w14:paraId="524D409F" w14:textId="77777777" w:rsidTr="007A0897">
        <w:trPr>
          <w:trHeight w:val="20"/>
        </w:trPr>
        <w:tc>
          <w:tcPr>
            <w:tcW w:w="2519" w:type="pct"/>
            <w:tcBorders>
              <w:bottom w:val="single" w:sz="4" w:space="0" w:color="auto"/>
              <w:right w:val="nil"/>
            </w:tcBorders>
            <w:shd w:val="clear" w:color="auto" w:fill="auto"/>
            <w:vAlign w:val="center"/>
          </w:tcPr>
          <w:p w14:paraId="1B46C8E7" w14:textId="77777777" w:rsidR="00444F55" w:rsidRPr="00B07FB9" w:rsidRDefault="00444F55" w:rsidP="00444F55">
            <w:pPr>
              <w:pStyle w:val="TableText0"/>
              <w:keepLines/>
              <w:widowControl w:val="0"/>
              <w:rPr>
                <w:b/>
                <w:lang w:val="en-AU"/>
              </w:rPr>
            </w:pPr>
            <w:r w:rsidRPr="00B07FB9">
              <w:rPr>
                <w:b/>
                <w:lang w:val="en-AU"/>
              </w:rPr>
              <w:t>Proportion of cured patients: 5%</w:t>
            </w:r>
          </w:p>
        </w:tc>
        <w:tc>
          <w:tcPr>
            <w:tcW w:w="622" w:type="pct"/>
            <w:tcBorders>
              <w:left w:val="nil"/>
              <w:bottom w:val="single" w:sz="4" w:space="0" w:color="auto"/>
              <w:right w:val="nil"/>
            </w:tcBorders>
            <w:shd w:val="clear" w:color="auto" w:fill="auto"/>
            <w:vAlign w:val="center"/>
          </w:tcPr>
          <w:p w14:paraId="05960649" w14:textId="77777777" w:rsidR="00444F55" w:rsidRPr="00B07FB9" w:rsidRDefault="00444F55" w:rsidP="00444F55">
            <w:pPr>
              <w:pStyle w:val="TableText0"/>
              <w:keepLines/>
              <w:widowControl w:val="0"/>
              <w:jc w:val="center"/>
              <w:rPr>
                <w:lang w:val="en-AU"/>
              </w:rPr>
            </w:pPr>
          </w:p>
        </w:tc>
        <w:tc>
          <w:tcPr>
            <w:tcW w:w="622" w:type="pct"/>
            <w:tcBorders>
              <w:left w:val="nil"/>
              <w:bottom w:val="single" w:sz="4" w:space="0" w:color="auto"/>
              <w:right w:val="nil"/>
            </w:tcBorders>
            <w:shd w:val="clear" w:color="auto" w:fill="auto"/>
            <w:vAlign w:val="center"/>
          </w:tcPr>
          <w:p w14:paraId="677BD31E" w14:textId="77777777" w:rsidR="00444F55" w:rsidRPr="00B07FB9" w:rsidRDefault="00444F55" w:rsidP="00444F55">
            <w:pPr>
              <w:pStyle w:val="TableText0"/>
              <w:keepLines/>
              <w:widowControl w:val="0"/>
              <w:jc w:val="center"/>
              <w:rPr>
                <w:lang w:val="en-AU"/>
              </w:rPr>
            </w:pPr>
          </w:p>
        </w:tc>
        <w:tc>
          <w:tcPr>
            <w:tcW w:w="622" w:type="pct"/>
            <w:tcBorders>
              <w:left w:val="nil"/>
              <w:bottom w:val="single" w:sz="4" w:space="0" w:color="auto"/>
              <w:right w:val="nil"/>
            </w:tcBorders>
            <w:shd w:val="clear" w:color="auto" w:fill="auto"/>
            <w:vAlign w:val="center"/>
          </w:tcPr>
          <w:p w14:paraId="145F135F" w14:textId="77777777" w:rsidR="00444F55" w:rsidRPr="00B07FB9" w:rsidRDefault="00444F55" w:rsidP="00444F55">
            <w:pPr>
              <w:pStyle w:val="TableText0"/>
              <w:keepLines/>
              <w:widowControl w:val="0"/>
              <w:jc w:val="center"/>
              <w:rPr>
                <w:lang w:val="en-AU"/>
              </w:rPr>
            </w:pPr>
          </w:p>
        </w:tc>
        <w:tc>
          <w:tcPr>
            <w:tcW w:w="615" w:type="pct"/>
            <w:tcBorders>
              <w:left w:val="nil"/>
              <w:bottom w:val="single" w:sz="4" w:space="0" w:color="auto"/>
            </w:tcBorders>
            <w:shd w:val="clear" w:color="auto" w:fill="auto"/>
            <w:vAlign w:val="center"/>
          </w:tcPr>
          <w:p w14:paraId="1E76E573" w14:textId="77777777" w:rsidR="00444F55" w:rsidRPr="00B07FB9" w:rsidRDefault="00444F55" w:rsidP="00444F55">
            <w:pPr>
              <w:pStyle w:val="TableText0"/>
              <w:keepLines/>
              <w:widowControl w:val="0"/>
              <w:jc w:val="center"/>
              <w:rPr>
                <w:lang w:val="en-AU"/>
              </w:rPr>
            </w:pPr>
          </w:p>
        </w:tc>
      </w:tr>
      <w:tr w:rsidR="00444F55" w:rsidRPr="00B07FB9" w14:paraId="23A59186" w14:textId="77777777" w:rsidTr="007A0897">
        <w:trPr>
          <w:trHeight w:val="20"/>
        </w:trPr>
        <w:tc>
          <w:tcPr>
            <w:tcW w:w="2519" w:type="pct"/>
            <w:tcBorders>
              <w:right w:val="single" w:sz="4" w:space="0" w:color="auto"/>
            </w:tcBorders>
            <w:shd w:val="clear" w:color="auto" w:fill="auto"/>
            <w:vAlign w:val="center"/>
          </w:tcPr>
          <w:p w14:paraId="78B4F76A" w14:textId="77777777" w:rsidR="00444F55" w:rsidRPr="00B07FB9" w:rsidRDefault="00444F55" w:rsidP="00444F55">
            <w:pPr>
              <w:pStyle w:val="TableText0"/>
              <w:keepLines/>
              <w:widowControl w:val="0"/>
              <w:rPr>
                <w:lang w:val="en-AU"/>
              </w:rPr>
            </w:pPr>
            <w:r w:rsidRPr="00B07FB9">
              <w:rPr>
                <w:lang w:val="en-AU"/>
              </w:rPr>
              <w:t>10%</w:t>
            </w:r>
          </w:p>
        </w:tc>
        <w:tc>
          <w:tcPr>
            <w:tcW w:w="622" w:type="pct"/>
            <w:tcBorders>
              <w:left w:val="single" w:sz="4" w:space="0" w:color="auto"/>
              <w:right w:val="single" w:sz="4" w:space="0" w:color="auto"/>
            </w:tcBorders>
            <w:shd w:val="solid" w:color="000000" w:fill="000000"/>
            <w:vAlign w:val="center"/>
          </w:tcPr>
          <w:p w14:paraId="51848DAD" w14:textId="6799F378" w:rsidR="00444F55" w:rsidRPr="007A0897" w:rsidRDefault="007A0897" w:rsidP="00444F55">
            <w:pPr>
              <w:pStyle w:val="TableText0"/>
              <w:keepLines/>
              <w:widowControl w:val="0"/>
              <w:jc w:val="center"/>
              <w:rPr>
                <w:lang w:val="en-AU"/>
              </w:rPr>
            </w:pPr>
            <w:r w:rsidRPr="00385E8C">
              <w:rPr>
                <w:rFonts w:hint="eastAsia"/>
                <w:color w:val="000000"/>
                <w:w w:val="15"/>
                <w:fitText w:val="20" w:id="-1500824830"/>
                <w:lang w:val="en-AU"/>
                <w14:textFill>
                  <w14:solidFill>
                    <w14:srgbClr w14:val="000000">
                      <w14:alpha w14:val="100000"/>
                    </w14:srgbClr>
                  </w14:solidFill>
                </w14:textFill>
              </w:rPr>
              <w:t xml:space="preserve">　</w:t>
            </w:r>
            <w:r w:rsidRPr="00385E8C">
              <w:rPr>
                <w:color w:val="000000"/>
                <w:w w:val="15"/>
                <w:fitText w:val="20" w:id="-1500824830"/>
                <w:lang w:val="en-AU"/>
                <w14:textFill>
                  <w14:solidFill>
                    <w14:srgbClr w14:val="000000">
                      <w14:alpha w14:val="100000"/>
                    </w14:srgbClr>
                  </w14:solidFill>
                </w14:textFill>
              </w:rPr>
              <w:t>|</w:t>
            </w:r>
            <w:r w:rsidRPr="00385E8C">
              <w:rPr>
                <w:rFonts w:hint="eastAsia"/>
                <w:color w:val="000000"/>
                <w:spacing w:val="-45"/>
                <w:w w:val="15"/>
                <w:fitText w:val="20" w:id="-1500824830"/>
                <w:lang w:val="en-AU"/>
                <w14:textFill>
                  <w14:solidFill>
                    <w14:srgbClr w14:val="000000">
                      <w14:alpha w14:val="100000"/>
                    </w14:srgbClr>
                  </w14:solidFill>
                </w14:textFill>
              </w:rPr>
              <w:t xml:space="preserve">　</w:t>
            </w:r>
          </w:p>
        </w:tc>
        <w:tc>
          <w:tcPr>
            <w:tcW w:w="622" w:type="pct"/>
            <w:tcBorders>
              <w:left w:val="single" w:sz="4" w:space="0" w:color="auto"/>
              <w:right w:val="single" w:sz="4" w:space="0" w:color="auto"/>
            </w:tcBorders>
            <w:shd w:val="clear" w:color="auto" w:fill="auto"/>
            <w:vAlign w:val="center"/>
          </w:tcPr>
          <w:p w14:paraId="653BFC8A" w14:textId="77777777" w:rsidR="00444F55" w:rsidRPr="00B07FB9" w:rsidRDefault="00444F55" w:rsidP="00444F55">
            <w:pPr>
              <w:pStyle w:val="TableText0"/>
              <w:keepLines/>
              <w:widowControl w:val="0"/>
              <w:jc w:val="center"/>
              <w:rPr>
                <w:lang w:val="en-AU"/>
              </w:rPr>
            </w:pPr>
            <w:r w:rsidRPr="00B07FB9">
              <w:rPr>
                <w:lang w:val="en-AU"/>
              </w:rPr>
              <w:t>0.3351</w:t>
            </w:r>
          </w:p>
        </w:tc>
        <w:tc>
          <w:tcPr>
            <w:tcW w:w="622" w:type="pct"/>
            <w:tcBorders>
              <w:left w:val="single" w:sz="4" w:space="0" w:color="auto"/>
              <w:right w:val="single" w:sz="4" w:space="0" w:color="auto"/>
            </w:tcBorders>
            <w:shd w:val="clear" w:color="auto" w:fill="auto"/>
            <w:vAlign w:val="center"/>
          </w:tcPr>
          <w:p w14:paraId="49541A0A" w14:textId="6D3CD423" w:rsidR="00444F55" w:rsidRPr="002145E9" w:rsidRDefault="007A0897" w:rsidP="00444F55">
            <w:pPr>
              <w:pStyle w:val="TableText0"/>
              <w:keepLines/>
              <w:widowControl w:val="0"/>
              <w:jc w:val="center"/>
              <w:rPr>
                <w:highlight w:val="yellow"/>
                <w:lang w:val="en-AU"/>
              </w:rPr>
            </w:pPr>
            <w:r w:rsidRPr="007A0897">
              <w:rPr>
                <w:rFonts w:hint="eastAsia"/>
                <w:color w:val="000000"/>
                <w:w w:val="15"/>
                <w:shd w:val="solid" w:color="000000" w:fill="000000"/>
                <w:fitText w:val="50" w:id="-1500824829"/>
                <w:lang w:val="en-AU"/>
                <w14:textFill>
                  <w14:solidFill>
                    <w14:srgbClr w14:val="000000">
                      <w14:alpha w14:val="100000"/>
                    </w14:srgbClr>
                  </w14:solidFill>
                </w14:textFill>
              </w:rPr>
              <w:t xml:space="preserve">　</w:t>
            </w:r>
            <w:r w:rsidRPr="007A0897">
              <w:rPr>
                <w:color w:val="000000"/>
                <w:w w:val="15"/>
                <w:shd w:val="solid" w:color="000000" w:fill="000000"/>
                <w:fitText w:val="50" w:id="-1500824829"/>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29"/>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tcBorders>
              <w:left w:val="single" w:sz="4" w:space="0" w:color="auto"/>
            </w:tcBorders>
            <w:shd w:val="clear" w:color="auto" w:fill="auto"/>
            <w:vAlign w:val="center"/>
          </w:tcPr>
          <w:p w14:paraId="3A77DEA7" w14:textId="77777777" w:rsidR="00444F55" w:rsidRPr="00B07FB9" w:rsidRDefault="00444F55" w:rsidP="00444F55">
            <w:pPr>
              <w:pStyle w:val="TableText0"/>
              <w:keepLines/>
              <w:widowControl w:val="0"/>
              <w:jc w:val="center"/>
              <w:rPr>
                <w:lang w:val="en-AU"/>
              </w:rPr>
            </w:pPr>
            <w:r w:rsidRPr="00B07FB9">
              <w:rPr>
                <w:lang w:val="en-AU"/>
              </w:rPr>
              <w:t>3.5%</w:t>
            </w:r>
          </w:p>
        </w:tc>
      </w:tr>
      <w:tr w:rsidR="00444F55" w:rsidRPr="00B07FB9" w14:paraId="3E85F0DF" w14:textId="77777777" w:rsidTr="00990236">
        <w:trPr>
          <w:trHeight w:val="178"/>
        </w:trPr>
        <w:tc>
          <w:tcPr>
            <w:tcW w:w="5000" w:type="pct"/>
            <w:gridSpan w:val="5"/>
            <w:shd w:val="clear" w:color="auto" w:fill="auto"/>
          </w:tcPr>
          <w:p w14:paraId="21CC87E4" w14:textId="77777777" w:rsidR="00444F55" w:rsidRPr="00B07FB9" w:rsidRDefault="00444F55" w:rsidP="00444F55">
            <w:pPr>
              <w:pStyle w:val="TableText0"/>
              <w:keepLines/>
              <w:widowControl w:val="0"/>
              <w:rPr>
                <w:b/>
                <w:lang w:val="en-AU"/>
              </w:rPr>
            </w:pPr>
            <w:r w:rsidRPr="00B07FB9">
              <w:rPr>
                <w:b/>
                <w:lang w:val="en-AU"/>
              </w:rPr>
              <w:t>Bevacizumab use in the comparator arm (active treatment option for non-</w:t>
            </w:r>
            <w:proofErr w:type="spellStart"/>
            <w:r w:rsidRPr="00B07FB9">
              <w:rPr>
                <w:b/>
                <w:lang w:val="en-AU"/>
              </w:rPr>
              <w:t>BRCAm</w:t>
            </w:r>
            <w:proofErr w:type="spellEnd"/>
            <w:r w:rsidRPr="00B07FB9">
              <w:rPr>
                <w:b/>
                <w:lang w:val="en-AU"/>
              </w:rPr>
              <w:t xml:space="preserve"> patients (none)</w:t>
            </w:r>
          </w:p>
        </w:tc>
      </w:tr>
      <w:tr w:rsidR="00444F55" w:rsidRPr="00B07FB9" w14:paraId="012C0078" w14:textId="77777777" w:rsidTr="007A0897">
        <w:trPr>
          <w:trHeight w:val="20"/>
        </w:trPr>
        <w:tc>
          <w:tcPr>
            <w:tcW w:w="2519" w:type="pct"/>
            <w:shd w:val="clear" w:color="auto" w:fill="auto"/>
          </w:tcPr>
          <w:p w14:paraId="337679F2" w14:textId="77777777" w:rsidR="00444F55" w:rsidRPr="00B07FB9" w:rsidRDefault="00444F55" w:rsidP="00444F55">
            <w:pPr>
              <w:pStyle w:val="TableText0"/>
              <w:keepLines/>
              <w:widowControl w:val="0"/>
              <w:rPr>
                <w:lang w:val="en-AU"/>
              </w:rPr>
            </w:pPr>
            <w:r w:rsidRPr="00B07FB9">
              <w:rPr>
                <w:lang w:val="en-AU"/>
              </w:rPr>
              <w:t>7% of patients receive bevacizumab in the comparator arm</w:t>
            </w:r>
          </w:p>
        </w:tc>
        <w:tc>
          <w:tcPr>
            <w:tcW w:w="622" w:type="pct"/>
            <w:shd w:val="solid" w:color="000000" w:fill="000000"/>
            <w:vAlign w:val="center"/>
          </w:tcPr>
          <w:p w14:paraId="63311812" w14:textId="700375B2" w:rsidR="00444F55" w:rsidRPr="007A0897" w:rsidRDefault="007A0897" w:rsidP="00444F55">
            <w:pPr>
              <w:pStyle w:val="TableText0"/>
              <w:keepLines/>
              <w:widowControl w:val="0"/>
              <w:jc w:val="center"/>
              <w:rPr>
                <w:lang w:val="en-AU"/>
              </w:rPr>
            </w:pPr>
            <w:r w:rsidRPr="00385E8C">
              <w:rPr>
                <w:rFonts w:hint="eastAsia"/>
                <w:color w:val="000000"/>
                <w:w w:val="15"/>
                <w:fitText w:val="20" w:id="-1500824828"/>
                <w:lang w:val="en-AU"/>
                <w14:textFill>
                  <w14:solidFill>
                    <w14:srgbClr w14:val="000000">
                      <w14:alpha w14:val="100000"/>
                    </w14:srgbClr>
                  </w14:solidFill>
                </w14:textFill>
              </w:rPr>
              <w:t xml:space="preserve">　</w:t>
            </w:r>
            <w:r w:rsidRPr="00385E8C">
              <w:rPr>
                <w:color w:val="000000"/>
                <w:w w:val="15"/>
                <w:fitText w:val="20" w:id="-1500824828"/>
                <w:lang w:val="en-AU"/>
                <w14:textFill>
                  <w14:solidFill>
                    <w14:srgbClr w14:val="000000">
                      <w14:alpha w14:val="100000"/>
                    </w14:srgbClr>
                  </w14:solidFill>
                </w14:textFill>
              </w:rPr>
              <w:t>|</w:t>
            </w:r>
            <w:r w:rsidRPr="00385E8C">
              <w:rPr>
                <w:rFonts w:hint="eastAsia"/>
                <w:color w:val="000000"/>
                <w:spacing w:val="-45"/>
                <w:w w:val="15"/>
                <w:fitText w:val="20" w:id="-1500824828"/>
                <w:lang w:val="en-AU"/>
                <w14:textFill>
                  <w14:solidFill>
                    <w14:srgbClr w14:val="000000">
                      <w14:alpha w14:val="100000"/>
                    </w14:srgbClr>
                  </w14:solidFill>
                </w14:textFill>
              </w:rPr>
              <w:t xml:space="preserve">　</w:t>
            </w:r>
          </w:p>
        </w:tc>
        <w:tc>
          <w:tcPr>
            <w:tcW w:w="622" w:type="pct"/>
            <w:shd w:val="clear" w:color="auto" w:fill="auto"/>
            <w:vAlign w:val="center"/>
          </w:tcPr>
          <w:p w14:paraId="6D755E9A" w14:textId="77777777" w:rsidR="00444F55" w:rsidRPr="00B07FB9" w:rsidRDefault="00444F55" w:rsidP="00444F55">
            <w:pPr>
              <w:pStyle w:val="TableText0"/>
              <w:keepLines/>
              <w:widowControl w:val="0"/>
              <w:jc w:val="center"/>
              <w:rPr>
                <w:lang w:val="en-AU"/>
              </w:rPr>
            </w:pPr>
            <w:r w:rsidRPr="00B07FB9">
              <w:rPr>
                <w:lang w:val="en-AU"/>
              </w:rPr>
              <w:t>0.2817</w:t>
            </w:r>
          </w:p>
        </w:tc>
        <w:tc>
          <w:tcPr>
            <w:tcW w:w="622" w:type="pct"/>
            <w:shd w:val="clear" w:color="auto" w:fill="auto"/>
            <w:vAlign w:val="center"/>
          </w:tcPr>
          <w:p w14:paraId="4ABB21A5" w14:textId="4F8E3A06" w:rsidR="00444F55" w:rsidRPr="002145E9" w:rsidRDefault="007A0897" w:rsidP="00444F55">
            <w:pPr>
              <w:pStyle w:val="TableText0"/>
              <w:keepLines/>
              <w:widowControl w:val="0"/>
              <w:jc w:val="center"/>
              <w:rPr>
                <w:highlight w:val="yellow"/>
                <w:lang w:val="en-AU"/>
              </w:rPr>
            </w:pPr>
            <w:r w:rsidRPr="007A0897">
              <w:rPr>
                <w:rFonts w:hint="eastAsia"/>
                <w:color w:val="000000"/>
                <w:w w:val="15"/>
                <w:shd w:val="solid" w:color="000000" w:fill="000000"/>
                <w:fitText w:val="50" w:id="-1500824827"/>
                <w:lang w:val="en-AU"/>
                <w14:textFill>
                  <w14:solidFill>
                    <w14:srgbClr w14:val="000000">
                      <w14:alpha w14:val="100000"/>
                    </w14:srgbClr>
                  </w14:solidFill>
                </w14:textFill>
              </w:rPr>
              <w:t xml:space="preserve">　</w:t>
            </w:r>
            <w:r w:rsidRPr="007A0897">
              <w:rPr>
                <w:color w:val="000000"/>
                <w:w w:val="15"/>
                <w:shd w:val="solid" w:color="000000" w:fill="000000"/>
                <w:fitText w:val="50" w:id="-1500824827"/>
                <w:lang w:val="en-AU"/>
                <w14:textFill>
                  <w14:solidFill>
                    <w14:srgbClr w14:val="000000">
                      <w14:alpha w14:val="100000"/>
                    </w14:srgbClr>
                  </w14:solidFill>
                </w14:textFill>
              </w:rPr>
              <w:t>|</w:t>
            </w:r>
            <w:r w:rsidRPr="007A0897">
              <w:rPr>
                <w:rFonts w:hint="eastAsia"/>
                <w:color w:val="000000"/>
                <w:spacing w:val="-15"/>
                <w:w w:val="15"/>
                <w:shd w:val="solid" w:color="000000" w:fill="000000"/>
                <w:fitText w:val="50" w:id="-1500824827"/>
                <w:lang w:val="en-AU"/>
                <w14:textFill>
                  <w14:solidFill>
                    <w14:srgbClr w14:val="000000">
                      <w14:alpha w14:val="100000"/>
                    </w14:srgbClr>
                  </w14:solidFill>
                </w14:textFill>
              </w:rPr>
              <w:t xml:space="preserve">　</w:t>
            </w:r>
            <w:r w:rsidR="005D778D" w:rsidRPr="005D778D">
              <w:rPr>
                <w:vertAlign w:val="superscript"/>
                <w:lang w:val="en-AU"/>
              </w:rPr>
              <w:t>1</w:t>
            </w:r>
          </w:p>
        </w:tc>
        <w:tc>
          <w:tcPr>
            <w:tcW w:w="615" w:type="pct"/>
            <w:shd w:val="clear" w:color="auto" w:fill="auto"/>
            <w:vAlign w:val="center"/>
          </w:tcPr>
          <w:p w14:paraId="08069FC5" w14:textId="77777777" w:rsidR="00444F55" w:rsidRPr="00B07FB9" w:rsidRDefault="00444F55" w:rsidP="00444F55">
            <w:pPr>
              <w:pStyle w:val="TableText0"/>
              <w:keepLines/>
              <w:widowControl w:val="0"/>
              <w:jc w:val="center"/>
              <w:rPr>
                <w:lang w:val="en-AU"/>
              </w:rPr>
            </w:pPr>
            <w:r w:rsidRPr="00B07FB9">
              <w:rPr>
                <w:lang w:val="en-AU"/>
              </w:rPr>
              <w:t>0.5%</w:t>
            </w:r>
          </w:p>
        </w:tc>
      </w:tr>
    </w:tbl>
    <w:p w14:paraId="101A9C0A" w14:textId="77777777" w:rsidR="00460E9B" w:rsidRPr="00B07FB9" w:rsidRDefault="00460E9B" w:rsidP="000C6F49">
      <w:pPr>
        <w:pStyle w:val="TableFigureFooter"/>
        <w:widowControl w:val="0"/>
      </w:pPr>
      <w:r w:rsidRPr="00B07FB9">
        <w:t xml:space="preserve">Source: Table 92, p159-160 of the submission and </w:t>
      </w:r>
      <w:r w:rsidRPr="00B07FB9">
        <w:rPr>
          <w:rFonts w:eastAsiaTheme="majorEastAsia"/>
          <w:i/>
        </w:rPr>
        <w:t>a</w:t>
      </w:r>
      <w:r w:rsidRPr="00B07FB9">
        <w:rPr>
          <w:i/>
        </w:rPr>
        <w:t>nalyses in italics were conducted during the evaluation using the</w:t>
      </w:r>
      <w:r w:rsidRPr="00B07FB9">
        <w:rPr>
          <w:rFonts w:ascii="Calibri" w:hAnsi="Calibri"/>
          <w:i/>
          <w:snapToGrid/>
          <w:sz w:val="24"/>
          <w:szCs w:val="24"/>
        </w:rPr>
        <w:t xml:space="preserve"> </w:t>
      </w:r>
      <w:r w:rsidRPr="00B07FB9">
        <w:rPr>
          <w:i/>
        </w:rPr>
        <w:t>Excel workbook ‘</w:t>
      </w:r>
      <w:proofErr w:type="spellStart"/>
      <w:r w:rsidRPr="00B07FB9">
        <w:rPr>
          <w:i/>
        </w:rPr>
        <w:t>Zejula</w:t>
      </w:r>
      <w:proofErr w:type="spellEnd"/>
      <w:r w:rsidRPr="00B07FB9">
        <w:rPr>
          <w:i/>
        </w:rPr>
        <w:t xml:space="preserve"> (niraparib) 1L </w:t>
      </w:r>
      <w:proofErr w:type="spellStart"/>
      <w:r w:rsidRPr="00B07FB9">
        <w:rPr>
          <w:i/>
        </w:rPr>
        <w:t>nonBRCAm</w:t>
      </w:r>
      <w:proofErr w:type="spellEnd"/>
      <w:r w:rsidRPr="00B07FB9">
        <w:rPr>
          <w:i/>
        </w:rPr>
        <w:t xml:space="preserve"> CUA’</w:t>
      </w:r>
    </w:p>
    <w:p w14:paraId="67E0F80F" w14:textId="30C3AB4A" w:rsidR="00460E9B" w:rsidRDefault="00460E9B" w:rsidP="005D778D">
      <w:pPr>
        <w:pStyle w:val="TableFigureFooter"/>
        <w:widowControl w:val="0"/>
        <w:spacing w:after="0"/>
      </w:pPr>
      <w:r w:rsidRPr="00B07FB9">
        <w:t xml:space="preserve">2L = second-line; </w:t>
      </w:r>
      <w:r w:rsidRPr="00B07FB9">
        <w:rPr>
          <w:szCs w:val="18"/>
        </w:rPr>
        <w:t xml:space="preserve">BICR=blinded independent central review; </w:t>
      </w:r>
      <w:proofErr w:type="spellStart"/>
      <w:r w:rsidRPr="00B07FB9">
        <w:rPr>
          <w:szCs w:val="18"/>
        </w:rPr>
        <w:t>BRCAm</w:t>
      </w:r>
      <w:proofErr w:type="spellEnd"/>
      <w:r w:rsidRPr="00B07FB9">
        <w:rPr>
          <w:szCs w:val="18"/>
        </w:rPr>
        <w:t xml:space="preserve"> = </w:t>
      </w:r>
      <w:r w:rsidR="00B86754" w:rsidRPr="00B07FB9">
        <w:rPr>
          <w:szCs w:val="18"/>
        </w:rPr>
        <w:t>BRCA</w:t>
      </w:r>
      <w:r w:rsidRPr="00B07FB9">
        <w:rPr>
          <w:szCs w:val="18"/>
        </w:rPr>
        <w:t xml:space="preserve"> gene mutation; ICER = incremental cost effectiveness ratio; </w:t>
      </w:r>
      <w:r w:rsidRPr="00B07FB9">
        <w:t>ISD = individualised starting dose; ITT = intention-to-treat; KM = Kaplan-Meier; OS = overall survival; PFS = progression free survival;</w:t>
      </w:r>
      <w:r w:rsidRPr="00B07FB9">
        <w:rPr>
          <w:rFonts w:eastAsia="Calibri"/>
          <w:szCs w:val="20"/>
        </w:rPr>
        <w:t xml:space="preserve"> QALY = quality adjusted life year</w:t>
      </w:r>
      <w:r w:rsidRPr="00B07FB9">
        <w:t>; TTD = time to treatment discontinuation</w:t>
      </w:r>
    </w:p>
    <w:p w14:paraId="7DABC0BD" w14:textId="77777777" w:rsidR="005D778D" w:rsidRDefault="005D778D" w:rsidP="005D778D">
      <w:pPr>
        <w:rPr>
          <w:rFonts w:ascii="Arial Narrow" w:hAnsi="Arial Narrow"/>
          <w:i/>
          <w:sz w:val="18"/>
          <w:szCs w:val="18"/>
        </w:rPr>
      </w:pPr>
      <w:r>
        <w:rPr>
          <w:rFonts w:ascii="Arial Narrow" w:hAnsi="Arial Narrow"/>
          <w:i/>
          <w:sz w:val="18"/>
          <w:szCs w:val="18"/>
        </w:rPr>
        <w:t xml:space="preserve">The redacted values correspond to the following ranges: </w:t>
      </w:r>
    </w:p>
    <w:p w14:paraId="410DFF15" w14:textId="6C725FA8" w:rsidR="005D778D" w:rsidRDefault="005D778D" w:rsidP="005D778D">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5D778D">
        <w:rPr>
          <w:rFonts w:ascii="Arial Narrow" w:hAnsi="Arial Narrow"/>
          <w:i/>
          <w:sz w:val="18"/>
          <w:szCs w:val="18"/>
        </w:rPr>
        <w:t>$55,000 to &lt; $75,000</w:t>
      </w:r>
    </w:p>
    <w:p w14:paraId="5D8EF69F" w14:textId="7415F104" w:rsidR="005D778D" w:rsidRPr="00B07FB9" w:rsidRDefault="005D778D" w:rsidP="005D778D">
      <w:pPr>
        <w:spacing w:after="240"/>
      </w:pPr>
      <w:r>
        <w:rPr>
          <w:rFonts w:ascii="Arial Narrow" w:hAnsi="Arial Narrow"/>
          <w:i/>
          <w:sz w:val="18"/>
          <w:szCs w:val="18"/>
          <w:vertAlign w:val="superscript"/>
        </w:rPr>
        <w:t>2</w:t>
      </w:r>
      <w:r>
        <w:rPr>
          <w:rFonts w:ascii="Arial Narrow" w:hAnsi="Arial Narrow"/>
          <w:i/>
          <w:sz w:val="18"/>
          <w:szCs w:val="18"/>
        </w:rPr>
        <w:t xml:space="preserve"> </w:t>
      </w:r>
      <w:r w:rsidRPr="005D778D">
        <w:rPr>
          <w:rFonts w:ascii="Arial Narrow" w:hAnsi="Arial Narrow"/>
          <w:i/>
          <w:sz w:val="18"/>
          <w:szCs w:val="18"/>
        </w:rPr>
        <w:t>$</w:t>
      </w:r>
      <w:r>
        <w:rPr>
          <w:rFonts w:ascii="Arial Narrow" w:hAnsi="Arial Narrow"/>
          <w:i/>
          <w:sz w:val="18"/>
          <w:szCs w:val="18"/>
        </w:rPr>
        <w:t>4</w:t>
      </w:r>
      <w:r w:rsidRPr="005D778D">
        <w:rPr>
          <w:rFonts w:ascii="Arial Narrow" w:hAnsi="Arial Narrow"/>
          <w:i/>
          <w:sz w:val="18"/>
          <w:szCs w:val="18"/>
        </w:rPr>
        <w:t>5,000 to &lt; $</w:t>
      </w:r>
      <w:r>
        <w:rPr>
          <w:rFonts w:ascii="Arial Narrow" w:hAnsi="Arial Narrow"/>
          <w:i/>
          <w:sz w:val="18"/>
          <w:szCs w:val="18"/>
        </w:rPr>
        <w:t>5</w:t>
      </w:r>
      <w:r w:rsidRPr="005D778D">
        <w:rPr>
          <w:rFonts w:ascii="Arial Narrow" w:hAnsi="Arial Narrow"/>
          <w:i/>
          <w:sz w:val="18"/>
          <w:szCs w:val="18"/>
        </w:rPr>
        <w:t>5,000</w:t>
      </w:r>
    </w:p>
    <w:p w14:paraId="3C994748" w14:textId="77777777" w:rsidR="00460E9B" w:rsidRPr="00B07FB9" w:rsidRDefault="00460E9B" w:rsidP="000C6F49">
      <w:pPr>
        <w:pStyle w:val="3-BodyText"/>
        <w:widowControl w:val="0"/>
      </w:pPr>
      <w:r w:rsidRPr="00B07FB9">
        <w:t xml:space="preserve">The model was sensitive to OS extrapolation and niraparib exposure, which remained unchanged from the previous submission. OS extrapolation and also truncation time point were the drivers of uncertainty in the model, due to the use of immature OS data. </w:t>
      </w:r>
    </w:p>
    <w:p w14:paraId="5F505FA2" w14:textId="3FB2E252" w:rsidR="00460E9B" w:rsidRPr="00B07FB9" w:rsidRDefault="00460E9B" w:rsidP="000C6F49">
      <w:pPr>
        <w:pStyle w:val="3-BodyText"/>
        <w:widowControl w:val="0"/>
      </w:pPr>
      <w:r w:rsidRPr="00B07FB9">
        <w:t>The resubmission conducted a sensitivity analysis for the inclusion of bevacizumab in the comparator arm for the active treatment of non-</w:t>
      </w:r>
      <w:proofErr w:type="spellStart"/>
      <w:r w:rsidRPr="00B07FB9">
        <w:t>BRCAm</w:t>
      </w:r>
      <w:proofErr w:type="spellEnd"/>
      <w:r w:rsidRPr="00B07FB9">
        <w:t xml:space="preserve"> patients. As the resubmission presented bevacizumab as a qualitative comparator, with no clinical claim in terms of efficacy or safety or an economic evaluation, this analysis addresses the uncertainty in the resubmission’s model and the result shows that the ICER is not sensitive to incorporating bevacizumab as a comparator</w:t>
      </w:r>
      <w:r w:rsidR="002C6BC7" w:rsidRPr="00B07FB9">
        <w:t xml:space="preserve"> (see </w:t>
      </w:r>
      <w:r w:rsidR="002C6BC7" w:rsidRPr="00B07FB9">
        <w:fldChar w:fldCharType="begin"/>
      </w:r>
      <w:r w:rsidR="002C6BC7" w:rsidRPr="00B07FB9">
        <w:instrText xml:space="preserve"> REF _Ref92879374 \h  </w:instrText>
      </w:r>
      <w:r w:rsidR="002C6BC7" w:rsidRPr="00B07FB9">
        <w:lastRenderedPageBreak/>
        <w:instrText xml:space="preserve">\* MERGEFORMAT </w:instrText>
      </w:r>
      <w:r w:rsidR="002C6BC7" w:rsidRPr="00B07FB9">
        <w:fldChar w:fldCharType="separate"/>
      </w:r>
      <w:r w:rsidR="00385E8C" w:rsidRPr="00B07FB9">
        <w:t xml:space="preserve">Table </w:t>
      </w:r>
      <w:r w:rsidR="00385E8C">
        <w:t>15</w:t>
      </w:r>
      <w:r w:rsidR="002C6BC7" w:rsidRPr="00B07FB9">
        <w:fldChar w:fldCharType="end"/>
      </w:r>
      <w:r w:rsidR="002C6BC7" w:rsidRPr="00B07FB9">
        <w:t>)</w:t>
      </w:r>
      <w:r w:rsidRPr="00B07FB9">
        <w:t xml:space="preserve">. </w:t>
      </w:r>
    </w:p>
    <w:p w14:paraId="27E4F451" w14:textId="624FE971" w:rsidR="00444F55" w:rsidRPr="00B07FB9" w:rsidRDefault="00FE11C4" w:rsidP="000C6F49">
      <w:pPr>
        <w:pStyle w:val="3-BodyText"/>
        <w:widowControl w:val="0"/>
      </w:pPr>
      <w:bookmarkStart w:id="46" w:name="_Ref95742134"/>
      <w:r w:rsidRPr="00B07FB9">
        <w:rPr>
          <w:lang w:bidi="en-US"/>
        </w:rPr>
        <w:t>The PSCR proposed a revised price for niraparib ($</w:t>
      </w:r>
      <w:r w:rsidR="007A0897" w:rsidRPr="007A0897">
        <w:rPr>
          <w:color w:val="000000"/>
          <w:w w:val="60"/>
          <w:shd w:val="solid" w:color="000000" w:fill="000000"/>
          <w:fitText w:val="470" w:id="-1500824826"/>
          <w:lang w:bidi="en-US"/>
          <w14:textFill>
            <w14:solidFill>
              <w14:srgbClr w14:val="000000">
                <w14:alpha w14:val="100000"/>
              </w14:srgbClr>
            </w14:solidFill>
          </w14:textFill>
        </w:rPr>
        <w:t>|||  ||</w:t>
      </w:r>
      <w:r w:rsidR="007A0897" w:rsidRPr="007A0897">
        <w:rPr>
          <w:color w:val="000000"/>
          <w:spacing w:val="6"/>
          <w:w w:val="60"/>
          <w:shd w:val="solid" w:color="000000" w:fill="000000"/>
          <w:fitText w:val="470" w:id="-1500824826"/>
          <w:lang w:bidi="en-US"/>
          <w14:textFill>
            <w14:solidFill>
              <w14:srgbClr w14:val="000000">
                <w14:alpha w14:val="100000"/>
              </w14:srgbClr>
            </w14:solidFill>
          </w14:textFill>
        </w:rPr>
        <w:t>|</w:t>
      </w:r>
      <w:r w:rsidRPr="00B07FB9">
        <w:rPr>
          <w:lang w:bidi="en-US"/>
        </w:rPr>
        <w:t xml:space="preserve"> per 56 capsules, in the </w:t>
      </w:r>
      <w:r w:rsidR="00DE6EE3" w:rsidRPr="00B07FB9">
        <w:rPr>
          <w:lang w:bidi="en-US"/>
        </w:rPr>
        <w:t>non-</w:t>
      </w:r>
      <w:proofErr w:type="spellStart"/>
      <w:r w:rsidRPr="00B07FB9">
        <w:rPr>
          <w:lang w:bidi="en-US"/>
        </w:rPr>
        <w:t>BRCAm</w:t>
      </w:r>
      <w:proofErr w:type="spellEnd"/>
      <w:r w:rsidRPr="00B07FB9">
        <w:rPr>
          <w:lang w:bidi="en-US"/>
        </w:rPr>
        <w:t xml:space="preserve"> setting) in order to maintain the ICER at </w:t>
      </w:r>
      <w:r w:rsidR="005D778D" w:rsidRPr="005D778D">
        <w:rPr>
          <w:lang w:bidi="en-US"/>
        </w:rPr>
        <w:t>$55,000 to &lt; $75,000</w:t>
      </w:r>
      <w:r w:rsidR="00D258FF" w:rsidRPr="00B07FB9">
        <w:rPr>
          <w:lang w:bidi="en-US"/>
        </w:rPr>
        <w:t>/QALY</w:t>
      </w:r>
      <w:r w:rsidRPr="00B07FB9">
        <w:rPr>
          <w:lang w:bidi="en-US"/>
        </w:rPr>
        <w:t xml:space="preserve"> </w:t>
      </w:r>
      <w:r w:rsidR="005E5F49" w:rsidRPr="00B07FB9">
        <w:rPr>
          <w:lang w:bidi="en-US"/>
        </w:rPr>
        <w:t xml:space="preserve">(equal to the resubmission base case) </w:t>
      </w:r>
      <w:r w:rsidRPr="00B07FB9">
        <w:rPr>
          <w:lang w:bidi="en-US"/>
        </w:rPr>
        <w:t>after accounting for disutility due to treatment-related AEs</w:t>
      </w:r>
      <w:r w:rsidR="005E5F49" w:rsidRPr="00B07FB9">
        <w:rPr>
          <w:lang w:bidi="en-US"/>
        </w:rPr>
        <w:t xml:space="preserve"> (see paragraph</w:t>
      </w:r>
      <w:r w:rsidR="00DB111D" w:rsidRPr="00B07FB9">
        <w:rPr>
          <w:lang w:bidi="en-US"/>
        </w:rPr>
        <w:t xml:space="preserve"> </w:t>
      </w:r>
      <w:r w:rsidR="006B22BA" w:rsidRPr="00B07FB9">
        <w:rPr>
          <w:lang w:bidi="en-US"/>
        </w:rPr>
        <w:fldChar w:fldCharType="begin"/>
      </w:r>
      <w:r w:rsidR="006B22BA" w:rsidRPr="00B07FB9">
        <w:rPr>
          <w:lang w:bidi="en-US"/>
        </w:rPr>
        <w:instrText xml:space="preserve"> REF _Ref99089867 \r \h  \* MERGEFORMAT </w:instrText>
      </w:r>
      <w:r w:rsidR="006B22BA" w:rsidRPr="00B07FB9">
        <w:rPr>
          <w:lang w:bidi="en-US"/>
        </w:rPr>
      </w:r>
      <w:r w:rsidR="006B22BA" w:rsidRPr="00B07FB9">
        <w:rPr>
          <w:lang w:bidi="en-US"/>
        </w:rPr>
        <w:fldChar w:fldCharType="separate"/>
      </w:r>
      <w:r w:rsidR="00385E8C">
        <w:rPr>
          <w:lang w:bidi="en-US"/>
        </w:rPr>
        <w:t>6.53</w:t>
      </w:r>
      <w:r w:rsidR="006B22BA" w:rsidRPr="00B07FB9">
        <w:rPr>
          <w:lang w:bidi="en-US"/>
        </w:rPr>
        <w:fldChar w:fldCharType="end"/>
      </w:r>
      <w:r w:rsidR="005E5F49" w:rsidRPr="00B07FB9">
        <w:rPr>
          <w:lang w:bidi="en-US"/>
        </w:rPr>
        <w:t>)</w:t>
      </w:r>
      <w:r w:rsidRPr="00B07FB9">
        <w:rPr>
          <w:lang w:bidi="en-US"/>
        </w:rPr>
        <w:t>.</w:t>
      </w:r>
      <w:bookmarkEnd w:id="46"/>
      <w:r w:rsidRPr="00B07FB9">
        <w:rPr>
          <w:lang w:bidi="en-US"/>
        </w:rPr>
        <w:t xml:space="preserve"> </w:t>
      </w:r>
    </w:p>
    <w:p w14:paraId="2971B8D2" w14:textId="77777777" w:rsidR="00460E9B" w:rsidRPr="00B07FB9" w:rsidRDefault="00460E9B" w:rsidP="000C6F49">
      <w:pPr>
        <w:pStyle w:val="5-SubsectionSubheading"/>
        <w:keepNext w:val="0"/>
        <w:keepLines w:val="0"/>
        <w:widowControl w:val="0"/>
        <w:rPr>
          <w:color w:val="auto"/>
        </w:rPr>
      </w:pPr>
      <w:bookmarkStart w:id="47" w:name="_Toc89966688"/>
      <w:bookmarkStart w:id="48" w:name="_Toc93404198"/>
      <w:r w:rsidRPr="00B07FB9">
        <w:t xml:space="preserve">Cost minimisation analysis of niraparib vs. </w:t>
      </w:r>
      <w:proofErr w:type="spellStart"/>
      <w:r w:rsidRPr="00B07FB9">
        <w:t>olaparib</w:t>
      </w:r>
      <w:bookmarkEnd w:id="47"/>
      <w:bookmarkEnd w:id="48"/>
      <w:proofErr w:type="spellEnd"/>
    </w:p>
    <w:p w14:paraId="0ACC2A82" w14:textId="0EE369F7" w:rsidR="00460E9B" w:rsidRPr="00B07FB9" w:rsidRDefault="00460E9B" w:rsidP="000C6F49">
      <w:pPr>
        <w:pStyle w:val="3-BodyText"/>
        <w:widowControl w:val="0"/>
      </w:pPr>
      <w:r w:rsidRPr="00B07FB9">
        <w:t xml:space="preserve">The </w:t>
      </w:r>
      <w:proofErr w:type="spellStart"/>
      <w:r w:rsidRPr="00B07FB9">
        <w:t>equi</w:t>
      </w:r>
      <w:proofErr w:type="spellEnd"/>
      <w:r w:rsidRPr="00B07FB9">
        <w:t>-effective doses were estimated as niraparib 162.</w:t>
      </w:r>
      <w:r w:rsidR="005D778D" w:rsidRPr="00B07FB9">
        <w:t>1</w:t>
      </w:r>
      <w:r w:rsidR="005D778D">
        <w:t> </w:t>
      </w:r>
      <w:r w:rsidRPr="00B07FB9">
        <w:t xml:space="preserve">mg/day for 25 months and a fixed daily cost of any </w:t>
      </w:r>
      <w:proofErr w:type="spellStart"/>
      <w:r w:rsidRPr="00B07FB9">
        <w:t>olaparib</w:t>
      </w:r>
      <w:proofErr w:type="spellEnd"/>
      <w:r w:rsidRPr="00B07FB9">
        <w:t xml:space="preserve"> daily dose (600 mg/day, 500 mg/day or 400 mg/day) for 20.9 months. The mean dose of niraparib per day was derived from the ISD cohort of the PRIMA ITT/overall population, which includes both </w:t>
      </w:r>
      <w:proofErr w:type="spellStart"/>
      <w:r w:rsidRPr="00B07FB9">
        <w:t>BRCAm</w:t>
      </w:r>
      <w:proofErr w:type="spellEnd"/>
      <w:r w:rsidRPr="00B07FB9">
        <w:t xml:space="preserve"> and non-</w:t>
      </w:r>
      <w:proofErr w:type="spellStart"/>
      <w:r w:rsidRPr="00B07FB9">
        <w:t>BRCAm</w:t>
      </w:r>
      <w:proofErr w:type="spellEnd"/>
      <w:r w:rsidRPr="00B07FB9">
        <w:t xml:space="preserve"> patients. </w:t>
      </w:r>
      <w:r w:rsidR="00F866C7" w:rsidRPr="00B07FB9">
        <w:t xml:space="preserve">It is unclear whether the mean dose differs between patients with </w:t>
      </w:r>
      <w:proofErr w:type="spellStart"/>
      <w:r w:rsidR="00F866C7" w:rsidRPr="00B07FB9">
        <w:t>BRCAm</w:t>
      </w:r>
      <w:proofErr w:type="spellEnd"/>
      <w:r w:rsidR="00F866C7" w:rsidRPr="00B07FB9">
        <w:t xml:space="preserve"> and those without </w:t>
      </w:r>
      <w:proofErr w:type="spellStart"/>
      <w:r w:rsidR="00F866C7" w:rsidRPr="00B07FB9">
        <w:t>BRCAm</w:t>
      </w:r>
      <w:proofErr w:type="spellEnd"/>
      <w:r w:rsidR="00F866C7" w:rsidRPr="00B07FB9">
        <w:t>. The ESC considered any differences are likely to be modest.</w:t>
      </w:r>
      <w:r w:rsidR="00F866C7" w:rsidRPr="00B07FB9">
        <w:rPr>
          <w:i/>
          <w:iCs/>
        </w:rPr>
        <w:t xml:space="preserve"> </w:t>
      </w:r>
    </w:p>
    <w:p w14:paraId="55876503" w14:textId="7C57D393" w:rsidR="00460E9B" w:rsidRPr="00B07FB9" w:rsidRDefault="00460E9B" w:rsidP="000C6F49">
      <w:pPr>
        <w:pStyle w:val="3-BodyText"/>
        <w:widowControl w:val="0"/>
      </w:pPr>
      <w:r w:rsidRPr="00B07FB9">
        <w:t xml:space="preserve">The PBAC had previously considered the average duration of treatment per patient in the first six years of listing of </w:t>
      </w:r>
      <w:proofErr w:type="spellStart"/>
      <w:r w:rsidRPr="00B07FB9">
        <w:t>olaparib</w:t>
      </w:r>
      <w:proofErr w:type="spellEnd"/>
      <w:r w:rsidRPr="00B07FB9">
        <w:t xml:space="preserve"> in the first line setting based on the SOLO-1 trial (Table 13, </w:t>
      </w:r>
      <w:proofErr w:type="spellStart"/>
      <w:r w:rsidRPr="00B07FB9">
        <w:t>olaparib</w:t>
      </w:r>
      <w:proofErr w:type="spellEnd"/>
      <w:r w:rsidRPr="00B07FB9">
        <w:t xml:space="preserve"> PSD, July 2020 PBAC meeting). The resubmission assumed the same average treatment duration per year for niraparib as previously considered by PBAC for </w:t>
      </w:r>
      <w:proofErr w:type="spellStart"/>
      <w:r w:rsidRPr="00B07FB9">
        <w:t>olaparib</w:t>
      </w:r>
      <w:proofErr w:type="spellEnd"/>
      <w:r w:rsidRPr="00B07FB9">
        <w:t xml:space="preserve">, except for Year 3, which was estimated to be 5.4 months, higher than treatment duration with </w:t>
      </w:r>
      <w:proofErr w:type="spellStart"/>
      <w:r w:rsidRPr="00B07FB9">
        <w:t>olaparib</w:t>
      </w:r>
      <w:proofErr w:type="spellEnd"/>
      <w:r w:rsidRPr="00B07FB9">
        <w:t xml:space="preserve"> in Year 3</w:t>
      </w:r>
      <w:r w:rsidR="00DB3E1E" w:rsidRPr="00B07FB9">
        <w:t xml:space="preserve"> (1.4 months)</w:t>
      </w:r>
      <w:r w:rsidRPr="00B07FB9">
        <w:t xml:space="preserve"> due to the stopping rule at 36 months for niraparib compared with 24 months for </w:t>
      </w:r>
      <w:proofErr w:type="spellStart"/>
      <w:r w:rsidRPr="00B07FB9">
        <w:t>olaparib</w:t>
      </w:r>
      <w:proofErr w:type="spellEnd"/>
      <w:r w:rsidRPr="00B07FB9">
        <w:t xml:space="preserve">. The estimated average treatment duration of niraparib in Year 3 (5.4 months) was based on SOLO-1 and </w:t>
      </w:r>
      <w:proofErr w:type="spellStart"/>
      <w:r w:rsidRPr="00B07FB9">
        <w:t>olaparib</w:t>
      </w:r>
      <w:proofErr w:type="spellEnd"/>
      <w:r w:rsidRPr="00B07FB9">
        <w:t xml:space="preserve"> first line EPAR reports. The average treatment duration per patient per year for both </w:t>
      </w:r>
      <w:proofErr w:type="spellStart"/>
      <w:r w:rsidRPr="00B07FB9">
        <w:t>olaparib</w:t>
      </w:r>
      <w:proofErr w:type="spellEnd"/>
      <w:r w:rsidRPr="00B07FB9">
        <w:t xml:space="preserve"> and niraparib are presented below.</w:t>
      </w:r>
      <w:r w:rsidR="00C0213F" w:rsidRPr="00B07FB9">
        <w:t xml:space="preserve"> The modelled treatment durations for niraparib and </w:t>
      </w:r>
      <w:proofErr w:type="spellStart"/>
      <w:r w:rsidR="00C0213F" w:rsidRPr="00B07FB9">
        <w:t>olaparib</w:t>
      </w:r>
      <w:proofErr w:type="spellEnd"/>
      <w:r w:rsidR="00526CA7" w:rsidRPr="00B07FB9">
        <w:t xml:space="preserve"> </w:t>
      </w:r>
      <w:r w:rsidR="00C0213F" w:rsidRPr="00B07FB9">
        <w:t xml:space="preserve">were 25.0 months and 20.9 months, in comparison with the trial based </w:t>
      </w:r>
      <w:r w:rsidR="00C0213F" w:rsidRPr="00B07FB9">
        <w:rPr>
          <w:bCs/>
        </w:rPr>
        <w:t xml:space="preserve">mean treatment duration of 10.3 months vs 20.65 months, respectively. </w:t>
      </w:r>
      <w:r w:rsidR="00FA1C3C" w:rsidRPr="00B07FB9">
        <w:rPr>
          <w:bCs/>
        </w:rPr>
        <w:t xml:space="preserve">These treatment durations were </w:t>
      </w:r>
      <w:r w:rsidR="00BE253F" w:rsidRPr="00B07FB9">
        <w:rPr>
          <w:bCs/>
        </w:rPr>
        <w:t>unlikely to be comparable due to the difference in follow-up between the PRIMA and SOLO-1 trials (approximately 15 months and 41 months, respectively)</w:t>
      </w:r>
      <w:r w:rsidR="00FA1C3C" w:rsidRPr="00B07FB9">
        <w:rPr>
          <w:bCs/>
        </w:rPr>
        <w:t xml:space="preserve">.  </w:t>
      </w:r>
      <w:r w:rsidR="00FA1C3C" w:rsidRPr="00B07FB9">
        <w:t xml:space="preserve"> </w:t>
      </w:r>
    </w:p>
    <w:p w14:paraId="463B0F3D" w14:textId="3B0C0D3D" w:rsidR="00460E9B" w:rsidRPr="00B07FB9" w:rsidRDefault="00460E9B" w:rsidP="00476D94">
      <w:pPr>
        <w:pStyle w:val="TableFigureHeading"/>
        <w:widowControl w:val="0"/>
      </w:pPr>
      <w:bookmarkStart w:id="49" w:name="_Ref89158511"/>
      <w:r w:rsidRPr="00B07FB9">
        <w:t xml:space="preserve">Table </w:t>
      </w:r>
      <w:r w:rsidR="00385E8C">
        <w:fldChar w:fldCharType="begin"/>
      </w:r>
      <w:r w:rsidR="00385E8C">
        <w:instrText xml:space="preserve"> SEQ Table \* ARABIC </w:instrText>
      </w:r>
      <w:r w:rsidR="00385E8C">
        <w:fldChar w:fldCharType="separate"/>
      </w:r>
      <w:r w:rsidR="00385E8C">
        <w:rPr>
          <w:noProof/>
        </w:rPr>
        <w:t>16</w:t>
      </w:r>
      <w:r w:rsidR="00385E8C">
        <w:fldChar w:fldCharType="end"/>
      </w:r>
      <w:bookmarkEnd w:id="49"/>
      <w:r w:rsidRPr="00B07FB9">
        <w:t>: Average treatment duration per patient per year</w:t>
      </w:r>
    </w:p>
    <w:tbl>
      <w:tblPr>
        <w:tblStyle w:val="TableGrid"/>
        <w:tblW w:w="0" w:type="auto"/>
        <w:tblLook w:val="04A0" w:firstRow="1" w:lastRow="0" w:firstColumn="1" w:lastColumn="0" w:noHBand="0" w:noVBand="1"/>
        <w:tblCaption w:val="Table 16: Average treatment duration per patient per year"/>
      </w:tblPr>
      <w:tblGrid>
        <w:gridCol w:w="3114"/>
        <w:gridCol w:w="2897"/>
        <w:gridCol w:w="3006"/>
      </w:tblGrid>
      <w:tr w:rsidR="00460E9B" w:rsidRPr="00B07FB9" w14:paraId="0E7E31BB" w14:textId="77777777" w:rsidTr="00460E9B">
        <w:tc>
          <w:tcPr>
            <w:tcW w:w="3114" w:type="dxa"/>
          </w:tcPr>
          <w:p w14:paraId="62C46742" w14:textId="77777777" w:rsidR="00460E9B" w:rsidRPr="00B07FB9" w:rsidRDefault="00460E9B" w:rsidP="000C6F49">
            <w:pPr>
              <w:pStyle w:val="In-tableHeading"/>
              <w:keepNext w:val="0"/>
              <w:widowControl w:val="0"/>
              <w:rPr>
                <w:lang w:val="en-AU"/>
              </w:rPr>
            </w:pPr>
            <w:r w:rsidRPr="00B07FB9">
              <w:rPr>
                <w:lang w:val="en-AU"/>
              </w:rPr>
              <w:t xml:space="preserve">Year of treatment </w:t>
            </w:r>
          </w:p>
        </w:tc>
        <w:tc>
          <w:tcPr>
            <w:tcW w:w="2897" w:type="dxa"/>
          </w:tcPr>
          <w:p w14:paraId="23BA2F7C" w14:textId="77777777" w:rsidR="00460E9B" w:rsidRPr="00B07FB9" w:rsidRDefault="00460E9B" w:rsidP="000C6F49">
            <w:pPr>
              <w:pStyle w:val="In-tableHeading"/>
              <w:keepNext w:val="0"/>
              <w:widowControl w:val="0"/>
              <w:jc w:val="center"/>
              <w:rPr>
                <w:lang w:val="en-AU"/>
              </w:rPr>
            </w:pPr>
            <w:r w:rsidRPr="00B07FB9">
              <w:rPr>
                <w:lang w:val="en-AU"/>
              </w:rPr>
              <w:t xml:space="preserve">Olaparib </w:t>
            </w:r>
          </w:p>
          <w:p w14:paraId="38BC8017" w14:textId="77777777" w:rsidR="00460E9B" w:rsidRPr="00B07FB9" w:rsidRDefault="00460E9B" w:rsidP="000C6F49">
            <w:pPr>
              <w:pStyle w:val="In-tableHeading"/>
              <w:keepNext w:val="0"/>
              <w:widowControl w:val="0"/>
              <w:jc w:val="center"/>
              <w:rPr>
                <w:lang w:val="en-AU"/>
              </w:rPr>
            </w:pPr>
            <w:r w:rsidRPr="00B07FB9">
              <w:rPr>
                <w:lang w:val="en-AU"/>
              </w:rPr>
              <w:t xml:space="preserve">(Based on SOLO-1) </w:t>
            </w:r>
            <w:r w:rsidRPr="00B07FB9">
              <w:rPr>
                <w:vertAlign w:val="superscript"/>
                <w:lang w:val="en-AU"/>
              </w:rPr>
              <w:t>a</w:t>
            </w:r>
          </w:p>
        </w:tc>
        <w:tc>
          <w:tcPr>
            <w:tcW w:w="3006" w:type="dxa"/>
          </w:tcPr>
          <w:p w14:paraId="328AB63E" w14:textId="77777777" w:rsidR="00460E9B" w:rsidRPr="00B07FB9" w:rsidRDefault="00460E9B" w:rsidP="000C6F49">
            <w:pPr>
              <w:pStyle w:val="In-tableHeading"/>
              <w:keepNext w:val="0"/>
              <w:widowControl w:val="0"/>
              <w:jc w:val="center"/>
              <w:rPr>
                <w:lang w:val="en-AU"/>
              </w:rPr>
            </w:pPr>
            <w:r w:rsidRPr="00B07FB9">
              <w:rPr>
                <w:lang w:val="en-AU"/>
              </w:rPr>
              <w:t>Niraparib (estimated)</w:t>
            </w:r>
          </w:p>
        </w:tc>
      </w:tr>
      <w:tr w:rsidR="00460E9B" w:rsidRPr="00B07FB9" w14:paraId="34C123B5" w14:textId="77777777" w:rsidTr="00460E9B">
        <w:tc>
          <w:tcPr>
            <w:tcW w:w="3114" w:type="dxa"/>
          </w:tcPr>
          <w:p w14:paraId="1A46982C" w14:textId="77777777" w:rsidR="00460E9B" w:rsidRPr="00B07FB9" w:rsidRDefault="00460E9B" w:rsidP="000C6F49">
            <w:pPr>
              <w:pStyle w:val="TableText0"/>
              <w:keepNext w:val="0"/>
              <w:widowControl w:val="0"/>
            </w:pPr>
            <w:r w:rsidRPr="00B07FB9">
              <w:t>Year 1</w:t>
            </w:r>
          </w:p>
        </w:tc>
        <w:tc>
          <w:tcPr>
            <w:tcW w:w="2897" w:type="dxa"/>
          </w:tcPr>
          <w:p w14:paraId="21487D2B" w14:textId="77777777" w:rsidR="00460E9B" w:rsidRPr="00B07FB9" w:rsidRDefault="00460E9B" w:rsidP="000C6F49">
            <w:pPr>
              <w:pStyle w:val="TableText0"/>
              <w:keepNext w:val="0"/>
              <w:widowControl w:val="0"/>
              <w:jc w:val="center"/>
            </w:pPr>
            <w:r w:rsidRPr="00B07FB9">
              <w:t>10.3</w:t>
            </w:r>
          </w:p>
        </w:tc>
        <w:tc>
          <w:tcPr>
            <w:tcW w:w="3006" w:type="dxa"/>
          </w:tcPr>
          <w:p w14:paraId="74F6A266" w14:textId="77777777" w:rsidR="00460E9B" w:rsidRPr="00B07FB9" w:rsidRDefault="00460E9B" w:rsidP="000C6F49">
            <w:pPr>
              <w:pStyle w:val="TableText0"/>
              <w:keepNext w:val="0"/>
              <w:widowControl w:val="0"/>
              <w:jc w:val="center"/>
            </w:pPr>
            <w:r w:rsidRPr="00B07FB9">
              <w:t>10.3</w:t>
            </w:r>
          </w:p>
        </w:tc>
      </w:tr>
      <w:tr w:rsidR="00460E9B" w:rsidRPr="00B07FB9" w14:paraId="4B8301FF" w14:textId="77777777" w:rsidTr="00460E9B">
        <w:tc>
          <w:tcPr>
            <w:tcW w:w="3114" w:type="dxa"/>
          </w:tcPr>
          <w:p w14:paraId="7083ABF2" w14:textId="77777777" w:rsidR="00460E9B" w:rsidRPr="00B07FB9" w:rsidRDefault="00460E9B" w:rsidP="000C6F49">
            <w:pPr>
              <w:pStyle w:val="TableText0"/>
              <w:keepNext w:val="0"/>
              <w:widowControl w:val="0"/>
            </w:pPr>
            <w:r w:rsidRPr="00B07FB9">
              <w:t>Year 2</w:t>
            </w:r>
          </w:p>
        </w:tc>
        <w:tc>
          <w:tcPr>
            <w:tcW w:w="2897" w:type="dxa"/>
          </w:tcPr>
          <w:p w14:paraId="066850EA" w14:textId="77777777" w:rsidR="00460E9B" w:rsidRPr="00B07FB9" w:rsidRDefault="00460E9B" w:rsidP="000C6F49">
            <w:pPr>
              <w:pStyle w:val="TableText0"/>
              <w:keepNext w:val="0"/>
              <w:widowControl w:val="0"/>
              <w:jc w:val="center"/>
            </w:pPr>
            <w:r w:rsidRPr="00B07FB9">
              <w:t>8.2</w:t>
            </w:r>
          </w:p>
        </w:tc>
        <w:tc>
          <w:tcPr>
            <w:tcW w:w="3006" w:type="dxa"/>
          </w:tcPr>
          <w:p w14:paraId="6AF4C6FF" w14:textId="77777777" w:rsidR="00460E9B" w:rsidRPr="00B07FB9" w:rsidRDefault="00460E9B" w:rsidP="000C6F49">
            <w:pPr>
              <w:pStyle w:val="TableText0"/>
              <w:keepNext w:val="0"/>
              <w:widowControl w:val="0"/>
              <w:jc w:val="center"/>
            </w:pPr>
            <w:r w:rsidRPr="00B07FB9">
              <w:t>8.2</w:t>
            </w:r>
          </w:p>
        </w:tc>
      </w:tr>
      <w:tr w:rsidR="00460E9B" w:rsidRPr="00B07FB9" w14:paraId="350F10CA" w14:textId="77777777" w:rsidTr="00460E9B">
        <w:tc>
          <w:tcPr>
            <w:tcW w:w="3114" w:type="dxa"/>
          </w:tcPr>
          <w:p w14:paraId="7BF07A0F" w14:textId="77777777" w:rsidR="00460E9B" w:rsidRPr="00B07FB9" w:rsidRDefault="00460E9B" w:rsidP="000C6F49">
            <w:pPr>
              <w:pStyle w:val="TableText0"/>
              <w:keepNext w:val="0"/>
              <w:widowControl w:val="0"/>
            </w:pPr>
            <w:r w:rsidRPr="00B07FB9">
              <w:t>Year 3</w:t>
            </w:r>
          </w:p>
        </w:tc>
        <w:tc>
          <w:tcPr>
            <w:tcW w:w="2897" w:type="dxa"/>
          </w:tcPr>
          <w:p w14:paraId="53879D44" w14:textId="77777777" w:rsidR="00460E9B" w:rsidRPr="00B07FB9" w:rsidRDefault="00460E9B" w:rsidP="000C6F49">
            <w:pPr>
              <w:pStyle w:val="TableText0"/>
              <w:keepNext w:val="0"/>
              <w:widowControl w:val="0"/>
              <w:jc w:val="center"/>
            </w:pPr>
            <w:r w:rsidRPr="00B07FB9">
              <w:t>1.4</w:t>
            </w:r>
          </w:p>
        </w:tc>
        <w:tc>
          <w:tcPr>
            <w:tcW w:w="3006" w:type="dxa"/>
          </w:tcPr>
          <w:p w14:paraId="14A91172" w14:textId="77777777" w:rsidR="00460E9B" w:rsidRPr="00B07FB9" w:rsidRDefault="00460E9B" w:rsidP="000C6F49">
            <w:pPr>
              <w:pStyle w:val="TableText0"/>
              <w:keepNext w:val="0"/>
              <w:widowControl w:val="0"/>
              <w:jc w:val="center"/>
            </w:pPr>
            <w:r w:rsidRPr="00B07FB9">
              <w:t>5.4</w:t>
            </w:r>
          </w:p>
        </w:tc>
      </w:tr>
      <w:tr w:rsidR="00460E9B" w:rsidRPr="00B07FB9" w14:paraId="5087CF4F" w14:textId="77777777" w:rsidTr="00460E9B">
        <w:tc>
          <w:tcPr>
            <w:tcW w:w="3114" w:type="dxa"/>
          </w:tcPr>
          <w:p w14:paraId="1E03EF13" w14:textId="77777777" w:rsidR="00460E9B" w:rsidRPr="00B07FB9" w:rsidRDefault="00460E9B" w:rsidP="000C6F49">
            <w:pPr>
              <w:pStyle w:val="TableText0"/>
              <w:keepNext w:val="0"/>
              <w:widowControl w:val="0"/>
            </w:pPr>
            <w:r w:rsidRPr="00B07FB9">
              <w:t>Year 4</w:t>
            </w:r>
          </w:p>
        </w:tc>
        <w:tc>
          <w:tcPr>
            <w:tcW w:w="2897" w:type="dxa"/>
          </w:tcPr>
          <w:p w14:paraId="17F76FA4" w14:textId="77777777" w:rsidR="00460E9B" w:rsidRPr="00B07FB9" w:rsidRDefault="00460E9B" w:rsidP="000C6F49">
            <w:pPr>
              <w:pStyle w:val="TableText0"/>
              <w:keepNext w:val="0"/>
              <w:widowControl w:val="0"/>
              <w:jc w:val="center"/>
            </w:pPr>
            <w:r w:rsidRPr="00B07FB9">
              <w:t>0.6</w:t>
            </w:r>
          </w:p>
        </w:tc>
        <w:tc>
          <w:tcPr>
            <w:tcW w:w="3006" w:type="dxa"/>
          </w:tcPr>
          <w:p w14:paraId="0A82A1DA" w14:textId="77777777" w:rsidR="00460E9B" w:rsidRPr="00B07FB9" w:rsidRDefault="00460E9B" w:rsidP="000C6F49">
            <w:pPr>
              <w:pStyle w:val="TableText0"/>
              <w:keepNext w:val="0"/>
              <w:widowControl w:val="0"/>
              <w:jc w:val="center"/>
            </w:pPr>
            <w:r w:rsidRPr="00B07FB9">
              <w:t>0.6</w:t>
            </w:r>
          </w:p>
        </w:tc>
      </w:tr>
      <w:tr w:rsidR="00460E9B" w:rsidRPr="00B07FB9" w14:paraId="2E760A3D" w14:textId="77777777" w:rsidTr="00460E9B">
        <w:tc>
          <w:tcPr>
            <w:tcW w:w="3114" w:type="dxa"/>
          </w:tcPr>
          <w:p w14:paraId="0528DC80" w14:textId="77777777" w:rsidR="00460E9B" w:rsidRPr="00B07FB9" w:rsidRDefault="00460E9B" w:rsidP="000C6F49">
            <w:pPr>
              <w:pStyle w:val="TableText0"/>
              <w:keepNext w:val="0"/>
              <w:widowControl w:val="0"/>
            </w:pPr>
            <w:r w:rsidRPr="00B07FB9">
              <w:t>Year 5</w:t>
            </w:r>
          </w:p>
        </w:tc>
        <w:tc>
          <w:tcPr>
            <w:tcW w:w="2897" w:type="dxa"/>
          </w:tcPr>
          <w:p w14:paraId="0B9FC2F7" w14:textId="77777777" w:rsidR="00460E9B" w:rsidRPr="00B07FB9" w:rsidRDefault="00460E9B" w:rsidP="000C6F49">
            <w:pPr>
              <w:pStyle w:val="TableText0"/>
              <w:keepNext w:val="0"/>
              <w:widowControl w:val="0"/>
              <w:jc w:val="center"/>
            </w:pPr>
            <w:r w:rsidRPr="00B07FB9">
              <w:t>0.4</w:t>
            </w:r>
          </w:p>
        </w:tc>
        <w:tc>
          <w:tcPr>
            <w:tcW w:w="3006" w:type="dxa"/>
          </w:tcPr>
          <w:p w14:paraId="0B073482" w14:textId="77777777" w:rsidR="00460E9B" w:rsidRPr="00B07FB9" w:rsidRDefault="00460E9B" w:rsidP="000C6F49">
            <w:pPr>
              <w:pStyle w:val="TableText0"/>
              <w:keepNext w:val="0"/>
              <w:widowControl w:val="0"/>
              <w:jc w:val="center"/>
            </w:pPr>
            <w:r w:rsidRPr="00B07FB9">
              <w:t>0.4</w:t>
            </w:r>
          </w:p>
        </w:tc>
      </w:tr>
      <w:tr w:rsidR="00460E9B" w:rsidRPr="00B07FB9" w14:paraId="33C0FA6B" w14:textId="77777777" w:rsidTr="00460E9B">
        <w:tc>
          <w:tcPr>
            <w:tcW w:w="3114" w:type="dxa"/>
          </w:tcPr>
          <w:p w14:paraId="017383AE" w14:textId="77777777" w:rsidR="00460E9B" w:rsidRPr="00B07FB9" w:rsidRDefault="00460E9B" w:rsidP="000C6F49">
            <w:pPr>
              <w:pStyle w:val="TableText0"/>
              <w:keepNext w:val="0"/>
              <w:widowControl w:val="0"/>
            </w:pPr>
            <w:r w:rsidRPr="00B07FB9">
              <w:t>Year 6</w:t>
            </w:r>
          </w:p>
        </w:tc>
        <w:tc>
          <w:tcPr>
            <w:tcW w:w="2897" w:type="dxa"/>
          </w:tcPr>
          <w:p w14:paraId="478F628F" w14:textId="77777777" w:rsidR="00460E9B" w:rsidRPr="00B07FB9" w:rsidRDefault="00460E9B" w:rsidP="000C6F49">
            <w:pPr>
              <w:pStyle w:val="TableText0"/>
              <w:keepNext w:val="0"/>
              <w:widowControl w:val="0"/>
              <w:jc w:val="center"/>
            </w:pPr>
            <w:r w:rsidRPr="00B07FB9">
              <w:t>0.0</w:t>
            </w:r>
          </w:p>
        </w:tc>
        <w:tc>
          <w:tcPr>
            <w:tcW w:w="3006" w:type="dxa"/>
          </w:tcPr>
          <w:p w14:paraId="62C4D234" w14:textId="77777777" w:rsidR="00460E9B" w:rsidRPr="00B07FB9" w:rsidRDefault="00460E9B" w:rsidP="000C6F49">
            <w:pPr>
              <w:pStyle w:val="TableText0"/>
              <w:keepNext w:val="0"/>
              <w:widowControl w:val="0"/>
              <w:jc w:val="center"/>
            </w:pPr>
            <w:r w:rsidRPr="00B07FB9">
              <w:t>0.0</w:t>
            </w:r>
          </w:p>
        </w:tc>
      </w:tr>
      <w:tr w:rsidR="00460E9B" w:rsidRPr="00B07FB9" w14:paraId="47C7AFEE" w14:textId="77777777" w:rsidTr="00460E9B">
        <w:tc>
          <w:tcPr>
            <w:tcW w:w="3114" w:type="dxa"/>
          </w:tcPr>
          <w:p w14:paraId="0D53B96F" w14:textId="77777777" w:rsidR="00460E9B" w:rsidRPr="00B07FB9" w:rsidRDefault="00460E9B" w:rsidP="000C6F49">
            <w:pPr>
              <w:pStyle w:val="TableText0"/>
              <w:keepNext w:val="0"/>
              <w:widowControl w:val="0"/>
            </w:pPr>
            <w:r w:rsidRPr="00B07FB9">
              <w:t>Total</w:t>
            </w:r>
          </w:p>
        </w:tc>
        <w:tc>
          <w:tcPr>
            <w:tcW w:w="2897" w:type="dxa"/>
          </w:tcPr>
          <w:p w14:paraId="5FFD93A4" w14:textId="77777777" w:rsidR="00460E9B" w:rsidRPr="00B07FB9" w:rsidRDefault="00460E9B" w:rsidP="000C6F49">
            <w:pPr>
              <w:pStyle w:val="TableText0"/>
              <w:keepNext w:val="0"/>
              <w:widowControl w:val="0"/>
              <w:jc w:val="center"/>
            </w:pPr>
            <w:r w:rsidRPr="00B07FB9">
              <w:t>20.9</w:t>
            </w:r>
          </w:p>
        </w:tc>
        <w:tc>
          <w:tcPr>
            <w:tcW w:w="3006" w:type="dxa"/>
          </w:tcPr>
          <w:p w14:paraId="1E15DCE3" w14:textId="77777777" w:rsidR="00460E9B" w:rsidRPr="00B07FB9" w:rsidRDefault="00460E9B" w:rsidP="000C6F49">
            <w:pPr>
              <w:pStyle w:val="TableText0"/>
              <w:keepNext w:val="0"/>
              <w:widowControl w:val="0"/>
              <w:jc w:val="center"/>
            </w:pPr>
            <w:r w:rsidRPr="00B07FB9">
              <w:t>25.0</w:t>
            </w:r>
          </w:p>
        </w:tc>
      </w:tr>
    </w:tbl>
    <w:p w14:paraId="52B51188" w14:textId="77777777" w:rsidR="00460E9B" w:rsidRPr="00B07FB9" w:rsidRDefault="00460E9B" w:rsidP="000C6F49">
      <w:pPr>
        <w:pStyle w:val="TableFigureFooter"/>
        <w:widowControl w:val="0"/>
      </w:pPr>
      <w:r w:rsidRPr="00B07FB9">
        <w:t>Source: Table 101, p168 of the resubmission</w:t>
      </w:r>
    </w:p>
    <w:p w14:paraId="076E609B" w14:textId="77777777" w:rsidR="00460E9B" w:rsidRPr="00B07FB9" w:rsidRDefault="00460E9B" w:rsidP="000C6F49">
      <w:pPr>
        <w:pStyle w:val="TableFigureFooter"/>
        <w:widowControl w:val="0"/>
      </w:pPr>
      <w:r w:rsidRPr="00B07FB9">
        <w:rPr>
          <w:vertAlign w:val="superscript"/>
        </w:rPr>
        <w:t>a</w:t>
      </w:r>
      <w:r w:rsidRPr="00B07FB9">
        <w:t xml:space="preserve"> Table 13, </w:t>
      </w:r>
      <w:proofErr w:type="spellStart"/>
      <w:r w:rsidRPr="00B07FB9">
        <w:t>olaparib</w:t>
      </w:r>
      <w:proofErr w:type="spellEnd"/>
      <w:r w:rsidRPr="00B07FB9">
        <w:t xml:space="preserve"> PSD, July 2020 PBAC meeting</w:t>
      </w:r>
    </w:p>
    <w:p w14:paraId="307CD7C0" w14:textId="23465EAE" w:rsidR="00460E9B" w:rsidRPr="00B07FB9" w:rsidRDefault="00460E9B" w:rsidP="000C6F49">
      <w:pPr>
        <w:pStyle w:val="3-BodyText"/>
        <w:widowControl w:val="0"/>
        <w:rPr>
          <w:bCs/>
        </w:rPr>
      </w:pPr>
      <w:r w:rsidRPr="00B07FB9">
        <w:rPr>
          <w:bCs/>
        </w:rPr>
        <w:t xml:space="preserve">Given the flat price per tablet of </w:t>
      </w:r>
      <w:proofErr w:type="spellStart"/>
      <w:r w:rsidRPr="00B07FB9">
        <w:rPr>
          <w:bCs/>
        </w:rPr>
        <w:t>olaparib</w:t>
      </w:r>
      <w:proofErr w:type="spellEnd"/>
      <w:r w:rsidRPr="00B07FB9">
        <w:rPr>
          <w:bCs/>
        </w:rPr>
        <w:t xml:space="preserve">, there is a constant daily </w:t>
      </w:r>
      <w:r w:rsidR="00DB3E1E" w:rsidRPr="00B07FB9">
        <w:rPr>
          <w:bCs/>
        </w:rPr>
        <w:t xml:space="preserve">cost </w:t>
      </w:r>
      <w:r w:rsidRPr="00B07FB9">
        <w:rPr>
          <w:bCs/>
        </w:rPr>
        <w:t xml:space="preserve">for </w:t>
      </w:r>
      <w:proofErr w:type="spellStart"/>
      <w:r w:rsidRPr="00B07FB9">
        <w:rPr>
          <w:bCs/>
        </w:rPr>
        <w:t>olaparib</w:t>
      </w:r>
      <w:proofErr w:type="spellEnd"/>
      <w:r w:rsidRPr="00B07FB9">
        <w:rPr>
          <w:bCs/>
        </w:rPr>
        <w:t xml:space="preserve"> treatment, irrespective of daily dose of 600</w:t>
      </w:r>
      <w:r w:rsidR="005D778D">
        <w:rPr>
          <w:bCs/>
        </w:rPr>
        <w:t> </w:t>
      </w:r>
      <w:r w:rsidRPr="00B07FB9">
        <w:rPr>
          <w:bCs/>
        </w:rPr>
        <w:t>mg, 500</w:t>
      </w:r>
      <w:r w:rsidR="005D778D">
        <w:rPr>
          <w:bCs/>
        </w:rPr>
        <w:t> </w:t>
      </w:r>
      <w:r w:rsidRPr="00B07FB9">
        <w:rPr>
          <w:bCs/>
        </w:rPr>
        <w:t>mg or 400</w:t>
      </w:r>
      <w:r w:rsidR="005D778D">
        <w:rPr>
          <w:bCs/>
        </w:rPr>
        <w:t> </w:t>
      </w:r>
      <w:r w:rsidRPr="00B07FB9">
        <w:rPr>
          <w:bCs/>
        </w:rPr>
        <w:t xml:space="preserve">mg. The </w:t>
      </w:r>
      <w:r w:rsidR="004B32E9" w:rsidRPr="00B07FB9">
        <w:rPr>
          <w:bCs/>
        </w:rPr>
        <w:t xml:space="preserve">resubmission calculated the </w:t>
      </w:r>
      <w:proofErr w:type="spellStart"/>
      <w:r w:rsidRPr="00B07FB9">
        <w:rPr>
          <w:bCs/>
        </w:rPr>
        <w:t>olaparib</w:t>
      </w:r>
      <w:proofErr w:type="spellEnd"/>
      <w:r w:rsidRPr="00B07FB9">
        <w:rPr>
          <w:bCs/>
        </w:rPr>
        <w:t xml:space="preserve"> cost per course by multiplying the daily treatment cost ($243.21) </w:t>
      </w:r>
      <w:r w:rsidR="004B32E9" w:rsidRPr="00B07FB9">
        <w:rPr>
          <w:bCs/>
        </w:rPr>
        <w:t xml:space="preserve">and </w:t>
      </w:r>
      <w:r w:rsidRPr="00B07FB9">
        <w:rPr>
          <w:bCs/>
        </w:rPr>
        <w:t>the treatment duration (20.9 months)</w:t>
      </w:r>
      <w:r w:rsidR="004B32E9" w:rsidRPr="00B07FB9">
        <w:rPr>
          <w:bCs/>
        </w:rPr>
        <w:t xml:space="preserve">, which was not reasonable </w:t>
      </w:r>
      <w:r w:rsidR="004B32E9" w:rsidRPr="00B07FB9">
        <w:rPr>
          <w:bCs/>
        </w:rPr>
        <w:lastRenderedPageBreak/>
        <w:t xml:space="preserve">because it did not account for </w:t>
      </w:r>
      <w:proofErr w:type="spellStart"/>
      <w:r w:rsidR="004B32E9" w:rsidRPr="00B07FB9">
        <w:rPr>
          <w:bCs/>
        </w:rPr>
        <w:t>olaparib</w:t>
      </w:r>
      <w:proofErr w:type="spellEnd"/>
      <w:r w:rsidR="004B32E9" w:rsidRPr="00B07FB9">
        <w:rPr>
          <w:bCs/>
        </w:rPr>
        <w:t xml:space="preserve"> dose intensity</w:t>
      </w:r>
      <w:r w:rsidR="00D258FF" w:rsidRPr="00B07FB9">
        <w:rPr>
          <w:bCs/>
        </w:rPr>
        <w:t xml:space="preserve"> in terms of missed doses</w:t>
      </w:r>
      <w:r w:rsidR="004B32E9" w:rsidRPr="00B07FB9">
        <w:rPr>
          <w:bCs/>
        </w:rPr>
        <w:t>.</w:t>
      </w:r>
    </w:p>
    <w:p w14:paraId="3B387E7A" w14:textId="77777777" w:rsidR="00F964F1" w:rsidRPr="00B07FB9" w:rsidRDefault="00460E9B" w:rsidP="00637EA4">
      <w:pPr>
        <w:pStyle w:val="3-BodyText"/>
        <w:widowControl w:val="0"/>
        <w:rPr>
          <w:bCs/>
        </w:rPr>
      </w:pPr>
      <w:r w:rsidRPr="00B07FB9">
        <w:rPr>
          <w:bCs/>
        </w:rPr>
        <w:t xml:space="preserve">In addition to the costs of niraparib and </w:t>
      </w:r>
      <w:proofErr w:type="spellStart"/>
      <w:r w:rsidRPr="00B07FB9">
        <w:rPr>
          <w:bCs/>
        </w:rPr>
        <w:t>olaparib</w:t>
      </w:r>
      <w:proofErr w:type="spellEnd"/>
      <w:r w:rsidRPr="00B07FB9">
        <w:rPr>
          <w:bCs/>
        </w:rPr>
        <w:t xml:space="preserve">, the resubmission included in the CMA the costs of managing and monitoring AEs.  </w:t>
      </w:r>
    </w:p>
    <w:p w14:paraId="291E5B67" w14:textId="5071DD02" w:rsidR="00F964F1" w:rsidRPr="00B07FB9" w:rsidRDefault="00460E9B" w:rsidP="00637EA4">
      <w:pPr>
        <w:pStyle w:val="3-BodyText"/>
        <w:widowControl w:val="0"/>
        <w:rPr>
          <w:bCs/>
        </w:rPr>
      </w:pPr>
      <w:r w:rsidRPr="00B07FB9">
        <w:rPr>
          <w:bCs/>
        </w:rPr>
        <w:t xml:space="preserve">The resubmission applied hospitalisation costs to thrombocytopenia and anaemia TEAEs in the CMA, accounting for the observed incremental differences in the incidence of these events across PRIMA and SOLO-1. Weighted average hospitalisation costs per event were calculated based on NHCDC Cost Reports (NHCDC Round 22 Public Sector Cost Weight Tables, 2018-2019). </w:t>
      </w:r>
    </w:p>
    <w:p w14:paraId="08B2F37F" w14:textId="4EFBBE9F" w:rsidR="00460E9B" w:rsidRPr="00B07FB9" w:rsidRDefault="00460E9B" w:rsidP="00637EA4">
      <w:pPr>
        <w:pStyle w:val="3-BodyText"/>
        <w:widowControl w:val="0"/>
        <w:rPr>
          <w:bCs/>
        </w:rPr>
      </w:pPr>
      <w:r w:rsidRPr="00B07FB9">
        <w:rPr>
          <w:bCs/>
        </w:rPr>
        <w:t xml:space="preserve">Based on different requirements in the frequency of complete blood count (CBC) and blood pressure (BP) monitoring in the respective </w:t>
      </w:r>
      <w:r w:rsidR="007515AC" w:rsidRPr="00B07FB9">
        <w:rPr>
          <w:bCs/>
        </w:rPr>
        <w:t>p</w:t>
      </w:r>
      <w:r w:rsidRPr="00B07FB9">
        <w:rPr>
          <w:bCs/>
        </w:rPr>
        <w:t xml:space="preserve">roduct </w:t>
      </w:r>
      <w:r w:rsidR="006B08D8" w:rsidRPr="00B07FB9">
        <w:rPr>
          <w:bCs/>
        </w:rPr>
        <w:t>i</w:t>
      </w:r>
      <w:r w:rsidRPr="00B07FB9">
        <w:rPr>
          <w:bCs/>
        </w:rPr>
        <w:t xml:space="preserve">nformation </w:t>
      </w:r>
      <w:r w:rsidR="007515AC" w:rsidRPr="00B07FB9">
        <w:rPr>
          <w:bCs/>
        </w:rPr>
        <w:t xml:space="preserve">documents </w:t>
      </w:r>
      <w:r w:rsidRPr="00B07FB9">
        <w:rPr>
          <w:bCs/>
        </w:rPr>
        <w:t xml:space="preserve">for niraparib and </w:t>
      </w:r>
      <w:proofErr w:type="spellStart"/>
      <w:r w:rsidRPr="00B07FB9">
        <w:rPr>
          <w:bCs/>
        </w:rPr>
        <w:t>olaparib</w:t>
      </w:r>
      <w:proofErr w:type="spellEnd"/>
      <w:r w:rsidRPr="00B07FB9">
        <w:rPr>
          <w:bCs/>
        </w:rPr>
        <w:t xml:space="preserve">, the resubmission assumed that all niraparib patients will need an additional 3.35 CBCs in the first month of treatment and an additional 10.3 GP consultations for BP monitoring in the first year of treatment. </w:t>
      </w:r>
    </w:p>
    <w:p w14:paraId="543412DF" w14:textId="4A646B4C" w:rsidR="00460E9B" w:rsidRPr="00B07FB9" w:rsidRDefault="00460E9B" w:rsidP="000C6F49">
      <w:pPr>
        <w:pStyle w:val="3-BodyText"/>
        <w:widowControl w:val="0"/>
        <w:rPr>
          <w:bCs/>
        </w:rPr>
      </w:pPr>
      <w:r w:rsidRPr="00B07FB9">
        <w:rPr>
          <w:bCs/>
        </w:rPr>
        <w:t xml:space="preserve">The results of the CMA are presented below. </w:t>
      </w:r>
    </w:p>
    <w:p w14:paraId="7D524F29" w14:textId="3DBC716C" w:rsidR="00907ABF" w:rsidRPr="00B07FB9" w:rsidRDefault="00460E9B" w:rsidP="00C34837">
      <w:pPr>
        <w:pStyle w:val="TableFigureHeading"/>
        <w:widowControl w:val="0"/>
      </w:pPr>
      <w:bookmarkStart w:id="50" w:name="_Ref89777364"/>
      <w:r w:rsidRPr="00B07FB9">
        <w:t xml:space="preserve">Table </w:t>
      </w:r>
      <w:r w:rsidR="00385E8C">
        <w:fldChar w:fldCharType="begin"/>
      </w:r>
      <w:r w:rsidR="00385E8C">
        <w:instrText xml:space="preserve"> SEQ Table \* ARABIC </w:instrText>
      </w:r>
      <w:r w:rsidR="00385E8C">
        <w:fldChar w:fldCharType="separate"/>
      </w:r>
      <w:r w:rsidR="00385E8C">
        <w:rPr>
          <w:noProof/>
        </w:rPr>
        <w:t>17</w:t>
      </w:r>
      <w:r w:rsidR="00385E8C">
        <w:fldChar w:fldCharType="end"/>
      </w:r>
      <w:bookmarkEnd w:id="50"/>
      <w:r w:rsidRPr="00B07FB9">
        <w:t>: Results of the cost-minimisation analysis</w:t>
      </w:r>
      <w:r w:rsidR="007A64DF" w:rsidRPr="00B07FB9">
        <w:t xml:space="preserve"> (</w:t>
      </w:r>
      <w:r w:rsidR="00907ABF" w:rsidRPr="00B07FB9">
        <w:t xml:space="preserve">as presented in the resubmission – based on </w:t>
      </w:r>
      <w:r w:rsidR="00D43993" w:rsidRPr="00B07FB9">
        <w:t>cost per course</w:t>
      </w:r>
      <w:r w:rsidR="00C34837" w:rsidRPr="00B07FB9">
        <w:t xml:space="preserve"> </w:t>
      </w:r>
      <w:r w:rsidR="00907ABF" w:rsidRPr="00B07FB9">
        <w:t xml:space="preserve">using published AEMP for </w:t>
      </w:r>
      <w:proofErr w:type="spellStart"/>
      <w:r w:rsidR="00907ABF" w:rsidRPr="00B07FB9">
        <w:t>olaparib</w:t>
      </w:r>
      <w:proofErr w:type="spellEnd"/>
      <w:r w:rsidR="00907ABF" w:rsidRPr="00B07FB9">
        <w:t>)</w:t>
      </w:r>
    </w:p>
    <w:tbl>
      <w:tblPr>
        <w:tblStyle w:val="TableGrid"/>
        <w:tblW w:w="0" w:type="auto"/>
        <w:tblCellMar>
          <w:top w:w="11" w:type="dxa"/>
          <w:left w:w="28" w:type="dxa"/>
          <w:bottom w:w="11" w:type="dxa"/>
          <w:right w:w="28" w:type="dxa"/>
        </w:tblCellMar>
        <w:tblLook w:val="04A0" w:firstRow="1" w:lastRow="0" w:firstColumn="1" w:lastColumn="0" w:noHBand="0" w:noVBand="1"/>
        <w:tblCaption w:val="Table 17: Results of the cost-minimisation analysis (as presented in the resubmission – based on cost per course using published AEMP for olaparib)"/>
      </w:tblPr>
      <w:tblGrid>
        <w:gridCol w:w="659"/>
        <w:gridCol w:w="4079"/>
        <w:gridCol w:w="1507"/>
        <w:gridCol w:w="2772"/>
      </w:tblGrid>
      <w:tr w:rsidR="00460E9B" w:rsidRPr="00B07FB9" w14:paraId="79CD1B3D" w14:textId="77777777" w:rsidTr="00C34837">
        <w:trPr>
          <w:cantSplit/>
        </w:trPr>
        <w:tc>
          <w:tcPr>
            <w:tcW w:w="659" w:type="dxa"/>
            <w:shd w:val="clear" w:color="auto" w:fill="auto"/>
          </w:tcPr>
          <w:p w14:paraId="566B456B" w14:textId="77777777" w:rsidR="00460E9B" w:rsidRPr="00B07FB9" w:rsidRDefault="00460E9B" w:rsidP="00C34837">
            <w:pPr>
              <w:widowControl w:val="0"/>
              <w:jc w:val="left"/>
              <w:rPr>
                <w:rFonts w:ascii="Arial Narrow" w:eastAsiaTheme="majorEastAsia" w:hAnsi="Arial Narrow" w:cs="Times New Roman"/>
                <w:b/>
                <w:bCs/>
                <w:snapToGrid w:val="0"/>
                <w:sz w:val="20"/>
              </w:rPr>
            </w:pPr>
          </w:p>
        </w:tc>
        <w:tc>
          <w:tcPr>
            <w:tcW w:w="4079" w:type="dxa"/>
            <w:shd w:val="clear" w:color="auto" w:fill="auto"/>
          </w:tcPr>
          <w:p w14:paraId="6C52ECD0" w14:textId="77777777" w:rsidR="00460E9B" w:rsidRPr="00B07FB9" w:rsidRDefault="00460E9B" w:rsidP="00C34837">
            <w:pPr>
              <w:widowControl w:val="0"/>
              <w:jc w:val="left"/>
              <w:rPr>
                <w:rFonts w:ascii="Arial Narrow" w:eastAsiaTheme="majorEastAsia" w:hAnsi="Arial Narrow" w:cs="Times New Roman"/>
                <w:b/>
                <w:bCs/>
                <w:snapToGrid w:val="0"/>
                <w:sz w:val="20"/>
              </w:rPr>
            </w:pPr>
            <w:r w:rsidRPr="00B07FB9">
              <w:rPr>
                <w:rFonts w:ascii="Arial Narrow" w:eastAsiaTheme="majorEastAsia" w:hAnsi="Arial Narrow" w:cs="Times New Roman"/>
                <w:b/>
                <w:bCs/>
                <w:snapToGrid w:val="0"/>
                <w:sz w:val="20"/>
              </w:rPr>
              <w:t>Parameter</w:t>
            </w:r>
          </w:p>
        </w:tc>
        <w:tc>
          <w:tcPr>
            <w:tcW w:w="1507" w:type="dxa"/>
            <w:shd w:val="clear" w:color="auto" w:fill="auto"/>
            <w:vAlign w:val="center"/>
          </w:tcPr>
          <w:p w14:paraId="4453EAB0" w14:textId="77777777" w:rsidR="00460E9B" w:rsidRPr="00B07FB9" w:rsidRDefault="00460E9B" w:rsidP="00C34837">
            <w:pPr>
              <w:widowControl w:val="0"/>
              <w:jc w:val="center"/>
              <w:rPr>
                <w:rFonts w:ascii="Arial Narrow" w:eastAsiaTheme="majorEastAsia" w:hAnsi="Arial Narrow" w:cs="Times New Roman"/>
                <w:b/>
                <w:bCs/>
                <w:snapToGrid w:val="0"/>
                <w:sz w:val="20"/>
              </w:rPr>
            </w:pPr>
            <w:r w:rsidRPr="00B07FB9">
              <w:rPr>
                <w:rFonts w:ascii="Arial Narrow" w:eastAsiaTheme="majorEastAsia" w:hAnsi="Arial Narrow" w:cs="Times New Roman"/>
                <w:b/>
                <w:bCs/>
                <w:snapToGrid w:val="0"/>
                <w:sz w:val="20"/>
              </w:rPr>
              <w:t>Input</w:t>
            </w:r>
          </w:p>
        </w:tc>
        <w:tc>
          <w:tcPr>
            <w:tcW w:w="2772" w:type="dxa"/>
            <w:shd w:val="clear" w:color="auto" w:fill="auto"/>
            <w:vAlign w:val="center"/>
          </w:tcPr>
          <w:p w14:paraId="625F36FB" w14:textId="77777777" w:rsidR="00460E9B" w:rsidRPr="00B07FB9" w:rsidRDefault="00460E9B" w:rsidP="00C34837">
            <w:pPr>
              <w:widowControl w:val="0"/>
              <w:jc w:val="left"/>
              <w:rPr>
                <w:rFonts w:ascii="Arial Narrow" w:eastAsiaTheme="majorEastAsia" w:hAnsi="Arial Narrow" w:cs="Times New Roman"/>
                <w:b/>
                <w:bCs/>
                <w:snapToGrid w:val="0"/>
                <w:sz w:val="20"/>
              </w:rPr>
            </w:pPr>
            <w:r w:rsidRPr="00B07FB9">
              <w:rPr>
                <w:rFonts w:ascii="Arial Narrow" w:eastAsiaTheme="majorEastAsia" w:hAnsi="Arial Narrow" w:cs="Times New Roman"/>
                <w:b/>
                <w:bCs/>
                <w:snapToGrid w:val="0"/>
                <w:sz w:val="20"/>
              </w:rPr>
              <w:t>Source / calculation</w:t>
            </w:r>
          </w:p>
        </w:tc>
      </w:tr>
      <w:tr w:rsidR="00460E9B" w:rsidRPr="00B07FB9" w14:paraId="0830D500" w14:textId="77777777" w:rsidTr="00C34837">
        <w:trPr>
          <w:cantSplit/>
        </w:trPr>
        <w:tc>
          <w:tcPr>
            <w:tcW w:w="659" w:type="dxa"/>
            <w:tcBorders>
              <w:right w:val="nil"/>
            </w:tcBorders>
          </w:tcPr>
          <w:p w14:paraId="4C9AEE1E" w14:textId="77777777" w:rsidR="00460E9B" w:rsidRPr="00B07FB9" w:rsidRDefault="00460E9B" w:rsidP="00C34837">
            <w:pPr>
              <w:widowControl w:val="0"/>
              <w:jc w:val="left"/>
              <w:rPr>
                <w:rFonts w:ascii="Arial Narrow" w:eastAsiaTheme="majorEastAsia" w:hAnsi="Arial Narrow" w:cs="Times New Roman"/>
                <w:bCs/>
                <w:snapToGrid w:val="0"/>
                <w:sz w:val="20"/>
              </w:rPr>
            </w:pPr>
          </w:p>
        </w:tc>
        <w:tc>
          <w:tcPr>
            <w:tcW w:w="4079" w:type="dxa"/>
            <w:tcBorders>
              <w:left w:val="nil"/>
              <w:right w:val="nil"/>
            </w:tcBorders>
          </w:tcPr>
          <w:p w14:paraId="6EADD195" w14:textId="77777777" w:rsidR="00460E9B" w:rsidRPr="00B07FB9" w:rsidRDefault="00460E9B" w:rsidP="00C34837">
            <w:pPr>
              <w:widowControl w:val="0"/>
              <w:jc w:val="left"/>
              <w:rPr>
                <w:rFonts w:ascii="Arial Narrow" w:eastAsiaTheme="majorEastAsia" w:hAnsi="Arial Narrow" w:cs="Times New Roman"/>
                <w:b/>
                <w:bCs/>
                <w:snapToGrid w:val="0"/>
                <w:sz w:val="20"/>
              </w:rPr>
            </w:pPr>
            <w:r w:rsidRPr="00B07FB9">
              <w:rPr>
                <w:rFonts w:ascii="Arial Narrow" w:eastAsiaTheme="majorEastAsia" w:hAnsi="Arial Narrow" w:cs="Times New Roman"/>
                <w:b/>
                <w:bCs/>
                <w:snapToGrid w:val="0"/>
                <w:sz w:val="20"/>
              </w:rPr>
              <w:t xml:space="preserve">Cost of </w:t>
            </w:r>
            <w:proofErr w:type="spellStart"/>
            <w:r w:rsidRPr="00B07FB9">
              <w:rPr>
                <w:rFonts w:ascii="Arial Narrow" w:eastAsiaTheme="majorEastAsia" w:hAnsi="Arial Narrow" w:cs="Times New Roman"/>
                <w:b/>
                <w:bCs/>
                <w:snapToGrid w:val="0"/>
                <w:sz w:val="20"/>
              </w:rPr>
              <w:t>olaparib</w:t>
            </w:r>
            <w:proofErr w:type="spellEnd"/>
          </w:p>
        </w:tc>
        <w:tc>
          <w:tcPr>
            <w:tcW w:w="1507" w:type="dxa"/>
            <w:tcBorders>
              <w:left w:val="nil"/>
              <w:right w:val="nil"/>
            </w:tcBorders>
            <w:vAlign w:val="center"/>
          </w:tcPr>
          <w:p w14:paraId="1D4E356C" w14:textId="77777777" w:rsidR="00460E9B" w:rsidRPr="00B07FB9" w:rsidRDefault="00460E9B" w:rsidP="00C34837">
            <w:pPr>
              <w:widowControl w:val="0"/>
              <w:jc w:val="center"/>
              <w:rPr>
                <w:rFonts w:ascii="Arial Narrow" w:eastAsiaTheme="majorEastAsia" w:hAnsi="Arial Narrow" w:cs="Times New Roman"/>
                <w:bCs/>
                <w:snapToGrid w:val="0"/>
                <w:sz w:val="20"/>
              </w:rPr>
            </w:pPr>
          </w:p>
        </w:tc>
        <w:tc>
          <w:tcPr>
            <w:tcW w:w="2772" w:type="dxa"/>
            <w:tcBorders>
              <w:left w:val="nil"/>
            </w:tcBorders>
            <w:vAlign w:val="center"/>
          </w:tcPr>
          <w:p w14:paraId="5C64201D" w14:textId="77777777" w:rsidR="00460E9B" w:rsidRPr="00B07FB9" w:rsidRDefault="00460E9B" w:rsidP="00C34837">
            <w:pPr>
              <w:widowControl w:val="0"/>
              <w:jc w:val="left"/>
              <w:rPr>
                <w:rFonts w:ascii="Arial Narrow" w:eastAsiaTheme="majorEastAsia" w:hAnsi="Arial Narrow" w:cs="Times New Roman"/>
                <w:bCs/>
                <w:snapToGrid w:val="0"/>
                <w:sz w:val="20"/>
              </w:rPr>
            </w:pPr>
          </w:p>
        </w:tc>
      </w:tr>
      <w:tr w:rsidR="00460E9B" w:rsidRPr="00B07FB9" w14:paraId="10485DC2" w14:textId="77777777" w:rsidTr="00C34837">
        <w:trPr>
          <w:cantSplit/>
        </w:trPr>
        <w:tc>
          <w:tcPr>
            <w:tcW w:w="659" w:type="dxa"/>
          </w:tcPr>
          <w:p w14:paraId="54681A05"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A</w:t>
            </w:r>
          </w:p>
        </w:tc>
        <w:tc>
          <w:tcPr>
            <w:tcW w:w="4079" w:type="dxa"/>
          </w:tcPr>
          <w:p w14:paraId="38BB146C"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Cost per maximum quantity (112 tablets)</w:t>
            </w:r>
          </w:p>
        </w:tc>
        <w:tc>
          <w:tcPr>
            <w:tcW w:w="1507" w:type="dxa"/>
            <w:vAlign w:val="center"/>
          </w:tcPr>
          <w:p w14:paraId="7C0B4E92"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$6,810.00</w:t>
            </w:r>
            <w:r w:rsidRPr="00B07FB9">
              <w:rPr>
                <w:rFonts w:ascii="Arial Narrow" w:eastAsiaTheme="majorEastAsia" w:hAnsi="Arial Narrow" w:cs="Times New Roman"/>
                <w:bCs/>
                <w:snapToGrid w:val="0"/>
                <w:sz w:val="20"/>
                <w:vertAlign w:val="superscript"/>
              </w:rPr>
              <w:t>a</w:t>
            </w:r>
          </w:p>
        </w:tc>
        <w:tc>
          <w:tcPr>
            <w:tcW w:w="2772" w:type="dxa"/>
            <w:vAlign w:val="center"/>
          </w:tcPr>
          <w:p w14:paraId="58D220FD"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Published AEMP</w:t>
            </w:r>
          </w:p>
        </w:tc>
      </w:tr>
      <w:tr w:rsidR="00460E9B" w:rsidRPr="00B07FB9" w14:paraId="062C653E" w14:textId="77777777" w:rsidTr="00C34837">
        <w:trPr>
          <w:cantSplit/>
        </w:trPr>
        <w:tc>
          <w:tcPr>
            <w:tcW w:w="659" w:type="dxa"/>
          </w:tcPr>
          <w:p w14:paraId="434198C5"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B</w:t>
            </w:r>
          </w:p>
        </w:tc>
        <w:tc>
          <w:tcPr>
            <w:tcW w:w="4079" w:type="dxa"/>
          </w:tcPr>
          <w:p w14:paraId="468E875F"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Packs per script</w:t>
            </w:r>
          </w:p>
        </w:tc>
        <w:tc>
          <w:tcPr>
            <w:tcW w:w="1507" w:type="dxa"/>
            <w:vAlign w:val="center"/>
          </w:tcPr>
          <w:p w14:paraId="64EC1E20"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2</w:t>
            </w:r>
          </w:p>
        </w:tc>
        <w:tc>
          <w:tcPr>
            <w:tcW w:w="2772" w:type="dxa"/>
            <w:vMerge w:val="restart"/>
            <w:vAlign w:val="center"/>
          </w:tcPr>
          <w:p w14:paraId="514CB0ED"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By definition</w:t>
            </w:r>
          </w:p>
        </w:tc>
      </w:tr>
      <w:tr w:rsidR="00460E9B" w:rsidRPr="00B07FB9" w14:paraId="7AF7A418" w14:textId="77777777" w:rsidTr="00C34837">
        <w:trPr>
          <w:cantSplit/>
        </w:trPr>
        <w:tc>
          <w:tcPr>
            <w:tcW w:w="659" w:type="dxa"/>
          </w:tcPr>
          <w:p w14:paraId="7034B9A3"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C</w:t>
            </w:r>
          </w:p>
        </w:tc>
        <w:tc>
          <w:tcPr>
            <w:tcW w:w="4079" w:type="dxa"/>
          </w:tcPr>
          <w:p w14:paraId="31C2924F"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Tablets per pack</w:t>
            </w:r>
          </w:p>
        </w:tc>
        <w:tc>
          <w:tcPr>
            <w:tcW w:w="1507" w:type="dxa"/>
            <w:vAlign w:val="center"/>
          </w:tcPr>
          <w:p w14:paraId="1073B05A"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56</w:t>
            </w:r>
          </w:p>
        </w:tc>
        <w:tc>
          <w:tcPr>
            <w:tcW w:w="2772" w:type="dxa"/>
            <w:vMerge/>
            <w:vAlign w:val="center"/>
          </w:tcPr>
          <w:p w14:paraId="41412365" w14:textId="77777777" w:rsidR="00460E9B" w:rsidRPr="00B07FB9" w:rsidRDefault="00460E9B" w:rsidP="00C34837">
            <w:pPr>
              <w:widowControl w:val="0"/>
              <w:jc w:val="left"/>
              <w:rPr>
                <w:rFonts w:ascii="Arial Narrow" w:eastAsiaTheme="majorEastAsia" w:hAnsi="Arial Narrow" w:cs="Times New Roman"/>
                <w:bCs/>
                <w:snapToGrid w:val="0"/>
                <w:sz w:val="20"/>
              </w:rPr>
            </w:pPr>
          </w:p>
        </w:tc>
      </w:tr>
      <w:tr w:rsidR="00460E9B" w:rsidRPr="00B07FB9" w14:paraId="68AB3342" w14:textId="77777777" w:rsidTr="00C34837">
        <w:trPr>
          <w:cantSplit/>
        </w:trPr>
        <w:tc>
          <w:tcPr>
            <w:tcW w:w="659" w:type="dxa"/>
          </w:tcPr>
          <w:p w14:paraId="095F14B9"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D</w:t>
            </w:r>
          </w:p>
        </w:tc>
        <w:tc>
          <w:tcPr>
            <w:tcW w:w="4079" w:type="dxa"/>
          </w:tcPr>
          <w:p w14:paraId="1FAAB52E"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Tablets per day</w:t>
            </w:r>
          </w:p>
        </w:tc>
        <w:tc>
          <w:tcPr>
            <w:tcW w:w="1507" w:type="dxa"/>
            <w:vAlign w:val="center"/>
          </w:tcPr>
          <w:p w14:paraId="72F5737C"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4</w:t>
            </w:r>
          </w:p>
        </w:tc>
        <w:tc>
          <w:tcPr>
            <w:tcW w:w="2772" w:type="dxa"/>
            <w:vMerge/>
            <w:vAlign w:val="center"/>
          </w:tcPr>
          <w:p w14:paraId="4D5C4AB7" w14:textId="77777777" w:rsidR="00460E9B" w:rsidRPr="00B07FB9" w:rsidRDefault="00460E9B" w:rsidP="00C34837">
            <w:pPr>
              <w:widowControl w:val="0"/>
              <w:jc w:val="left"/>
              <w:rPr>
                <w:rFonts w:ascii="Arial Narrow" w:eastAsiaTheme="majorEastAsia" w:hAnsi="Arial Narrow" w:cs="Times New Roman"/>
                <w:bCs/>
                <w:snapToGrid w:val="0"/>
                <w:sz w:val="20"/>
              </w:rPr>
            </w:pPr>
          </w:p>
        </w:tc>
      </w:tr>
      <w:tr w:rsidR="00460E9B" w:rsidRPr="00B07FB9" w14:paraId="798068FF" w14:textId="77777777" w:rsidTr="00C34837">
        <w:trPr>
          <w:cantSplit/>
        </w:trPr>
        <w:tc>
          <w:tcPr>
            <w:tcW w:w="659" w:type="dxa"/>
          </w:tcPr>
          <w:p w14:paraId="0ADA5095"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E</w:t>
            </w:r>
          </w:p>
        </w:tc>
        <w:tc>
          <w:tcPr>
            <w:tcW w:w="4079" w:type="dxa"/>
          </w:tcPr>
          <w:p w14:paraId="7452234A"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Cost per day</w:t>
            </w:r>
          </w:p>
        </w:tc>
        <w:tc>
          <w:tcPr>
            <w:tcW w:w="1507" w:type="dxa"/>
            <w:vAlign w:val="center"/>
          </w:tcPr>
          <w:p w14:paraId="0E20D2CF"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$243.21</w:t>
            </w:r>
          </w:p>
        </w:tc>
        <w:tc>
          <w:tcPr>
            <w:tcW w:w="2772" w:type="dxa"/>
            <w:vAlign w:val="center"/>
          </w:tcPr>
          <w:p w14:paraId="1C440BAB"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A / (B*C/D)</w:t>
            </w:r>
          </w:p>
        </w:tc>
      </w:tr>
      <w:tr w:rsidR="00460E9B" w:rsidRPr="00B07FB9" w14:paraId="258B3DE1" w14:textId="77777777" w:rsidTr="00C34837">
        <w:trPr>
          <w:cantSplit/>
        </w:trPr>
        <w:tc>
          <w:tcPr>
            <w:tcW w:w="659" w:type="dxa"/>
          </w:tcPr>
          <w:p w14:paraId="4E490296"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F</w:t>
            </w:r>
          </w:p>
        </w:tc>
        <w:tc>
          <w:tcPr>
            <w:tcW w:w="4079" w:type="dxa"/>
          </w:tcPr>
          <w:p w14:paraId="61F50962"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Treatment duration, months</w:t>
            </w:r>
          </w:p>
        </w:tc>
        <w:tc>
          <w:tcPr>
            <w:tcW w:w="1507" w:type="dxa"/>
            <w:vAlign w:val="center"/>
          </w:tcPr>
          <w:p w14:paraId="1075ED17"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20.9</w:t>
            </w:r>
          </w:p>
        </w:tc>
        <w:tc>
          <w:tcPr>
            <w:tcW w:w="2772" w:type="dxa"/>
            <w:vAlign w:val="center"/>
          </w:tcPr>
          <w:p w14:paraId="171541D5" w14:textId="456192CC" w:rsidR="00460E9B" w:rsidRPr="00B07FB9" w:rsidRDefault="00460E9B" w:rsidP="00C34837">
            <w:pPr>
              <w:widowControl w:val="0"/>
              <w:jc w:val="left"/>
              <w:rPr>
                <w:rFonts w:ascii="Arial Narrow" w:eastAsiaTheme="majorEastAsia" w:hAnsi="Arial Narrow" w:cs="Times New Roman"/>
                <w:bCs/>
                <w:snapToGrid w:val="0"/>
                <w:sz w:val="20"/>
                <w:szCs w:val="20"/>
              </w:rPr>
            </w:pPr>
            <w:r w:rsidRPr="00B07FB9">
              <w:rPr>
                <w:rFonts w:ascii="Arial Narrow" w:eastAsiaTheme="majorEastAsia" w:hAnsi="Arial Narrow" w:cs="Times New Roman"/>
                <w:bCs/>
                <w:snapToGrid w:val="0"/>
                <w:sz w:val="20"/>
                <w:szCs w:val="20"/>
              </w:rPr>
              <w:fldChar w:fldCharType="begin"/>
            </w:r>
            <w:r w:rsidRPr="00B07FB9">
              <w:rPr>
                <w:rFonts w:ascii="Arial Narrow" w:eastAsiaTheme="majorEastAsia" w:hAnsi="Arial Narrow" w:cs="Times New Roman"/>
                <w:bCs/>
                <w:snapToGrid w:val="0"/>
                <w:sz w:val="20"/>
                <w:szCs w:val="20"/>
              </w:rPr>
              <w:instrText xml:space="preserve"> REF _Ref89158511 \h  \* MERGEFORMAT </w:instrText>
            </w:r>
            <w:r w:rsidRPr="00B07FB9">
              <w:rPr>
                <w:rFonts w:ascii="Arial Narrow" w:eastAsiaTheme="majorEastAsia" w:hAnsi="Arial Narrow" w:cs="Times New Roman"/>
                <w:bCs/>
                <w:snapToGrid w:val="0"/>
                <w:sz w:val="20"/>
                <w:szCs w:val="20"/>
              </w:rPr>
            </w:r>
            <w:r w:rsidRPr="00B07FB9">
              <w:rPr>
                <w:rFonts w:ascii="Arial Narrow" w:eastAsiaTheme="majorEastAsia" w:hAnsi="Arial Narrow" w:cs="Times New Roman"/>
                <w:bCs/>
                <w:snapToGrid w:val="0"/>
                <w:sz w:val="20"/>
                <w:szCs w:val="20"/>
              </w:rPr>
              <w:fldChar w:fldCharType="separate"/>
            </w:r>
            <w:r w:rsidR="00385E8C" w:rsidRPr="00385E8C">
              <w:rPr>
                <w:rFonts w:ascii="Arial Narrow" w:hAnsi="Arial Narrow"/>
                <w:sz w:val="20"/>
                <w:szCs w:val="20"/>
              </w:rPr>
              <w:t>Table 16</w:t>
            </w:r>
            <w:r w:rsidRPr="00B07FB9">
              <w:rPr>
                <w:rFonts w:ascii="Arial Narrow" w:eastAsiaTheme="majorEastAsia" w:hAnsi="Arial Narrow" w:cs="Times New Roman"/>
                <w:bCs/>
                <w:snapToGrid w:val="0"/>
                <w:sz w:val="20"/>
                <w:szCs w:val="20"/>
              </w:rPr>
              <w:fldChar w:fldCharType="end"/>
            </w:r>
            <w:r w:rsidRPr="00B07FB9">
              <w:rPr>
                <w:rFonts w:ascii="Arial Narrow" w:eastAsiaTheme="majorEastAsia" w:hAnsi="Arial Narrow" w:cs="Times New Roman"/>
                <w:bCs/>
                <w:snapToGrid w:val="0"/>
                <w:sz w:val="20"/>
                <w:szCs w:val="20"/>
              </w:rPr>
              <w:t xml:space="preserve"> above</w:t>
            </w:r>
          </w:p>
        </w:tc>
      </w:tr>
      <w:tr w:rsidR="00460E9B" w:rsidRPr="00B07FB9" w14:paraId="4BDA4139" w14:textId="77777777" w:rsidTr="00C34837">
        <w:trPr>
          <w:cantSplit/>
        </w:trPr>
        <w:tc>
          <w:tcPr>
            <w:tcW w:w="659" w:type="dxa"/>
            <w:tcBorders>
              <w:bottom w:val="single" w:sz="4" w:space="0" w:color="000000" w:themeColor="text1"/>
            </w:tcBorders>
          </w:tcPr>
          <w:p w14:paraId="69D1AEBD"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G</w:t>
            </w:r>
          </w:p>
        </w:tc>
        <w:tc>
          <w:tcPr>
            <w:tcW w:w="4079" w:type="dxa"/>
            <w:tcBorders>
              <w:bottom w:val="single" w:sz="4" w:space="0" w:color="000000" w:themeColor="text1"/>
            </w:tcBorders>
          </w:tcPr>
          <w:p w14:paraId="2C2965DF"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Cost per course of treatment</w:t>
            </w:r>
          </w:p>
        </w:tc>
        <w:tc>
          <w:tcPr>
            <w:tcW w:w="1507" w:type="dxa"/>
            <w:tcBorders>
              <w:bottom w:val="single" w:sz="4" w:space="0" w:color="000000" w:themeColor="text1"/>
            </w:tcBorders>
            <w:vAlign w:val="center"/>
          </w:tcPr>
          <w:p w14:paraId="4B35F45A"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$154,719.25</w:t>
            </w:r>
          </w:p>
        </w:tc>
        <w:tc>
          <w:tcPr>
            <w:tcW w:w="2772" w:type="dxa"/>
            <w:tcBorders>
              <w:bottom w:val="single" w:sz="4" w:space="0" w:color="000000" w:themeColor="text1"/>
            </w:tcBorders>
            <w:vAlign w:val="center"/>
          </w:tcPr>
          <w:p w14:paraId="6FEC0073"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E * (F/12*365.25)</w:t>
            </w:r>
          </w:p>
        </w:tc>
      </w:tr>
      <w:tr w:rsidR="00460E9B" w:rsidRPr="00B07FB9" w14:paraId="2CA2F332" w14:textId="77777777" w:rsidTr="00C34837">
        <w:trPr>
          <w:cantSplit/>
        </w:trPr>
        <w:tc>
          <w:tcPr>
            <w:tcW w:w="659" w:type="dxa"/>
            <w:tcBorders>
              <w:right w:val="nil"/>
            </w:tcBorders>
          </w:tcPr>
          <w:p w14:paraId="0F0514E2" w14:textId="77777777" w:rsidR="00460E9B" w:rsidRPr="00B07FB9" w:rsidRDefault="00460E9B" w:rsidP="00C34837">
            <w:pPr>
              <w:widowControl w:val="0"/>
              <w:jc w:val="left"/>
              <w:rPr>
                <w:rFonts w:ascii="Arial Narrow" w:eastAsiaTheme="majorEastAsia" w:hAnsi="Arial Narrow" w:cs="Times New Roman"/>
                <w:bCs/>
                <w:snapToGrid w:val="0"/>
                <w:sz w:val="20"/>
              </w:rPr>
            </w:pPr>
          </w:p>
        </w:tc>
        <w:tc>
          <w:tcPr>
            <w:tcW w:w="4079" w:type="dxa"/>
            <w:tcBorders>
              <w:left w:val="nil"/>
              <w:right w:val="nil"/>
            </w:tcBorders>
          </w:tcPr>
          <w:p w14:paraId="50FEC82A" w14:textId="77777777" w:rsidR="00460E9B" w:rsidRPr="00B07FB9" w:rsidRDefault="00460E9B" w:rsidP="00C34837">
            <w:pPr>
              <w:widowControl w:val="0"/>
              <w:jc w:val="left"/>
              <w:rPr>
                <w:rFonts w:ascii="Arial Narrow" w:eastAsiaTheme="majorEastAsia" w:hAnsi="Arial Narrow" w:cs="Times New Roman"/>
                <w:b/>
                <w:bCs/>
                <w:snapToGrid w:val="0"/>
                <w:sz w:val="20"/>
              </w:rPr>
            </w:pPr>
            <w:r w:rsidRPr="00B07FB9">
              <w:rPr>
                <w:rFonts w:ascii="Arial Narrow" w:eastAsiaTheme="majorEastAsia" w:hAnsi="Arial Narrow" w:cs="Times New Roman"/>
                <w:b/>
                <w:bCs/>
                <w:snapToGrid w:val="0"/>
                <w:sz w:val="20"/>
              </w:rPr>
              <w:t>Additional costs / cost offsets</w:t>
            </w:r>
          </w:p>
        </w:tc>
        <w:tc>
          <w:tcPr>
            <w:tcW w:w="1507" w:type="dxa"/>
            <w:tcBorders>
              <w:left w:val="nil"/>
              <w:right w:val="nil"/>
            </w:tcBorders>
            <w:vAlign w:val="center"/>
          </w:tcPr>
          <w:p w14:paraId="5951D796" w14:textId="77777777" w:rsidR="00460E9B" w:rsidRPr="00B07FB9" w:rsidRDefault="00460E9B" w:rsidP="00C34837">
            <w:pPr>
              <w:widowControl w:val="0"/>
              <w:jc w:val="center"/>
              <w:rPr>
                <w:rFonts w:ascii="Arial Narrow" w:eastAsiaTheme="majorEastAsia" w:hAnsi="Arial Narrow" w:cs="Times New Roman"/>
                <w:bCs/>
                <w:snapToGrid w:val="0"/>
                <w:sz w:val="20"/>
              </w:rPr>
            </w:pPr>
          </w:p>
        </w:tc>
        <w:tc>
          <w:tcPr>
            <w:tcW w:w="2772" w:type="dxa"/>
            <w:tcBorders>
              <w:left w:val="nil"/>
            </w:tcBorders>
            <w:vAlign w:val="center"/>
          </w:tcPr>
          <w:p w14:paraId="33C877A6" w14:textId="77777777" w:rsidR="00460E9B" w:rsidRPr="00B07FB9" w:rsidRDefault="00460E9B" w:rsidP="00C34837">
            <w:pPr>
              <w:widowControl w:val="0"/>
              <w:jc w:val="left"/>
              <w:rPr>
                <w:rFonts w:ascii="Arial Narrow" w:eastAsiaTheme="majorEastAsia" w:hAnsi="Arial Narrow" w:cs="Times New Roman"/>
                <w:bCs/>
                <w:snapToGrid w:val="0"/>
                <w:sz w:val="20"/>
              </w:rPr>
            </w:pPr>
          </w:p>
        </w:tc>
      </w:tr>
      <w:tr w:rsidR="00460E9B" w:rsidRPr="00B07FB9" w14:paraId="0975C0FE" w14:textId="77777777" w:rsidTr="00C34837">
        <w:trPr>
          <w:cantSplit/>
        </w:trPr>
        <w:tc>
          <w:tcPr>
            <w:tcW w:w="659" w:type="dxa"/>
          </w:tcPr>
          <w:p w14:paraId="0258A17B"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H</w:t>
            </w:r>
          </w:p>
        </w:tc>
        <w:tc>
          <w:tcPr>
            <w:tcW w:w="4079" w:type="dxa"/>
          </w:tcPr>
          <w:p w14:paraId="1D3796C5"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 xml:space="preserve">Net safety costs: niraparib versus </w:t>
            </w:r>
            <w:proofErr w:type="spellStart"/>
            <w:r w:rsidRPr="00B07FB9">
              <w:rPr>
                <w:rFonts w:ascii="Arial Narrow" w:eastAsiaTheme="majorEastAsia" w:hAnsi="Arial Narrow" w:cs="Times New Roman"/>
                <w:bCs/>
                <w:snapToGrid w:val="0"/>
                <w:sz w:val="20"/>
              </w:rPr>
              <w:t>olaparib</w:t>
            </w:r>
            <w:proofErr w:type="spellEnd"/>
          </w:p>
        </w:tc>
        <w:tc>
          <w:tcPr>
            <w:tcW w:w="1507" w:type="dxa"/>
            <w:vAlign w:val="center"/>
          </w:tcPr>
          <w:p w14:paraId="789FC80D" w14:textId="4DAD1846"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w:t>
            </w:r>
            <w:r w:rsidR="007A0897" w:rsidRPr="007A0897">
              <w:rPr>
                <w:rFonts w:ascii="Arial Narrow" w:eastAsiaTheme="majorEastAsia" w:hAnsi="Arial Narrow" w:cs="Times New Roman"/>
                <w:bCs/>
                <w:snapToGrid w:val="0"/>
                <w:color w:val="000000"/>
                <w:sz w:val="20"/>
                <w:shd w:val="solid" w:color="000000" w:fill="000000"/>
                <w14:textFill>
                  <w14:solidFill>
                    <w14:srgbClr w14:val="000000">
                      <w14:alpha w14:val="100000"/>
                    </w14:srgbClr>
                  </w14:solidFill>
                </w14:textFill>
              </w:rPr>
              <w:t>|</w:t>
            </w:r>
          </w:p>
        </w:tc>
        <w:tc>
          <w:tcPr>
            <w:tcW w:w="2772" w:type="dxa"/>
            <w:vAlign w:val="center"/>
          </w:tcPr>
          <w:p w14:paraId="24CA8C51" w14:textId="77777777" w:rsidR="00460E9B" w:rsidRPr="00B07FB9" w:rsidRDefault="00460E9B" w:rsidP="00C34837">
            <w:pPr>
              <w:widowControl w:val="0"/>
              <w:jc w:val="left"/>
              <w:rPr>
                <w:rFonts w:ascii="Arial Narrow" w:eastAsiaTheme="majorEastAsia" w:hAnsi="Arial Narrow" w:cs="Times New Roman"/>
                <w:bCs/>
                <w:snapToGrid w:val="0"/>
                <w:sz w:val="20"/>
                <w:highlight w:val="yellow"/>
              </w:rPr>
            </w:pPr>
            <w:r w:rsidRPr="00B07FB9">
              <w:rPr>
                <w:rFonts w:ascii="Arial Narrow" w:eastAsiaTheme="majorEastAsia" w:hAnsi="Arial Narrow" w:cs="Times New Roman"/>
                <w:bCs/>
                <w:snapToGrid w:val="0"/>
                <w:sz w:val="20"/>
              </w:rPr>
              <w:t>Table 104, p170 of the resubmission</w:t>
            </w:r>
          </w:p>
        </w:tc>
      </w:tr>
      <w:tr w:rsidR="00460E9B" w:rsidRPr="00B07FB9" w14:paraId="79CF5B45" w14:textId="77777777" w:rsidTr="00C34837">
        <w:trPr>
          <w:cantSplit/>
        </w:trPr>
        <w:tc>
          <w:tcPr>
            <w:tcW w:w="659" w:type="dxa"/>
          </w:tcPr>
          <w:p w14:paraId="05798148"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I</w:t>
            </w:r>
          </w:p>
        </w:tc>
        <w:tc>
          <w:tcPr>
            <w:tcW w:w="4079" w:type="dxa"/>
          </w:tcPr>
          <w:p w14:paraId="216152B1"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 xml:space="preserve">Net monitoring costs: niraparib versus </w:t>
            </w:r>
            <w:proofErr w:type="spellStart"/>
            <w:r w:rsidRPr="00B07FB9">
              <w:rPr>
                <w:rFonts w:ascii="Arial Narrow" w:eastAsiaTheme="majorEastAsia" w:hAnsi="Arial Narrow" w:cs="Times New Roman"/>
                <w:bCs/>
                <w:snapToGrid w:val="0"/>
                <w:sz w:val="20"/>
              </w:rPr>
              <w:t>olaparib</w:t>
            </w:r>
            <w:proofErr w:type="spellEnd"/>
          </w:p>
        </w:tc>
        <w:tc>
          <w:tcPr>
            <w:tcW w:w="1507" w:type="dxa"/>
            <w:vAlign w:val="center"/>
          </w:tcPr>
          <w:p w14:paraId="2DAE183C" w14:textId="43B4DAE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w:t>
            </w:r>
            <w:r w:rsidR="007A0897" w:rsidRPr="007A0897">
              <w:rPr>
                <w:rFonts w:ascii="Arial Narrow" w:eastAsiaTheme="majorEastAsia" w:hAnsi="Arial Narrow" w:cs="Times New Roman"/>
                <w:bCs/>
                <w:snapToGrid w:val="0"/>
                <w:color w:val="000000"/>
                <w:sz w:val="20"/>
                <w:shd w:val="solid" w:color="000000" w:fill="000000"/>
                <w14:textFill>
                  <w14:solidFill>
                    <w14:srgbClr w14:val="000000">
                      <w14:alpha w14:val="100000"/>
                    </w14:srgbClr>
                  </w14:solidFill>
                </w14:textFill>
              </w:rPr>
              <w:t>|</w:t>
            </w:r>
          </w:p>
        </w:tc>
        <w:tc>
          <w:tcPr>
            <w:tcW w:w="2772" w:type="dxa"/>
            <w:vAlign w:val="center"/>
          </w:tcPr>
          <w:p w14:paraId="0AE477AA" w14:textId="77777777" w:rsidR="00460E9B" w:rsidRPr="00B07FB9" w:rsidRDefault="00460E9B" w:rsidP="00C34837">
            <w:pPr>
              <w:widowControl w:val="0"/>
              <w:jc w:val="left"/>
              <w:rPr>
                <w:rFonts w:ascii="Arial Narrow" w:eastAsiaTheme="majorEastAsia" w:hAnsi="Arial Narrow" w:cs="Times New Roman"/>
                <w:bCs/>
                <w:snapToGrid w:val="0"/>
                <w:sz w:val="20"/>
                <w:highlight w:val="yellow"/>
              </w:rPr>
            </w:pPr>
            <w:r w:rsidRPr="00B07FB9">
              <w:rPr>
                <w:rFonts w:ascii="Arial Narrow" w:eastAsiaTheme="majorEastAsia" w:hAnsi="Arial Narrow" w:cs="Times New Roman"/>
                <w:bCs/>
                <w:snapToGrid w:val="0"/>
                <w:sz w:val="20"/>
              </w:rPr>
              <w:t>Table 107, p172 of the resubmission</w:t>
            </w:r>
          </w:p>
        </w:tc>
      </w:tr>
      <w:tr w:rsidR="00460E9B" w:rsidRPr="00B07FB9" w14:paraId="1DE49DF1" w14:textId="77777777" w:rsidTr="00C34837">
        <w:trPr>
          <w:cantSplit/>
        </w:trPr>
        <w:tc>
          <w:tcPr>
            <w:tcW w:w="659" w:type="dxa"/>
            <w:tcBorders>
              <w:bottom w:val="single" w:sz="4" w:space="0" w:color="000000" w:themeColor="text1"/>
            </w:tcBorders>
          </w:tcPr>
          <w:p w14:paraId="22ED4DD8"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J</w:t>
            </w:r>
          </w:p>
        </w:tc>
        <w:tc>
          <w:tcPr>
            <w:tcW w:w="4079" w:type="dxa"/>
            <w:tcBorders>
              <w:bottom w:val="single" w:sz="4" w:space="0" w:color="000000" w:themeColor="text1"/>
            </w:tcBorders>
          </w:tcPr>
          <w:p w14:paraId="04D020FA"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 xml:space="preserve">Total net costs: niraparib versus </w:t>
            </w:r>
            <w:proofErr w:type="spellStart"/>
            <w:r w:rsidRPr="00B07FB9">
              <w:rPr>
                <w:rFonts w:ascii="Arial Narrow" w:eastAsiaTheme="majorEastAsia" w:hAnsi="Arial Narrow" w:cs="Times New Roman"/>
                <w:bCs/>
                <w:snapToGrid w:val="0"/>
                <w:sz w:val="20"/>
              </w:rPr>
              <w:t>olaparib</w:t>
            </w:r>
            <w:proofErr w:type="spellEnd"/>
          </w:p>
        </w:tc>
        <w:tc>
          <w:tcPr>
            <w:tcW w:w="1507" w:type="dxa"/>
            <w:tcBorders>
              <w:bottom w:val="single" w:sz="4" w:space="0" w:color="000000" w:themeColor="text1"/>
            </w:tcBorders>
            <w:vAlign w:val="center"/>
          </w:tcPr>
          <w:p w14:paraId="3F8DD190" w14:textId="4254DB98"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w:t>
            </w:r>
            <w:r w:rsidR="007A0897" w:rsidRPr="007A0897">
              <w:rPr>
                <w:rFonts w:ascii="Arial Narrow" w:eastAsiaTheme="majorEastAsia" w:hAnsi="Arial Narrow" w:cs="Times New Roman"/>
                <w:bCs/>
                <w:snapToGrid w:val="0"/>
                <w:color w:val="000000"/>
                <w:sz w:val="20"/>
                <w:shd w:val="solid" w:color="000000" w:fill="000000"/>
                <w14:textFill>
                  <w14:solidFill>
                    <w14:srgbClr w14:val="000000">
                      <w14:alpha w14:val="100000"/>
                    </w14:srgbClr>
                  </w14:solidFill>
                </w14:textFill>
              </w:rPr>
              <w:t>|</w:t>
            </w:r>
          </w:p>
        </w:tc>
        <w:tc>
          <w:tcPr>
            <w:tcW w:w="2772" w:type="dxa"/>
            <w:tcBorders>
              <w:bottom w:val="single" w:sz="4" w:space="0" w:color="000000" w:themeColor="text1"/>
            </w:tcBorders>
            <w:vAlign w:val="center"/>
          </w:tcPr>
          <w:p w14:paraId="3EAD6ABD"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H+I</w:t>
            </w:r>
          </w:p>
        </w:tc>
      </w:tr>
      <w:tr w:rsidR="00460E9B" w:rsidRPr="00B07FB9" w14:paraId="14EFBF2F" w14:textId="77777777" w:rsidTr="00C34837">
        <w:trPr>
          <w:cantSplit/>
        </w:trPr>
        <w:tc>
          <w:tcPr>
            <w:tcW w:w="659" w:type="dxa"/>
            <w:tcBorders>
              <w:right w:val="nil"/>
            </w:tcBorders>
          </w:tcPr>
          <w:p w14:paraId="668BF2C0" w14:textId="77777777" w:rsidR="00460E9B" w:rsidRPr="00B07FB9" w:rsidRDefault="00460E9B" w:rsidP="00C34837">
            <w:pPr>
              <w:widowControl w:val="0"/>
              <w:jc w:val="left"/>
              <w:rPr>
                <w:rFonts w:ascii="Arial Narrow" w:eastAsiaTheme="majorEastAsia" w:hAnsi="Arial Narrow" w:cs="Times New Roman"/>
                <w:bCs/>
                <w:snapToGrid w:val="0"/>
                <w:sz w:val="20"/>
              </w:rPr>
            </w:pPr>
          </w:p>
        </w:tc>
        <w:tc>
          <w:tcPr>
            <w:tcW w:w="4079" w:type="dxa"/>
            <w:tcBorders>
              <w:left w:val="nil"/>
              <w:right w:val="nil"/>
            </w:tcBorders>
          </w:tcPr>
          <w:p w14:paraId="21ECA58A" w14:textId="77777777" w:rsidR="00460E9B" w:rsidRPr="00B07FB9" w:rsidRDefault="00460E9B" w:rsidP="00C34837">
            <w:pPr>
              <w:widowControl w:val="0"/>
              <w:jc w:val="left"/>
              <w:rPr>
                <w:rFonts w:ascii="Arial Narrow" w:eastAsiaTheme="majorEastAsia" w:hAnsi="Arial Narrow" w:cs="Times New Roman"/>
                <w:b/>
                <w:bCs/>
                <w:snapToGrid w:val="0"/>
                <w:sz w:val="20"/>
              </w:rPr>
            </w:pPr>
            <w:r w:rsidRPr="00B07FB9">
              <w:rPr>
                <w:rFonts w:ascii="Arial Narrow" w:eastAsiaTheme="majorEastAsia" w:hAnsi="Arial Narrow" w:cs="Times New Roman"/>
                <w:b/>
                <w:bCs/>
                <w:snapToGrid w:val="0"/>
                <w:sz w:val="20"/>
              </w:rPr>
              <w:t>Niraparib</w:t>
            </w:r>
          </w:p>
        </w:tc>
        <w:tc>
          <w:tcPr>
            <w:tcW w:w="1507" w:type="dxa"/>
            <w:tcBorders>
              <w:left w:val="nil"/>
              <w:right w:val="nil"/>
            </w:tcBorders>
            <w:vAlign w:val="center"/>
          </w:tcPr>
          <w:p w14:paraId="0E97674B" w14:textId="77777777" w:rsidR="00460E9B" w:rsidRPr="00B07FB9" w:rsidRDefault="00460E9B" w:rsidP="00C34837">
            <w:pPr>
              <w:widowControl w:val="0"/>
              <w:jc w:val="center"/>
              <w:rPr>
                <w:rFonts w:ascii="Arial Narrow" w:eastAsiaTheme="majorEastAsia" w:hAnsi="Arial Narrow" w:cs="Times New Roman"/>
                <w:bCs/>
                <w:snapToGrid w:val="0"/>
                <w:sz w:val="20"/>
              </w:rPr>
            </w:pPr>
          </w:p>
        </w:tc>
        <w:tc>
          <w:tcPr>
            <w:tcW w:w="2772" w:type="dxa"/>
            <w:tcBorders>
              <w:left w:val="nil"/>
            </w:tcBorders>
            <w:vAlign w:val="center"/>
          </w:tcPr>
          <w:p w14:paraId="616258A6" w14:textId="77777777" w:rsidR="00460E9B" w:rsidRPr="00B07FB9" w:rsidRDefault="00460E9B" w:rsidP="00C34837">
            <w:pPr>
              <w:widowControl w:val="0"/>
              <w:jc w:val="left"/>
              <w:rPr>
                <w:rFonts w:ascii="Arial Narrow" w:eastAsiaTheme="majorEastAsia" w:hAnsi="Arial Narrow" w:cs="Times New Roman"/>
                <w:bCs/>
                <w:snapToGrid w:val="0"/>
                <w:sz w:val="20"/>
              </w:rPr>
            </w:pPr>
          </w:p>
        </w:tc>
      </w:tr>
      <w:tr w:rsidR="00460E9B" w:rsidRPr="00B07FB9" w14:paraId="75BE86FA" w14:textId="77777777" w:rsidTr="00C34837">
        <w:trPr>
          <w:cantSplit/>
        </w:trPr>
        <w:tc>
          <w:tcPr>
            <w:tcW w:w="659" w:type="dxa"/>
          </w:tcPr>
          <w:p w14:paraId="4C86309C"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K</w:t>
            </w:r>
          </w:p>
        </w:tc>
        <w:tc>
          <w:tcPr>
            <w:tcW w:w="4079" w:type="dxa"/>
          </w:tcPr>
          <w:p w14:paraId="5303B5E6"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Cost per course of treatment</w:t>
            </w:r>
          </w:p>
        </w:tc>
        <w:tc>
          <w:tcPr>
            <w:tcW w:w="1507" w:type="dxa"/>
            <w:vAlign w:val="center"/>
          </w:tcPr>
          <w:p w14:paraId="5066219A" w14:textId="2ED2D3E6"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w:t>
            </w:r>
            <w:r w:rsidR="007A0897" w:rsidRPr="007A0897">
              <w:rPr>
                <w:rFonts w:ascii="Arial Narrow" w:eastAsiaTheme="majorEastAsia" w:hAnsi="Arial Narrow" w:cs="Times New Roman"/>
                <w:bCs/>
                <w:snapToGrid w:val="0"/>
                <w:color w:val="000000"/>
                <w:sz w:val="20"/>
                <w:shd w:val="solid" w:color="000000" w:fill="000000"/>
                <w14:textFill>
                  <w14:solidFill>
                    <w14:srgbClr w14:val="000000">
                      <w14:alpha w14:val="100000"/>
                    </w14:srgbClr>
                  </w14:solidFill>
                </w14:textFill>
              </w:rPr>
              <w:t>|</w:t>
            </w:r>
          </w:p>
        </w:tc>
        <w:tc>
          <w:tcPr>
            <w:tcW w:w="2772" w:type="dxa"/>
            <w:vAlign w:val="center"/>
          </w:tcPr>
          <w:p w14:paraId="7924041B"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G-J</w:t>
            </w:r>
          </w:p>
        </w:tc>
      </w:tr>
      <w:tr w:rsidR="00460E9B" w:rsidRPr="00B07FB9" w14:paraId="5A374A48" w14:textId="77777777" w:rsidTr="00C34837">
        <w:trPr>
          <w:cantSplit/>
        </w:trPr>
        <w:tc>
          <w:tcPr>
            <w:tcW w:w="659" w:type="dxa"/>
          </w:tcPr>
          <w:p w14:paraId="294D18BC"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L</w:t>
            </w:r>
          </w:p>
        </w:tc>
        <w:tc>
          <w:tcPr>
            <w:tcW w:w="4079" w:type="dxa"/>
          </w:tcPr>
          <w:p w14:paraId="0DBABE24" w14:textId="4CE7F5E0"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Mean dose intensity, mg/day</w:t>
            </w:r>
            <w:r w:rsidR="00960F16">
              <w:rPr>
                <w:rFonts w:ascii="Arial Narrow" w:eastAsiaTheme="majorEastAsia" w:hAnsi="Arial Narrow" w:cs="Times New Roman"/>
                <w:bCs/>
                <w:snapToGrid w:val="0"/>
                <w:sz w:val="20"/>
              </w:rPr>
              <w:t>*</w:t>
            </w:r>
          </w:p>
        </w:tc>
        <w:tc>
          <w:tcPr>
            <w:tcW w:w="1507" w:type="dxa"/>
            <w:vAlign w:val="center"/>
          </w:tcPr>
          <w:p w14:paraId="501D1663"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162.1</w:t>
            </w:r>
          </w:p>
        </w:tc>
        <w:tc>
          <w:tcPr>
            <w:tcW w:w="2772" w:type="dxa"/>
            <w:vAlign w:val="center"/>
          </w:tcPr>
          <w:p w14:paraId="06F0AD5C"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PRIMA ISD (CSR Table 14.3.5.13b)</w:t>
            </w:r>
          </w:p>
        </w:tc>
      </w:tr>
      <w:tr w:rsidR="00460E9B" w:rsidRPr="00B07FB9" w14:paraId="7814E06F" w14:textId="77777777" w:rsidTr="00C34837">
        <w:trPr>
          <w:cantSplit/>
        </w:trPr>
        <w:tc>
          <w:tcPr>
            <w:tcW w:w="659" w:type="dxa"/>
          </w:tcPr>
          <w:p w14:paraId="16299E46"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M</w:t>
            </w:r>
          </w:p>
        </w:tc>
        <w:tc>
          <w:tcPr>
            <w:tcW w:w="4079" w:type="dxa"/>
          </w:tcPr>
          <w:p w14:paraId="55A9AF68"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Treatment duration, months</w:t>
            </w:r>
          </w:p>
        </w:tc>
        <w:tc>
          <w:tcPr>
            <w:tcW w:w="1507" w:type="dxa"/>
          </w:tcPr>
          <w:p w14:paraId="69BB09A9"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25.0</w:t>
            </w:r>
          </w:p>
        </w:tc>
        <w:tc>
          <w:tcPr>
            <w:tcW w:w="2772" w:type="dxa"/>
            <w:vAlign w:val="center"/>
          </w:tcPr>
          <w:p w14:paraId="476E9347" w14:textId="2458B239" w:rsidR="00460E9B" w:rsidRPr="00B07FB9" w:rsidRDefault="00460E9B" w:rsidP="00C34837">
            <w:pPr>
              <w:widowControl w:val="0"/>
              <w:jc w:val="left"/>
              <w:rPr>
                <w:rFonts w:ascii="Arial Narrow" w:eastAsiaTheme="majorEastAsia" w:hAnsi="Arial Narrow" w:cs="Times New Roman"/>
                <w:bCs/>
                <w:snapToGrid w:val="0"/>
                <w:sz w:val="20"/>
                <w:szCs w:val="20"/>
              </w:rPr>
            </w:pPr>
            <w:r w:rsidRPr="00B07FB9">
              <w:rPr>
                <w:rFonts w:ascii="Arial Narrow" w:eastAsiaTheme="majorEastAsia" w:hAnsi="Arial Narrow" w:cs="Times New Roman"/>
                <w:bCs/>
                <w:snapToGrid w:val="0"/>
                <w:sz w:val="20"/>
                <w:szCs w:val="20"/>
              </w:rPr>
              <w:fldChar w:fldCharType="begin"/>
            </w:r>
            <w:r w:rsidRPr="00B07FB9">
              <w:rPr>
                <w:rFonts w:ascii="Arial Narrow" w:eastAsiaTheme="majorEastAsia" w:hAnsi="Arial Narrow" w:cs="Times New Roman"/>
                <w:bCs/>
                <w:snapToGrid w:val="0"/>
                <w:sz w:val="20"/>
                <w:szCs w:val="20"/>
              </w:rPr>
              <w:instrText xml:space="preserve"> REF _Ref89158511 \h  \* MERGEFORMAT </w:instrText>
            </w:r>
            <w:r w:rsidRPr="00B07FB9">
              <w:rPr>
                <w:rFonts w:ascii="Arial Narrow" w:eastAsiaTheme="majorEastAsia" w:hAnsi="Arial Narrow" w:cs="Times New Roman"/>
                <w:bCs/>
                <w:snapToGrid w:val="0"/>
                <w:sz w:val="20"/>
                <w:szCs w:val="20"/>
              </w:rPr>
            </w:r>
            <w:r w:rsidRPr="00B07FB9">
              <w:rPr>
                <w:rFonts w:ascii="Arial Narrow" w:eastAsiaTheme="majorEastAsia" w:hAnsi="Arial Narrow" w:cs="Times New Roman"/>
                <w:bCs/>
                <w:snapToGrid w:val="0"/>
                <w:sz w:val="20"/>
                <w:szCs w:val="20"/>
              </w:rPr>
              <w:fldChar w:fldCharType="separate"/>
            </w:r>
            <w:r w:rsidR="00385E8C" w:rsidRPr="00385E8C">
              <w:rPr>
                <w:rFonts w:ascii="Arial Narrow" w:hAnsi="Arial Narrow"/>
                <w:sz w:val="20"/>
                <w:szCs w:val="20"/>
              </w:rPr>
              <w:t>Table 16</w:t>
            </w:r>
            <w:r w:rsidRPr="00B07FB9">
              <w:rPr>
                <w:rFonts w:ascii="Arial Narrow" w:eastAsiaTheme="majorEastAsia" w:hAnsi="Arial Narrow" w:cs="Times New Roman"/>
                <w:bCs/>
                <w:snapToGrid w:val="0"/>
                <w:sz w:val="20"/>
                <w:szCs w:val="20"/>
              </w:rPr>
              <w:fldChar w:fldCharType="end"/>
            </w:r>
            <w:r w:rsidRPr="00B07FB9">
              <w:rPr>
                <w:rFonts w:ascii="Arial Narrow" w:eastAsiaTheme="majorEastAsia" w:hAnsi="Arial Narrow" w:cs="Times New Roman"/>
                <w:bCs/>
                <w:snapToGrid w:val="0"/>
                <w:sz w:val="20"/>
                <w:szCs w:val="20"/>
              </w:rPr>
              <w:t xml:space="preserve"> above</w:t>
            </w:r>
          </w:p>
        </w:tc>
      </w:tr>
      <w:tr w:rsidR="00460E9B" w:rsidRPr="00B07FB9" w14:paraId="18F094A1" w14:textId="77777777" w:rsidTr="00C34837">
        <w:trPr>
          <w:cantSplit/>
        </w:trPr>
        <w:tc>
          <w:tcPr>
            <w:tcW w:w="659" w:type="dxa"/>
          </w:tcPr>
          <w:p w14:paraId="53F2F3C4"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N</w:t>
            </w:r>
          </w:p>
        </w:tc>
        <w:tc>
          <w:tcPr>
            <w:tcW w:w="4079" w:type="dxa"/>
          </w:tcPr>
          <w:p w14:paraId="2A7E8058"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Amount per course of treatment, mg</w:t>
            </w:r>
          </w:p>
        </w:tc>
        <w:tc>
          <w:tcPr>
            <w:tcW w:w="1507" w:type="dxa"/>
          </w:tcPr>
          <w:p w14:paraId="520E7726"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123,310</w:t>
            </w:r>
          </w:p>
        </w:tc>
        <w:tc>
          <w:tcPr>
            <w:tcW w:w="2772" w:type="dxa"/>
            <w:vAlign w:val="center"/>
          </w:tcPr>
          <w:p w14:paraId="0FFDDC14"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L * (M/12*365.25)</w:t>
            </w:r>
          </w:p>
        </w:tc>
      </w:tr>
      <w:tr w:rsidR="00460E9B" w:rsidRPr="00B07FB9" w14:paraId="1DE92A89" w14:textId="77777777" w:rsidTr="00C34837">
        <w:trPr>
          <w:cantSplit/>
        </w:trPr>
        <w:tc>
          <w:tcPr>
            <w:tcW w:w="659" w:type="dxa"/>
          </w:tcPr>
          <w:p w14:paraId="6082A227"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O</w:t>
            </w:r>
          </w:p>
        </w:tc>
        <w:tc>
          <w:tcPr>
            <w:tcW w:w="4079" w:type="dxa"/>
          </w:tcPr>
          <w:p w14:paraId="0E939ED1"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Cost per mg</w:t>
            </w:r>
          </w:p>
        </w:tc>
        <w:tc>
          <w:tcPr>
            <w:tcW w:w="1507" w:type="dxa"/>
          </w:tcPr>
          <w:p w14:paraId="504079F0" w14:textId="78AF1CAB"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w:t>
            </w:r>
            <w:r w:rsidR="007A0897" w:rsidRPr="007A0897">
              <w:rPr>
                <w:rFonts w:ascii="Arial Narrow" w:eastAsiaTheme="majorEastAsia" w:hAnsi="Arial Narrow" w:cs="Times New Roman"/>
                <w:bCs/>
                <w:snapToGrid w:val="0"/>
                <w:color w:val="000000"/>
                <w:sz w:val="20"/>
                <w:shd w:val="solid" w:color="000000" w:fill="000000"/>
                <w14:textFill>
                  <w14:solidFill>
                    <w14:srgbClr w14:val="000000">
                      <w14:alpha w14:val="100000"/>
                    </w14:srgbClr>
                  </w14:solidFill>
                </w14:textFill>
              </w:rPr>
              <w:t>|</w:t>
            </w:r>
          </w:p>
        </w:tc>
        <w:tc>
          <w:tcPr>
            <w:tcW w:w="2772" w:type="dxa"/>
            <w:tcBorders>
              <w:bottom w:val="single" w:sz="4" w:space="0" w:color="000000" w:themeColor="text1"/>
            </w:tcBorders>
            <w:vAlign w:val="center"/>
          </w:tcPr>
          <w:p w14:paraId="5492C700"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K / N</w:t>
            </w:r>
          </w:p>
        </w:tc>
      </w:tr>
      <w:tr w:rsidR="00460E9B" w:rsidRPr="00B07FB9" w14:paraId="64BED103" w14:textId="77777777" w:rsidTr="00C34837">
        <w:trPr>
          <w:cantSplit/>
        </w:trPr>
        <w:tc>
          <w:tcPr>
            <w:tcW w:w="659" w:type="dxa"/>
          </w:tcPr>
          <w:p w14:paraId="151193F4"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P</w:t>
            </w:r>
          </w:p>
        </w:tc>
        <w:tc>
          <w:tcPr>
            <w:tcW w:w="4079" w:type="dxa"/>
          </w:tcPr>
          <w:p w14:paraId="5E65A45F"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 xml:space="preserve">Amount per 84-capsule pack/56-capsule pack </w:t>
            </w:r>
            <w:r w:rsidRPr="00B07FB9">
              <w:rPr>
                <w:rFonts w:ascii="Arial Narrow" w:eastAsiaTheme="majorEastAsia" w:hAnsi="Arial Narrow" w:cs="Times New Roman"/>
                <w:bCs/>
                <w:snapToGrid w:val="0"/>
                <w:sz w:val="20"/>
                <w:vertAlign w:val="superscript"/>
              </w:rPr>
              <w:t>b</w:t>
            </w:r>
          </w:p>
        </w:tc>
        <w:tc>
          <w:tcPr>
            <w:tcW w:w="1507" w:type="dxa"/>
          </w:tcPr>
          <w:p w14:paraId="7C5FBB35" w14:textId="77777777"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8400 mg/5600 mg</w:t>
            </w:r>
          </w:p>
        </w:tc>
        <w:tc>
          <w:tcPr>
            <w:tcW w:w="2772" w:type="dxa"/>
            <w:vAlign w:val="center"/>
          </w:tcPr>
          <w:p w14:paraId="7F9DD344" w14:textId="77777777" w:rsidR="00460E9B" w:rsidRPr="00B07FB9" w:rsidRDefault="00460E9B" w:rsidP="00C34837">
            <w:pPr>
              <w:widowControl w:val="0"/>
              <w:jc w:val="left"/>
              <w:rPr>
                <w:rFonts w:ascii="Arial Narrow" w:eastAsiaTheme="majorEastAsia" w:hAnsi="Arial Narrow" w:cs="Times New Roman"/>
                <w:bCs/>
                <w:snapToGrid w:val="0"/>
                <w:sz w:val="20"/>
              </w:rPr>
            </w:pPr>
          </w:p>
        </w:tc>
      </w:tr>
      <w:tr w:rsidR="00460E9B" w:rsidRPr="00B07FB9" w14:paraId="722902C2" w14:textId="77777777" w:rsidTr="00C34837">
        <w:trPr>
          <w:cantSplit/>
        </w:trPr>
        <w:tc>
          <w:tcPr>
            <w:tcW w:w="659" w:type="dxa"/>
          </w:tcPr>
          <w:p w14:paraId="07653CEE" w14:textId="77777777" w:rsidR="00460E9B" w:rsidRPr="00B07FB9" w:rsidRDefault="00460E9B" w:rsidP="00C34837">
            <w:pPr>
              <w:widowControl w:val="0"/>
              <w:jc w:val="left"/>
              <w:rPr>
                <w:rFonts w:ascii="Arial Narrow" w:eastAsiaTheme="majorEastAsia" w:hAnsi="Arial Narrow" w:cs="Times New Roman"/>
                <w:bCs/>
                <w:snapToGrid w:val="0"/>
                <w:sz w:val="20"/>
              </w:rPr>
            </w:pPr>
          </w:p>
        </w:tc>
        <w:tc>
          <w:tcPr>
            <w:tcW w:w="4079" w:type="dxa"/>
          </w:tcPr>
          <w:p w14:paraId="51DF2BF5"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Cost-minimising niraparib AEMP per 84-capsule script</w:t>
            </w:r>
          </w:p>
        </w:tc>
        <w:tc>
          <w:tcPr>
            <w:tcW w:w="1507" w:type="dxa"/>
            <w:vAlign w:val="center"/>
          </w:tcPr>
          <w:p w14:paraId="79A64A5D" w14:textId="4D840504"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w:t>
            </w:r>
            <w:r w:rsidR="007A0897" w:rsidRPr="007A0897">
              <w:rPr>
                <w:rFonts w:ascii="Arial Narrow" w:eastAsiaTheme="majorEastAsia" w:hAnsi="Arial Narrow" w:cs="Times New Roman"/>
                <w:bCs/>
                <w:snapToGrid w:val="0"/>
                <w:color w:val="000000"/>
                <w:sz w:val="20"/>
                <w:shd w:val="solid" w:color="000000" w:fill="000000"/>
                <w14:textFill>
                  <w14:solidFill>
                    <w14:srgbClr w14:val="000000">
                      <w14:alpha w14:val="100000"/>
                    </w14:srgbClr>
                  </w14:solidFill>
                </w14:textFill>
              </w:rPr>
              <w:t>|</w:t>
            </w:r>
          </w:p>
        </w:tc>
        <w:tc>
          <w:tcPr>
            <w:tcW w:w="2772" w:type="dxa"/>
            <w:vAlign w:val="center"/>
          </w:tcPr>
          <w:p w14:paraId="7B7FD55B"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O * 8400</w:t>
            </w:r>
          </w:p>
        </w:tc>
      </w:tr>
      <w:tr w:rsidR="00460E9B" w:rsidRPr="00B07FB9" w14:paraId="76F0088C" w14:textId="77777777" w:rsidTr="00C34837">
        <w:trPr>
          <w:cantSplit/>
        </w:trPr>
        <w:tc>
          <w:tcPr>
            <w:tcW w:w="659" w:type="dxa"/>
          </w:tcPr>
          <w:p w14:paraId="2A5BD2AD" w14:textId="77777777" w:rsidR="00460E9B" w:rsidRPr="00B07FB9" w:rsidRDefault="00460E9B" w:rsidP="00C34837">
            <w:pPr>
              <w:widowControl w:val="0"/>
              <w:jc w:val="left"/>
              <w:rPr>
                <w:rFonts w:ascii="Arial Narrow" w:eastAsiaTheme="majorEastAsia" w:hAnsi="Arial Narrow" w:cs="Times New Roman"/>
                <w:bCs/>
                <w:snapToGrid w:val="0"/>
                <w:sz w:val="20"/>
              </w:rPr>
            </w:pPr>
          </w:p>
        </w:tc>
        <w:tc>
          <w:tcPr>
            <w:tcW w:w="4079" w:type="dxa"/>
          </w:tcPr>
          <w:p w14:paraId="1FADF69D"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Cost-minimising niraparib AEMP per 56-capsule script</w:t>
            </w:r>
          </w:p>
        </w:tc>
        <w:tc>
          <w:tcPr>
            <w:tcW w:w="1507" w:type="dxa"/>
            <w:vAlign w:val="center"/>
          </w:tcPr>
          <w:p w14:paraId="6FDAAE9D" w14:textId="203814BB" w:rsidR="00460E9B" w:rsidRPr="00B07FB9" w:rsidRDefault="00460E9B" w:rsidP="00C34837">
            <w:pPr>
              <w:widowControl w:val="0"/>
              <w:jc w:val="center"/>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w:t>
            </w:r>
            <w:r w:rsidR="007A0897" w:rsidRPr="007A0897">
              <w:rPr>
                <w:rFonts w:ascii="Arial Narrow" w:eastAsiaTheme="majorEastAsia" w:hAnsi="Arial Narrow" w:cs="Times New Roman"/>
                <w:bCs/>
                <w:snapToGrid w:val="0"/>
                <w:color w:val="000000"/>
                <w:sz w:val="20"/>
                <w:shd w:val="solid" w:color="000000" w:fill="000000"/>
                <w14:textFill>
                  <w14:solidFill>
                    <w14:srgbClr w14:val="000000">
                      <w14:alpha w14:val="100000"/>
                    </w14:srgbClr>
                  </w14:solidFill>
                </w14:textFill>
              </w:rPr>
              <w:t>|</w:t>
            </w:r>
          </w:p>
        </w:tc>
        <w:tc>
          <w:tcPr>
            <w:tcW w:w="2772" w:type="dxa"/>
            <w:vAlign w:val="center"/>
          </w:tcPr>
          <w:p w14:paraId="3369A51D" w14:textId="77777777" w:rsidR="00460E9B" w:rsidRPr="00B07FB9" w:rsidRDefault="00460E9B" w:rsidP="00C34837">
            <w:pPr>
              <w:widowControl w:val="0"/>
              <w:jc w:val="left"/>
              <w:rPr>
                <w:rFonts w:ascii="Arial Narrow" w:eastAsiaTheme="majorEastAsia" w:hAnsi="Arial Narrow" w:cs="Times New Roman"/>
                <w:bCs/>
                <w:snapToGrid w:val="0"/>
                <w:sz w:val="20"/>
              </w:rPr>
            </w:pPr>
            <w:r w:rsidRPr="00B07FB9">
              <w:rPr>
                <w:rFonts w:ascii="Arial Narrow" w:eastAsiaTheme="majorEastAsia" w:hAnsi="Arial Narrow" w:cs="Times New Roman"/>
                <w:bCs/>
                <w:snapToGrid w:val="0"/>
                <w:sz w:val="20"/>
              </w:rPr>
              <w:t>O * 5600</w:t>
            </w:r>
          </w:p>
        </w:tc>
      </w:tr>
    </w:tbl>
    <w:p w14:paraId="7184D9D8" w14:textId="77777777" w:rsidR="00460E9B" w:rsidRPr="00B07FB9" w:rsidRDefault="00460E9B" w:rsidP="000C6F49">
      <w:pPr>
        <w:pStyle w:val="TableFigureFooter"/>
        <w:widowControl w:val="0"/>
      </w:pPr>
      <w:r w:rsidRPr="00B07FB9">
        <w:t>Source: Table 108, p172 of the resubmission.</w:t>
      </w:r>
    </w:p>
    <w:p w14:paraId="10A61E65" w14:textId="77777777" w:rsidR="00460E9B" w:rsidRPr="00B07FB9" w:rsidRDefault="00460E9B" w:rsidP="000C6F49">
      <w:pPr>
        <w:pStyle w:val="TableFigureFooter"/>
        <w:widowControl w:val="0"/>
      </w:pPr>
      <w:r w:rsidRPr="00B07FB9">
        <w:t>AEMP = approved ex-manufacturer price; EMP = ex-manufacturer price; ISD = individualised starting dose</w:t>
      </w:r>
    </w:p>
    <w:p w14:paraId="4FE8C3F6" w14:textId="77777777" w:rsidR="00460E9B" w:rsidRPr="00B07FB9" w:rsidRDefault="00460E9B" w:rsidP="000C6F49">
      <w:pPr>
        <w:pStyle w:val="TableFigureFooter"/>
        <w:widowControl w:val="0"/>
      </w:pPr>
      <w:proofErr w:type="spellStart"/>
      <w:r w:rsidRPr="00B07FB9">
        <w:rPr>
          <w:vertAlign w:val="superscript"/>
        </w:rPr>
        <w:t>a</w:t>
      </w:r>
      <w:proofErr w:type="spellEnd"/>
      <w:r w:rsidRPr="00B07FB9">
        <w:t xml:space="preserve"> The AEMP for 28 days’ supply of </w:t>
      </w:r>
      <w:proofErr w:type="spellStart"/>
      <w:r w:rsidRPr="00B07FB9">
        <w:t>olaparib</w:t>
      </w:r>
      <w:proofErr w:type="spellEnd"/>
      <w:r w:rsidRPr="00B07FB9">
        <w:t xml:space="preserve"> (112 tablets) is the same for both the 100 mg and the 150 mg tablets.</w:t>
      </w:r>
    </w:p>
    <w:p w14:paraId="0C5F8381" w14:textId="79D06D69" w:rsidR="00C34837" w:rsidRDefault="00460E9B" w:rsidP="005417BF">
      <w:pPr>
        <w:pStyle w:val="TableFigureFooter"/>
        <w:widowControl w:val="0"/>
      </w:pPr>
      <w:r w:rsidRPr="00B07FB9">
        <w:rPr>
          <w:vertAlign w:val="superscript"/>
        </w:rPr>
        <w:t>b</w:t>
      </w:r>
      <w:r w:rsidRPr="00B07FB9">
        <w:t xml:space="preserve"> Maximum quantity of one pack per script</w:t>
      </w:r>
    </w:p>
    <w:p w14:paraId="4C024995" w14:textId="4039675C" w:rsidR="00DC3492" w:rsidRDefault="00960F16" w:rsidP="005417BF">
      <w:pPr>
        <w:pStyle w:val="TableFigureFooter"/>
        <w:widowControl w:val="0"/>
      </w:pPr>
      <w:r>
        <w:t>*Note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p w14:paraId="753F1095" w14:textId="77777777" w:rsidR="00DC3492" w:rsidRDefault="00DC3492">
      <w:pPr>
        <w:jc w:val="left"/>
        <w:rPr>
          <w:rFonts w:ascii="Arial Narrow" w:hAnsi="Arial Narrow"/>
          <w:snapToGrid w:val="0"/>
          <w:sz w:val="18"/>
          <w:szCs w:val="22"/>
        </w:rPr>
      </w:pPr>
      <w:r>
        <w:lastRenderedPageBreak/>
        <w:br w:type="page"/>
      </w:r>
    </w:p>
    <w:p w14:paraId="46D99929" w14:textId="2B97E02A" w:rsidR="001B5458" w:rsidRPr="00B07FB9" w:rsidRDefault="003303B5" w:rsidP="000C6F49">
      <w:pPr>
        <w:pStyle w:val="3-BodyText"/>
        <w:widowControl w:val="0"/>
        <w:rPr>
          <w:bCs/>
        </w:rPr>
      </w:pPr>
      <w:r w:rsidRPr="00B07FB9">
        <w:lastRenderedPageBreak/>
        <w:t xml:space="preserve">The CMA analysis presented in the resubmission was not reasonable as it </w:t>
      </w:r>
      <w:r w:rsidR="00E939C7" w:rsidRPr="00B07FB9">
        <w:t>assumed</w:t>
      </w:r>
      <w:r w:rsidRPr="00B07FB9">
        <w:t xml:space="preserve"> 100% </w:t>
      </w:r>
      <w:r w:rsidR="00460B73" w:rsidRPr="00B07FB9">
        <w:t>compliance</w:t>
      </w:r>
      <w:r w:rsidR="00E939C7" w:rsidRPr="00B07FB9">
        <w:t xml:space="preserve"> for </w:t>
      </w:r>
      <w:proofErr w:type="spellStart"/>
      <w:r w:rsidR="00E939C7" w:rsidRPr="00B07FB9">
        <w:t>olaparib</w:t>
      </w:r>
      <w:proofErr w:type="spellEnd"/>
      <w:r w:rsidR="00E939C7" w:rsidRPr="00B07FB9">
        <w:t>, but used</w:t>
      </w:r>
      <w:r w:rsidRPr="00B07FB9">
        <w:t xml:space="preserve"> the </w:t>
      </w:r>
      <w:r w:rsidR="004B32E9" w:rsidRPr="00B07FB9">
        <w:t xml:space="preserve">mean </w:t>
      </w:r>
      <w:r w:rsidRPr="00B07FB9">
        <w:t>dose intensity of niraparib (162.1 mg/day</w:t>
      </w:r>
      <w:r w:rsidR="004B32E9" w:rsidRPr="00B07FB9">
        <w:t xml:space="preserve"> from PRIMA ISD cohort</w:t>
      </w:r>
      <w:r w:rsidRPr="00B07FB9">
        <w:t>)</w:t>
      </w:r>
      <w:r w:rsidR="00960F16">
        <w:rPr>
          <w:rStyle w:val="FootnoteReference"/>
        </w:rPr>
        <w:footnoteReference w:id="14"/>
      </w:r>
      <w:r w:rsidR="004B32E9" w:rsidRPr="00B07FB9">
        <w:t>.</w:t>
      </w:r>
      <w:r w:rsidR="00BE253F" w:rsidRPr="00B07FB9">
        <w:t xml:space="preserve"> </w:t>
      </w:r>
    </w:p>
    <w:p w14:paraId="6E2C0E43" w14:textId="3172415D" w:rsidR="00460E9B" w:rsidRPr="00B07FB9" w:rsidRDefault="00460E9B" w:rsidP="000C6F49">
      <w:pPr>
        <w:pStyle w:val="3-BodyText"/>
        <w:widowControl w:val="0"/>
        <w:rPr>
          <w:bCs/>
        </w:rPr>
      </w:pPr>
      <w:r w:rsidRPr="00B07FB9">
        <w:t>The following sensitivity analyses were performed during the evaluation</w:t>
      </w:r>
      <w:r w:rsidR="007137C1" w:rsidRPr="00B07FB9">
        <w:rPr>
          <w:bCs/>
        </w:rPr>
        <w:t>.</w:t>
      </w:r>
    </w:p>
    <w:p w14:paraId="4DE07086" w14:textId="029906B8" w:rsidR="00066BC9" w:rsidRPr="00B07FB9" w:rsidRDefault="00066BC9" w:rsidP="000C6F49">
      <w:pPr>
        <w:pStyle w:val="ListParagraph"/>
        <w:widowControl w:val="0"/>
        <w:ind w:left="1134" w:hanging="425"/>
      </w:pPr>
      <w:r w:rsidRPr="00B07FB9">
        <w:t xml:space="preserve">Reduced dose intensity for </w:t>
      </w:r>
      <w:proofErr w:type="spellStart"/>
      <w:r w:rsidRPr="00B07FB9">
        <w:t>olaparib</w:t>
      </w:r>
      <w:proofErr w:type="spellEnd"/>
      <w:r w:rsidRPr="00B07FB9">
        <w:t xml:space="preserve"> was tested using the mean dose intensity of </w:t>
      </w:r>
      <w:proofErr w:type="spellStart"/>
      <w:r w:rsidRPr="00B07FB9">
        <w:t>olaparib</w:t>
      </w:r>
      <w:proofErr w:type="spellEnd"/>
      <w:r w:rsidRPr="00B07FB9">
        <w:t xml:space="preserve"> </w:t>
      </w:r>
      <w:r w:rsidR="007137C1" w:rsidRPr="00B07FB9">
        <w:t xml:space="preserve">of 93.13% </w:t>
      </w:r>
      <w:r w:rsidRPr="00B07FB9">
        <w:t>(558.80 mg/day) in SOLO-1 trial, which resulted in 6.9% decrease in the cost-minimised pr</w:t>
      </w:r>
      <w:r w:rsidR="007137C1" w:rsidRPr="00B07FB9">
        <w:t>i</w:t>
      </w:r>
      <w:r w:rsidRPr="00B07FB9">
        <w:t>ce for niraparib.</w:t>
      </w:r>
      <w:r w:rsidR="00460B73" w:rsidRPr="00B07FB9">
        <w:t xml:space="preserve"> The PSCR argued that applying the mean dose intensity for </w:t>
      </w:r>
      <w:proofErr w:type="spellStart"/>
      <w:r w:rsidR="00460B73" w:rsidRPr="00B07FB9">
        <w:t>olaparib</w:t>
      </w:r>
      <w:proofErr w:type="spellEnd"/>
      <w:r w:rsidR="00460B73" w:rsidRPr="00B07FB9">
        <w:t xml:space="preserve"> was not appropriate </w:t>
      </w:r>
      <w:r w:rsidR="001C78AE" w:rsidRPr="00B07FB9">
        <w:t>as</w:t>
      </w:r>
      <w:r w:rsidR="00E87BEC" w:rsidRPr="00B07FB9">
        <w:t>,</w:t>
      </w:r>
      <w:r w:rsidR="001C78AE" w:rsidRPr="00B07FB9">
        <w:t xml:space="preserve"> due to </w:t>
      </w:r>
      <w:proofErr w:type="spellStart"/>
      <w:r w:rsidR="001C78AE" w:rsidRPr="00B07FB9">
        <w:t>olaparib’s</w:t>
      </w:r>
      <w:proofErr w:type="spellEnd"/>
      <w:r w:rsidR="001C78AE" w:rsidRPr="00B07FB9">
        <w:t xml:space="preserve"> flat pricing structure</w:t>
      </w:r>
      <w:r w:rsidR="00E87BEC" w:rsidRPr="00B07FB9">
        <w:t xml:space="preserve">, </w:t>
      </w:r>
      <w:r w:rsidR="001C78AE" w:rsidRPr="00B07FB9">
        <w:t>patients on a reduced dose would incur the same cost.</w:t>
      </w:r>
      <w:r w:rsidR="00E87BEC" w:rsidRPr="00B07FB9">
        <w:t xml:space="preserve"> Applying a compliance rate of 97% </w:t>
      </w:r>
      <w:r w:rsidR="0014018A" w:rsidRPr="00B07FB9">
        <w:t xml:space="preserve">(based on SOLO-1) resulted in </w:t>
      </w:r>
      <w:r w:rsidR="0014018A" w:rsidRPr="00B07FB9">
        <w:rPr>
          <w:lang w:bidi="en-US"/>
        </w:rPr>
        <w:t>a 3.0% decrease</w:t>
      </w:r>
      <w:r w:rsidR="00F866C7" w:rsidRPr="00B07FB9">
        <w:rPr>
          <w:lang w:bidi="en-US"/>
        </w:rPr>
        <w:t xml:space="preserve"> in the cost-minimised price for niraparib</w:t>
      </w:r>
      <w:r w:rsidR="0014018A" w:rsidRPr="00B07FB9">
        <w:rPr>
          <w:lang w:bidi="en-US"/>
        </w:rPr>
        <w:t>.</w:t>
      </w:r>
      <w:r w:rsidR="00E87BEC" w:rsidRPr="00B07FB9">
        <w:rPr>
          <w:i/>
          <w:iCs/>
        </w:rPr>
        <w:t xml:space="preserve"> </w:t>
      </w:r>
    </w:p>
    <w:p w14:paraId="540E9A17" w14:textId="270A36AE" w:rsidR="00D43993" w:rsidRPr="00B07FB9" w:rsidRDefault="00D43993" w:rsidP="000C6F49">
      <w:pPr>
        <w:pStyle w:val="ListParagraph"/>
        <w:widowControl w:val="0"/>
        <w:ind w:left="1134" w:hanging="425"/>
      </w:pPr>
      <w:proofErr w:type="spellStart"/>
      <w:r w:rsidRPr="00B07FB9">
        <w:t>Equi</w:t>
      </w:r>
      <w:proofErr w:type="spellEnd"/>
      <w:r w:rsidRPr="00B07FB9">
        <w:t>-effective dosing based on PI dose recommendation was tested using 225.1</w:t>
      </w:r>
      <w:r w:rsidR="00F4616A" w:rsidRPr="00B07FB9">
        <w:t> </w:t>
      </w:r>
      <w:r w:rsidRPr="00B07FB9">
        <w:t>mg for niraparib and 600</w:t>
      </w:r>
      <w:r w:rsidR="00964935" w:rsidRPr="00B07FB9">
        <w:t> </w:t>
      </w:r>
      <w:r w:rsidRPr="00B07FB9">
        <w:t xml:space="preserve">mg for </w:t>
      </w:r>
      <w:proofErr w:type="spellStart"/>
      <w:r w:rsidRPr="00B07FB9">
        <w:t>olaparib</w:t>
      </w:r>
      <w:proofErr w:type="spellEnd"/>
      <w:r w:rsidRPr="00B07FB9">
        <w:t>, which resulted in 28% decrease in the cost-minimised price for niraparib.</w:t>
      </w:r>
    </w:p>
    <w:p w14:paraId="2B2C1587" w14:textId="5294541D" w:rsidR="00460E9B" w:rsidRPr="00B07FB9" w:rsidRDefault="00460E9B" w:rsidP="000C6F49">
      <w:pPr>
        <w:pStyle w:val="ListParagraph"/>
        <w:widowControl w:val="0"/>
        <w:ind w:left="1134" w:hanging="425"/>
      </w:pPr>
      <w:r w:rsidRPr="00B07FB9">
        <w:t xml:space="preserve">When the maximum study follow-up of 29 months in the PRIMA trial was tested, </w:t>
      </w:r>
      <w:r w:rsidRPr="00B07FB9">
        <w:rPr>
          <w:iCs/>
        </w:rPr>
        <w:t xml:space="preserve">the cost-minimised price of niraparib for the </w:t>
      </w:r>
      <w:proofErr w:type="spellStart"/>
      <w:r w:rsidRPr="00B07FB9">
        <w:rPr>
          <w:iCs/>
        </w:rPr>
        <w:t>BRCAm</w:t>
      </w:r>
      <w:proofErr w:type="spellEnd"/>
      <w:r w:rsidRPr="00B07FB9">
        <w:rPr>
          <w:iCs/>
        </w:rPr>
        <w:t xml:space="preserve"> subgroup decreased by 14%.</w:t>
      </w:r>
    </w:p>
    <w:p w14:paraId="5542B92E" w14:textId="7C3881C5" w:rsidR="00460E9B" w:rsidRPr="00B07FB9" w:rsidRDefault="00460E9B" w:rsidP="000C6F49">
      <w:pPr>
        <w:pStyle w:val="ListParagraph"/>
        <w:widowControl w:val="0"/>
        <w:ind w:left="1134" w:hanging="425"/>
      </w:pPr>
      <w:r w:rsidRPr="00B07FB9">
        <w:t>The mean dose</w:t>
      </w:r>
      <w:r w:rsidR="00960F16">
        <w:rPr>
          <w:rStyle w:val="FootnoteReference"/>
        </w:rPr>
        <w:footnoteReference w:id="15"/>
      </w:r>
      <w:r w:rsidRPr="00B07FB9">
        <w:t xml:space="preserve"> intensity in the PRIMA ITT cohort (</w:t>
      </w:r>
      <w:r w:rsidRPr="00B07FB9">
        <w:rPr>
          <w:iCs/>
        </w:rPr>
        <w:t xml:space="preserve">174.7 mg/day) was tested in sensitivity analyses, the cost-minimised price of niraparib for the </w:t>
      </w:r>
      <w:proofErr w:type="spellStart"/>
      <w:r w:rsidRPr="00B07FB9">
        <w:rPr>
          <w:iCs/>
        </w:rPr>
        <w:t>BRCAm</w:t>
      </w:r>
      <w:proofErr w:type="spellEnd"/>
      <w:r w:rsidRPr="00B07FB9">
        <w:rPr>
          <w:iCs/>
        </w:rPr>
        <w:t xml:space="preserve"> subgroup decreased by 7%.</w:t>
      </w:r>
    </w:p>
    <w:p w14:paraId="19356883" w14:textId="50949835" w:rsidR="00460E9B" w:rsidRPr="00B07FB9" w:rsidRDefault="00460E9B" w:rsidP="00A4339A">
      <w:pPr>
        <w:pStyle w:val="TableFigureHeading"/>
        <w:keepLines/>
        <w:widowControl w:val="0"/>
      </w:pPr>
      <w:bookmarkStart w:id="51" w:name="_Ref89800220"/>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18</w:t>
      </w:r>
      <w:r w:rsidR="00385E8C">
        <w:fldChar w:fldCharType="end"/>
      </w:r>
      <w:bookmarkEnd w:id="51"/>
      <w:r w:rsidRPr="00B07FB9">
        <w:t xml:space="preserve">: Results of the sensitivity analyses performed during the evaluation (published AEMP for </w:t>
      </w:r>
      <w:proofErr w:type="spellStart"/>
      <w:r w:rsidRPr="00B07FB9">
        <w:t>olaparib</w:t>
      </w:r>
      <w:proofErr w:type="spellEnd"/>
      <w:r w:rsidRPr="00B07FB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8: Results of the sensitivity analyses performed during the evaluation (published AEMP for olaparib)"/>
      </w:tblPr>
      <w:tblGrid>
        <w:gridCol w:w="399"/>
        <w:gridCol w:w="4911"/>
        <w:gridCol w:w="1235"/>
        <w:gridCol w:w="1235"/>
        <w:gridCol w:w="11"/>
        <w:gridCol w:w="1226"/>
      </w:tblGrid>
      <w:tr w:rsidR="00460E9B" w:rsidRPr="00B07FB9" w14:paraId="7465C250" w14:textId="77777777" w:rsidTr="006B4375">
        <w:tc>
          <w:tcPr>
            <w:tcW w:w="2944" w:type="pct"/>
            <w:gridSpan w:val="2"/>
            <w:vAlign w:val="center"/>
          </w:tcPr>
          <w:p w14:paraId="30F72203" w14:textId="77777777" w:rsidR="00460E9B" w:rsidRPr="00B07FB9" w:rsidRDefault="00460E9B" w:rsidP="00A4339A">
            <w:pPr>
              <w:pStyle w:val="In-tableHeading"/>
              <w:keepLines/>
              <w:widowControl w:val="0"/>
              <w:rPr>
                <w:lang w:val="en-AU"/>
              </w:rPr>
            </w:pPr>
          </w:p>
        </w:tc>
        <w:tc>
          <w:tcPr>
            <w:tcW w:w="1376" w:type="pct"/>
            <w:gridSpan w:val="3"/>
            <w:vAlign w:val="center"/>
          </w:tcPr>
          <w:p w14:paraId="13E09E51" w14:textId="77777777" w:rsidR="00460E9B" w:rsidRPr="00B07FB9" w:rsidRDefault="00460E9B" w:rsidP="00A4339A">
            <w:pPr>
              <w:pStyle w:val="In-tableHeading"/>
              <w:keepLines/>
              <w:widowControl w:val="0"/>
              <w:jc w:val="center"/>
              <w:rPr>
                <w:lang w:val="en-AU"/>
              </w:rPr>
            </w:pPr>
            <w:r w:rsidRPr="00B07FB9">
              <w:rPr>
                <w:lang w:val="en-AU"/>
              </w:rPr>
              <w:t xml:space="preserve">Cost-minimised </w:t>
            </w:r>
            <w:r w:rsidRPr="00B07FB9">
              <w:rPr>
                <w:lang w:val="en-AU"/>
              </w:rPr>
              <w:br/>
              <w:t>EMP for niraparib (</w:t>
            </w:r>
            <w:proofErr w:type="spellStart"/>
            <w:r w:rsidRPr="00B07FB9">
              <w:rPr>
                <w:lang w:val="en-AU"/>
              </w:rPr>
              <w:t>BRCAm</w:t>
            </w:r>
            <w:proofErr w:type="spellEnd"/>
            <w:r w:rsidRPr="00B07FB9">
              <w:rPr>
                <w:lang w:val="en-AU"/>
              </w:rPr>
              <w:t>)</w:t>
            </w:r>
          </w:p>
        </w:tc>
        <w:tc>
          <w:tcPr>
            <w:tcW w:w="680" w:type="pct"/>
          </w:tcPr>
          <w:p w14:paraId="2B263902" w14:textId="77777777" w:rsidR="00460E9B" w:rsidRPr="00B07FB9" w:rsidRDefault="00460E9B" w:rsidP="00A4339A">
            <w:pPr>
              <w:pStyle w:val="In-tableHeading"/>
              <w:keepLines/>
              <w:widowControl w:val="0"/>
              <w:jc w:val="center"/>
              <w:rPr>
                <w:lang w:val="en-AU"/>
              </w:rPr>
            </w:pPr>
          </w:p>
        </w:tc>
      </w:tr>
      <w:tr w:rsidR="00460E9B" w:rsidRPr="00B07FB9" w14:paraId="1D695CDE" w14:textId="77777777" w:rsidTr="0078239A">
        <w:tc>
          <w:tcPr>
            <w:tcW w:w="2944" w:type="pct"/>
            <w:gridSpan w:val="2"/>
            <w:vAlign w:val="center"/>
          </w:tcPr>
          <w:p w14:paraId="7EDC66ED" w14:textId="77777777" w:rsidR="00460E9B" w:rsidRPr="00B07FB9" w:rsidRDefault="00460E9B" w:rsidP="00A4339A">
            <w:pPr>
              <w:pStyle w:val="TableText0"/>
              <w:keepLines/>
              <w:widowControl w:val="0"/>
            </w:pPr>
            <w:r w:rsidRPr="00B07FB9">
              <w:rPr>
                <w:b/>
              </w:rPr>
              <w:t xml:space="preserve">Base case </w:t>
            </w:r>
          </w:p>
        </w:tc>
        <w:tc>
          <w:tcPr>
            <w:tcW w:w="685" w:type="pct"/>
            <w:vAlign w:val="center"/>
          </w:tcPr>
          <w:p w14:paraId="686599A4" w14:textId="77777777" w:rsidR="00460E9B" w:rsidRPr="00B07FB9" w:rsidRDefault="00460E9B" w:rsidP="00A4339A">
            <w:pPr>
              <w:pStyle w:val="TableText0"/>
              <w:keepLines/>
              <w:widowControl w:val="0"/>
            </w:pPr>
            <w:r w:rsidRPr="00B07FB9">
              <w:t>84-capsules</w:t>
            </w:r>
          </w:p>
        </w:tc>
        <w:tc>
          <w:tcPr>
            <w:tcW w:w="685" w:type="pct"/>
            <w:vAlign w:val="center"/>
          </w:tcPr>
          <w:p w14:paraId="1CC4190C" w14:textId="77777777" w:rsidR="00460E9B" w:rsidRPr="00B07FB9" w:rsidRDefault="00460E9B" w:rsidP="00A4339A">
            <w:pPr>
              <w:pStyle w:val="TableText0"/>
              <w:keepLines/>
              <w:widowControl w:val="0"/>
            </w:pPr>
            <w:r w:rsidRPr="00B07FB9">
              <w:t>56-capsules</w:t>
            </w:r>
          </w:p>
        </w:tc>
        <w:tc>
          <w:tcPr>
            <w:tcW w:w="686" w:type="pct"/>
            <w:gridSpan w:val="2"/>
          </w:tcPr>
          <w:p w14:paraId="2A01AD7D" w14:textId="77777777" w:rsidR="00460E9B" w:rsidRPr="00B07FB9" w:rsidRDefault="00460E9B" w:rsidP="00A4339A">
            <w:pPr>
              <w:pStyle w:val="TableText0"/>
              <w:keepLines/>
              <w:widowControl w:val="0"/>
            </w:pPr>
          </w:p>
        </w:tc>
      </w:tr>
      <w:tr w:rsidR="00460E9B" w:rsidRPr="00B07FB9" w14:paraId="0607CDDB" w14:textId="77777777" w:rsidTr="0078239A">
        <w:tc>
          <w:tcPr>
            <w:tcW w:w="2944" w:type="pct"/>
            <w:gridSpan w:val="2"/>
            <w:vAlign w:val="center"/>
          </w:tcPr>
          <w:p w14:paraId="6E1C7CEC" w14:textId="77777777" w:rsidR="00460E9B" w:rsidRPr="00B07FB9" w:rsidRDefault="00460E9B" w:rsidP="00A4339A">
            <w:pPr>
              <w:pStyle w:val="TableText0"/>
              <w:keepLines/>
              <w:widowControl w:val="0"/>
            </w:pPr>
            <w:r w:rsidRPr="00B07FB9">
              <w:t xml:space="preserve">Treatment duration for niraparib 25.0 months, </w:t>
            </w:r>
            <w:proofErr w:type="spellStart"/>
            <w:r w:rsidRPr="00B07FB9">
              <w:t>olaparib</w:t>
            </w:r>
            <w:proofErr w:type="spellEnd"/>
            <w:r w:rsidRPr="00B07FB9">
              <w:t xml:space="preserve"> 20.9 months)</w:t>
            </w:r>
          </w:p>
        </w:tc>
        <w:tc>
          <w:tcPr>
            <w:tcW w:w="685" w:type="pct"/>
            <w:vMerge w:val="restart"/>
            <w:vAlign w:val="center"/>
          </w:tcPr>
          <w:p w14:paraId="55F1667D" w14:textId="4C76FB09" w:rsidR="00460E9B" w:rsidRPr="00B07FB9" w:rsidRDefault="00460E9B" w:rsidP="00A4339A">
            <w:pPr>
              <w:pStyle w:val="TableText0"/>
              <w:keepLines/>
              <w:widowControl w:val="0"/>
              <w:jc w:val="center"/>
            </w:pPr>
            <w:r w:rsidRPr="00B07FB9">
              <w:rPr>
                <w:snapToGrid w:val="0"/>
              </w:rPr>
              <w:t>$</w:t>
            </w:r>
            <w:r w:rsidR="007A0897" w:rsidRPr="007A0897">
              <w:rPr>
                <w:rFonts w:hint="eastAsia"/>
                <w:snapToGrid w:val="0"/>
                <w:color w:val="000000"/>
                <w:w w:val="15"/>
                <w:shd w:val="solid" w:color="000000" w:fill="000000"/>
                <w:fitText w:val="70" w:id="-1500824825"/>
                <w14:textFill>
                  <w14:solidFill>
                    <w14:srgbClr w14:val="000000">
                      <w14:alpha w14:val="100000"/>
                    </w14:srgbClr>
                  </w14:solidFill>
                </w14:textFill>
              </w:rPr>
              <w:t xml:space="preserve">　</w:t>
            </w:r>
            <w:r w:rsidR="007A0897" w:rsidRPr="007A0897">
              <w:rPr>
                <w:snapToGrid w:val="0"/>
                <w:color w:val="000000"/>
                <w:w w:val="15"/>
                <w:shd w:val="solid" w:color="000000" w:fill="000000"/>
                <w:fitText w:val="70" w:id="-1500824825"/>
                <w14:textFill>
                  <w14:solidFill>
                    <w14:srgbClr w14:val="000000">
                      <w14:alpha w14:val="100000"/>
                    </w14:srgbClr>
                  </w14:solidFill>
                </w14:textFill>
              </w:rPr>
              <w:t>|</w:t>
            </w:r>
            <w:r w:rsidR="007A0897" w:rsidRPr="007A0897">
              <w:rPr>
                <w:rFonts w:hint="eastAsia"/>
                <w:snapToGrid w:val="0"/>
                <w:color w:val="000000"/>
                <w:spacing w:val="4"/>
                <w:w w:val="15"/>
                <w:shd w:val="solid" w:color="000000" w:fill="000000"/>
                <w:fitText w:val="70" w:id="-1500824825"/>
                <w14:textFill>
                  <w14:solidFill>
                    <w14:srgbClr w14:val="000000">
                      <w14:alpha w14:val="100000"/>
                    </w14:srgbClr>
                  </w14:solidFill>
                </w14:textFill>
              </w:rPr>
              <w:t xml:space="preserve">　</w:t>
            </w:r>
          </w:p>
        </w:tc>
        <w:tc>
          <w:tcPr>
            <w:tcW w:w="685" w:type="pct"/>
            <w:vMerge w:val="restart"/>
            <w:vAlign w:val="center"/>
          </w:tcPr>
          <w:p w14:paraId="28F5B3E3" w14:textId="634DCE1B" w:rsidR="00460E9B" w:rsidRPr="00B07FB9" w:rsidRDefault="00460E9B" w:rsidP="00A4339A">
            <w:pPr>
              <w:pStyle w:val="TableText0"/>
              <w:keepLines/>
              <w:widowControl w:val="0"/>
              <w:jc w:val="center"/>
            </w:pPr>
            <w:r w:rsidRPr="00B07FB9">
              <w:rPr>
                <w:snapToGrid w:val="0"/>
              </w:rPr>
              <w:t>$</w:t>
            </w:r>
            <w:r w:rsidR="007A0897" w:rsidRPr="007A0897">
              <w:rPr>
                <w:rFonts w:hint="eastAsia"/>
                <w:snapToGrid w:val="0"/>
                <w:color w:val="000000"/>
                <w:w w:val="15"/>
                <w:shd w:val="solid" w:color="000000" w:fill="000000"/>
                <w:fitText w:val="70" w:id="-1500824824"/>
                <w14:textFill>
                  <w14:solidFill>
                    <w14:srgbClr w14:val="000000">
                      <w14:alpha w14:val="100000"/>
                    </w14:srgbClr>
                  </w14:solidFill>
                </w14:textFill>
              </w:rPr>
              <w:t xml:space="preserve">　</w:t>
            </w:r>
            <w:r w:rsidR="007A0897" w:rsidRPr="007A0897">
              <w:rPr>
                <w:snapToGrid w:val="0"/>
                <w:color w:val="000000"/>
                <w:w w:val="15"/>
                <w:shd w:val="solid" w:color="000000" w:fill="000000"/>
                <w:fitText w:val="70" w:id="-1500824824"/>
                <w14:textFill>
                  <w14:solidFill>
                    <w14:srgbClr w14:val="000000">
                      <w14:alpha w14:val="100000"/>
                    </w14:srgbClr>
                  </w14:solidFill>
                </w14:textFill>
              </w:rPr>
              <w:t>|</w:t>
            </w:r>
            <w:r w:rsidR="007A0897" w:rsidRPr="007A0897">
              <w:rPr>
                <w:rFonts w:hint="eastAsia"/>
                <w:snapToGrid w:val="0"/>
                <w:color w:val="000000"/>
                <w:spacing w:val="4"/>
                <w:w w:val="15"/>
                <w:shd w:val="solid" w:color="000000" w:fill="000000"/>
                <w:fitText w:val="70" w:id="-1500824824"/>
                <w14:textFill>
                  <w14:solidFill>
                    <w14:srgbClr w14:val="000000">
                      <w14:alpha w14:val="100000"/>
                    </w14:srgbClr>
                  </w14:solidFill>
                </w14:textFill>
              </w:rPr>
              <w:t xml:space="preserve">　</w:t>
            </w:r>
          </w:p>
        </w:tc>
        <w:tc>
          <w:tcPr>
            <w:tcW w:w="686" w:type="pct"/>
            <w:gridSpan w:val="2"/>
            <w:vMerge w:val="restart"/>
          </w:tcPr>
          <w:p w14:paraId="7502C335" w14:textId="77777777" w:rsidR="00460E9B" w:rsidRPr="00B07FB9" w:rsidRDefault="00460E9B" w:rsidP="00A4339A">
            <w:pPr>
              <w:pStyle w:val="TableText0"/>
              <w:keepLines/>
              <w:widowControl w:val="0"/>
              <w:rPr>
                <w:snapToGrid w:val="0"/>
              </w:rPr>
            </w:pPr>
          </w:p>
        </w:tc>
      </w:tr>
      <w:tr w:rsidR="00460E9B" w:rsidRPr="00B07FB9" w14:paraId="5E3CF1BC" w14:textId="77777777" w:rsidTr="0078239A">
        <w:tc>
          <w:tcPr>
            <w:tcW w:w="2944" w:type="pct"/>
            <w:gridSpan w:val="2"/>
            <w:vAlign w:val="center"/>
          </w:tcPr>
          <w:p w14:paraId="7470F8F0" w14:textId="58B96281" w:rsidR="00460E9B" w:rsidRPr="00B07FB9" w:rsidRDefault="00460E9B" w:rsidP="00A4339A">
            <w:pPr>
              <w:pStyle w:val="TableText0"/>
              <w:keepLines/>
              <w:widowControl w:val="0"/>
            </w:pPr>
            <w:r w:rsidRPr="00B07FB9">
              <w:t>Niraparib mean dose intensity in ISD cohort (162.1 mg/day)</w:t>
            </w:r>
            <w:r w:rsidR="00960F16">
              <w:t>*</w:t>
            </w:r>
          </w:p>
        </w:tc>
        <w:tc>
          <w:tcPr>
            <w:tcW w:w="685" w:type="pct"/>
            <w:vMerge/>
            <w:vAlign w:val="center"/>
          </w:tcPr>
          <w:p w14:paraId="2D0AF9BD" w14:textId="77777777" w:rsidR="00460E9B" w:rsidRPr="00B07FB9" w:rsidRDefault="00460E9B" w:rsidP="00A4339A">
            <w:pPr>
              <w:pStyle w:val="TableText0"/>
              <w:keepLines/>
              <w:widowControl w:val="0"/>
              <w:jc w:val="center"/>
              <w:rPr>
                <w:snapToGrid w:val="0"/>
              </w:rPr>
            </w:pPr>
          </w:p>
        </w:tc>
        <w:tc>
          <w:tcPr>
            <w:tcW w:w="685" w:type="pct"/>
            <w:vMerge/>
            <w:vAlign w:val="center"/>
          </w:tcPr>
          <w:p w14:paraId="191B8687" w14:textId="77777777" w:rsidR="00460E9B" w:rsidRPr="00B07FB9" w:rsidRDefault="00460E9B" w:rsidP="00A4339A">
            <w:pPr>
              <w:pStyle w:val="TableText0"/>
              <w:keepLines/>
              <w:widowControl w:val="0"/>
              <w:jc w:val="center"/>
              <w:rPr>
                <w:snapToGrid w:val="0"/>
              </w:rPr>
            </w:pPr>
          </w:p>
        </w:tc>
        <w:tc>
          <w:tcPr>
            <w:tcW w:w="686" w:type="pct"/>
            <w:gridSpan w:val="2"/>
            <w:vMerge/>
          </w:tcPr>
          <w:p w14:paraId="5004ABBA" w14:textId="77777777" w:rsidR="00460E9B" w:rsidRPr="00B07FB9" w:rsidRDefault="00460E9B" w:rsidP="00A4339A">
            <w:pPr>
              <w:pStyle w:val="TableText0"/>
              <w:keepLines/>
              <w:widowControl w:val="0"/>
              <w:rPr>
                <w:snapToGrid w:val="0"/>
              </w:rPr>
            </w:pPr>
          </w:p>
        </w:tc>
      </w:tr>
      <w:tr w:rsidR="00460E9B" w:rsidRPr="00B07FB9" w14:paraId="21FFC097" w14:textId="77777777" w:rsidTr="0078239A">
        <w:tc>
          <w:tcPr>
            <w:tcW w:w="2944" w:type="pct"/>
            <w:gridSpan w:val="2"/>
            <w:vAlign w:val="center"/>
          </w:tcPr>
          <w:p w14:paraId="63129A1A" w14:textId="0633A128" w:rsidR="00460E9B" w:rsidRPr="00B07FB9" w:rsidRDefault="00460E9B" w:rsidP="00A4339A">
            <w:pPr>
              <w:pStyle w:val="TableText0"/>
              <w:keepLines/>
              <w:widowControl w:val="0"/>
              <w:rPr>
                <w:snapToGrid w:val="0"/>
              </w:rPr>
            </w:pPr>
            <w:r w:rsidRPr="00B07FB9">
              <w:rPr>
                <w:snapToGrid w:val="0"/>
              </w:rPr>
              <w:t xml:space="preserve">Net safety costs: niraparib versus </w:t>
            </w:r>
            <w:proofErr w:type="spellStart"/>
            <w:r w:rsidRPr="00B07FB9">
              <w:rPr>
                <w:snapToGrid w:val="0"/>
              </w:rPr>
              <w:t>olaparib</w:t>
            </w:r>
            <w:proofErr w:type="spellEnd"/>
            <w:r w:rsidRPr="00B07FB9">
              <w:rPr>
                <w:snapToGrid w:val="0"/>
              </w:rPr>
              <w:t xml:space="preserve"> ($</w:t>
            </w:r>
            <w:r w:rsidR="007A0897" w:rsidRPr="007A0897">
              <w:rPr>
                <w:snapToGrid w:val="0"/>
                <w:color w:val="000000"/>
                <w:spacing w:val="53"/>
                <w:shd w:val="solid" w:color="000000" w:fill="000000"/>
                <w:fitText w:val="330" w:id="-1500824823"/>
                <w14:textFill>
                  <w14:solidFill>
                    <w14:srgbClr w14:val="000000">
                      <w14:alpha w14:val="100000"/>
                    </w14:srgbClr>
                  </w14:solidFill>
                </w14:textFill>
              </w:rPr>
              <w:t>|||</w:t>
            </w:r>
            <w:r w:rsidR="007A0897" w:rsidRPr="007A0897">
              <w:rPr>
                <w:snapToGrid w:val="0"/>
                <w:color w:val="000000"/>
                <w:spacing w:val="1"/>
                <w:shd w:val="solid" w:color="000000" w:fill="000000"/>
                <w:fitText w:val="330" w:id="-1500824823"/>
                <w14:textFill>
                  <w14:solidFill>
                    <w14:srgbClr w14:val="000000">
                      <w14:alpha w14:val="100000"/>
                    </w14:srgbClr>
                  </w14:solidFill>
                </w14:textFill>
              </w:rPr>
              <w:t>|</w:t>
            </w:r>
            <w:r w:rsidRPr="00B07FB9">
              <w:rPr>
                <w:snapToGrid w:val="0"/>
              </w:rPr>
              <w:t>)</w:t>
            </w:r>
          </w:p>
        </w:tc>
        <w:tc>
          <w:tcPr>
            <w:tcW w:w="685" w:type="pct"/>
            <w:vMerge/>
            <w:vAlign w:val="center"/>
          </w:tcPr>
          <w:p w14:paraId="5BAECB5C" w14:textId="77777777" w:rsidR="00460E9B" w:rsidRPr="00B07FB9" w:rsidRDefault="00460E9B" w:rsidP="00A4339A">
            <w:pPr>
              <w:pStyle w:val="TableText0"/>
              <w:keepLines/>
              <w:widowControl w:val="0"/>
              <w:jc w:val="center"/>
              <w:rPr>
                <w:snapToGrid w:val="0"/>
              </w:rPr>
            </w:pPr>
          </w:p>
        </w:tc>
        <w:tc>
          <w:tcPr>
            <w:tcW w:w="685" w:type="pct"/>
            <w:vMerge/>
            <w:vAlign w:val="center"/>
          </w:tcPr>
          <w:p w14:paraId="5BBC622F" w14:textId="77777777" w:rsidR="00460E9B" w:rsidRPr="00B07FB9" w:rsidRDefault="00460E9B" w:rsidP="00A4339A">
            <w:pPr>
              <w:pStyle w:val="TableText0"/>
              <w:keepLines/>
              <w:widowControl w:val="0"/>
              <w:jc w:val="center"/>
              <w:rPr>
                <w:snapToGrid w:val="0"/>
              </w:rPr>
            </w:pPr>
          </w:p>
        </w:tc>
        <w:tc>
          <w:tcPr>
            <w:tcW w:w="686" w:type="pct"/>
            <w:gridSpan w:val="2"/>
            <w:vMerge/>
          </w:tcPr>
          <w:p w14:paraId="650F9624" w14:textId="77777777" w:rsidR="00460E9B" w:rsidRPr="00B07FB9" w:rsidRDefault="00460E9B" w:rsidP="00A4339A">
            <w:pPr>
              <w:pStyle w:val="TableText0"/>
              <w:keepLines/>
              <w:widowControl w:val="0"/>
              <w:rPr>
                <w:snapToGrid w:val="0"/>
              </w:rPr>
            </w:pPr>
          </w:p>
        </w:tc>
      </w:tr>
      <w:tr w:rsidR="00460E9B" w:rsidRPr="00B07FB9" w14:paraId="70B6F0A1" w14:textId="77777777" w:rsidTr="0078239A">
        <w:tc>
          <w:tcPr>
            <w:tcW w:w="2944" w:type="pct"/>
            <w:gridSpan w:val="2"/>
            <w:vAlign w:val="center"/>
          </w:tcPr>
          <w:p w14:paraId="6B8C2EB4" w14:textId="77777777" w:rsidR="00460E9B" w:rsidRPr="00B07FB9" w:rsidRDefault="00460E9B" w:rsidP="00A4339A">
            <w:pPr>
              <w:pStyle w:val="TableText0"/>
              <w:keepLines/>
              <w:widowControl w:val="0"/>
            </w:pPr>
            <w:r w:rsidRPr="00B07FB9">
              <w:rPr>
                <w:b/>
              </w:rPr>
              <w:t>Sensitivity analyses</w:t>
            </w:r>
          </w:p>
        </w:tc>
        <w:tc>
          <w:tcPr>
            <w:tcW w:w="685" w:type="pct"/>
            <w:vAlign w:val="center"/>
          </w:tcPr>
          <w:p w14:paraId="7BE8A506" w14:textId="77777777" w:rsidR="00460E9B" w:rsidRPr="00B07FB9" w:rsidRDefault="00460E9B" w:rsidP="00A4339A">
            <w:pPr>
              <w:pStyle w:val="TableText0"/>
              <w:keepLines/>
              <w:widowControl w:val="0"/>
              <w:jc w:val="center"/>
            </w:pPr>
          </w:p>
        </w:tc>
        <w:tc>
          <w:tcPr>
            <w:tcW w:w="685" w:type="pct"/>
            <w:vAlign w:val="center"/>
          </w:tcPr>
          <w:p w14:paraId="270FDE47" w14:textId="77777777" w:rsidR="00460E9B" w:rsidRPr="00B07FB9" w:rsidRDefault="00460E9B" w:rsidP="00A4339A">
            <w:pPr>
              <w:pStyle w:val="TableText0"/>
              <w:keepLines/>
              <w:widowControl w:val="0"/>
              <w:jc w:val="center"/>
            </w:pPr>
          </w:p>
        </w:tc>
        <w:tc>
          <w:tcPr>
            <w:tcW w:w="686" w:type="pct"/>
            <w:gridSpan w:val="2"/>
          </w:tcPr>
          <w:p w14:paraId="26CF1074" w14:textId="77777777" w:rsidR="00460E9B" w:rsidRPr="00B07FB9" w:rsidRDefault="00460E9B" w:rsidP="00A4339A">
            <w:pPr>
              <w:pStyle w:val="TableText0"/>
              <w:keepLines/>
              <w:widowControl w:val="0"/>
              <w:rPr>
                <w:b/>
              </w:rPr>
            </w:pPr>
            <w:r w:rsidRPr="00B07FB9">
              <w:rPr>
                <w:b/>
              </w:rPr>
              <w:t>% Change</w:t>
            </w:r>
          </w:p>
        </w:tc>
      </w:tr>
      <w:tr w:rsidR="000F687E" w:rsidRPr="00B07FB9" w14:paraId="560BAD90" w14:textId="77777777" w:rsidTr="0078239A">
        <w:tc>
          <w:tcPr>
            <w:tcW w:w="221" w:type="pct"/>
            <w:vAlign w:val="center"/>
          </w:tcPr>
          <w:p w14:paraId="1082E386" w14:textId="7B3FA5DA" w:rsidR="000F687E" w:rsidRPr="00B07FB9" w:rsidRDefault="000F687E" w:rsidP="00A4339A">
            <w:pPr>
              <w:pStyle w:val="TableText0"/>
              <w:keepLines/>
              <w:widowControl w:val="0"/>
            </w:pPr>
          </w:p>
        </w:tc>
        <w:tc>
          <w:tcPr>
            <w:tcW w:w="2723" w:type="pct"/>
            <w:vAlign w:val="center"/>
          </w:tcPr>
          <w:p w14:paraId="085F45E7" w14:textId="252AEFD6" w:rsidR="000F687E" w:rsidRPr="00B07FB9" w:rsidRDefault="000F687E" w:rsidP="00A4339A">
            <w:pPr>
              <w:pStyle w:val="TableText0"/>
              <w:keepLines/>
              <w:widowControl w:val="0"/>
            </w:pPr>
          </w:p>
        </w:tc>
        <w:tc>
          <w:tcPr>
            <w:tcW w:w="685" w:type="pct"/>
            <w:vAlign w:val="center"/>
          </w:tcPr>
          <w:p w14:paraId="4A096790" w14:textId="4EB231BD" w:rsidR="000F687E" w:rsidRPr="00B07FB9" w:rsidRDefault="000F687E" w:rsidP="00A4339A">
            <w:pPr>
              <w:pStyle w:val="TableText0"/>
              <w:keepLines/>
              <w:widowControl w:val="0"/>
              <w:jc w:val="center"/>
            </w:pPr>
          </w:p>
        </w:tc>
        <w:tc>
          <w:tcPr>
            <w:tcW w:w="685" w:type="pct"/>
            <w:vAlign w:val="center"/>
          </w:tcPr>
          <w:p w14:paraId="65D6E570" w14:textId="3DFDDA73" w:rsidR="000F687E" w:rsidRPr="00B07FB9" w:rsidRDefault="000F687E" w:rsidP="00A4339A">
            <w:pPr>
              <w:pStyle w:val="TableText0"/>
              <w:keepLines/>
              <w:widowControl w:val="0"/>
              <w:jc w:val="center"/>
            </w:pPr>
          </w:p>
        </w:tc>
        <w:tc>
          <w:tcPr>
            <w:tcW w:w="686" w:type="pct"/>
            <w:gridSpan w:val="2"/>
            <w:vAlign w:val="center"/>
          </w:tcPr>
          <w:p w14:paraId="002CE9A2" w14:textId="784D0676" w:rsidR="000F687E" w:rsidRPr="00B07FB9" w:rsidRDefault="000F687E" w:rsidP="00A4339A">
            <w:pPr>
              <w:pStyle w:val="TableText0"/>
              <w:keepLines/>
              <w:widowControl w:val="0"/>
              <w:jc w:val="center"/>
            </w:pPr>
          </w:p>
        </w:tc>
      </w:tr>
      <w:tr w:rsidR="00D842BD" w:rsidRPr="00B07FB9" w14:paraId="0A6E6CD4" w14:textId="77777777" w:rsidTr="0078239A">
        <w:tc>
          <w:tcPr>
            <w:tcW w:w="221" w:type="pct"/>
            <w:vAlign w:val="center"/>
          </w:tcPr>
          <w:p w14:paraId="4093CAE6" w14:textId="51C891D2" w:rsidR="00D842BD" w:rsidRPr="00B07FB9" w:rsidRDefault="00D842BD" w:rsidP="00A4339A">
            <w:pPr>
              <w:pStyle w:val="TableText0"/>
              <w:keepLines/>
              <w:widowControl w:val="0"/>
            </w:pPr>
          </w:p>
        </w:tc>
        <w:tc>
          <w:tcPr>
            <w:tcW w:w="2723" w:type="pct"/>
            <w:vAlign w:val="center"/>
          </w:tcPr>
          <w:p w14:paraId="00DBACCE" w14:textId="6ED73992" w:rsidR="00D842BD" w:rsidRPr="00B07FB9" w:rsidRDefault="00D842BD" w:rsidP="00A4339A">
            <w:pPr>
              <w:pStyle w:val="TableText0"/>
              <w:keepLines/>
              <w:widowControl w:val="0"/>
            </w:pPr>
          </w:p>
        </w:tc>
        <w:tc>
          <w:tcPr>
            <w:tcW w:w="685" w:type="pct"/>
            <w:vAlign w:val="center"/>
          </w:tcPr>
          <w:p w14:paraId="068106BF" w14:textId="5BBFF999" w:rsidR="00D842BD" w:rsidRPr="00B07FB9" w:rsidRDefault="00D842BD" w:rsidP="00A4339A">
            <w:pPr>
              <w:pStyle w:val="TableText0"/>
              <w:keepLines/>
              <w:widowControl w:val="0"/>
              <w:jc w:val="center"/>
            </w:pPr>
          </w:p>
        </w:tc>
        <w:tc>
          <w:tcPr>
            <w:tcW w:w="685" w:type="pct"/>
            <w:vAlign w:val="center"/>
          </w:tcPr>
          <w:p w14:paraId="1EEC91CD" w14:textId="1DFBB0F2" w:rsidR="00D842BD" w:rsidRPr="00B07FB9" w:rsidRDefault="00D842BD" w:rsidP="00A4339A">
            <w:pPr>
              <w:pStyle w:val="TableText0"/>
              <w:keepLines/>
              <w:widowControl w:val="0"/>
              <w:jc w:val="center"/>
            </w:pPr>
          </w:p>
        </w:tc>
        <w:tc>
          <w:tcPr>
            <w:tcW w:w="686" w:type="pct"/>
            <w:gridSpan w:val="2"/>
            <w:vAlign w:val="center"/>
          </w:tcPr>
          <w:p w14:paraId="74A21E39" w14:textId="53CA967A" w:rsidR="00D842BD" w:rsidRPr="00B07FB9" w:rsidRDefault="00D842BD" w:rsidP="00A4339A">
            <w:pPr>
              <w:pStyle w:val="TableText0"/>
              <w:keepLines/>
              <w:widowControl w:val="0"/>
              <w:jc w:val="center"/>
            </w:pPr>
          </w:p>
        </w:tc>
      </w:tr>
      <w:tr w:rsidR="00D842BD" w:rsidRPr="00B07FB9" w14:paraId="41BB99BC" w14:textId="77777777" w:rsidTr="0078239A">
        <w:tc>
          <w:tcPr>
            <w:tcW w:w="221" w:type="pct"/>
            <w:vAlign w:val="center"/>
          </w:tcPr>
          <w:p w14:paraId="53EDE8A2" w14:textId="2447A76D" w:rsidR="00D842BD" w:rsidRPr="00B07FB9" w:rsidRDefault="00E75FD7" w:rsidP="00A4339A">
            <w:pPr>
              <w:pStyle w:val="TableText0"/>
              <w:keepLines/>
              <w:widowControl w:val="0"/>
            </w:pPr>
            <w:r w:rsidRPr="00B07FB9">
              <w:t>#1</w:t>
            </w:r>
          </w:p>
        </w:tc>
        <w:tc>
          <w:tcPr>
            <w:tcW w:w="2723" w:type="pct"/>
            <w:vAlign w:val="center"/>
          </w:tcPr>
          <w:p w14:paraId="69027E1E" w14:textId="6EFE9CF5" w:rsidR="00D842BD" w:rsidRPr="00B07FB9" w:rsidRDefault="00D842BD" w:rsidP="00A4339A">
            <w:pPr>
              <w:pStyle w:val="TableText0"/>
              <w:keepLines/>
              <w:widowControl w:val="0"/>
            </w:pPr>
            <w:r w:rsidRPr="00B07FB9">
              <w:t xml:space="preserve">The same treatment duration applied to niraparib as </w:t>
            </w:r>
            <w:proofErr w:type="spellStart"/>
            <w:r w:rsidRPr="00B07FB9">
              <w:t>olaparib</w:t>
            </w:r>
            <w:proofErr w:type="spellEnd"/>
            <w:r w:rsidRPr="00B07FB9">
              <w:t xml:space="preserve"> (20.9 months) </w:t>
            </w:r>
          </w:p>
        </w:tc>
        <w:tc>
          <w:tcPr>
            <w:tcW w:w="685" w:type="pct"/>
            <w:vAlign w:val="center"/>
          </w:tcPr>
          <w:p w14:paraId="1FAD3AFD" w14:textId="358BA763" w:rsidR="00D842BD" w:rsidRPr="00B07FB9" w:rsidRDefault="00D842BD"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22"/>
                <w14:textFill>
                  <w14:solidFill>
                    <w14:srgbClr w14:val="000000">
                      <w14:alpha w14:val="100000"/>
                    </w14:srgbClr>
                  </w14:solidFill>
                </w14:textFill>
              </w:rPr>
              <w:t xml:space="preserve">　</w:t>
            </w:r>
            <w:r w:rsidR="007A0897" w:rsidRPr="007A0897">
              <w:rPr>
                <w:color w:val="000000"/>
                <w:w w:val="15"/>
                <w:shd w:val="solid" w:color="000000" w:fill="000000"/>
                <w:fitText w:val="70" w:id="-1500824822"/>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22"/>
                <w14:textFill>
                  <w14:solidFill>
                    <w14:srgbClr w14:val="000000">
                      <w14:alpha w14:val="100000"/>
                    </w14:srgbClr>
                  </w14:solidFill>
                </w14:textFill>
              </w:rPr>
              <w:t xml:space="preserve">　</w:t>
            </w:r>
          </w:p>
        </w:tc>
        <w:tc>
          <w:tcPr>
            <w:tcW w:w="685" w:type="pct"/>
            <w:vAlign w:val="center"/>
          </w:tcPr>
          <w:p w14:paraId="53BCB993" w14:textId="1F4C2889" w:rsidR="00D842BD" w:rsidRPr="00B07FB9" w:rsidRDefault="00D842BD"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21"/>
                <w14:textFill>
                  <w14:solidFill>
                    <w14:srgbClr w14:val="000000">
                      <w14:alpha w14:val="100000"/>
                    </w14:srgbClr>
                  </w14:solidFill>
                </w14:textFill>
              </w:rPr>
              <w:t xml:space="preserve">　</w:t>
            </w:r>
            <w:r w:rsidR="007A0897" w:rsidRPr="007A0897">
              <w:rPr>
                <w:color w:val="000000"/>
                <w:w w:val="15"/>
                <w:shd w:val="solid" w:color="000000" w:fill="000000"/>
                <w:fitText w:val="70" w:id="-1500824821"/>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21"/>
                <w14:textFill>
                  <w14:solidFill>
                    <w14:srgbClr w14:val="000000">
                      <w14:alpha w14:val="100000"/>
                    </w14:srgbClr>
                  </w14:solidFill>
                </w14:textFill>
              </w:rPr>
              <w:t xml:space="preserve">　</w:t>
            </w:r>
          </w:p>
        </w:tc>
        <w:tc>
          <w:tcPr>
            <w:tcW w:w="686" w:type="pct"/>
            <w:gridSpan w:val="2"/>
            <w:vAlign w:val="center"/>
          </w:tcPr>
          <w:p w14:paraId="0A28290D" w14:textId="33579C6E" w:rsidR="00D842BD" w:rsidRPr="00B07FB9" w:rsidRDefault="00066BC9" w:rsidP="00A4339A">
            <w:pPr>
              <w:pStyle w:val="TableText0"/>
              <w:keepLines/>
              <w:widowControl w:val="0"/>
              <w:jc w:val="center"/>
            </w:pPr>
            <w:r w:rsidRPr="00B07FB9">
              <w:t>19.6</w:t>
            </w:r>
            <w:r w:rsidR="00D842BD" w:rsidRPr="00B07FB9">
              <w:t>%</w:t>
            </w:r>
          </w:p>
        </w:tc>
      </w:tr>
      <w:tr w:rsidR="00D842BD" w:rsidRPr="00B07FB9" w14:paraId="6F3B1439" w14:textId="77777777" w:rsidTr="0078239A">
        <w:tc>
          <w:tcPr>
            <w:tcW w:w="221" w:type="pct"/>
            <w:vAlign w:val="center"/>
          </w:tcPr>
          <w:p w14:paraId="59426FC0" w14:textId="728CAA4D" w:rsidR="00D842BD" w:rsidRPr="00B07FB9" w:rsidRDefault="00E75FD7" w:rsidP="00A4339A">
            <w:pPr>
              <w:pStyle w:val="TableText0"/>
              <w:keepLines/>
              <w:widowControl w:val="0"/>
            </w:pPr>
            <w:r w:rsidRPr="00B07FB9">
              <w:t>#2</w:t>
            </w:r>
          </w:p>
        </w:tc>
        <w:tc>
          <w:tcPr>
            <w:tcW w:w="2723" w:type="pct"/>
            <w:vAlign w:val="center"/>
          </w:tcPr>
          <w:p w14:paraId="16B535A9" w14:textId="76FDE235" w:rsidR="003E6DE2" w:rsidRPr="00B07FB9" w:rsidRDefault="003E6DE2" w:rsidP="00A4339A">
            <w:pPr>
              <w:pStyle w:val="TableText0"/>
              <w:keepLines/>
              <w:widowControl w:val="0"/>
              <w:rPr>
                <w:rFonts w:cs="Times New Roman"/>
                <w:bCs w:val="0"/>
                <w:snapToGrid w:val="0"/>
              </w:rPr>
            </w:pPr>
            <w:proofErr w:type="spellStart"/>
            <w:r w:rsidRPr="00B07FB9">
              <w:t>Equi</w:t>
            </w:r>
            <w:proofErr w:type="spellEnd"/>
            <w:r w:rsidRPr="00B07FB9">
              <w:t xml:space="preserve">-effective dosing based on PI </w:t>
            </w:r>
            <w:proofErr w:type="spellStart"/>
            <w:r w:rsidRPr="00B07FB9">
              <w:t>recommendations</w:t>
            </w:r>
            <w:r w:rsidR="00613529" w:rsidRPr="00B07FB9">
              <w:rPr>
                <w:rFonts w:cs="Times New Roman"/>
                <w:bCs w:val="0"/>
                <w:snapToGrid w:val="0"/>
                <w:vertAlign w:val="superscript"/>
              </w:rPr>
              <w:t>a</w:t>
            </w:r>
            <w:proofErr w:type="spellEnd"/>
          </w:p>
          <w:p w14:paraId="40D856EE" w14:textId="62D8F1BF" w:rsidR="003E6DE2" w:rsidRPr="00B07FB9" w:rsidRDefault="003E6DE2" w:rsidP="00A4339A">
            <w:pPr>
              <w:pStyle w:val="TableText0"/>
              <w:keepLines/>
              <w:widowControl w:val="0"/>
              <w:rPr>
                <w:rFonts w:cs="Times New Roman"/>
                <w:bCs w:val="0"/>
                <w:snapToGrid w:val="0"/>
              </w:rPr>
            </w:pPr>
            <w:r w:rsidRPr="00B07FB9">
              <w:rPr>
                <w:rFonts w:cs="Times New Roman"/>
                <w:bCs w:val="0"/>
                <w:snapToGrid w:val="0"/>
              </w:rPr>
              <w:t>Niraparib: 225.1 mg</w:t>
            </w:r>
            <w:r w:rsidR="00613529" w:rsidRPr="00B07FB9">
              <w:rPr>
                <w:rFonts w:cs="Times New Roman"/>
                <w:bCs w:val="0"/>
                <w:snapToGrid w:val="0"/>
              </w:rPr>
              <w:t xml:space="preserve"> once </w:t>
            </w:r>
            <w:proofErr w:type="spellStart"/>
            <w:r w:rsidR="00613529" w:rsidRPr="00B07FB9">
              <w:rPr>
                <w:rFonts w:cs="Times New Roman"/>
                <w:bCs w:val="0"/>
                <w:snapToGrid w:val="0"/>
              </w:rPr>
              <w:t>daily</w:t>
            </w:r>
            <w:r w:rsidR="00566C9A" w:rsidRPr="00B07FB9">
              <w:rPr>
                <w:rFonts w:cs="Times New Roman"/>
                <w:bCs w:val="0"/>
                <w:snapToGrid w:val="0"/>
                <w:vertAlign w:val="superscript"/>
              </w:rPr>
              <w:t>b</w:t>
            </w:r>
            <w:proofErr w:type="spellEnd"/>
          </w:p>
          <w:p w14:paraId="468BCDB0" w14:textId="77777777" w:rsidR="003E6DE2" w:rsidRPr="00B07FB9" w:rsidRDefault="003E6DE2" w:rsidP="00A4339A">
            <w:pPr>
              <w:pStyle w:val="TableText0"/>
              <w:keepLines/>
              <w:widowControl w:val="0"/>
              <w:rPr>
                <w:rFonts w:cs="Times New Roman"/>
                <w:bCs w:val="0"/>
                <w:snapToGrid w:val="0"/>
              </w:rPr>
            </w:pPr>
            <w:r w:rsidRPr="00B07FB9">
              <w:rPr>
                <w:rFonts w:cs="Times New Roman"/>
                <w:bCs w:val="0"/>
                <w:snapToGrid w:val="0"/>
              </w:rPr>
              <w:t>Olaparib: 300 mg twice daily</w:t>
            </w:r>
          </w:p>
          <w:p w14:paraId="64C5F476" w14:textId="6B9E3A48" w:rsidR="003E23EE" w:rsidRPr="00B07FB9" w:rsidRDefault="003E6DE2" w:rsidP="00A4339A">
            <w:pPr>
              <w:pStyle w:val="TableText0"/>
              <w:keepLines/>
              <w:widowControl w:val="0"/>
            </w:pPr>
            <w:r w:rsidRPr="00B07FB9">
              <w:rPr>
                <w:rFonts w:cs="Times New Roman"/>
                <w:bCs w:val="0"/>
                <w:snapToGrid w:val="0"/>
              </w:rPr>
              <w:t>Treatment duration</w:t>
            </w:r>
            <w:r w:rsidR="00613529" w:rsidRPr="00B07FB9">
              <w:rPr>
                <w:rFonts w:cs="Times New Roman"/>
                <w:bCs w:val="0"/>
                <w:snapToGrid w:val="0"/>
              </w:rPr>
              <w:t xml:space="preserve"> (as in the base case)</w:t>
            </w:r>
          </w:p>
        </w:tc>
        <w:tc>
          <w:tcPr>
            <w:tcW w:w="685" w:type="pct"/>
            <w:vAlign w:val="center"/>
          </w:tcPr>
          <w:p w14:paraId="194044C3" w14:textId="487596E1" w:rsidR="00D842BD" w:rsidRPr="00B07FB9" w:rsidRDefault="00566C9A"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20"/>
                <w14:textFill>
                  <w14:solidFill>
                    <w14:srgbClr w14:val="000000">
                      <w14:alpha w14:val="100000"/>
                    </w14:srgbClr>
                  </w14:solidFill>
                </w14:textFill>
              </w:rPr>
              <w:t xml:space="preserve">　</w:t>
            </w:r>
            <w:r w:rsidR="007A0897" w:rsidRPr="007A0897">
              <w:rPr>
                <w:color w:val="000000"/>
                <w:w w:val="15"/>
                <w:shd w:val="solid" w:color="000000" w:fill="000000"/>
                <w:fitText w:val="70" w:id="-1500824820"/>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20"/>
                <w14:textFill>
                  <w14:solidFill>
                    <w14:srgbClr w14:val="000000">
                      <w14:alpha w14:val="100000"/>
                    </w14:srgbClr>
                  </w14:solidFill>
                </w14:textFill>
              </w:rPr>
              <w:t xml:space="preserve">　</w:t>
            </w:r>
          </w:p>
        </w:tc>
        <w:tc>
          <w:tcPr>
            <w:tcW w:w="685" w:type="pct"/>
            <w:vAlign w:val="center"/>
          </w:tcPr>
          <w:p w14:paraId="519AA3E9" w14:textId="4AC4CB03" w:rsidR="00D842BD" w:rsidRPr="00B07FB9" w:rsidRDefault="00566C9A"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19"/>
                <w14:textFill>
                  <w14:solidFill>
                    <w14:srgbClr w14:val="000000">
                      <w14:alpha w14:val="100000"/>
                    </w14:srgbClr>
                  </w14:solidFill>
                </w14:textFill>
              </w:rPr>
              <w:t xml:space="preserve">　</w:t>
            </w:r>
            <w:r w:rsidR="007A0897" w:rsidRPr="007A0897">
              <w:rPr>
                <w:color w:val="000000"/>
                <w:w w:val="15"/>
                <w:shd w:val="solid" w:color="000000" w:fill="000000"/>
                <w:fitText w:val="70" w:id="-1500824819"/>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19"/>
                <w14:textFill>
                  <w14:solidFill>
                    <w14:srgbClr w14:val="000000">
                      <w14:alpha w14:val="100000"/>
                    </w14:srgbClr>
                  </w14:solidFill>
                </w14:textFill>
              </w:rPr>
              <w:t xml:space="preserve">　</w:t>
            </w:r>
          </w:p>
        </w:tc>
        <w:tc>
          <w:tcPr>
            <w:tcW w:w="686" w:type="pct"/>
            <w:gridSpan w:val="2"/>
            <w:vAlign w:val="center"/>
          </w:tcPr>
          <w:p w14:paraId="348F0EE4" w14:textId="5B44FB25" w:rsidR="00D842BD" w:rsidRPr="00B07FB9" w:rsidRDefault="00D96B0E" w:rsidP="00A4339A">
            <w:pPr>
              <w:pStyle w:val="TableText0"/>
              <w:keepLines/>
              <w:widowControl w:val="0"/>
              <w:jc w:val="center"/>
            </w:pPr>
            <w:r w:rsidRPr="00B07FB9">
              <w:t>-</w:t>
            </w:r>
            <w:r w:rsidR="00566C9A" w:rsidRPr="00B07FB9">
              <w:t>28.0%</w:t>
            </w:r>
          </w:p>
        </w:tc>
      </w:tr>
      <w:tr w:rsidR="0062532A" w:rsidRPr="00B07FB9" w14:paraId="7D62DC06" w14:textId="77777777" w:rsidTr="0078239A">
        <w:tc>
          <w:tcPr>
            <w:tcW w:w="221" w:type="pct"/>
            <w:vAlign w:val="center"/>
          </w:tcPr>
          <w:p w14:paraId="74520B72" w14:textId="29E51F1E" w:rsidR="0062532A" w:rsidRPr="00B07FB9" w:rsidRDefault="00E75FD7" w:rsidP="00A4339A">
            <w:pPr>
              <w:pStyle w:val="TableText0"/>
              <w:keepLines/>
              <w:widowControl w:val="0"/>
            </w:pPr>
            <w:r w:rsidRPr="00B07FB9">
              <w:t>#3</w:t>
            </w:r>
          </w:p>
        </w:tc>
        <w:tc>
          <w:tcPr>
            <w:tcW w:w="2723" w:type="pct"/>
            <w:vAlign w:val="center"/>
          </w:tcPr>
          <w:p w14:paraId="0A8DFD18" w14:textId="3BF32140" w:rsidR="0062532A" w:rsidRPr="00B07FB9" w:rsidRDefault="0062532A" w:rsidP="00A4339A">
            <w:pPr>
              <w:pStyle w:val="TableText0"/>
              <w:keepLines/>
              <w:widowControl w:val="0"/>
            </w:pPr>
            <w:r w:rsidRPr="00B07FB9">
              <w:t>Increased niraparib treatment duration (to 29 months)</w:t>
            </w:r>
          </w:p>
        </w:tc>
        <w:tc>
          <w:tcPr>
            <w:tcW w:w="685" w:type="pct"/>
            <w:vAlign w:val="center"/>
          </w:tcPr>
          <w:p w14:paraId="04332BC2" w14:textId="0F515127" w:rsidR="0062532A" w:rsidRPr="00B07FB9" w:rsidRDefault="0062532A"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18"/>
                <w14:textFill>
                  <w14:solidFill>
                    <w14:srgbClr w14:val="000000">
                      <w14:alpha w14:val="100000"/>
                    </w14:srgbClr>
                  </w14:solidFill>
                </w14:textFill>
              </w:rPr>
              <w:t xml:space="preserve">　</w:t>
            </w:r>
            <w:r w:rsidR="007A0897" w:rsidRPr="007A0897">
              <w:rPr>
                <w:color w:val="000000"/>
                <w:w w:val="15"/>
                <w:shd w:val="solid" w:color="000000" w:fill="000000"/>
                <w:fitText w:val="70" w:id="-1500824818"/>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18"/>
                <w14:textFill>
                  <w14:solidFill>
                    <w14:srgbClr w14:val="000000">
                      <w14:alpha w14:val="100000"/>
                    </w14:srgbClr>
                  </w14:solidFill>
                </w14:textFill>
              </w:rPr>
              <w:t xml:space="preserve">　</w:t>
            </w:r>
          </w:p>
        </w:tc>
        <w:tc>
          <w:tcPr>
            <w:tcW w:w="685" w:type="pct"/>
            <w:vAlign w:val="center"/>
          </w:tcPr>
          <w:p w14:paraId="3A226122" w14:textId="25260CB6" w:rsidR="0062532A" w:rsidRPr="00B07FB9" w:rsidRDefault="0062532A"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17"/>
                <w14:textFill>
                  <w14:solidFill>
                    <w14:srgbClr w14:val="000000">
                      <w14:alpha w14:val="100000"/>
                    </w14:srgbClr>
                  </w14:solidFill>
                </w14:textFill>
              </w:rPr>
              <w:t xml:space="preserve">　</w:t>
            </w:r>
            <w:r w:rsidR="007A0897" w:rsidRPr="007A0897">
              <w:rPr>
                <w:color w:val="000000"/>
                <w:w w:val="15"/>
                <w:shd w:val="solid" w:color="000000" w:fill="000000"/>
                <w:fitText w:val="70" w:id="-1500824817"/>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17"/>
                <w14:textFill>
                  <w14:solidFill>
                    <w14:srgbClr w14:val="000000">
                      <w14:alpha w14:val="100000"/>
                    </w14:srgbClr>
                  </w14:solidFill>
                </w14:textFill>
              </w:rPr>
              <w:t xml:space="preserve">　</w:t>
            </w:r>
          </w:p>
        </w:tc>
        <w:tc>
          <w:tcPr>
            <w:tcW w:w="686" w:type="pct"/>
            <w:gridSpan w:val="2"/>
            <w:vAlign w:val="center"/>
          </w:tcPr>
          <w:p w14:paraId="53F51CE8" w14:textId="01996C7B" w:rsidR="0062532A" w:rsidRPr="00B07FB9" w:rsidRDefault="0062532A" w:rsidP="00A4339A">
            <w:pPr>
              <w:pStyle w:val="TableText0"/>
              <w:keepLines/>
              <w:widowControl w:val="0"/>
              <w:jc w:val="center"/>
            </w:pPr>
            <w:r w:rsidRPr="00B07FB9">
              <w:t>-13.8%</w:t>
            </w:r>
          </w:p>
        </w:tc>
      </w:tr>
      <w:tr w:rsidR="0062532A" w:rsidRPr="00B07FB9" w14:paraId="2BD2578E" w14:textId="77777777" w:rsidTr="0078239A">
        <w:tc>
          <w:tcPr>
            <w:tcW w:w="221" w:type="pct"/>
            <w:vAlign w:val="center"/>
          </w:tcPr>
          <w:p w14:paraId="0E486934" w14:textId="64717046" w:rsidR="0062532A" w:rsidRPr="00B07FB9" w:rsidRDefault="00E75FD7" w:rsidP="00A4339A">
            <w:pPr>
              <w:pStyle w:val="TableText0"/>
              <w:keepLines/>
              <w:widowControl w:val="0"/>
            </w:pPr>
            <w:r w:rsidRPr="00B07FB9">
              <w:t>#4</w:t>
            </w:r>
          </w:p>
        </w:tc>
        <w:tc>
          <w:tcPr>
            <w:tcW w:w="2723" w:type="pct"/>
            <w:vAlign w:val="center"/>
          </w:tcPr>
          <w:p w14:paraId="0AF8AC70" w14:textId="794F66F8" w:rsidR="0062532A" w:rsidRPr="00B07FB9" w:rsidRDefault="0062532A" w:rsidP="00A4339A">
            <w:pPr>
              <w:pStyle w:val="TableText0"/>
              <w:keepLines/>
              <w:widowControl w:val="0"/>
            </w:pPr>
            <w:r w:rsidRPr="00B07FB9">
              <w:t>Increased niraparib mean dose intensity in PRIMA ITT cohort (to 174.7 mg/day)</w:t>
            </w:r>
          </w:p>
        </w:tc>
        <w:tc>
          <w:tcPr>
            <w:tcW w:w="685" w:type="pct"/>
            <w:vAlign w:val="center"/>
          </w:tcPr>
          <w:p w14:paraId="00FBEF2D" w14:textId="0826C244" w:rsidR="0062532A" w:rsidRPr="00B07FB9" w:rsidRDefault="0062532A"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16"/>
                <w14:textFill>
                  <w14:solidFill>
                    <w14:srgbClr w14:val="000000">
                      <w14:alpha w14:val="100000"/>
                    </w14:srgbClr>
                  </w14:solidFill>
                </w14:textFill>
              </w:rPr>
              <w:t xml:space="preserve">　</w:t>
            </w:r>
            <w:r w:rsidR="007A0897" w:rsidRPr="007A0897">
              <w:rPr>
                <w:color w:val="000000"/>
                <w:w w:val="15"/>
                <w:shd w:val="solid" w:color="000000" w:fill="000000"/>
                <w:fitText w:val="70" w:id="-1500824816"/>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16"/>
                <w14:textFill>
                  <w14:solidFill>
                    <w14:srgbClr w14:val="000000">
                      <w14:alpha w14:val="100000"/>
                    </w14:srgbClr>
                  </w14:solidFill>
                </w14:textFill>
              </w:rPr>
              <w:t xml:space="preserve">　</w:t>
            </w:r>
          </w:p>
        </w:tc>
        <w:tc>
          <w:tcPr>
            <w:tcW w:w="685" w:type="pct"/>
            <w:vAlign w:val="center"/>
          </w:tcPr>
          <w:p w14:paraId="5C134473" w14:textId="49B8ECF3" w:rsidR="0062532A" w:rsidRPr="00B07FB9" w:rsidRDefault="0062532A"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32"/>
                <w14:textFill>
                  <w14:solidFill>
                    <w14:srgbClr w14:val="000000">
                      <w14:alpha w14:val="100000"/>
                    </w14:srgbClr>
                  </w14:solidFill>
                </w14:textFill>
              </w:rPr>
              <w:t xml:space="preserve">　</w:t>
            </w:r>
            <w:r w:rsidR="007A0897" w:rsidRPr="007A0897">
              <w:rPr>
                <w:color w:val="000000"/>
                <w:w w:val="15"/>
                <w:shd w:val="solid" w:color="000000" w:fill="000000"/>
                <w:fitText w:val="70" w:id="-1500824832"/>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32"/>
                <w14:textFill>
                  <w14:solidFill>
                    <w14:srgbClr w14:val="000000">
                      <w14:alpha w14:val="100000"/>
                    </w14:srgbClr>
                  </w14:solidFill>
                </w14:textFill>
              </w:rPr>
              <w:t xml:space="preserve">　</w:t>
            </w:r>
          </w:p>
        </w:tc>
        <w:tc>
          <w:tcPr>
            <w:tcW w:w="686" w:type="pct"/>
            <w:gridSpan w:val="2"/>
            <w:vAlign w:val="center"/>
          </w:tcPr>
          <w:p w14:paraId="6A35C4F8" w14:textId="0AD2AEA1" w:rsidR="0062532A" w:rsidRPr="00B07FB9" w:rsidRDefault="0062532A" w:rsidP="00A4339A">
            <w:pPr>
              <w:pStyle w:val="TableText0"/>
              <w:keepLines/>
              <w:widowControl w:val="0"/>
              <w:jc w:val="center"/>
            </w:pPr>
            <w:r w:rsidRPr="00B07FB9">
              <w:t>-7.2%</w:t>
            </w:r>
          </w:p>
        </w:tc>
      </w:tr>
      <w:tr w:rsidR="00066BC9" w:rsidRPr="00B07FB9" w14:paraId="61E80A82" w14:textId="77777777" w:rsidTr="0078239A">
        <w:tc>
          <w:tcPr>
            <w:tcW w:w="221" w:type="pct"/>
            <w:vAlign w:val="center"/>
          </w:tcPr>
          <w:p w14:paraId="2BB2B1BC" w14:textId="63A2A180" w:rsidR="00066BC9" w:rsidRPr="00B07FB9" w:rsidRDefault="00E75FD7" w:rsidP="00A4339A">
            <w:pPr>
              <w:pStyle w:val="TableText0"/>
              <w:keepLines/>
              <w:widowControl w:val="0"/>
            </w:pPr>
            <w:r w:rsidRPr="00B07FB9">
              <w:t>#5</w:t>
            </w:r>
          </w:p>
        </w:tc>
        <w:tc>
          <w:tcPr>
            <w:tcW w:w="2723" w:type="pct"/>
            <w:vAlign w:val="center"/>
          </w:tcPr>
          <w:p w14:paraId="015941AF" w14:textId="45F10134" w:rsidR="00066BC9" w:rsidRPr="00B07FB9" w:rsidRDefault="00066BC9" w:rsidP="00A4339A">
            <w:pPr>
              <w:pStyle w:val="TableText0"/>
              <w:keepLines/>
              <w:widowControl w:val="0"/>
            </w:pPr>
            <w:r w:rsidRPr="00B07FB9">
              <w:t xml:space="preserve">Reduced </w:t>
            </w:r>
            <w:proofErr w:type="spellStart"/>
            <w:r w:rsidRPr="00B07FB9">
              <w:t>olaparib</w:t>
            </w:r>
            <w:proofErr w:type="spellEnd"/>
            <w:r w:rsidRPr="00B07FB9">
              <w:t xml:space="preserve"> dose intensity (558.80 mg/day in SOLO-1)</w:t>
            </w:r>
          </w:p>
        </w:tc>
        <w:tc>
          <w:tcPr>
            <w:tcW w:w="685" w:type="pct"/>
            <w:vAlign w:val="center"/>
          </w:tcPr>
          <w:p w14:paraId="58397585" w14:textId="4B715767" w:rsidR="00066BC9" w:rsidRPr="00B07FB9" w:rsidRDefault="00066BC9"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31"/>
                <w14:textFill>
                  <w14:solidFill>
                    <w14:srgbClr w14:val="000000">
                      <w14:alpha w14:val="100000"/>
                    </w14:srgbClr>
                  </w14:solidFill>
                </w14:textFill>
              </w:rPr>
              <w:t xml:space="preserve">　</w:t>
            </w:r>
            <w:r w:rsidR="007A0897" w:rsidRPr="007A0897">
              <w:rPr>
                <w:color w:val="000000"/>
                <w:w w:val="15"/>
                <w:shd w:val="solid" w:color="000000" w:fill="000000"/>
                <w:fitText w:val="70" w:id="-1500824831"/>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31"/>
                <w14:textFill>
                  <w14:solidFill>
                    <w14:srgbClr w14:val="000000">
                      <w14:alpha w14:val="100000"/>
                    </w14:srgbClr>
                  </w14:solidFill>
                </w14:textFill>
              </w:rPr>
              <w:t xml:space="preserve">　</w:t>
            </w:r>
          </w:p>
        </w:tc>
        <w:tc>
          <w:tcPr>
            <w:tcW w:w="685" w:type="pct"/>
            <w:vAlign w:val="center"/>
          </w:tcPr>
          <w:p w14:paraId="2F5E49D5" w14:textId="0C5E82E3" w:rsidR="00066BC9" w:rsidRPr="00B07FB9" w:rsidRDefault="00066BC9" w:rsidP="00A4339A">
            <w:pPr>
              <w:pStyle w:val="TableText0"/>
              <w:keepLines/>
              <w:widowControl w:val="0"/>
              <w:jc w:val="center"/>
            </w:pPr>
            <w:r w:rsidRPr="00B07FB9">
              <w:t>$</w:t>
            </w:r>
            <w:r w:rsidR="007A0897" w:rsidRPr="007A0897">
              <w:rPr>
                <w:rFonts w:hint="eastAsia"/>
                <w:color w:val="000000"/>
                <w:w w:val="15"/>
                <w:shd w:val="solid" w:color="000000" w:fill="000000"/>
                <w:fitText w:val="70" w:id="-1500824830"/>
                <w14:textFill>
                  <w14:solidFill>
                    <w14:srgbClr w14:val="000000">
                      <w14:alpha w14:val="100000"/>
                    </w14:srgbClr>
                  </w14:solidFill>
                </w14:textFill>
              </w:rPr>
              <w:t xml:space="preserve">　</w:t>
            </w:r>
            <w:r w:rsidR="007A0897" w:rsidRPr="007A0897">
              <w:rPr>
                <w:color w:val="000000"/>
                <w:w w:val="15"/>
                <w:shd w:val="solid" w:color="000000" w:fill="000000"/>
                <w:fitText w:val="70" w:id="-1500824830"/>
                <w14:textFill>
                  <w14:solidFill>
                    <w14:srgbClr w14:val="000000">
                      <w14:alpha w14:val="100000"/>
                    </w14:srgbClr>
                  </w14:solidFill>
                </w14:textFill>
              </w:rPr>
              <w:t>|</w:t>
            </w:r>
            <w:r w:rsidR="007A0897" w:rsidRPr="007A0897">
              <w:rPr>
                <w:rFonts w:hint="eastAsia"/>
                <w:color w:val="000000"/>
                <w:spacing w:val="4"/>
                <w:w w:val="15"/>
                <w:shd w:val="solid" w:color="000000" w:fill="000000"/>
                <w:fitText w:val="70" w:id="-1500824830"/>
                <w14:textFill>
                  <w14:solidFill>
                    <w14:srgbClr w14:val="000000">
                      <w14:alpha w14:val="100000"/>
                    </w14:srgbClr>
                  </w14:solidFill>
                </w14:textFill>
              </w:rPr>
              <w:t xml:space="preserve">　</w:t>
            </w:r>
          </w:p>
        </w:tc>
        <w:tc>
          <w:tcPr>
            <w:tcW w:w="686" w:type="pct"/>
            <w:gridSpan w:val="2"/>
            <w:vAlign w:val="center"/>
          </w:tcPr>
          <w:p w14:paraId="4F433F81" w14:textId="74554554" w:rsidR="00066BC9" w:rsidRPr="00B07FB9" w:rsidRDefault="00066BC9" w:rsidP="00A4339A">
            <w:pPr>
              <w:pStyle w:val="TableText0"/>
              <w:keepLines/>
              <w:widowControl w:val="0"/>
              <w:jc w:val="center"/>
            </w:pPr>
            <w:r w:rsidRPr="00B07FB9">
              <w:t>-6.9%</w:t>
            </w:r>
          </w:p>
        </w:tc>
      </w:tr>
    </w:tbl>
    <w:p w14:paraId="2AD55340" w14:textId="77777777" w:rsidR="00460E9B" w:rsidRPr="00B07FB9" w:rsidRDefault="00460E9B" w:rsidP="000C6F49">
      <w:pPr>
        <w:pStyle w:val="TableFigureFooter"/>
        <w:widowControl w:val="0"/>
        <w:rPr>
          <w:rFonts w:eastAsiaTheme="majorEastAsia"/>
        </w:rPr>
      </w:pPr>
      <w:r w:rsidRPr="00B07FB9">
        <w:rPr>
          <w:rFonts w:eastAsiaTheme="majorEastAsia"/>
        </w:rPr>
        <w:t>Source: Table compiled during the evaluation using the Excel workbook ‘’</w:t>
      </w:r>
      <w:proofErr w:type="spellStart"/>
      <w:r w:rsidRPr="00B07FB9">
        <w:rPr>
          <w:rFonts w:eastAsiaTheme="majorEastAsia"/>
        </w:rPr>
        <w:t>Zejula</w:t>
      </w:r>
      <w:proofErr w:type="spellEnd"/>
      <w:r w:rsidRPr="00B07FB9">
        <w:rPr>
          <w:rFonts w:eastAsiaTheme="majorEastAsia"/>
        </w:rPr>
        <w:t xml:space="preserve"> (niraparib) 1L </w:t>
      </w:r>
      <w:proofErr w:type="spellStart"/>
      <w:r w:rsidRPr="00B07FB9">
        <w:rPr>
          <w:rFonts w:eastAsiaTheme="majorEastAsia"/>
        </w:rPr>
        <w:t>BRCAm</w:t>
      </w:r>
      <w:proofErr w:type="spellEnd"/>
      <w:r w:rsidRPr="00B07FB9">
        <w:rPr>
          <w:rFonts w:eastAsiaTheme="majorEastAsia"/>
        </w:rPr>
        <w:t xml:space="preserve"> CMA’</w:t>
      </w:r>
    </w:p>
    <w:p w14:paraId="54E78F06" w14:textId="5694DCAB" w:rsidR="00460E9B" w:rsidRPr="00B07FB9" w:rsidRDefault="00460E9B" w:rsidP="000C6F49">
      <w:pPr>
        <w:pStyle w:val="TableFigureFooter"/>
        <w:widowControl w:val="0"/>
        <w:rPr>
          <w:rFonts w:eastAsiaTheme="majorEastAsia"/>
        </w:rPr>
      </w:pPr>
      <w:r w:rsidRPr="00B07FB9">
        <w:rPr>
          <w:rFonts w:eastAsiaTheme="majorEastAsia"/>
        </w:rPr>
        <w:t xml:space="preserve">AEMP = approved ex-manufacturer price; </w:t>
      </w:r>
      <w:proofErr w:type="spellStart"/>
      <w:r w:rsidRPr="00B07FB9">
        <w:t>BRCAm</w:t>
      </w:r>
      <w:proofErr w:type="spellEnd"/>
      <w:r w:rsidRPr="00B07FB9">
        <w:t xml:space="preserve"> = </w:t>
      </w:r>
      <w:r w:rsidR="00B86754" w:rsidRPr="00B07FB9">
        <w:t>BRCA gene mutation</w:t>
      </w:r>
      <w:r w:rsidRPr="00B07FB9">
        <w:t xml:space="preserve">; </w:t>
      </w:r>
      <w:r w:rsidRPr="00B07FB9">
        <w:rPr>
          <w:rFonts w:eastAsiaTheme="majorEastAsia"/>
        </w:rPr>
        <w:t>EMP = ex-manufacturer price; ISD = individualised starting dose, ITT = intention-to-treat</w:t>
      </w:r>
      <w:r w:rsidR="000669B9" w:rsidRPr="00B07FB9">
        <w:rPr>
          <w:rFonts w:eastAsiaTheme="majorEastAsia"/>
        </w:rPr>
        <w:t>; PI = product information</w:t>
      </w:r>
    </w:p>
    <w:p w14:paraId="45F2A62A" w14:textId="4086718E" w:rsidR="00613529" w:rsidRPr="00B07FB9" w:rsidRDefault="00613529" w:rsidP="000C6F49">
      <w:pPr>
        <w:pStyle w:val="TableFigureFooter"/>
        <w:widowControl w:val="0"/>
        <w:rPr>
          <w:rFonts w:eastAsiaTheme="majorEastAsia"/>
        </w:rPr>
      </w:pPr>
      <w:proofErr w:type="spellStart"/>
      <w:r w:rsidRPr="00B07FB9">
        <w:rPr>
          <w:rFonts w:eastAsiaTheme="majorEastAsia"/>
          <w:vertAlign w:val="superscript"/>
        </w:rPr>
        <w:t>a</w:t>
      </w:r>
      <w:proofErr w:type="spellEnd"/>
      <w:r w:rsidRPr="00B07FB9">
        <w:rPr>
          <w:rFonts w:eastAsiaTheme="majorEastAsia"/>
        </w:rPr>
        <w:t xml:space="preserve"> The recommended starting dose of niraparib is 200 mg (two 100 mg capsules) taken once daily. For patients who weigh ≥ 77 kg and have baseline platelet count ≥150,000/</w:t>
      </w:r>
      <w:proofErr w:type="spellStart"/>
      <w:r w:rsidRPr="00B07FB9">
        <w:rPr>
          <w:rFonts w:eastAsiaTheme="majorEastAsia"/>
        </w:rPr>
        <w:t>μL</w:t>
      </w:r>
      <w:proofErr w:type="spellEnd"/>
      <w:r w:rsidRPr="00B07FB9">
        <w:rPr>
          <w:rFonts w:eastAsiaTheme="majorEastAsia"/>
        </w:rPr>
        <w:t xml:space="preserve">, the recommended starting dose of niraparib is 300 mg (three 100 mg capsules) taken orally once daily. </w:t>
      </w:r>
      <w:r w:rsidR="00566C9A" w:rsidRPr="00B07FB9">
        <w:rPr>
          <w:rFonts w:eastAsiaTheme="majorEastAsia"/>
        </w:rPr>
        <w:t xml:space="preserve">For </w:t>
      </w:r>
      <w:proofErr w:type="spellStart"/>
      <w:r w:rsidR="00566C9A" w:rsidRPr="00B07FB9">
        <w:rPr>
          <w:rFonts w:eastAsiaTheme="majorEastAsia"/>
        </w:rPr>
        <w:t>olaparib</w:t>
      </w:r>
      <w:proofErr w:type="spellEnd"/>
      <w:r w:rsidR="00566C9A" w:rsidRPr="00B07FB9">
        <w:rPr>
          <w:rFonts w:eastAsiaTheme="majorEastAsia"/>
        </w:rPr>
        <w:t>, the recommended dose is 300 mg (two 150 mg tablets) taken twice daily, equivalent to a total daily dose of 600 mg.</w:t>
      </w:r>
    </w:p>
    <w:p w14:paraId="1996D16E" w14:textId="5B04C4F4" w:rsidR="00F866C7" w:rsidRDefault="00613529" w:rsidP="000C6F49">
      <w:pPr>
        <w:pStyle w:val="TableFigureFooter"/>
        <w:widowControl w:val="0"/>
        <w:rPr>
          <w:rFonts w:eastAsiaTheme="majorEastAsia"/>
        </w:rPr>
      </w:pPr>
      <w:r w:rsidRPr="00B07FB9">
        <w:rPr>
          <w:rFonts w:eastAsiaTheme="majorEastAsia"/>
          <w:vertAlign w:val="superscript"/>
        </w:rPr>
        <w:t>b</w:t>
      </w:r>
      <w:r w:rsidRPr="00B07FB9">
        <w:rPr>
          <w:rFonts w:eastAsiaTheme="majorEastAsia"/>
        </w:rPr>
        <w:t xml:space="preserve"> This is calculated by the weighted PI recommended dose based on the patient numbers weight/platelet high patient numbers in the PRIMA trial (183 out of 728 patients were on 300 mg ISD dosing).</w:t>
      </w:r>
    </w:p>
    <w:p w14:paraId="6104B987" w14:textId="1E8CE253" w:rsidR="00960F16" w:rsidRPr="00B07FB9" w:rsidRDefault="00960F16" w:rsidP="000C6F49">
      <w:pPr>
        <w:pStyle w:val="TableFigureFooter"/>
        <w:widowControl w:val="0"/>
        <w:rPr>
          <w:rFonts w:eastAsiaTheme="majorEastAsia"/>
        </w:rPr>
      </w:pPr>
      <w:r>
        <w:rPr>
          <w:rFonts w:eastAsiaTheme="majorEastAsia"/>
        </w:rPr>
        <w:t>*</w:t>
      </w:r>
      <w:r>
        <w:t>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p w14:paraId="2A9C2D03" w14:textId="5053AFE8" w:rsidR="00F866C7" w:rsidRPr="00B07FB9" w:rsidRDefault="00F866C7" w:rsidP="00F866C7">
      <w:pPr>
        <w:pStyle w:val="3-BodyText"/>
        <w:widowControl w:val="0"/>
      </w:pPr>
      <w:bookmarkStart w:id="52" w:name="_Ref95749201"/>
      <w:r w:rsidRPr="00B07FB9">
        <w:t xml:space="preserve">The PSCR presented a revised base case CMA accounting for 97% compliance for </w:t>
      </w:r>
      <w:proofErr w:type="spellStart"/>
      <w:r w:rsidRPr="00B07FB9">
        <w:t>olaparib</w:t>
      </w:r>
      <w:proofErr w:type="spellEnd"/>
      <w:r w:rsidRPr="00B07FB9">
        <w:t xml:space="preserve"> which resulted in a revised CMA price of $</w:t>
      </w:r>
      <w:r w:rsidR="007A0897" w:rsidRPr="00385E8C">
        <w:rPr>
          <w:color w:val="000000"/>
          <w:w w:val="15"/>
          <w:shd w:val="solid" w:color="000000" w:fill="000000"/>
          <w:fitText w:val="-20" w:id="-1500824829"/>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9"/>
          <w14:textFill>
            <w14:solidFill>
              <w14:srgbClr w14:val="000000">
                <w14:alpha w14:val="100000"/>
              </w14:srgbClr>
            </w14:solidFill>
          </w14:textFill>
        </w:rPr>
        <w:t>|</w:t>
      </w:r>
      <w:r w:rsidRPr="00B07FB9">
        <w:t xml:space="preserve"> for niraparib in the </w:t>
      </w:r>
      <w:proofErr w:type="spellStart"/>
      <w:r w:rsidRPr="00B07FB9">
        <w:t>BRCAm</w:t>
      </w:r>
      <w:proofErr w:type="spellEnd"/>
      <w:r w:rsidRPr="00B07FB9">
        <w:t xml:space="preserve"> cohort. Overall</w:t>
      </w:r>
      <w:r w:rsidR="005E5F49" w:rsidRPr="00B07FB9">
        <w:t>,</w:t>
      </w:r>
      <w:r w:rsidRPr="00B07FB9">
        <w:t xml:space="preserve"> the ESC considered that the basis for the revised base case CMA of niraparib appeared reasonable </w:t>
      </w:r>
      <w:r w:rsidR="00982AC8" w:rsidRPr="00B07FB9">
        <w:t xml:space="preserve">and after accounting for reduced compliance for </w:t>
      </w:r>
      <w:proofErr w:type="spellStart"/>
      <w:r w:rsidR="00982AC8" w:rsidRPr="00B07FB9">
        <w:t>olaparib</w:t>
      </w:r>
      <w:proofErr w:type="spellEnd"/>
      <w:r w:rsidR="005E5F49" w:rsidRPr="00B07FB9">
        <w:t>,</w:t>
      </w:r>
      <w:r w:rsidR="00982AC8" w:rsidRPr="00B07FB9">
        <w:t xml:space="preserve"> the assumptions applied in the CMA calculations were appropriate</w:t>
      </w:r>
      <w:r w:rsidR="008250DC" w:rsidRPr="00B07FB9">
        <w:t>.</w:t>
      </w:r>
      <w:bookmarkEnd w:id="52"/>
    </w:p>
    <w:p w14:paraId="5266ABAD" w14:textId="45362256" w:rsidR="00460E9B" w:rsidRPr="00B07FB9" w:rsidRDefault="00964935" w:rsidP="000C6F49">
      <w:pPr>
        <w:pStyle w:val="5-SubsectionSubheading"/>
        <w:keepNext w:val="0"/>
        <w:keepLines w:val="0"/>
        <w:widowControl w:val="0"/>
      </w:pPr>
      <w:bookmarkStart w:id="53" w:name="_Toc89966689"/>
      <w:bookmarkStart w:id="54" w:name="_Toc93404199"/>
      <w:r w:rsidRPr="00B07FB9">
        <w:t xml:space="preserve">Proposed </w:t>
      </w:r>
      <w:r w:rsidR="0028680E" w:rsidRPr="00B07FB9">
        <w:t>w</w:t>
      </w:r>
      <w:r w:rsidR="00460E9B" w:rsidRPr="00B07FB9">
        <w:t xml:space="preserve">eighted </w:t>
      </w:r>
      <w:r w:rsidRPr="00B07FB9">
        <w:t xml:space="preserve">effective </w:t>
      </w:r>
      <w:r w:rsidR="00460E9B" w:rsidRPr="00B07FB9">
        <w:t>price of niraparib</w:t>
      </w:r>
      <w:bookmarkEnd w:id="53"/>
      <w:bookmarkEnd w:id="54"/>
    </w:p>
    <w:p w14:paraId="47D4E529" w14:textId="6F426BFC" w:rsidR="00460E9B" w:rsidRPr="00B07FB9" w:rsidRDefault="00460E9B" w:rsidP="000C6F49">
      <w:pPr>
        <w:pStyle w:val="3-BodyText"/>
        <w:widowControl w:val="0"/>
      </w:pPr>
      <w:r w:rsidRPr="00B07FB9">
        <w:t>The resubmission proposed a different effective price of niraparib for the non</w:t>
      </w:r>
      <w:r w:rsidR="001E0F11" w:rsidRPr="00B07FB9">
        <w:noBreakHyphen/>
      </w:r>
      <w:proofErr w:type="spellStart"/>
      <w:r w:rsidRPr="00B07FB9">
        <w:t>BRCAm</w:t>
      </w:r>
      <w:proofErr w:type="spellEnd"/>
      <w:r w:rsidRPr="00B07FB9">
        <w:t xml:space="preserve"> and </w:t>
      </w:r>
      <w:proofErr w:type="spellStart"/>
      <w:r w:rsidRPr="00B07FB9">
        <w:t>BRCAm</w:t>
      </w:r>
      <w:proofErr w:type="spellEnd"/>
      <w:r w:rsidRPr="00B07FB9">
        <w:t xml:space="preserve"> populations, based on the CUA and CMA respectively. The resubmission stated that the price of niraparib for the </w:t>
      </w:r>
      <w:proofErr w:type="spellStart"/>
      <w:r w:rsidRPr="00B07FB9">
        <w:t>BRCAm</w:t>
      </w:r>
      <w:proofErr w:type="spellEnd"/>
      <w:r w:rsidRPr="00B07FB9">
        <w:t xml:space="preserve"> population was based on the published price of </w:t>
      </w:r>
      <w:proofErr w:type="spellStart"/>
      <w:r w:rsidRPr="00B07FB9">
        <w:t>olaparib</w:t>
      </w:r>
      <w:proofErr w:type="spellEnd"/>
      <w:r w:rsidRPr="00B07FB9">
        <w:t xml:space="preserve">, and following a PBAC recommendation, the </w:t>
      </w:r>
      <w:r w:rsidR="00F964F1" w:rsidRPr="00B07FB9">
        <w:t>s</w:t>
      </w:r>
      <w:r w:rsidRPr="00B07FB9">
        <w:t xml:space="preserve">ponsor expects to be made aware of the appropriate deed of agreement for </w:t>
      </w:r>
      <w:proofErr w:type="spellStart"/>
      <w:r w:rsidRPr="00B07FB9">
        <w:t>olaparib</w:t>
      </w:r>
      <w:proofErr w:type="spellEnd"/>
      <w:r w:rsidRPr="00B07FB9">
        <w:t xml:space="preserve"> to re-specify the cost-minimised price for niraparib. The weighted price of niraparib is presented below.</w:t>
      </w:r>
    </w:p>
    <w:p w14:paraId="4D684384" w14:textId="7B12F74B" w:rsidR="00460E9B" w:rsidRPr="00B07FB9" w:rsidRDefault="00460E9B" w:rsidP="00A4339A">
      <w:pPr>
        <w:pStyle w:val="TableFigureHeading"/>
        <w:keepLines/>
        <w:widowControl w:val="0"/>
      </w:pPr>
      <w:bookmarkStart w:id="55" w:name="_Ref89777589"/>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19</w:t>
      </w:r>
      <w:r w:rsidR="00385E8C">
        <w:fldChar w:fldCharType="end"/>
      </w:r>
      <w:bookmarkEnd w:id="55"/>
      <w:r w:rsidRPr="00B07FB9">
        <w:t>: Proposed weighted effective EMP for niraparib</w:t>
      </w:r>
      <w:r w:rsidR="001B03EF" w:rsidRPr="00B07FB9">
        <w:t xml:space="preserve"> presented in the resubmission</w:t>
      </w:r>
    </w:p>
    <w:tbl>
      <w:tblPr>
        <w:tblStyle w:val="TableGrid"/>
        <w:tblW w:w="5000" w:type="pct"/>
        <w:tblLook w:val="04A0" w:firstRow="1" w:lastRow="0" w:firstColumn="1" w:lastColumn="0" w:noHBand="0" w:noVBand="1"/>
        <w:tblCaption w:val="Table 19: Proposed weighted effective EMP for niraparib presented in the resubmission"/>
      </w:tblPr>
      <w:tblGrid>
        <w:gridCol w:w="1446"/>
        <w:gridCol w:w="1389"/>
        <w:gridCol w:w="1555"/>
        <w:gridCol w:w="1560"/>
        <w:gridCol w:w="1558"/>
        <w:gridCol w:w="1509"/>
      </w:tblGrid>
      <w:tr w:rsidR="00460E9B" w:rsidRPr="00B07FB9" w14:paraId="6BDA9A61" w14:textId="77777777" w:rsidTr="00E41F07">
        <w:tc>
          <w:tcPr>
            <w:tcW w:w="802" w:type="pct"/>
            <w:vMerge w:val="restart"/>
          </w:tcPr>
          <w:p w14:paraId="33F2EED4" w14:textId="77777777" w:rsidR="00460E9B" w:rsidRPr="00B07FB9" w:rsidRDefault="00460E9B" w:rsidP="00A4339A">
            <w:pPr>
              <w:pStyle w:val="In-tableHeading"/>
              <w:keepLines/>
              <w:widowControl w:val="0"/>
              <w:rPr>
                <w:lang w:val="en-AU"/>
              </w:rPr>
            </w:pPr>
            <w:r w:rsidRPr="00B07FB9">
              <w:rPr>
                <w:lang w:val="en-AU"/>
              </w:rPr>
              <w:t>Population</w:t>
            </w:r>
          </w:p>
        </w:tc>
        <w:tc>
          <w:tcPr>
            <w:tcW w:w="770" w:type="pct"/>
            <w:vMerge w:val="restart"/>
          </w:tcPr>
          <w:p w14:paraId="09C1069F" w14:textId="77777777" w:rsidR="00460E9B" w:rsidRPr="00B07FB9" w:rsidRDefault="00460E9B" w:rsidP="00A4339A">
            <w:pPr>
              <w:pStyle w:val="In-tableHeading"/>
              <w:keepLines/>
              <w:widowControl w:val="0"/>
              <w:jc w:val="center"/>
              <w:rPr>
                <w:lang w:val="en-AU"/>
              </w:rPr>
            </w:pPr>
            <w:r w:rsidRPr="00B07FB9">
              <w:rPr>
                <w:lang w:val="en-AU"/>
              </w:rPr>
              <w:t>Prevalence</w:t>
            </w:r>
          </w:p>
        </w:tc>
        <w:tc>
          <w:tcPr>
            <w:tcW w:w="1727" w:type="pct"/>
            <w:gridSpan w:val="2"/>
          </w:tcPr>
          <w:p w14:paraId="4D27BFCD" w14:textId="22C75C09" w:rsidR="00460E9B" w:rsidRPr="00B07FB9" w:rsidRDefault="00383C7D" w:rsidP="00A4339A">
            <w:pPr>
              <w:pStyle w:val="In-tableHeading"/>
              <w:keepLines/>
              <w:widowControl w:val="0"/>
              <w:jc w:val="center"/>
              <w:rPr>
                <w:lang w:val="en-AU"/>
              </w:rPr>
            </w:pPr>
            <w:r w:rsidRPr="00B07FB9">
              <w:rPr>
                <w:lang w:val="en-AU"/>
              </w:rPr>
              <w:t>Proposed EMP by BRCA</w:t>
            </w:r>
            <w:r w:rsidR="00460E9B" w:rsidRPr="00B07FB9">
              <w:rPr>
                <w:lang w:val="en-AU"/>
              </w:rPr>
              <w:t xml:space="preserve"> status</w:t>
            </w:r>
          </w:p>
          <w:p w14:paraId="08F6049A" w14:textId="77777777" w:rsidR="00460E9B" w:rsidRPr="00B07FB9" w:rsidRDefault="00460E9B" w:rsidP="00A4339A">
            <w:pPr>
              <w:pStyle w:val="In-tableHeading"/>
              <w:keepLines/>
              <w:widowControl w:val="0"/>
              <w:jc w:val="center"/>
              <w:rPr>
                <w:lang w:val="en-AU"/>
              </w:rPr>
            </w:pPr>
            <w:r w:rsidRPr="00B07FB9">
              <w:rPr>
                <w:lang w:val="en-AU"/>
              </w:rPr>
              <w:t>(for maximum quantity)</w:t>
            </w:r>
          </w:p>
        </w:tc>
        <w:tc>
          <w:tcPr>
            <w:tcW w:w="1701" w:type="pct"/>
            <w:gridSpan w:val="2"/>
          </w:tcPr>
          <w:p w14:paraId="611B355A" w14:textId="77777777" w:rsidR="00460E9B" w:rsidRPr="00B07FB9" w:rsidRDefault="00460E9B" w:rsidP="00A4339A">
            <w:pPr>
              <w:pStyle w:val="In-tableHeading"/>
              <w:keepLines/>
              <w:widowControl w:val="0"/>
              <w:jc w:val="center"/>
              <w:rPr>
                <w:lang w:val="en-AU"/>
              </w:rPr>
            </w:pPr>
            <w:r w:rsidRPr="00B07FB9">
              <w:rPr>
                <w:lang w:val="en-AU"/>
              </w:rPr>
              <w:t xml:space="preserve">Proposed weighted effective EMP </w:t>
            </w:r>
          </w:p>
        </w:tc>
      </w:tr>
      <w:tr w:rsidR="00460E9B" w:rsidRPr="00B07FB9" w14:paraId="20AE0BFB" w14:textId="77777777" w:rsidTr="00E41F07">
        <w:trPr>
          <w:trHeight w:val="263"/>
        </w:trPr>
        <w:tc>
          <w:tcPr>
            <w:tcW w:w="802" w:type="pct"/>
            <w:vMerge/>
          </w:tcPr>
          <w:p w14:paraId="3C616F87" w14:textId="77777777" w:rsidR="00460E9B" w:rsidRPr="00B07FB9" w:rsidRDefault="00460E9B" w:rsidP="00A4339A">
            <w:pPr>
              <w:pStyle w:val="In-tableHeading"/>
              <w:keepLines/>
              <w:widowControl w:val="0"/>
              <w:rPr>
                <w:lang w:val="en-AU"/>
              </w:rPr>
            </w:pPr>
          </w:p>
        </w:tc>
        <w:tc>
          <w:tcPr>
            <w:tcW w:w="770" w:type="pct"/>
            <w:vMerge/>
          </w:tcPr>
          <w:p w14:paraId="0100644A" w14:textId="77777777" w:rsidR="00460E9B" w:rsidRPr="00B07FB9" w:rsidRDefault="00460E9B" w:rsidP="00A4339A">
            <w:pPr>
              <w:pStyle w:val="In-tableHeading"/>
              <w:keepLines/>
              <w:widowControl w:val="0"/>
              <w:jc w:val="center"/>
              <w:rPr>
                <w:lang w:val="en-AU"/>
              </w:rPr>
            </w:pPr>
          </w:p>
        </w:tc>
        <w:tc>
          <w:tcPr>
            <w:tcW w:w="862" w:type="pct"/>
          </w:tcPr>
          <w:p w14:paraId="071420FC" w14:textId="77777777" w:rsidR="00460E9B" w:rsidRPr="00B07FB9" w:rsidRDefault="00460E9B" w:rsidP="00A4339A">
            <w:pPr>
              <w:pStyle w:val="In-tableHeading"/>
              <w:keepLines/>
              <w:widowControl w:val="0"/>
              <w:jc w:val="center"/>
              <w:rPr>
                <w:lang w:val="en-AU"/>
              </w:rPr>
            </w:pPr>
            <w:r w:rsidRPr="00B07FB9">
              <w:rPr>
                <w:lang w:val="en-AU"/>
              </w:rPr>
              <w:t>84-capsule pack</w:t>
            </w:r>
          </w:p>
        </w:tc>
        <w:tc>
          <w:tcPr>
            <w:tcW w:w="865" w:type="pct"/>
          </w:tcPr>
          <w:p w14:paraId="2A421C92" w14:textId="77777777" w:rsidR="00460E9B" w:rsidRPr="00B07FB9" w:rsidRDefault="00460E9B" w:rsidP="00A4339A">
            <w:pPr>
              <w:pStyle w:val="In-tableHeading"/>
              <w:keepLines/>
              <w:widowControl w:val="0"/>
              <w:jc w:val="center"/>
              <w:rPr>
                <w:lang w:val="en-AU"/>
              </w:rPr>
            </w:pPr>
            <w:r w:rsidRPr="00B07FB9">
              <w:rPr>
                <w:lang w:val="en-AU"/>
              </w:rPr>
              <w:t>56-capsule pack</w:t>
            </w:r>
          </w:p>
        </w:tc>
        <w:tc>
          <w:tcPr>
            <w:tcW w:w="864" w:type="pct"/>
          </w:tcPr>
          <w:p w14:paraId="454ED4C8" w14:textId="77777777" w:rsidR="00460E9B" w:rsidRPr="00B07FB9" w:rsidRDefault="00460E9B" w:rsidP="00A4339A">
            <w:pPr>
              <w:pStyle w:val="In-tableHeading"/>
              <w:keepLines/>
              <w:widowControl w:val="0"/>
              <w:jc w:val="center"/>
              <w:rPr>
                <w:lang w:val="en-AU"/>
              </w:rPr>
            </w:pPr>
            <w:r w:rsidRPr="00B07FB9">
              <w:rPr>
                <w:lang w:val="en-AU"/>
              </w:rPr>
              <w:t>84-capsule pack</w:t>
            </w:r>
          </w:p>
        </w:tc>
        <w:tc>
          <w:tcPr>
            <w:tcW w:w="837" w:type="pct"/>
          </w:tcPr>
          <w:p w14:paraId="7C45E6A4" w14:textId="77777777" w:rsidR="00460E9B" w:rsidRPr="00B07FB9" w:rsidRDefault="00460E9B" w:rsidP="00A4339A">
            <w:pPr>
              <w:pStyle w:val="In-tableHeading"/>
              <w:keepLines/>
              <w:widowControl w:val="0"/>
              <w:jc w:val="center"/>
              <w:rPr>
                <w:lang w:val="en-AU"/>
              </w:rPr>
            </w:pPr>
            <w:r w:rsidRPr="00B07FB9">
              <w:rPr>
                <w:lang w:val="en-AU"/>
              </w:rPr>
              <w:t>56-capsule pack</w:t>
            </w:r>
          </w:p>
        </w:tc>
      </w:tr>
      <w:tr w:rsidR="00460E9B" w:rsidRPr="00B07FB9" w14:paraId="5DD41A56" w14:textId="77777777" w:rsidTr="00E41F07">
        <w:tc>
          <w:tcPr>
            <w:tcW w:w="802" w:type="pct"/>
          </w:tcPr>
          <w:p w14:paraId="500E4CF6" w14:textId="77777777" w:rsidR="00460E9B" w:rsidRPr="00B07FB9" w:rsidRDefault="00460E9B" w:rsidP="00A4339A">
            <w:pPr>
              <w:pStyle w:val="In-tableHeading"/>
              <w:keepLines/>
              <w:widowControl w:val="0"/>
              <w:rPr>
                <w:b w:val="0"/>
                <w:lang w:val="en-AU"/>
              </w:rPr>
            </w:pPr>
            <w:r w:rsidRPr="00B07FB9">
              <w:rPr>
                <w:lang w:val="en-AU"/>
              </w:rPr>
              <w:t>non-</w:t>
            </w:r>
            <w:proofErr w:type="spellStart"/>
            <w:r w:rsidRPr="00B07FB9">
              <w:rPr>
                <w:lang w:val="en-AU"/>
              </w:rPr>
              <w:t>BRCAm</w:t>
            </w:r>
            <w:proofErr w:type="spellEnd"/>
            <w:r w:rsidRPr="00B07FB9">
              <w:rPr>
                <w:lang w:val="en-AU"/>
              </w:rPr>
              <w:t xml:space="preserve"> </w:t>
            </w:r>
          </w:p>
        </w:tc>
        <w:tc>
          <w:tcPr>
            <w:tcW w:w="770" w:type="pct"/>
          </w:tcPr>
          <w:p w14:paraId="4FAB5CB9" w14:textId="77777777" w:rsidR="00460E9B" w:rsidRPr="00B07FB9" w:rsidRDefault="00460E9B" w:rsidP="00A4339A">
            <w:pPr>
              <w:pStyle w:val="In-tableHeading"/>
              <w:keepLines/>
              <w:widowControl w:val="0"/>
              <w:jc w:val="center"/>
              <w:rPr>
                <w:b w:val="0"/>
                <w:lang w:val="en-AU"/>
              </w:rPr>
            </w:pPr>
            <w:r w:rsidRPr="00B07FB9">
              <w:rPr>
                <w:lang w:val="en-AU"/>
              </w:rPr>
              <w:t>71.1%</w:t>
            </w:r>
          </w:p>
        </w:tc>
        <w:tc>
          <w:tcPr>
            <w:tcW w:w="862" w:type="pct"/>
          </w:tcPr>
          <w:p w14:paraId="7C10F97F" w14:textId="3FE3299C" w:rsidR="00460E9B" w:rsidRPr="00B07FB9" w:rsidRDefault="00460E9B" w:rsidP="00A4339A">
            <w:pPr>
              <w:pStyle w:val="In-tableHeading"/>
              <w:keepLines/>
              <w:widowControl w:val="0"/>
              <w:jc w:val="center"/>
              <w:rPr>
                <w:b w:val="0"/>
                <w:lang w:val="en-AU"/>
              </w:rPr>
            </w:pPr>
            <w:r w:rsidRPr="00B07FB9">
              <w:rPr>
                <w:b w:val="0"/>
                <w:lang w:val="en-AU"/>
              </w:rPr>
              <w:t>$</w:t>
            </w:r>
            <w:r w:rsidR="007A0897" w:rsidRPr="007A0897">
              <w:rPr>
                <w:b w:val="0"/>
                <w:color w:val="000000"/>
                <w:shd w:val="solid" w:color="000000" w:fill="000000"/>
                <w:lang w:val="en-AU"/>
                <w14:textFill>
                  <w14:solidFill>
                    <w14:srgbClr w14:val="000000">
                      <w14:alpha w14:val="100000"/>
                    </w14:srgbClr>
                  </w14:solidFill>
                </w14:textFill>
              </w:rPr>
              <w:t>|</w:t>
            </w:r>
          </w:p>
        </w:tc>
        <w:tc>
          <w:tcPr>
            <w:tcW w:w="865" w:type="pct"/>
          </w:tcPr>
          <w:p w14:paraId="32408A9A" w14:textId="22627B02" w:rsidR="00460E9B" w:rsidRPr="00B07FB9" w:rsidRDefault="00460E9B" w:rsidP="00A4339A">
            <w:pPr>
              <w:pStyle w:val="In-tableHeading"/>
              <w:keepLines/>
              <w:widowControl w:val="0"/>
              <w:jc w:val="center"/>
              <w:rPr>
                <w:b w:val="0"/>
                <w:lang w:val="en-AU"/>
              </w:rPr>
            </w:pPr>
            <w:r w:rsidRPr="00B07FB9">
              <w:rPr>
                <w:b w:val="0"/>
                <w:lang w:val="en-AU"/>
              </w:rPr>
              <w:t>$</w:t>
            </w:r>
            <w:r w:rsidR="007A0897" w:rsidRPr="007A0897">
              <w:rPr>
                <w:b w:val="0"/>
                <w:color w:val="000000"/>
                <w:shd w:val="solid" w:color="000000" w:fill="000000"/>
                <w:lang w:val="en-AU"/>
                <w14:textFill>
                  <w14:solidFill>
                    <w14:srgbClr w14:val="000000">
                      <w14:alpha w14:val="100000"/>
                    </w14:srgbClr>
                  </w14:solidFill>
                </w14:textFill>
              </w:rPr>
              <w:t>|</w:t>
            </w:r>
          </w:p>
        </w:tc>
        <w:tc>
          <w:tcPr>
            <w:tcW w:w="864" w:type="pct"/>
            <w:vMerge w:val="restart"/>
            <w:vAlign w:val="center"/>
          </w:tcPr>
          <w:p w14:paraId="71120D62" w14:textId="19650B4C" w:rsidR="00460E9B" w:rsidRPr="00B07FB9" w:rsidRDefault="00460E9B" w:rsidP="00A4339A">
            <w:pPr>
              <w:pStyle w:val="In-tableHeading"/>
              <w:keepLines/>
              <w:widowControl w:val="0"/>
              <w:jc w:val="center"/>
              <w:rPr>
                <w:b w:val="0"/>
                <w:lang w:val="en-AU"/>
              </w:rPr>
            </w:pPr>
            <w:r w:rsidRPr="00B07FB9">
              <w:rPr>
                <w:b w:val="0"/>
                <w:lang w:val="en-AU"/>
              </w:rPr>
              <w:t>$</w:t>
            </w:r>
            <w:r w:rsidR="007A0897" w:rsidRPr="007A0897">
              <w:rPr>
                <w:b w:val="0"/>
                <w:color w:val="000000"/>
                <w:shd w:val="solid" w:color="000000" w:fill="000000"/>
                <w:lang w:val="en-AU"/>
                <w14:textFill>
                  <w14:solidFill>
                    <w14:srgbClr w14:val="000000">
                      <w14:alpha w14:val="100000"/>
                    </w14:srgbClr>
                  </w14:solidFill>
                </w14:textFill>
              </w:rPr>
              <w:t>|</w:t>
            </w:r>
          </w:p>
        </w:tc>
        <w:tc>
          <w:tcPr>
            <w:tcW w:w="837" w:type="pct"/>
            <w:vMerge w:val="restart"/>
            <w:vAlign w:val="center"/>
          </w:tcPr>
          <w:p w14:paraId="5C9867D4" w14:textId="6538BD2C" w:rsidR="00460E9B" w:rsidRPr="00B07FB9" w:rsidRDefault="00460E9B" w:rsidP="00A4339A">
            <w:pPr>
              <w:pStyle w:val="In-tableHeading"/>
              <w:keepLines/>
              <w:widowControl w:val="0"/>
              <w:jc w:val="center"/>
              <w:rPr>
                <w:b w:val="0"/>
                <w:lang w:val="en-AU"/>
              </w:rPr>
            </w:pPr>
            <w:r w:rsidRPr="00B07FB9">
              <w:rPr>
                <w:b w:val="0"/>
                <w:lang w:val="en-AU"/>
              </w:rPr>
              <w:t>$</w:t>
            </w:r>
            <w:r w:rsidR="007A0897" w:rsidRPr="007A0897">
              <w:rPr>
                <w:b w:val="0"/>
                <w:color w:val="000000"/>
                <w:shd w:val="solid" w:color="000000" w:fill="000000"/>
                <w:lang w:val="en-AU"/>
                <w14:textFill>
                  <w14:solidFill>
                    <w14:srgbClr w14:val="000000">
                      <w14:alpha w14:val="100000"/>
                    </w14:srgbClr>
                  </w14:solidFill>
                </w14:textFill>
              </w:rPr>
              <w:t>|</w:t>
            </w:r>
          </w:p>
        </w:tc>
      </w:tr>
      <w:tr w:rsidR="00460E9B" w:rsidRPr="00B07FB9" w14:paraId="7D5DEC44" w14:textId="77777777" w:rsidTr="00E41F07">
        <w:tc>
          <w:tcPr>
            <w:tcW w:w="802" w:type="pct"/>
          </w:tcPr>
          <w:p w14:paraId="2D034BC8" w14:textId="77777777" w:rsidR="00460E9B" w:rsidRPr="00B07FB9" w:rsidRDefault="00460E9B" w:rsidP="00A4339A">
            <w:pPr>
              <w:pStyle w:val="In-tableHeading"/>
              <w:keepLines/>
              <w:widowControl w:val="0"/>
              <w:rPr>
                <w:lang w:val="en-AU"/>
              </w:rPr>
            </w:pPr>
            <w:proofErr w:type="spellStart"/>
            <w:r w:rsidRPr="00B07FB9">
              <w:rPr>
                <w:lang w:val="en-AU"/>
              </w:rPr>
              <w:t>BRCAm</w:t>
            </w:r>
            <w:proofErr w:type="spellEnd"/>
            <w:r w:rsidRPr="00B07FB9">
              <w:rPr>
                <w:lang w:val="en-AU"/>
              </w:rPr>
              <w:t xml:space="preserve"> </w:t>
            </w:r>
          </w:p>
        </w:tc>
        <w:tc>
          <w:tcPr>
            <w:tcW w:w="770" w:type="pct"/>
          </w:tcPr>
          <w:p w14:paraId="727EF8C4" w14:textId="77777777" w:rsidR="00460E9B" w:rsidRPr="00B07FB9" w:rsidRDefault="00460E9B" w:rsidP="00A4339A">
            <w:pPr>
              <w:pStyle w:val="In-tableHeading"/>
              <w:keepLines/>
              <w:widowControl w:val="0"/>
              <w:jc w:val="center"/>
              <w:rPr>
                <w:b w:val="0"/>
                <w:lang w:val="en-AU"/>
              </w:rPr>
            </w:pPr>
            <w:r w:rsidRPr="00B07FB9">
              <w:rPr>
                <w:lang w:val="en-AU"/>
              </w:rPr>
              <w:t>28.9%</w:t>
            </w:r>
          </w:p>
        </w:tc>
        <w:tc>
          <w:tcPr>
            <w:tcW w:w="862" w:type="pct"/>
          </w:tcPr>
          <w:p w14:paraId="0C1A717D" w14:textId="326E3771" w:rsidR="00460E9B" w:rsidRPr="00B07FB9" w:rsidRDefault="00460E9B" w:rsidP="00A4339A">
            <w:pPr>
              <w:pStyle w:val="In-tableHeading"/>
              <w:keepLines/>
              <w:widowControl w:val="0"/>
              <w:jc w:val="center"/>
              <w:rPr>
                <w:b w:val="0"/>
                <w:lang w:val="en-AU"/>
              </w:rPr>
            </w:pPr>
            <w:r w:rsidRPr="00B07FB9">
              <w:rPr>
                <w:b w:val="0"/>
                <w:lang w:val="en-AU"/>
              </w:rPr>
              <w:t>$</w:t>
            </w:r>
            <w:r w:rsidR="007A0897" w:rsidRPr="007A0897">
              <w:rPr>
                <w:b w:val="0"/>
                <w:color w:val="000000"/>
                <w:shd w:val="solid" w:color="000000" w:fill="000000"/>
                <w:lang w:val="en-AU"/>
                <w14:textFill>
                  <w14:solidFill>
                    <w14:srgbClr w14:val="000000">
                      <w14:alpha w14:val="100000"/>
                    </w14:srgbClr>
                  </w14:solidFill>
                </w14:textFill>
              </w:rPr>
              <w:t>|</w:t>
            </w:r>
          </w:p>
        </w:tc>
        <w:tc>
          <w:tcPr>
            <w:tcW w:w="865" w:type="pct"/>
          </w:tcPr>
          <w:p w14:paraId="6D808CAB" w14:textId="68268DF6" w:rsidR="00460E9B" w:rsidRPr="00B07FB9" w:rsidRDefault="00460E9B" w:rsidP="00A4339A">
            <w:pPr>
              <w:pStyle w:val="In-tableHeading"/>
              <w:keepLines/>
              <w:widowControl w:val="0"/>
              <w:jc w:val="center"/>
              <w:rPr>
                <w:b w:val="0"/>
                <w:lang w:val="en-AU"/>
              </w:rPr>
            </w:pPr>
            <w:r w:rsidRPr="00B07FB9">
              <w:rPr>
                <w:b w:val="0"/>
                <w:lang w:val="en-AU"/>
              </w:rPr>
              <w:t>$</w:t>
            </w:r>
            <w:r w:rsidR="007A0897" w:rsidRPr="007A0897">
              <w:rPr>
                <w:b w:val="0"/>
                <w:color w:val="000000"/>
                <w:shd w:val="solid" w:color="000000" w:fill="000000"/>
                <w:lang w:val="en-AU"/>
                <w14:textFill>
                  <w14:solidFill>
                    <w14:srgbClr w14:val="000000">
                      <w14:alpha w14:val="100000"/>
                    </w14:srgbClr>
                  </w14:solidFill>
                </w14:textFill>
              </w:rPr>
              <w:t>|</w:t>
            </w:r>
          </w:p>
        </w:tc>
        <w:tc>
          <w:tcPr>
            <w:tcW w:w="864" w:type="pct"/>
            <w:vMerge/>
          </w:tcPr>
          <w:p w14:paraId="77A1682A" w14:textId="77777777" w:rsidR="00460E9B" w:rsidRPr="00B07FB9" w:rsidRDefault="00460E9B" w:rsidP="00A4339A">
            <w:pPr>
              <w:pStyle w:val="In-tableHeading"/>
              <w:keepLines/>
              <w:widowControl w:val="0"/>
              <w:jc w:val="center"/>
              <w:rPr>
                <w:b w:val="0"/>
                <w:lang w:val="en-AU"/>
              </w:rPr>
            </w:pPr>
          </w:p>
        </w:tc>
        <w:tc>
          <w:tcPr>
            <w:tcW w:w="837" w:type="pct"/>
            <w:vMerge/>
          </w:tcPr>
          <w:p w14:paraId="062610C4" w14:textId="77777777" w:rsidR="00460E9B" w:rsidRPr="00B07FB9" w:rsidRDefault="00460E9B" w:rsidP="00A4339A">
            <w:pPr>
              <w:pStyle w:val="In-tableHeading"/>
              <w:keepLines/>
              <w:widowControl w:val="0"/>
              <w:jc w:val="center"/>
              <w:rPr>
                <w:b w:val="0"/>
                <w:lang w:val="en-AU"/>
              </w:rPr>
            </w:pPr>
          </w:p>
        </w:tc>
      </w:tr>
    </w:tbl>
    <w:p w14:paraId="173DEE55" w14:textId="77777777" w:rsidR="00460E9B" w:rsidRPr="00B07FB9" w:rsidRDefault="00460E9B" w:rsidP="000C6F49">
      <w:pPr>
        <w:pStyle w:val="TableFigureFooter"/>
        <w:widowControl w:val="0"/>
      </w:pPr>
      <w:r w:rsidRPr="00B07FB9">
        <w:t>Source: Table 13, p40 of the submission</w:t>
      </w:r>
    </w:p>
    <w:p w14:paraId="3DECEFA5" w14:textId="5ABF549B" w:rsidR="00460E9B" w:rsidRPr="00B07FB9" w:rsidRDefault="00460E9B" w:rsidP="000C6F49">
      <w:pPr>
        <w:pStyle w:val="TableFigureFooter"/>
        <w:widowControl w:val="0"/>
        <w:rPr>
          <w:rFonts w:asciiTheme="minorHAnsi" w:hAnsiTheme="minorHAnsi"/>
        </w:rPr>
      </w:pPr>
      <w:r w:rsidRPr="00B07FB9">
        <w:t>EMP = ex-manufacturer price.</w:t>
      </w:r>
    </w:p>
    <w:p w14:paraId="45B272B2" w14:textId="1340B09A" w:rsidR="00460E9B" w:rsidRPr="00B07FB9" w:rsidRDefault="00460E9B" w:rsidP="000C6F49">
      <w:pPr>
        <w:pStyle w:val="3-BodyText"/>
        <w:widowControl w:val="0"/>
      </w:pPr>
      <w:r w:rsidRPr="00B07FB9">
        <w:t xml:space="preserve">The proposed weighted effective price </w:t>
      </w:r>
      <w:r w:rsidR="005B0661" w:rsidRPr="00B07FB9">
        <w:t xml:space="preserve">in the resubmission </w:t>
      </w:r>
      <w:r w:rsidRPr="00B07FB9">
        <w:t>of $</w:t>
      </w:r>
      <w:r w:rsidR="007A0897" w:rsidRPr="007A0897">
        <w:rPr>
          <w:color w:val="000000"/>
          <w:w w:val="60"/>
          <w:shd w:val="solid" w:color="000000" w:fill="000000"/>
          <w:fitText w:val="470" w:id="-1500824828"/>
          <w14:textFill>
            <w14:solidFill>
              <w14:srgbClr w14:val="000000">
                <w14:alpha w14:val="100000"/>
              </w14:srgbClr>
            </w14:solidFill>
          </w14:textFill>
        </w:rPr>
        <w:t>|||  ||</w:t>
      </w:r>
      <w:r w:rsidR="007A0897" w:rsidRPr="007A0897">
        <w:rPr>
          <w:color w:val="000000"/>
          <w:spacing w:val="6"/>
          <w:w w:val="60"/>
          <w:shd w:val="solid" w:color="000000" w:fill="000000"/>
          <w:fitText w:val="470" w:id="-1500824828"/>
          <w14:textFill>
            <w14:solidFill>
              <w14:srgbClr w14:val="000000">
                <w14:alpha w14:val="100000"/>
              </w14:srgbClr>
            </w14:solidFill>
          </w14:textFill>
        </w:rPr>
        <w:t>|</w:t>
      </w:r>
      <w:r w:rsidRPr="00B07FB9">
        <w:t xml:space="preserve"> (100 mg x 56 capsules) </w:t>
      </w:r>
      <w:r w:rsidR="00E41F07" w:rsidRPr="00B07FB9">
        <w:t>wa</w:t>
      </w:r>
      <w:r w:rsidRPr="00B07FB9">
        <w:t>s the same as the revised price proposed in the PSCR</w:t>
      </w:r>
      <w:r w:rsidR="00F4596D">
        <w:t xml:space="preserve"> </w:t>
      </w:r>
      <w:r w:rsidRPr="00B07FB9">
        <w:t>following the evaluation of the previous submission. This is compared with the price of $</w:t>
      </w:r>
      <w:r w:rsidR="007A0897" w:rsidRPr="00385E8C">
        <w:rPr>
          <w:color w:val="000000"/>
          <w:w w:val="15"/>
          <w:shd w:val="solid" w:color="000000" w:fill="000000"/>
          <w:fitText w:val="-20" w:id="-1500824827"/>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7"/>
          <w14:textFill>
            <w14:solidFill>
              <w14:srgbClr w14:val="000000">
                <w14:alpha w14:val="100000"/>
              </w14:srgbClr>
            </w14:solidFill>
          </w14:textFill>
        </w:rPr>
        <w:t>|</w:t>
      </w:r>
      <w:r w:rsidRPr="00B07FB9">
        <w:t xml:space="preserve"> proposed in the initial submission considered in July in 2021 by the PBAC.</w:t>
      </w:r>
    </w:p>
    <w:p w14:paraId="2DDFCD12" w14:textId="58D3D176" w:rsidR="007121AA" w:rsidRPr="00B07FB9" w:rsidRDefault="00460E9B" w:rsidP="000C6F49">
      <w:pPr>
        <w:pStyle w:val="3-BodyText"/>
        <w:widowControl w:val="0"/>
      </w:pPr>
      <w:bookmarkStart w:id="56" w:name="_Ref99089686"/>
      <w:r w:rsidRPr="00B07FB9">
        <w:t>The weighted effective price of niraparib depends on the relative proportion</w:t>
      </w:r>
      <w:r w:rsidR="005B0661" w:rsidRPr="00B07FB9">
        <w:t xml:space="preserve"> of scripts for patients with</w:t>
      </w:r>
      <w:r w:rsidRPr="00B07FB9">
        <w:t xml:space="preserve"> </w:t>
      </w:r>
      <w:proofErr w:type="spellStart"/>
      <w:r w:rsidRPr="00B07FB9">
        <w:t>BRCAm</w:t>
      </w:r>
      <w:proofErr w:type="spellEnd"/>
      <w:r w:rsidRPr="00B07FB9">
        <w:t xml:space="preserve"> and non-</w:t>
      </w:r>
      <w:proofErr w:type="spellStart"/>
      <w:r w:rsidRPr="00B07FB9">
        <w:t>BRCAm</w:t>
      </w:r>
      <w:proofErr w:type="spellEnd"/>
      <w:r w:rsidRPr="00B07FB9">
        <w:t xml:space="preserve">. </w:t>
      </w:r>
      <w:r w:rsidR="00DE2643" w:rsidRPr="00B07FB9">
        <w:t>T</w:t>
      </w:r>
      <w:r w:rsidR="005B0661" w:rsidRPr="00B07FB9">
        <w:t xml:space="preserve">he resubmission </w:t>
      </w:r>
      <w:r w:rsidR="00DE2643" w:rsidRPr="00B07FB9">
        <w:t>assumed</w:t>
      </w:r>
      <w:r w:rsidRPr="00B07FB9">
        <w:t xml:space="preserve"> relative proportion</w:t>
      </w:r>
      <w:r w:rsidR="005B0661" w:rsidRPr="00B07FB9">
        <w:t>s</w:t>
      </w:r>
      <w:r w:rsidRPr="00B07FB9">
        <w:t xml:space="preserve"> of non-</w:t>
      </w:r>
      <w:proofErr w:type="spellStart"/>
      <w:r w:rsidRPr="00B07FB9">
        <w:t>BRCAm</w:t>
      </w:r>
      <w:proofErr w:type="spellEnd"/>
      <w:r w:rsidRPr="00B07FB9">
        <w:t xml:space="preserve"> (71.1%) and </w:t>
      </w:r>
      <w:proofErr w:type="spellStart"/>
      <w:r w:rsidRPr="00B07FB9">
        <w:t>BRCAm</w:t>
      </w:r>
      <w:proofErr w:type="spellEnd"/>
      <w:r w:rsidRPr="00B07FB9">
        <w:t xml:space="preserve"> (28.9%) population</w:t>
      </w:r>
      <w:r w:rsidR="005B0661" w:rsidRPr="00B07FB9">
        <w:t>s</w:t>
      </w:r>
      <w:r w:rsidRPr="00B07FB9">
        <w:t xml:space="preserve"> based on the prevalence of germline and somatic BRCA </w:t>
      </w:r>
      <w:r w:rsidR="008370D5" w:rsidRPr="00B07FB9">
        <w:t xml:space="preserve">pathological variants </w:t>
      </w:r>
      <w:r w:rsidRPr="00B07FB9">
        <w:t xml:space="preserve">(22.6% and 6.3%, respectively) Alsop 2012 CGARN 2011. Of note, the </w:t>
      </w:r>
      <w:proofErr w:type="spellStart"/>
      <w:r w:rsidRPr="00B07FB9">
        <w:t>BRCAm</w:t>
      </w:r>
      <w:proofErr w:type="spellEnd"/>
      <w:r w:rsidRPr="00B07FB9">
        <w:t xml:space="preserve"> prevalence previously considered as reasonable by the PBAC was 25.3% (Paragraph 6.46, Olaparib PSD, July 2020 PBAC meeting). The relative proportions of non-</w:t>
      </w:r>
      <w:proofErr w:type="spellStart"/>
      <w:r w:rsidRPr="00B07FB9">
        <w:t>BRCAm</w:t>
      </w:r>
      <w:proofErr w:type="spellEnd"/>
      <w:r w:rsidRPr="00B07FB9">
        <w:t xml:space="preserve"> and </w:t>
      </w:r>
      <w:proofErr w:type="spellStart"/>
      <w:r w:rsidRPr="00B07FB9">
        <w:t>BRCAm</w:t>
      </w:r>
      <w:proofErr w:type="spellEnd"/>
      <w:r w:rsidRPr="00B07FB9">
        <w:t xml:space="preserve"> patients who use niraparib are likely to differ from the distribution of non-</w:t>
      </w:r>
      <w:proofErr w:type="spellStart"/>
      <w:r w:rsidRPr="00B07FB9">
        <w:t>BRCAm</w:t>
      </w:r>
      <w:proofErr w:type="spellEnd"/>
      <w:r w:rsidRPr="00B07FB9">
        <w:t xml:space="preserve"> and </w:t>
      </w:r>
      <w:proofErr w:type="spellStart"/>
      <w:r w:rsidRPr="00B07FB9">
        <w:t>BRCAm</w:t>
      </w:r>
      <w:proofErr w:type="spellEnd"/>
      <w:r w:rsidRPr="00B07FB9">
        <w:t xml:space="preserve"> patients in the target population, since all eligible non-</w:t>
      </w:r>
      <w:proofErr w:type="spellStart"/>
      <w:r w:rsidRPr="00B07FB9">
        <w:t>BRCAm</w:t>
      </w:r>
      <w:proofErr w:type="spellEnd"/>
      <w:r w:rsidRPr="00B07FB9">
        <w:t xml:space="preserve"> patients may elect to receive niraparib (compared to no active treatment or bevacizumab), but </w:t>
      </w:r>
      <w:proofErr w:type="spellStart"/>
      <w:r w:rsidRPr="00B07FB9">
        <w:t>BRCAm</w:t>
      </w:r>
      <w:proofErr w:type="spellEnd"/>
      <w:r w:rsidRPr="00B07FB9">
        <w:t xml:space="preserve"> patients may choose either niraparib or </w:t>
      </w:r>
      <w:proofErr w:type="spellStart"/>
      <w:r w:rsidRPr="00B07FB9">
        <w:t>olaparib</w:t>
      </w:r>
      <w:proofErr w:type="spellEnd"/>
      <w:r w:rsidRPr="00B07FB9">
        <w:t xml:space="preserve">. Therefore, the proportion of patients treated with niraparib who have </w:t>
      </w:r>
      <w:proofErr w:type="spellStart"/>
      <w:r w:rsidRPr="00B07FB9">
        <w:t>BRCAm</w:t>
      </w:r>
      <w:proofErr w:type="spellEnd"/>
      <w:r w:rsidRPr="00B07FB9">
        <w:t xml:space="preserve"> will most likely be lower than 28.9%, and the weighted ex-manufacturer price would therefore be lower than that presented in </w:t>
      </w:r>
      <w:r w:rsidRPr="00B07FB9">
        <w:fldChar w:fldCharType="begin"/>
      </w:r>
      <w:r w:rsidRPr="00B07FB9">
        <w:instrText xml:space="preserve"> REF _Ref89777589 \h  \* MERGEFORMAT </w:instrText>
      </w:r>
      <w:r w:rsidRPr="00B07FB9">
        <w:fldChar w:fldCharType="separate"/>
      </w:r>
      <w:r w:rsidR="00385E8C" w:rsidRPr="00B07FB9">
        <w:t xml:space="preserve">Table </w:t>
      </w:r>
      <w:r w:rsidR="00385E8C">
        <w:t>19</w:t>
      </w:r>
      <w:r w:rsidRPr="00B07FB9">
        <w:fldChar w:fldCharType="end"/>
      </w:r>
      <w:r w:rsidRPr="00B07FB9">
        <w:t>.</w:t>
      </w:r>
      <w:bookmarkEnd w:id="56"/>
      <w:r w:rsidR="00C87F3C" w:rsidRPr="00B07FB9">
        <w:t xml:space="preserve"> </w:t>
      </w:r>
    </w:p>
    <w:p w14:paraId="02D8B443" w14:textId="114A38F8" w:rsidR="00E8711F" w:rsidRPr="00B07FB9" w:rsidRDefault="007121AA" w:rsidP="00E8711F">
      <w:pPr>
        <w:pStyle w:val="3-BodyText"/>
        <w:widowControl w:val="0"/>
      </w:pPr>
      <w:bookmarkStart w:id="57" w:name="_Ref95818462"/>
      <w:bookmarkStart w:id="58" w:name="_Ref99055490"/>
      <w:r w:rsidRPr="00B07FB9">
        <w:t xml:space="preserve">The PSCR noted that weighting should be based on </w:t>
      </w:r>
      <w:r w:rsidRPr="00B07FB9">
        <w:rPr>
          <w:lang w:bidi="en-US"/>
        </w:rPr>
        <w:t xml:space="preserve">the estimated proportion of drug utilisation for each indication. This is impacted by mean treatment duration which is estimated to be longer for patients with </w:t>
      </w:r>
      <w:proofErr w:type="spellStart"/>
      <w:r w:rsidRPr="00B07FB9">
        <w:rPr>
          <w:lang w:bidi="en-US"/>
        </w:rPr>
        <w:t>BRCAm</w:t>
      </w:r>
      <w:proofErr w:type="spellEnd"/>
      <w:r w:rsidRPr="00B07FB9">
        <w:rPr>
          <w:lang w:bidi="en-US"/>
        </w:rPr>
        <w:t xml:space="preserve"> (25 months) compared with non-</w:t>
      </w:r>
      <w:proofErr w:type="spellStart"/>
      <w:r w:rsidRPr="00B07FB9">
        <w:rPr>
          <w:lang w:bidi="en-US"/>
        </w:rPr>
        <w:t>BRCAm</w:t>
      </w:r>
      <w:proofErr w:type="spellEnd"/>
      <w:r w:rsidRPr="00B07FB9">
        <w:rPr>
          <w:lang w:bidi="en-US"/>
        </w:rPr>
        <w:t xml:space="preserve"> (11.9 months). </w:t>
      </w:r>
      <w:r w:rsidR="00C87F3C" w:rsidRPr="00B07FB9">
        <w:t xml:space="preserve">The PSCR provided </w:t>
      </w:r>
      <w:r w:rsidR="00C87F3C" w:rsidRPr="00B07FB9">
        <w:rPr>
          <w:lang w:bidi="en-US"/>
        </w:rPr>
        <w:t xml:space="preserve">a revised weighted price calculated based on relative use of niraparib in </w:t>
      </w:r>
      <w:proofErr w:type="spellStart"/>
      <w:r w:rsidR="00C87F3C" w:rsidRPr="00B07FB9">
        <w:rPr>
          <w:lang w:bidi="en-US"/>
        </w:rPr>
        <w:t>BRCAm</w:t>
      </w:r>
      <w:proofErr w:type="spellEnd"/>
      <w:r w:rsidR="00C87F3C" w:rsidRPr="00B07FB9">
        <w:rPr>
          <w:lang w:bidi="en-US"/>
        </w:rPr>
        <w:t xml:space="preserve"> and non</w:t>
      </w:r>
      <w:r w:rsidR="00C87F3C" w:rsidRPr="00B07FB9">
        <w:rPr>
          <w:lang w:bidi="en-US"/>
        </w:rPr>
        <w:noBreakHyphen/>
      </w:r>
      <w:proofErr w:type="spellStart"/>
      <w:r w:rsidR="00C87F3C" w:rsidRPr="00B07FB9">
        <w:rPr>
          <w:lang w:bidi="en-US"/>
        </w:rPr>
        <w:t>BRCAm</w:t>
      </w:r>
      <w:proofErr w:type="spellEnd"/>
      <w:r w:rsidR="00C87F3C" w:rsidRPr="00B07FB9">
        <w:rPr>
          <w:lang w:bidi="en-US"/>
        </w:rPr>
        <w:t xml:space="preserve"> patients as projected in the financial estimates. </w:t>
      </w:r>
      <w:r w:rsidRPr="00B07FB9">
        <w:rPr>
          <w:lang w:bidi="en-US"/>
        </w:rPr>
        <w:t xml:space="preserve">These estimates assumed a prevalence of 25.3% for </w:t>
      </w:r>
      <w:proofErr w:type="spellStart"/>
      <w:r w:rsidRPr="00B07FB9">
        <w:rPr>
          <w:lang w:bidi="en-US"/>
        </w:rPr>
        <w:t>BRCAm</w:t>
      </w:r>
      <w:proofErr w:type="spellEnd"/>
      <w:r w:rsidRPr="00B07FB9">
        <w:rPr>
          <w:lang w:bidi="en-US"/>
        </w:rPr>
        <w:t xml:space="preserve">, resulting in a distribution of niraparib utilisation in the </w:t>
      </w:r>
      <w:proofErr w:type="spellStart"/>
      <w:r w:rsidRPr="00B07FB9">
        <w:rPr>
          <w:lang w:bidi="en-US"/>
        </w:rPr>
        <w:t>BRCAm</w:t>
      </w:r>
      <w:proofErr w:type="spellEnd"/>
      <w:r w:rsidRPr="00B07FB9">
        <w:rPr>
          <w:lang w:bidi="en-US"/>
        </w:rPr>
        <w:t>/non-</w:t>
      </w:r>
      <w:proofErr w:type="spellStart"/>
      <w:r w:rsidRPr="00B07FB9">
        <w:rPr>
          <w:lang w:bidi="en-US"/>
        </w:rPr>
        <w:t>BRCAm</w:t>
      </w:r>
      <w:proofErr w:type="spellEnd"/>
      <w:r w:rsidRPr="00B07FB9">
        <w:rPr>
          <w:lang w:bidi="en-US"/>
        </w:rPr>
        <w:t xml:space="preserve"> cohort of 22.9%/77.1% over the six-year estimates. From Year 3 onwards, niraparib utilisation is expected to stabilise at a 25% (</w:t>
      </w:r>
      <w:proofErr w:type="spellStart"/>
      <w:r w:rsidRPr="00B07FB9">
        <w:rPr>
          <w:lang w:bidi="en-US"/>
        </w:rPr>
        <w:t>BRCAm</w:t>
      </w:r>
      <w:proofErr w:type="spellEnd"/>
      <w:r w:rsidRPr="00B07FB9">
        <w:rPr>
          <w:lang w:bidi="en-US"/>
        </w:rPr>
        <w:t>)/75%(non-</w:t>
      </w:r>
      <w:proofErr w:type="spellStart"/>
      <w:r w:rsidRPr="00B07FB9">
        <w:rPr>
          <w:lang w:bidi="en-US"/>
        </w:rPr>
        <w:t>BRCAm</w:t>
      </w:r>
      <w:proofErr w:type="spellEnd"/>
      <w:r w:rsidRPr="00B07FB9">
        <w:rPr>
          <w:lang w:bidi="en-US"/>
        </w:rPr>
        <w:t xml:space="preserve">) distribution. </w:t>
      </w:r>
      <w:r w:rsidR="00E8711F" w:rsidRPr="00B07FB9">
        <w:rPr>
          <w:lang w:bidi="en-US"/>
        </w:rPr>
        <w:t xml:space="preserve">Incorporating the revised effective prices applicable to the </w:t>
      </w:r>
      <w:proofErr w:type="spellStart"/>
      <w:r w:rsidR="00E8711F" w:rsidRPr="00B07FB9">
        <w:rPr>
          <w:lang w:bidi="en-US"/>
        </w:rPr>
        <w:t>BRCAm</w:t>
      </w:r>
      <w:proofErr w:type="spellEnd"/>
      <w:r w:rsidR="00E8711F" w:rsidRPr="00B07FB9">
        <w:rPr>
          <w:lang w:bidi="en-US"/>
        </w:rPr>
        <w:t xml:space="preserve"> cohort ($</w:t>
      </w:r>
      <w:r w:rsidR="007A0897" w:rsidRPr="00385E8C">
        <w:rPr>
          <w:color w:val="000000"/>
          <w:w w:val="15"/>
          <w:shd w:val="solid" w:color="000000" w:fill="000000"/>
          <w:fitText w:val="-20" w:id="-1500824826"/>
          <w:lang w:bidi="en-US"/>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6"/>
          <w:lang w:bidi="en-US"/>
          <w14:textFill>
            <w14:solidFill>
              <w14:srgbClr w14:val="000000">
                <w14:alpha w14:val="100000"/>
              </w14:srgbClr>
            </w14:solidFill>
          </w14:textFill>
        </w:rPr>
        <w:t>|</w:t>
      </w:r>
      <w:r w:rsidR="00E8711F" w:rsidRPr="00B07FB9">
        <w:rPr>
          <w:lang w:bidi="en-US"/>
        </w:rPr>
        <w:t xml:space="preserve">, see paragraph </w:t>
      </w:r>
      <w:r w:rsidR="00E8711F" w:rsidRPr="00B07FB9">
        <w:rPr>
          <w:lang w:bidi="en-US"/>
        </w:rPr>
        <w:fldChar w:fldCharType="begin"/>
      </w:r>
      <w:r w:rsidR="00E8711F" w:rsidRPr="00B07FB9">
        <w:rPr>
          <w:lang w:bidi="en-US"/>
        </w:rPr>
        <w:instrText xml:space="preserve"> REF _Ref95749201 \n \h </w:instrText>
      </w:r>
      <w:r w:rsidR="00C726A3" w:rsidRPr="00B07FB9">
        <w:rPr>
          <w:lang w:bidi="en-US"/>
        </w:rPr>
        <w:instrText xml:space="preserve"> \* MERGEFORMAT </w:instrText>
      </w:r>
      <w:r w:rsidR="00E8711F" w:rsidRPr="00B07FB9">
        <w:rPr>
          <w:lang w:bidi="en-US"/>
        </w:rPr>
      </w:r>
      <w:r w:rsidR="00E8711F" w:rsidRPr="00B07FB9">
        <w:rPr>
          <w:lang w:bidi="en-US"/>
        </w:rPr>
        <w:fldChar w:fldCharType="separate"/>
      </w:r>
      <w:r w:rsidR="00385E8C">
        <w:rPr>
          <w:lang w:bidi="en-US"/>
        </w:rPr>
        <w:t>6.70</w:t>
      </w:r>
      <w:r w:rsidR="00E8711F" w:rsidRPr="00B07FB9">
        <w:rPr>
          <w:lang w:bidi="en-US"/>
        </w:rPr>
        <w:fldChar w:fldCharType="end"/>
      </w:r>
      <w:r w:rsidR="00E8711F" w:rsidRPr="00B07FB9">
        <w:rPr>
          <w:lang w:bidi="en-US"/>
        </w:rPr>
        <w:t>) and non-</w:t>
      </w:r>
      <w:proofErr w:type="spellStart"/>
      <w:r w:rsidR="00E8711F" w:rsidRPr="00B07FB9">
        <w:rPr>
          <w:lang w:bidi="en-US"/>
        </w:rPr>
        <w:t>BRCAm</w:t>
      </w:r>
      <w:proofErr w:type="spellEnd"/>
      <w:r w:rsidR="00E8711F" w:rsidRPr="00B07FB9">
        <w:rPr>
          <w:lang w:bidi="en-US"/>
        </w:rPr>
        <w:t xml:space="preserve"> ($</w:t>
      </w:r>
      <w:r w:rsidR="007A0897" w:rsidRPr="00385E8C">
        <w:rPr>
          <w:color w:val="000000"/>
          <w:w w:val="15"/>
          <w:shd w:val="solid" w:color="000000" w:fill="000000"/>
          <w:fitText w:val="-20" w:id="-1500824825"/>
          <w:lang w:bidi="en-US"/>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5"/>
          <w:lang w:bidi="en-US"/>
          <w14:textFill>
            <w14:solidFill>
              <w14:srgbClr w14:val="000000">
                <w14:alpha w14:val="100000"/>
              </w14:srgbClr>
            </w14:solidFill>
          </w14:textFill>
        </w:rPr>
        <w:t>|</w:t>
      </w:r>
      <w:r w:rsidR="00E8711F" w:rsidRPr="00B07FB9">
        <w:rPr>
          <w:lang w:bidi="en-US"/>
        </w:rPr>
        <w:t xml:space="preserve">, see paragraph </w:t>
      </w:r>
      <w:r w:rsidR="00E8711F" w:rsidRPr="00B07FB9">
        <w:rPr>
          <w:lang w:bidi="en-US"/>
        </w:rPr>
        <w:fldChar w:fldCharType="begin"/>
      </w:r>
      <w:r w:rsidR="00E8711F" w:rsidRPr="00B07FB9">
        <w:rPr>
          <w:lang w:bidi="en-US"/>
        </w:rPr>
        <w:instrText xml:space="preserve"> REF _Ref95742134 \n \h </w:instrText>
      </w:r>
      <w:r w:rsidR="00C726A3" w:rsidRPr="00B07FB9">
        <w:rPr>
          <w:lang w:bidi="en-US"/>
        </w:rPr>
        <w:instrText xml:space="preserve"> \* MERGEFORMAT </w:instrText>
      </w:r>
      <w:r w:rsidR="00E8711F" w:rsidRPr="00B07FB9">
        <w:rPr>
          <w:lang w:bidi="en-US"/>
        </w:rPr>
      </w:r>
      <w:r w:rsidR="00E8711F" w:rsidRPr="00B07FB9">
        <w:rPr>
          <w:lang w:bidi="en-US"/>
        </w:rPr>
        <w:fldChar w:fldCharType="separate"/>
      </w:r>
      <w:r w:rsidR="00385E8C">
        <w:rPr>
          <w:lang w:bidi="en-US"/>
        </w:rPr>
        <w:t>6.60</w:t>
      </w:r>
      <w:r w:rsidR="00E8711F" w:rsidRPr="00B07FB9">
        <w:rPr>
          <w:lang w:bidi="en-US"/>
        </w:rPr>
        <w:fldChar w:fldCharType="end"/>
      </w:r>
      <w:r w:rsidR="00E8711F" w:rsidRPr="00B07FB9">
        <w:rPr>
          <w:lang w:bidi="en-US"/>
        </w:rPr>
        <w:t>) to the re-specified weighting based on utilisation resulted in a weighted AEMP of $</w:t>
      </w:r>
      <w:r w:rsidR="007A0897" w:rsidRPr="00385E8C">
        <w:rPr>
          <w:color w:val="000000"/>
          <w:w w:val="15"/>
          <w:shd w:val="solid" w:color="000000" w:fill="000000"/>
          <w:fitText w:val="-20" w:id="-1500824824"/>
          <w:lang w:bidi="en-US"/>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4"/>
          <w:lang w:bidi="en-US"/>
          <w14:textFill>
            <w14:solidFill>
              <w14:srgbClr w14:val="000000">
                <w14:alpha w14:val="100000"/>
              </w14:srgbClr>
            </w14:solidFill>
          </w14:textFill>
        </w:rPr>
        <w:t>|</w:t>
      </w:r>
      <w:r w:rsidR="00E8711F" w:rsidRPr="00B07FB9">
        <w:rPr>
          <w:lang w:bidi="en-US"/>
        </w:rPr>
        <w:t>/56 capsules.</w:t>
      </w:r>
      <w:bookmarkEnd w:id="57"/>
      <w:r w:rsidR="005D3DA0" w:rsidRPr="00B07FB9">
        <w:rPr>
          <w:lang w:bidi="en-US"/>
        </w:rPr>
        <w:t xml:space="preserve"> </w:t>
      </w:r>
      <w:r w:rsidR="005D3DA0" w:rsidRPr="00B07FB9">
        <w:t xml:space="preserve">The pre-PBAC response revised the peak uptake for niraparib to 30%, which resulted in utilisation in the </w:t>
      </w:r>
      <w:proofErr w:type="spellStart"/>
      <w:r w:rsidR="005D3DA0" w:rsidRPr="00B07FB9">
        <w:t>BRCAm</w:t>
      </w:r>
      <w:proofErr w:type="spellEnd"/>
      <w:r w:rsidR="005D3DA0" w:rsidRPr="00B07FB9">
        <w:t>/non-</w:t>
      </w:r>
      <w:proofErr w:type="spellStart"/>
      <w:r w:rsidR="005D3DA0" w:rsidRPr="00B07FB9">
        <w:t>BRCAm</w:t>
      </w:r>
      <w:proofErr w:type="spellEnd"/>
      <w:r w:rsidR="005D3DA0" w:rsidRPr="00B07FB9">
        <w:t xml:space="preserve"> population of 19.3%/80.7% (respectively) and a weighted AEMP of $</w:t>
      </w:r>
      <w:r w:rsidR="007A0897" w:rsidRPr="00385E8C">
        <w:rPr>
          <w:color w:val="000000"/>
          <w:w w:val="15"/>
          <w:shd w:val="solid" w:color="000000" w:fill="000000"/>
          <w:fitText w:val="-20" w:id="-1500824823"/>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3"/>
          <w14:textFill>
            <w14:solidFill>
              <w14:srgbClr w14:val="000000">
                <w14:alpha w14:val="100000"/>
              </w14:srgbClr>
            </w14:solidFill>
          </w14:textFill>
        </w:rPr>
        <w:t>|</w:t>
      </w:r>
      <w:r w:rsidR="005D3DA0" w:rsidRPr="00B07FB9">
        <w:t xml:space="preserve"> per 56 capsules.</w:t>
      </w:r>
      <w:bookmarkEnd w:id="58"/>
    </w:p>
    <w:p w14:paraId="09B974B4" w14:textId="7A1F3800" w:rsidR="00E8711F" w:rsidRPr="00B07FB9" w:rsidRDefault="00E8711F" w:rsidP="00E8711F">
      <w:pPr>
        <w:pStyle w:val="3-BodyText"/>
        <w:widowControl w:val="0"/>
      </w:pPr>
      <w:bookmarkStart w:id="59" w:name="_Ref95813219"/>
      <w:r w:rsidRPr="00B07FB9">
        <w:t xml:space="preserve">The ESC considered that uptake in the </w:t>
      </w:r>
      <w:proofErr w:type="spellStart"/>
      <w:r w:rsidRPr="00B07FB9">
        <w:t>BRCAm</w:t>
      </w:r>
      <w:proofErr w:type="spellEnd"/>
      <w:r w:rsidRPr="00B07FB9">
        <w:t xml:space="preserve"> patient population may be as low as </w:t>
      </w:r>
      <w:r w:rsidRPr="00B07FB9">
        <w:lastRenderedPageBreak/>
        <w:t xml:space="preserve">10% of </w:t>
      </w:r>
      <w:proofErr w:type="spellStart"/>
      <w:r w:rsidRPr="00B07FB9">
        <w:t>BRCAm</w:t>
      </w:r>
      <w:proofErr w:type="spellEnd"/>
      <w:r w:rsidRPr="00B07FB9">
        <w:t xml:space="preserve"> patients as very few patients are expected to be treated with niraparib over </w:t>
      </w:r>
      <w:proofErr w:type="spellStart"/>
      <w:r w:rsidRPr="00B07FB9">
        <w:t>olaparib</w:t>
      </w:r>
      <w:proofErr w:type="spellEnd"/>
      <w:r w:rsidRPr="00B07FB9">
        <w:t>, given the stronger clinical evidence</w:t>
      </w:r>
      <w:r w:rsidR="00AE3036" w:rsidRPr="00B07FB9">
        <w:t>, potentially superior safety</w:t>
      </w:r>
      <w:r w:rsidRPr="00B07FB9">
        <w:t xml:space="preserve"> and </w:t>
      </w:r>
      <w:r w:rsidR="00AE3036" w:rsidRPr="00B07FB9">
        <w:t xml:space="preserve">greater </w:t>
      </w:r>
      <w:r w:rsidRPr="00B07FB9">
        <w:t>clinic</w:t>
      </w:r>
      <w:r w:rsidR="00AE3036" w:rsidRPr="00B07FB9">
        <w:t>ian</w:t>
      </w:r>
      <w:r w:rsidRPr="00B07FB9">
        <w:t xml:space="preserve"> experience with </w:t>
      </w:r>
      <w:proofErr w:type="spellStart"/>
      <w:r w:rsidRPr="00B07FB9">
        <w:t>olaparib</w:t>
      </w:r>
      <w:proofErr w:type="spellEnd"/>
      <w:r w:rsidRPr="00B07FB9">
        <w:t xml:space="preserve">. Assuming a prevalence of 25.3% and an uptake rate of 10% in </w:t>
      </w:r>
      <w:proofErr w:type="spellStart"/>
      <w:r w:rsidRPr="00B07FB9">
        <w:t>BRCAm</w:t>
      </w:r>
      <w:proofErr w:type="spellEnd"/>
      <w:r w:rsidRPr="00B07FB9">
        <w:t xml:space="preserve"> patients vs. 100% of non-</w:t>
      </w:r>
      <w:proofErr w:type="spellStart"/>
      <w:r w:rsidRPr="00B07FB9">
        <w:t>BRCAm</w:t>
      </w:r>
      <w:proofErr w:type="spellEnd"/>
      <w:r w:rsidRPr="00B07FB9">
        <w:t xml:space="preserve"> patients over the first 6 years of listing results in:</w:t>
      </w:r>
      <w:bookmarkEnd w:id="59"/>
    </w:p>
    <w:p w14:paraId="2ABEE3C0" w14:textId="7F80A069" w:rsidR="00E8711F" w:rsidRPr="00B07FB9" w:rsidRDefault="00E8711F" w:rsidP="00E8711F">
      <w:pPr>
        <w:pStyle w:val="ListParagraph"/>
        <w:ind w:left="1134" w:hanging="76"/>
      </w:pPr>
      <w:r w:rsidRPr="00B07FB9">
        <w:t>3.8% of</w:t>
      </w:r>
      <w:r w:rsidR="00B6265C" w:rsidRPr="00B07FB9">
        <w:t xml:space="preserve"> </w:t>
      </w:r>
      <w:proofErr w:type="spellStart"/>
      <w:r w:rsidR="00B6265C" w:rsidRPr="00B07FB9">
        <w:t>BRCAm</w:t>
      </w:r>
      <w:proofErr w:type="spellEnd"/>
      <w:r w:rsidRPr="00B07FB9">
        <w:t xml:space="preserve"> patients receiving niraparib; and</w:t>
      </w:r>
    </w:p>
    <w:p w14:paraId="783405BA" w14:textId="0496CF03" w:rsidR="00E8711F" w:rsidRPr="00B07FB9" w:rsidRDefault="00E8711F" w:rsidP="00E8711F">
      <w:pPr>
        <w:pStyle w:val="ListParagraph"/>
        <w:ind w:left="1134" w:hanging="76"/>
      </w:pPr>
      <w:r w:rsidRPr="00B07FB9">
        <w:t xml:space="preserve">8.1% of niraparib scripts which will be prescribed to </w:t>
      </w:r>
      <w:proofErr w:type="spellStart"/>
      <w:r w:rsidRPr="00B07FB9">
        <w:t>BRCAm</w:t>
      </w:r>
      <w:proofErr w:type="spellEnd"/>
      <w:r w:rsidRPr="00B07FB9">
        <w:t xml:space="preserve"> patients (due to the longer treatment duration in this subgroup)</w:t>
      </w:r>
      <w:r w:rsidR="00B6265C" w:rsidRPr="00B07FB9">
        <w:t>.</w:t>
      </w:r>
    </w:p>
    <w:p w14:paraId="0FCBB478" w14:textId="580152DD" w:rsidR="004C6AC1" w:rsidRPr="00B07FB9" w:rsidRDefault="00637EA4" w:rsidP="00BF07BF">
      <w:pPr>
        <w:pStyle w:val="3-BodyText"/>
        <w:widowControl w:val="0"/>
      </w:pPr>
      <w:r w:rsidRPr="00B07FB9">
        <w:t xml:space="preserve">The ESC noted that assuming 10% uptake in patients with </w:t>
      </w:r>
      <w:proofErr w:type="spellStart"/>
      <w:r w:rsidRPr="00B07FB9">
        <w:t>BRCAm</w:t>
      </w:r>
      <w:proofErr w:type="spellEnd"/>
      <w:r w:rsidRPr="00B07FB9">
        <w:t xml:space="preserve"> and 100% uptake in patients with non-</w:t>
      </w:r>
      <w:proofErr w:type="spellStart"/>
      <w:r w:rsidRPr="00B07FB9">
        <w:t>BRCAm</w:t>
      </w:r>
      <w:proofErr w:type="spellEnd"/>
      <w:r w:rsidRPr="00B07FB9">
        <w:t xml:space="preserve"> would result in an AEMP of $</w:t>
      </w:r>
      <w:r w:rsidR="007A0897" w:rsidRPr="00385E8C">
        <w:rPr>
          <w:color w:val="000000"/>
          <w:w w:val="15"/>
          <w:shd w:val="solid" w:color="000000" w:fill="000000"/>
          <w:fitText w:val="-20" w:id="-1500824822"/>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2"/>
          <w14:textFill>
            <w14:solidFill>
              <w14:srgbClr w14:val="000000">
                <w14:alpha w14:val="100000"/>
              </w14:srgbClr>
            </w14:solidFill>
          </w14:textFill>
        </w:rPr>
        <w:t>|</w:t>
      </w:r>
      <w:r w:rsidRPr="00B07FB9">
        <w:t xml:space="preserve"> per 56 capsule pack (based on the published </w:t>
      </w:r>
      <w:proofErr w:type="spellStart"/>
      <w:r w:rsidRPr="00B07FB9">
        <w:t>olaparib</w:t>
      </w:r>
      <w:proofErr w:type="spellEnd"/>
      <w:r w:rsidRPr="00B07FB9">
        <w:t xml:space="preserve"> price), compared with $</w:t>
      </w:r>
      <w:r w:rsidR="007A0897" w:rsidRPr="00385E8C">
        <w:rPr>
          <w:color w:val="000000"/>
          <w:w w:val="15"/>
          <w:shd w:val="solid" w:color="000000" w:fill="000000"/>
          <w:fitText w:val="-20" w:id="-1500824821"/>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1"/>
          <w14:textFill>
            <w14:solidFill>
              <w14:srgbClr w14:val="000000">
                <w14:alpha w14:val="100000"/>
              </w14:srgbClr>
            </w14:solidFill>
          </w14:textFill>
        </w:rPr>
        <w:t>|</w:t>
      </w:r>
      <w:r w:rsidRPr="00B07FB9">
        <w:t xml:space="preserve"> as proposed by the submission</w:t>
      </w:r>
      <w:r w:rsidR="00DB111D" w:rsidRPr="00B07FB9">
        <w:t xml:space="preserve">. </w:t>
      </w:r>
      <w:r w:rsidR="004C6AC1" w:rsidRPr="00B07FB9">
        <w:t xml:space="preserve">The pre-PBAC response argued that assuming a 10% market share for the </w:t>
      </w:r>
      <w:proofErr w:type="spellStart"/>
      <w:r w:rsidR="004C6AC1" w:rsidRPr="00B07FB9">
        <w:t>BRCAm</w:t>
      </w:r>
      <w:proofErr w:type="spellEnd"/>
      <w:r w:rsidR="004C6AC1" w:rsidRPr="00B07FB9">
        <w:t xml:space="preserve"> cohort significantly underestimates utilisation in clinical practice based on: the extent of local experience due to the access program, patient-specific considerations such as once per day dosing and drug interactions, </w:t>
      </w:r>
      <w:r w:rsidR="007A0897" w:rsidRPr="00385E8C">
        <w:rPr>
          <w:color w:val="000000"/>
          <w:w w:val="15"/>
          <w:shd w:val="solid" w:color="000000" w:fill="000000"/>
          <w:fitText w:val="-20" w:id="-1500824820"/>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0"/>
          <w14:textFill>
            <w14:solidFill>
              <w14:srgbClr w14:val="000000">
                <w14:alpha w14:val="100000"/>
              </w14:srgbClr>
            </w14:solidFill>
          </w14:textFill>
        </w:rPr>
        <w:t>|</w:t>
      </w:r>
      <w:r w:rsidR="004C6AC1" w:rsidRPr="00B07FB9">
        <w:t>.</w:t>
      </w:r>
      <w:r w:rsidR="0054444D" w:rsidRPr="00B07FB9">
        <w:t xml:space="preserve"> </w:t>
      </w:r>
    </w:p>
    <w:p w14:paraId="2227C6F2" w14:textId="4A59FC3C" w:rsidR="00460E9B" w:rsidRPr="00B07FB9" w:rsidRDefault="00460E9B" w:rsidP="000C6F49">
      <w:pPr>
        <w:pStyle w:val="4-SubsectionHeading"/>
        <w:keepNext w:val="0"/>
        <w:widowControl w:val="0"/>
      </w:pPr>
      <w:bookmarkStart w:id="60" w:name="_Toc89966690"/>
      <w:bookmarkStart w:id="61" w:name="_Toc93404200"/>
      <w:r w:rsidRPr="00B07FB9">
        <w:t>Niraparib cost/patient/course</w:t>
      </w:r>
      <w:bookmarkEnd w:id="38"/>
      <w:bookmarkEnd w:id="60"/>
      <w:bookmarkEnd w:id="61"/>
    </w:p>
    <w:p w14:paraId="6B07F220" w14:textId="11340DE3" w:rsidR="00460E9B" w:rsidRPr="00B07FB9" w:rsidRDefault="00460E9B" w:rsidP="000C6F49">
      <w:pPr>
        <w:pStyle w:val="3-BodyText"/>
        <w:widowControl w:val="0"/>
        <w:rPr>
          <w:snapToGrid/>
        </w:rPr>
      </w:pPr>
      <w:r w:rsidRPr="00B07FB9">
        <w:t>As above, the cost of niraparib is based on the requested weighted effective price derived in the CUA (for non-</w:t>
      </w:r>
      <w:proofErr w:type="spellStart"/>
      <w:r w:rsidRPr="00B07FB9">
        <w:t>BRCAm</w:t>
      </w:r>
      <w:proofErr w:type="spellEnd"/>
      <w:r w:rsidRPr="00B07FB9">
        <w:t xml:space="preserve"> NDA HGEOC) and CMA (for </w:t>
      </w:r>
      <w:proofErr w:type="spellStart"/>
      <w:r w:rsidRPr="00B07FB9">
        <w:t>BRCAm</w:t>
      </w:r>
      <w:proofErr w:type="spellEnd"/>
      <w:r w:rsidRPr="00B07FB9">
        <w:t xml:space="preserve"> NDA HGEOC). The estimated cost/patient/course of niraparib for patients with non-</w:t>
      </w:r>
      <w:proofErr w:type="spellStart"/>
      <w:r w:rsidRPr="00B07FB9">
        <w:t>BRCAm</w:t>
      </w:r>
      <w:proofErr w:type="spellEnd"/>
      <w:r w:rsidRPr="00B07FB9">
        <w:t xml:space="preserve"> and </w:t>
      </w:r>
      <w:proofErr w:type="spellStart"/>
      <w:r w:rsidRPr="00B07FB9">
        <w:t>BRCAm</w:t>
      </w:r>
      <w:proofErr w:type="spellEnd"/>
      <w:r w:rsidRPr="00B07FB9">
        <w:t xml:space="preserve"> across the sections of the resubmission are summarised in </w:t>
      </w:r>
      <w:r w:rsidRPr="00B07FB9">
        <w:fldChar w:fldCharType="begin"/>
      </w:r>
      <w:r w:rsidRPr="00B07FB9">
        <w:instrText xml:space="preserve"> REF _Ref90262297 \h </w:instrText>
      </w:r>
      <w:r w:rsidRPr="00B07FB9">
        <w:fldChar w:fldCharType="separate"/>
      </w:r>
      <w:r w:rsidR="00385E8C" w:rsidRPr="00B07FB9">
        <w:t xml:space="preserve">Table </w:t>
      </w:r>
      <w:r w:rsidR="00385E8C">
        <w:rPr>
          <w:noProof/>
        </w:rPr>
        <w:t>20</w:t>
      </w:r>
      <w:r w:rsidRPr="00B07FB9">
        <w:fldChar w:fldCharType="end"/>
      </w:r>
      <w:r w:rsidRPr="00B07FB9">
        <w:t xml:space="preserve"> and </w:t>
      </w:r>
      <w:r w:rsidRPr="00B07FB9">
        <w:fldChar w:fldCharType="begin"/>
      </w:r>
      <w:r w:rsidRPr="00B07FB9">
        <w:instrText xml:space="preserve"> REF _Ref90262311 \h </w:instrText>
      </w:r>
      <w:r w:rsidRPr="00B07FB9">
        <w:fldChar w:fldCharType="separate"/>
      </w:r>
      <w:r w:rsidR="00385E8C" w:rsidRPr="00B07FB9">
        <w:t xml:space="preserve">Table </w:t>
      </w:r>
      <w:r w:rsidR="00385E8C">
        <w:rPr>
          <w:noProof/>
        </w:rPr>
        <w:t>21</w:t>
      </w:r>
      <w:r w:rsidRPr="00B07FB9">
        <w:fldChar w:fldCharType="end"/>
      </w:r>
      <w:r w:rsidRPr="00B07FB9">
        <w:t>, respectively</w:t>
      </w:r>
      <w:r w:rsidR="00E032E7" w:rsidRPr="00B07FB9">
        <w:t xml:space="preserve">, with revised costs based on the proposed prices in the PSCR also shown. </w:t>
      </w:r>
    </w:p>
    <w:p w14:paraId="2AE0A904" w14:textId="11068B5D" w:rsidR="00460E9B" w:rsidRPr="00B07FB9" w:rsidRDefault="00460E9B" w:rsidP="00E032E7">
      <w:pPr>
        <w:pStyle w:val="TableFigureHeading"/>
        <w:keepLines/>
        <w:widowControl w:val="0"/>
        <w:rPr>
          <w:rStyle w:val="CommentReference"/>
          <w:b/>
          <w:szCs w:val="24"/>
        </w:rPr>
      </w:pPr>
      <w:bookmarkStart w:id="62" w:name="_Ref90262297"/>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20</w:t>
      </w:r>
      <w:r w:rsidR="00385E8C">
        <w:fldChar w:fldCharType="end"/>
      </w:r>
      <w:bookmarkEnd w:id="62"/>
      <w:r w:rsidRPr="00B07FB9">
        <w:rPr>
          <w:rStyle w:val="CommentReference"/>
          <w:b/>
          <w:szCs w:val="24"/>
        </w:rPr>
        <w:t>: Drug cost per patient for niraparib - non-</w:t>
      </w:r>
      <w:proofErr w:type="spellStart"/>
      <w:r w:rsidRPr="00B07FB9">
        <w:rPr>
          <w:rStyle w:val="CommentReference"/>
          <w:b/>
          <w:szCs w:val="24"/>
        </w:rPr>
        <w:t>BRCAm</w:t>
      </w:r>
      <w:proofErr w:type="spellEnd"/>
      <w:r w:rsidRPr="00B07FB9">
        <w:rPr>
          <w:rStyle w:val="CommentReference"/>
          <w:b/>
          <w:szCs w:val="24"/>
        </w:rPr>
        <w:t xml:space="preserve"> NDA HGEOC (requested effective DPMQ)*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0: Drug cost per patient for niraparib - non-BRCAm NDA HGEOC (requested effective DPMQ)* "/>
      </w:tblPr>
      <w:tblGrid>
        <w:gridCol w:w="1696"/>
        <w:gridCol w:w="2629"/>
        <w:gridCol w:w="2346"/>
        <w:gridCol w:w="2346"/>
      </w:tblGrid>
      <w:tr w:rsidR="00460E9B" w:rsidRPr="00B07FB9" w14:paraId="5460D611" w14:textId="77777777" w:rsidTr="00460E9B">
        <w:trPr>
          <w:cantSplit/>
          <w:tblHeader/>
          <w:jc w:val="center"/>
        </w:trPr>
        <w:tc>
          <w:tcPr>
            <w:tcW w:w="940" w:type="pct"/>
            <w:shd w:val="clear" w:color="auto" w:fill="auto"/>
            <w:vAlign w:val="center"/>
          </w:tcPr>
          <w:p w14:paraId="07C0CDCE" w14:textId="77777777" w:rsidR="00460E9B" w:rsidRPr="00B07FB9" w:rsidRDefault="00460E9B" w:rsidP="00E032E7">
            <w:pPr>
              <w:pStyle w:val="In-tableHeading"/>
              <w:keepLines/>
              <w:widowControl w:val="0"/>
              <w:jc w:val="center"/>
              <w:rPr>
                <w:lang w:val="en-AU"/>
              </w:rPr>
            </w:pPr>
          </w:p>
        </w:tc>
        <w:tc>
          <w:tcPr>
            <w:tcW w:w="4060" w:type="pct"/>
            <w:gridSpan w:val="3"/>
            <w:shd w:val="clear" w:color="auto" w:fill="auto"/>
            <w:vAlign w:val="center"/>
          </w:tcPr>
          <w:p w14:paraId="0AA41907" w14:textId="77777777" w:rsidR="00460E9B" w:rsidRPr="00B07FB9" w:rsidRDefault="00460E9B" w:rsidP="00E032E7">
            <w:pPr>
              <w:pStyle w:val="In-tableHeading"/>
              <w:keepLines/>
              <w:widowControl w:val="0"/>
              <w:jc w:val="center"/>
              <w:rPr>
                <w:lang w:val="en-AU"/>
              </w:rPr>
            </w:pPr>
            <w:r w:rsidRPr="00B07FB9">
              <w:rPr>
                <w:lang w:val="en-AU"/>
              </w:rPr>
              <w:t>Niraparib</w:t>
            </w:r>
          </w:p>
        </w:tc>
      </w:tr>
      <w:tr w:rsidR="00460E9B" w:rsidRPr="00B07FB9" w14:paraId="1B6E7F54" w14:textId="77777777" w:rsidTr="00460E9B">
        <w:trPr>
          <w:cantSplit/>
          <w:tblHeader/>
          <w:jc w:val="center"/>
        </w:trPr>
        <w:tc>
          <w:tcPr>
            <w:tcW w:w="940" w:type="pct"/>
            <w:shd w:val="clear" w:color="auto" w:fill="auto"/>
            <w:vAlign w:val="center"/>
          </w:tcPr>
          <w:p w14:paraId="220130AE" w14:textId="77777777" w:rsidR="00460E9B" w:rsidRPr="00B07FB9" w:rsidRDefault="00460E9B" w:rsidP="00E032E7">
            <w:pPr>
              <w:pStyle w:val="In-tableHeading"/>
              <w:keepLines/>
              <w:widowControl w:val="0"/>
              <w:jc w:val="center"/>
              <w:rPr>
                <w:lang w:val="en-AU"/>
              </w:rPr>
            </w:pPr>
          </w:p>
        </w:tc>
        <w:tc>
          <w:tcPr>
            <w:tcW w:w="1458" w:type="pct"/>
            <w:shd w:val="clear" w:color="auto" w:fill="auto"/>
            <w:vAlign w:val="center"/>
          </w:tcPr>
          <w:p w14:paraId="22B54945" w14:textId="77777777" w:rsidR="00460E9B" w:rsidRPr="00B07FB9" w:rsidRDefault="00460E9B" w:rsidP="00E032E7">
            <w:pPr>
              <w:pStyle w:val="In-tableHeading"/>
              <w:keepLines/>
              <w:widowControl w:val="0"/>
              <w:jc w:val="center"/>
              <w:rPr>
                <w:lang w:val="en-AU"/>
              </w:rPr>
            </w:pPr>
            <w:r w:rsidRPr="00B07FB9">
              <w:rPr>
                <w:lang w:val="en-AU"/>
              </w:rPr>
              <w:t>Trial dose and duration</w:t>
            </w:r>
          </w:p>
        </w:tc>
        <w:tc>
          <w:tcPr>
            <w:tcW w:w="1301" w:type="pct"/>
            <w:shd w:val="clear" w:color="auto" w:fill="auto"/>
            <w:vAlign w:val="center"/>
          </w:tcPr>
          <w:p w14:paraId="1FC8AF8A" w14:textId="77777777" w:rsidR="00460E9B" w:rsidRPr="00B07FB9" w:rsidRDefault="00460E9B" w:rsidP="00E032E7">
            <w:pPr>
              <w:pStyle w:val="In-tableHeading"/>
              <w:keepLines/>
              <w:widowControl w:val="0"/>
              <w:jc w:val="center"/>
              <w:rPr>
                <w:lang w:val="en-AU"/>
              </w:rPr>
            </w:pPr>
            <w:r w:rsidRPr="00B07FB9">
              <w:rPr>
                <w:lang w:val="en-AU"/>
              </w:rPr>
              <w:t>Model</w:t>
            </w:r>
          </w:p>
        </w:tc>
        <w:tc>
          <w:tcPr>
            <w:tcW w:w="1301" w:type="pct"/>
            <w:shd w:val="clear" w:color="auto" w:fill="auto"/>
            <w:vAlign w:val="center"/>
          </w:tcPr>
          <w:p w14:paraId="710301F1" w14:textId="77777777" w:rsidR="00460E9B" w:rsidRPr="00B07FB9" w:rsidRDefault="00460E9B" w:rsidP="00E032E7">
            <w:pPr>
              <w:pStyle w:val="In-tableHeading"/>
              <w:keepLines/>
              <w:widowControl w:val="0"/>
              <w:jc w:val="center"/>
              <w:rPr>
                <w:lang w:val="en-AU"/>
              </w:rPr>
            </w:pPr>
            <w:r w:rsidRPr="00B07FB9">
              <w:rPr>
                <w:lang w:val="en-AU"/>
              </w:rPr>
              <w:t>Financial estimates</w:t>
            </w:r>
          </w:p>
        </w:tc>
      </w:tr>
      <w:tr w:rsidR="00460E9B" w:rsidRPr="00B07FB9" w14:paraId="51211748" w14:textId="77777777" w:rsidTr="00460E9B">
        <w:trPr>
          <w:cantSplit/>
          <w:jc w:val="center"/>
        </w:trPr>
        <w:tc>
          <w:tcPr>
            <w:tcW w:w="940" w:type="pct"/>
            <w:shd w:val="clear" w:color="auto" w:fill="auto"/>
            <w:vAlign w:val="center"/>
          </w:tcPr>
          <w:p w14:paraId="791767E5" w14:textId="77777777" w:rsidR="00460E9B" w:rsidRPr="00B07FB9" w:rsidRDefault="00460E9B" w:rsidP="00E032E7">
            <w:pPr>
              <w:pStyle w:val="TableText0"/>
              <w:keepLines/>
              <w:widowControl w:val="0"/>
            </w:pPr>
            <w:r w:rsidRPr="00B07FB9">
              <w:t>Mean dose in Cycle 1</w:t>
            </w:r>
          </w:p>
        </w:tc>
        <w:tc>
          <w:tcPr>
            <w:tcW w:w="1458" w:type="pct"/>
            <w:shd w:val="clear" w:color="auto" w:fill="auto"/>
            <w:vAlign w:val="center"/>
          </w:tcPr>
          <w:p w14:paraId="11F9A6BE" w14:textId="77777777" w:rsidR="00460E9B" w:rsidRPr="00B07FB9" w:rsidRDefault="00460E9B" w:rsidP="00E032E7">
            <w:pPr>
              <w:pStyle w:val="TableText0"/>
              <w:keepLines/>
              <w:widowControl w:val="0"/>
              <w:contextualSpacing/>
              <w:jc w:val="center"/>
              <w:rPr>
                <w:vertAlign w:val="superscript"/>
              </w:rPr>
            </w:pPr>
            <w:r w:rsidRPr="00B07FB9">
              <w:t xml:space="preserve">PRIMA ITT cohort </w:t>
            </w:r>
            <w:proofErr w:type="spellStart"/>
            <w:r w:rsidRPr="00B07FB9">
              <w:t>dosing</w:t>
            </w:r>
            <w:r w:rsidRPr="00B07FB9">
              <w:rPr>
                <w:vertAlign w:val="superscript"/>
              </w:rPr>
              <w:t>a</w:t>
            </w:r>
            <w:proofErr w:type="spellEnd"/>
          </w:p>
          <w:p w14:paraId="317E85E4" w14:textId="77777777" w:rsidR="00460E9B" w:rsidRPr="00B07FB9" w:rsidRDefault="00460E9B" w:rsidP="00E032E7">
            <w:pPr>
              <w:pStyle w:val="TableText0"/>
              <w:keepLines/>
              <w:widowControl w:val="0"/>
              <w:contextualSpacing/>
              <w:jc w:val="center"/>
            </w:pPr>
            <w:r w:rsidRPr="00B07FB9">
              <w:t>203.7 mg/day</w:t>
            </w:r>
          </w:p>
        </w:tc>
        <w:tc>
          <w:tcPr>
            <w:tcW w:w="1301" w:type="pct"/>
            <w:shd w:val="clear" w:color="auto" w:fill="auto"/>
            <w:vAlign w:val="center"/>
          </w:tcPr>
          <w:p w14:paraId="5DE33E83" w14:textId="77777777" w:rsidR="00460E9B" w:rsidRPr="00B07FB9" w:rsidRDefault="00460E9B" w:rsidP="00E032E7">
            <w:pPr>
              <w:pStyle w:val="TableText0"/>
              <w:keepLines/>
              <w:widowControl w:val="0"/>
              <w:contextualSpacing/>
              <w:jc w:val="center"/>
              <w:rPr>
                <w:vertAlign w:val="superscript"/>
              </w:rPr>
            </w:pPr>
            <w:r w:rsidRPr="00B07FB9">
              <w:t xml:space="preserve">PRIMA ISD cohort </w:t>
            </w:r>
            <w:proofErr w:type="spellStart"/>
            <w:r w:rsidRPr="00B07FB9">
              <w:t>dosing</w:t>
            </w:r>
            <w:r w:rsidRPr="00B07FB9">
              <w:rPr>
                <w:vertAlign w:val="superscript"/>
              </w:rPr>
              <w:t>b</w:t>
            </w:r>
            <w:proofErr w:type="spellEnd"/>
          </w:p>
          <w:p w14:paraId="71E21AC0" w14:textId="77777777" w:rsidR="00460E9B" w:rsidRPr="00B07FB9" w:rsidRDefault="00460E9B" w:rsidP="00E032E7">
            <w:pPr>
              <w:pStyle w:val="TableText0"/>
              <w:keepLines/>
              <w:widowControl w:val="0"/>
              <w:jc w:val="center"/>
              <w:rPr>
                <w:b/>
              </w:rPr>
            </w:pPr>
            <w:r w:rsidRPr="00B07FB9">
              <w:t>183.8 mg/day</w:t>
            </w:r>
          </w:p>
        </w:tc>
        <w:tc>
          <w:tcPr>
            <w:tcW w:w="1301" w:type="pct"/>
            <w:shd w:val="clear" w:color="auto" w:fill="auto"/>
            <w:vAlign w:val="center"/>
          </w:tcPr>
          <w:p w14:paraId="0A293EED" w14:textId="77777777" w:rsidR="00460E9B" w:rsidRPr="00B07FB9" w:rsidRDefault="00460E9B" w:rsidP="00E032E7">
            <w:pPr>
              <w:pStyle w:val="TableText0"/>
              <w:keepLines/>
              <w:widowControl w:val="0"/>
              <w:contextualSpacing/>
              <w:jc w:val="center"/>
              <w:rPr>
                <w:vertAlign w:val="superscript"/>
              </w:rPr>
            </w:pPr>
            <w:r w:rsidRPr="00B07FB9">
              <w:t xml:space="preserve">PRIMA ISD cohort </w:t>
            </w:r>
            <w:proofErr w:type="spellStart"/>
            <w:r w:rsidRPr="00B07FB9">
              <w:t>dosing</w:t>
            </w:r>
            <w:r w:rsidRPr="00B07FB9">
              <w:rPr>
                <w:vertAlign w:val="superscript"/>
              </w:rPr>
              <w:t>b</w:t>
            </w:r>
            <w:proofErr w:type="spellEnd"/>
          </w:p>
          <w:p w14:paraId="6B5FB148" w14:textId="77777777" w:rsidR="00460E9B" w:rsidRPr="00B07FB9" w:rsidRDefault="00460E9B" w:rsidP="00E032E7">
            <w:pPr>
              <w:pStyle w:val="TableText0"/>
              <w:keepLines/>
              <w:widowControl w:val="0"/>
              <w:jc w:val="center"/>
              <w:rPr>
                <w:b/>
              </w:rPr>
            </w:pPr>
            <w:r w:rsidRPr="00B07FB9">
              <w:t>183.8 mg/day</w:t>
            </w:r>
          </w:p>
        </w:tc>
      </w:tr>
      <w:tr w:rsidR="00460E9B" w:rsidRPr="00B07FB9" w14:paraId="241664CB" w14:textId="77777777" w:rsidTr="00460E9B">
        <w:trPr>
          <w:cantSplit/>
          <w:jc w:val="center"/>
        </w:trPr>
        <w:tc>
          <w:tcPr>
            <w:tcW w:w="940" w:type="pct"/>
            <w:shd w:val="clear" w:color="auto" w:fill="auto"/>
            <w:vAlign w:val="center"/>
          </w:tcPr>
          <w:p w14:paraId="7D87165F" w14:textId="77777777" w:rsidR="00460E9B" w:rsidRPr="00B07FB9" w:rsidRDefault="00460E9B" w:rsidP="00E032E7">
            <w:pPr>
              <w:pStyle w:val="TableText0"/>
              <w:keepLines/>
              <w:widowControl w:val="0"/>
            </w:pPr>
            <w:r w:rsidRPr="00B07FB9">
              <w:t>Mean duration</w:t>
            </w:r>
          </w:p>
        </w:tc>
        <w:tc>
          <w:tcPr>
            <w:tcW w:w="1458" w:type="pct"/>
            <w:shd w:val="clear" w:color="auto" w:fill="auto"/>
            <w:vAlign w:val="center"/>
          </w:tcPr>
          <w:p w14:paraId="427225F6" w14:textId="77777777" w:rsidR="00460E9B" w:rsidRPr="00B07FB9" w:rsidRDefault="00460E9B" w:rsidP="00E032E7">
            <w:pPr>
              <w:pStyle w:val="TableText0"/>
              <w:keepLines/>
              <w:widowControl w:val="0"/>
              <w:jc w:val="center"/>
              <w:rPr>
                <w:b/>
              </w:rPr>
            </w:pPr>
            <w:r w:rsidRPr="00B07FB9">
              <w:t xml:space="preserve">10.89 </w:t>
            </w:r>
            <w:proofErr w:type="spellStart"/>
            <w:r w:rsidRPr="00B07FB9">
              <w:t>month</w:t>
            </w:r>
            <w:r w:rsidRPr="00B07FB9">
              <w:rPr>
                <w:vertAlign w:val="superscript"/>
              </w:rPr>
              <w:t>c</w:t>
            </w:r>
            <w:proofErr w:type="spellEnd"/>
          </w:p>
        </w:tc>
        <w:tc>
          <w:tcPr>
            <w:tcW w:w="1301" w:type="pct"/>
            <w:shd w:val="clear" w:color="auto" w:fill="auto"/>
            <w:vAlign w:val="center"/>
          </w:tcPr>
          <w:p w14:paraId="30271420" w14:textId="77777777" w:rsidR="00460E9B" w:rsidRPr="00B07FB9" w:rsidRDefault="00460E9B" w:rsidP="00E032E7">
            <w:pPr>
              <w:pStyle w:val="TableText0"/>
              <w:keepLines/>
              <w:widowControl w:val="0"/>
              <w:jc w:val="center"/>
              <w:rPr>
                <w:b/>
              </w:rPr>
            </w:pPr>
            <w:r w:rsidRPr="00B07FB9">
              <w:t xml:space="preserve">12.4 </w:t>
            </w:r>
            <w:proofErr w:type="spellStart"/>
            <w:r w:rsidRPr="00B07FB9">
              <w:t>months</w:t>
            </w:r>
            <w:r w:rsidRPr="00B07FB9">
              <w:rPr>
                <w:vertAlign w:val="superscript"/>
              </w:rPr>
              <w:t>d</w:t>
            </w:r>
            <w:proofErr w:type="spellEnd"/>
          </w:p>
        </w:tc>
        <w:tc>
          <w:tcPr>
            <w:tcW w:w="1301" w:type="pct"/>
            <w:shd w:val="clear" w:color="auto" w:fill="auto"/>
            <w:vAlign w:val="center"/>
          </w:tcPr>
          <w:p w14:paraId="663BED95" w14:textId="77777777" w:rsidR="00460E9B" w:rsidRPr="00B07FB9" w:rsidRDefault="00460E9B" w:rsidP="00E032E7">
            <w:pPr>
              <w:pStyle w:val="TableText0"/>
              <w:keepLines/>
              <w:widowControl w:val="0"/>
              <w:jc w:val="center"/>
              <w:rPr>
                <w:vertAlign w:val="superscript"/>
              </w:rPr>
            </w:pPr>
            <w:r w:rsidRPr="00B07FB9">
              <w:t xml:space="preserve">11.9 </w:t>
            </w:r>
            <w:proofErr w:type="spellStart"/>
            <w:r w:rsidRPr="00B07FB9">
              <w:t>months</w:t>
            </w:r>
            <w:r w:rsidRPr="00B07FB9">
              <w:rPr>
                <w:vertAlign w:val="superscript"/>
              </w:rPr>
              <w:t>e</w:t>
            </w:r>
            <w:proofErr w:type="spellEnd"/>
          </w:p>
        </w:tc>
      </w:tr>
      <w:tr w:rsidR="00460E9B" w:rsidRPr="00B07FB9" w14:paraId="65A5CD5C" w14:textId="77777777" w:rsidTr="00460E9B">
        <w:trPr>
          <w:cantSplit/>
          <w:jc w:val="center"/>
        </w:trPr>
        <w:tc>
          <w:tcPr>
            <w:tcW w:w="940" w:type="pct"/>
            <w:shd w:val="clear" w:color="auto" w:fill="auto"/>
            <w:vAlign w:val="center"/>
          </w:tcPr>
          <w:p w14:paraId="0A25764C" w14:textId="77777777" w:rsidR="00460E9B" w:rsidRPr="00B07FB9" w:rsidRDefault="00460E9B" w:rsidP="00E032E7">
            <w:pPr>
              <w:pStyle w:val="TableText0"/>
              <w:keepLines/>
              <w:widowControl w:val="0"/>
            </w:pPr>
            <w:r w:rsidRPr="00B07FB9">
              <w:t>Cost/patient/course</w:t>
            </w:r>
          </w:p>
        </w:tc>
        <w:tc>
          <w:tcPr>
            <w:tcW w:w="1458" w:type="pct"/>
            <w:shd w:val="clear" w:color="auto" w:fill="auto"/>
            <w:vAlign w:val="center"/>
          </w:tcPr>
          <w:p w14:paraId="5A37FE13" w14:textId="51FF0985" w:rsidR="00460E9B" w:rsidRPr="00B07FB9" w:rsidRDefault="00460E9B" w:rsidP="00E032E7">
            <w:pPr>
              <w:keepNext/>
              <w:keepLines/>
              <w:widowControl w:val="0"/>
              <w:jc w:val="center"/>
              <w:rPr>
                <w:rFonts w:cs="Calibri"/>
                <w:color w:val="000000"/>
                <w:sz w:val="20"/>
                <w:szCs w:val="20"/>
              </w:rPr>
            </w:pPr>
            <w:r w:rsidRPr="00B07FB9">
              <w:rPr>
                <w:rFonts w:ascii="Arial Narrow" w:eastAsiaTheme="majorEastAsia" w:hAnsi="Arial Narrow" w:cstheme="majorBidi"/>
                <w:bCs/>
                <w:sz w:val="20"/>
              </w:rPr>
              <w:t>$</w:t>
            </w:r>
            <w:r w:rsidR="007A0897" w:rsidRPr="007A0897">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Pr="00B07FB9">
              <w:rPr>
                <w:vertAlign w:val="superscript"/>
              </w:rPr>
              <w:t>f</w:t>
            </w:r>
          </w:p>
        </w:tc>
        <w:tc>
          <w:tcPr>
            <w:tcW w:w="1301" w:type="pct"/>
            <w:shd w:val="clear" w:color="auto" w:fill="auto"/>
            <w:vAlign w:val="center"/>
          </w:tcPr>
          <w:p w14:paraId="311B0F25" w14:textId="618E25D4" w:rsidR="00460E9B" w:rsidRPr="00B07FB9" w:rsidRDefault="00460E9B" w:rsidP="00E032E7">
            <w:pPr>
              <w:pStyle w:val="TableText0"/>
              <w:keepLines/>
              <w:widowControl w:val="0"/>
              <w:jc w:val="center"/>
            </w:pPr>
            <w:r w:rsidRPr="00B07FB9">
              <w:t>$</w:t>
            </w:r>
            <w:r w:rsidR="007A0897" w:rsidRPr="007A0897">
              <w:rPr>
                <w:color w:val="000000"/>
                <w:shd w:val="solid" w:color="000000" w:fill="000000"/>
                <w14:textFill>
                  <w14:solidFill>
                    <w14:srgbClr w14:val="000000">
                      <w14:alpha w14:val="100000"/>
                    </w14:srgbClr>
                  </w14:solidFill>
                </w14:textFill>
              </w:rPr>
              <w:t>|</w:t>
            </w:r>
            <w:r w:rsidRPr="00B07FB9">
              <w:rPr>
                <w:vertAlign w:val="superscript"/>
              </w:rPr>
              <w:t>f</w:t>
            </w:r>
          </w:p>
        </w:tc>
        <w:tc>
          <w:tcPr>
            <w:tcW w:w="1301" w:type="pct"/>
            <w:shd w:val="clear" w:color="auto" w:fill="auto"/>
            <w:vAlign w:val="center"/>
          </w:tcPr>
          <w:p w14:paraId="7620DC06" w14:textId="3007E4D9" w:rsidR="00460E9B" w:rsidRPr="00B07FB9" w:rsidRDefault="00460E9B" w:rsidP="00E032E7">
            <w:pPr>
              <w:pStyle w:val="TableText0"/>
              <w:keepLines/>
              <w:widowControl w:val="0"/>
              <w:jc w:val="center"/>
              <w:rPr>
                <w:vertAlign w:val="superscript"/>
              </w:rPr>
            </w:pPr>
            <w:r w:rsidRPr="00B07FB9">
              <w:t>$</w:t>
            </w:r>
            <w:r w:rsidR="007A0897" w:rsidRPr="007A0897">
              <w:rPr>
                <w:color w:val="000000"/>
                <w:shd w:val="solid" w:color="000000" w:fill="000000"/>
                <w14:textFill>
                  <w14:solidFill>
                    <w14:srgbClr w14:val="000000">
                      <w14:alpha w14:val="100000"/>
                    </w14:srgbClr>
                  </w14:solidFill>
                </w14:textFill>
              </w:rPr>
              <w:t>|</w:t>
            </w:r>
            <w:r w:rsidRPr="00B07FB9">
              <w:rPr>
                <w:vertAlign w:val="superscript"/>
              </w:rPr>
              <w:t>g</w:t>
            </w:r>
          </w:p>
        </w:tc>
      </w:tr>
      <w:tr w:rsidR="00E41F07" w:rsidRPr="00B07FB9" w14:paraId="45D26558" w14:textId="77777777" w:rsidTr="00460E9B">
        <w:trPr>
          <w:cantSplit/>
          <w:jc w:val="center"/>
        </w:trPr>
        <w:tc>
          <w:tcPr>
            <w:tcW w:w="940" w:type="pct"/>
            <w:shd w:val="clear" w:color="auto" w:fill="auto"/>
            <w:vAlign w:val="center"/>
          </w:tcPr>
          <w:p w14:paraId="0700B4D6" w14:textId="456CFE9E" w:rsidR="00E41F07" w:rsidRPr="00B07FB9" w:rsidRDefault="00E41F07" w:rsidP="00E41F07">
            <w:pPr>
              <w:pStyle w:val="TableText0"/>
              <w:keepLines/>
              <w:widowControl w:val="0"/>
            </w:pPr>
            <w:r w:rsidRPr="00B07FB9">
              <w:t>Cost/patient/course (PSCR revised price)</w:t>
            </w:r>
          </w:p>
        </w:tc>
        <w:tc>
          <w:tcPr>
            <w:tcW w:w="1458" w:type="pct"/>
            <w:shd w:val="clear" w:color="auto" w:fill="auto"/>
            <w:vAlign w:val="center"/>
          </w:tcPr>
          <w:p w14:paraId="41263369" w14:textId="415B2EF0" w:rsidR="00E41F07" w:rsidRPr="00B07FB9" w:rsidRDefault="00E41F07" w:rsidP="00E41F07">
            <w:pPr>
              <w:keepNext/>
              <w:keepLines/>
              <w:widowControl w:val="0"/>
              <w:jc w:val="center"/>
              <w:rPr>
                <w:rFonts w:ascii="Arial Narrow" w:eastAsiaTheme="majorEastAsia" w:hAnsi="Arial Narrow" w:cstheme="majorBidi"/>
                <w:bCs/>
                <w:sz w:val="20"/>
                <w:szCs w:val="20"/>
              </w:rPr>
            </w:pPr>
            <w:r w:rsidRPr="00B07FB9">
              <w:rPr>
                <w:rFonts w:ascii="Arial Narrow" w:hAnsi="Arial Narrow"/>
                <w:sz w:val="20"/>
                <w:szCs w:val="20"/>
              </w:rPr>
              <w:t>$</w:t>
            </w:r>
            <w:r w:rsidR="007A0897" w:rsidRPr="007A0897">
              <w:rPr>
                <w:rFonts w:ascii="Arial Narrow" w:hAnsi="Arial Narrow"/>
                <w:color w:val="000000"/>
                <w:sz w:val="20"/>
                <w:szCs w:val="20"/>
                <w:shd w:val="solid" w:color="000000" w:fill="000000"/>
                <w14:textFill>
                  <w14:solidFill>
                    <w14:srgbClr w14:val="000000">
                      <w14:alpha w14:val="100000"/>
                    </w14:srgbClr>
                  </w14:solidFill>
                </w14:textFill>
              </w:rPr>
              <w:t>|</w:t>
            </w:r>
            <w:r w:rsidRPr="00B07FB9">
              <w:rPr>
                <w:rFonts w:ascii="Arial Narrow" w:hAnsi="Arial Narrow"/>
                <w:sz w:val="20"/>
                <w:szCs w:val="20"/>
                <w:vertAlign w:val="superscript"/>
              </w:rPr>
              <w:t>f</w:t>
            </w:r>
          </w:p>
        </w:tc>
        <w:tc>
          <w:tcPr>
            <w:tcW w:w="1301" w:type="pct"/>
            <w:shd w:val="clear" w:color="auto" w:fill="auto"/>
            <w:vAlign w:val="center"/>
          </w:tcPr>
          <w:p w14:paraId="718F096D" w14:textId="06034E74" w:rsidR="00E41F07" w:rsidRPr="00B07FB9" w:rsidRDefault="00E41F07" w:rsidP="00E41F07">
            <w:pPr>
              <w:pStyle w:val="TableText0"/>
              <w:keepLines/>
              <w:widowControl w:val="0"/>
              <w:jc w:val="center"/>
              <w:rPr>
                <w:szCs w:val="20"/>
              </w:rPr>
            </w:pPr>
            <w:r w:rsidRPr="00B07FB9">
              <w:rPr>
                <w:szCs w:val="20"/>
              </w:rPr>
              <w:t>$</w:t>
            </w:r>
            <w:r w:rsidR="007A0897" w:rsidRPr="007A0897">
              <w:rPr>
                <w:color w:val="000000"/>
                <w:szCs w:val="20"/>
                <w:shd w:val="solid" w:color="000000" w:fill="000000"/>
                <w14:textFill>
                  <w14:solidFill>
                    <w14:srgbClr w14:val="000000">
                      <w14:alpha w14:val="100000"/>
                    </w14:srgbClr>
                  </w14:solidFill>
                </w14:textFill>
              </w:rPr>
              <w:t>|</w:t>
            </w:r>
            <w:r w:rsidRPr="000F715C">
              <w:rPr>
                <w:szCs w:val="20"/>
                <w:vertAlign w:val="superscript"/>
              </w:rPr>
              <w:t>f</w:t>
            </w:r>
          </w:p>
        </w:tc>
        <w:tc>
          <w:tcPr>
            <w:tcW w:w="1301" w:type="pct"/>
            <w:shd w:val="clear" w:color="auto" w:fill="auto"/>
            <w:vAlign w:val="center"/>
          </w:tcPr>
          <w:p w14:paraId="176982FA" w14:textId="33089207" w:rsidR="00E41F07" w:rsidRPr="00B07FB9" w:rsidRDefault="00E41F07" w:rsidP="00E41F07">
            <w:pPr>
              <w:pStyle w:val="TableText0"/>
              <w:keepLines/>
              <w:widowControl w:val="0"/>
              <w:jc w:val="center"/>
              <w:rPr>
                <w:szCs w:val="20"/>
              </w:rPr>
            </w:pPr>
            <w:r w:rsidRPr="00B07FB9">
              <w:rPr>
                <w:szCs w:val="20"/>
              </w:rPr>
              <w:t>$</w:t>
            </w:r>
            <w:r w:rsidR="007A0897" w:rsidRPr="007A0897">
              <w:rPr>
                <w:color w:val="000000"/>
                <w:szCs w:val="20"/>
                <w:shd w:val="solid" w:color="000000" w:fill="000000"/>
                <w14:textFill>
                  <w14:solidFill>
                    <w14:srgbClr w14:val="000000">
                      <w14:alpha w14:val="100000"/>
                    </w14:srgbClr>
                  </w14:solidFill>
                </w14:textFill>
              </w:rPr>
              <w:t>|</w:t>
            </w:r>
            <w:r w:rsidRPr="00B07FB9">
              <w:rPr>
                <w:szCs w:val="20"/>
                <w:vertAlign w:val="superscript"/>
              </w:rPr>
              <w:t>g</w:t>
            </w:r>
          </w:p>
        </w:tc>
      </w:tr>
    </w:tbl>
    <w:p w14:paraId="24C433F1" w14:textId="77777777" w:rsidR="00460E9B" w:rsidRPr="00B07FB9" w:rsidRDefault="00460E9B" w:rsidP="00E032E7">
      <w:pPr>
        <w:pStyle w:val="TableFigureFooter"/>
        <w:keepNext/>
        <w:keepLines/>
        <w:widowControl w:val="0"/>
        <w:rPr>
          <w:rFonts w:eastAsiaTheme="minorHAnsi" w:cs="Times New Roman"/>
          <w:szCs w:val="18"/>
          <w:lang w:eastAsia="en-US"/>
        </w:rPr>
      </w:pPr>
      <w:r w:rsidRPr="00B07FB9">
        <w:t xml:space="preserve">Source: </w:t>
      </w:r>
      <w:r w:rsidRPr="00B07FB9">
        <w:rPr>
          <w:iCs/>
        </w:rPr>
        <w:t xml:space="preserve">Compiled during evaluation based on Table 26, p60 and Table 65, p134 of the submission and spreadsheet ‘Trace-Niraparib of </w:t>
      </w:r>
      <w:r w:rsidRPr="00B07FB9">
        <w:rPr>
          <w:rFonts w:eastAsiaTheme="majorEastAsia"/>
        </w:rPr>
        <w:t>using the Excel workbook ‘’</w:t>
      </w:r>
      <w:proofErr w:type="spellStart"/>
      <w:r w:rsidRPr="00B07FB9">
        <w:rPr>
          <w:rFonts w:eastAsiaTheme="majorEastAsia"/>
        </w:rPr>
        <w:t>Zejula</w:t>
      </w:r>
      <w:proofErr w:type="spellEnd"/>
      <w:r w:rsidRPr="00B07FB9">
        <w:rPr>
          <w:rFonts w:eastAsiaTheme="majorEastAsia"/>
        </w:rPr>
        <w:t xml:space="preserve"> (niraparib) 1L </w:t>
      </w:r>
      <w:proofErr w:type="spellStart"/>
      <w:r w:rsidRPr="00B07FB9">
        <w:rPr>
          <w:rFonts w:eastAsiaTheme="majorEastAsia"/>
        </w:rPr>
        <w:t>BRCAm</w:t>
      </w:r>
      <w:proofErr w:type="spellEnd"/>
      <w:r w:rsidRPr="00B07FB9">
        <w:rPr>
          <w:rFonts w:eastAsiaTheme="majorEastAsia"/>
        </w:rPr>
        <w:t xml:space="preserve"> CMA’ </w:t>
      </w:r>
      <w:r w:rsidRPr="00B07FB9">
        <w:rPr>
          <w:iCs/>
        </w:rPr>
        <w:t xml:space="preserve">and </w:t>
      </w:r>
      <w:r w:rsidRPr="00B07FB9">
        <w:rPr>
          <w:rFonts w:eastAsiaTheme="majorEastAsia"/>
        </w:rPr>
        <w:t>‘’</w:t>
      </w:r>
      <w:proofErr w:type="spellStart"/>
      <w:r w:rsidRPr="00B07FB9">
        <w:rPr>
          <w:rFonts w:eastAsiaTheme="majorEastAsia"/>
        </w:rPr>
        <w:t>Zejula</w:t>
      </w:r>
      <w:proofErr w:type="spellEnd"/>
      <w:r w:rsidRPr="00B07FB9">
        <w:rPr>
          <w:rFonts w:eastAsiaTheme="majorEastAsia"/>
        </w:rPr>
        <w:t xml:space="preserve"> (niraparib) 1L BIM_Nov21’ </w:t>
      </w:r>
    </w:p>
    <w:p w14:paraId="16095F26" w14:textId="079520C9" w:rsidR="00460E9B" w:rsidRPr="00B07FB9" w:rsidRDefault="00460E9B" w:rsidP="00E032E7">
      <w:pPr>
        <w:pStyle w:val="TableFigureFooter"/>
        <w:keepNext/>
        <w:keepLines/>
        <w:widowControl w:val="0"/>
        <w:rPr>
          <w:sz w:val="20"/>
          <w:szCs w:val="20"/>
        </w:rPr>
      </w:pPr>
      <w:proofErr w:type="spellStart"/>
      <w:r w:rsidRPr="00B07FB9">
        <w:t>BRCAm</w:t>
      </w:r>
      <w:proofErr w:type="spellEnd"/>
      <w:r w:rsidRPr="00B07FB9">
        <w:t xml:space="preserve"> = </w:t>
      </w:r>
      <w:r w:rsidR="00B86754" w:rsidRPr="00B07FB9">
        <w:t>BRCA gene mutation</w:t>
      </w:r>
      <w:r w:rsidRPr="00B07FB9">
        <w:t>; DPMQ = dispensed price for maximum quantity; ISD = individualised starting dose, ITT = intention-to-treat; NDA HGEOC = newly diagnosed advanced high grade epithelial ovarian, fallopian tube or primary peritoneal cancer</w:t>
      </w:r>
    </w:p>
    <w:p w14:paraId="30306D5F" w14:textId="6925AEE5" w:rsidR="00C0499A" w:rsidRPr="00B07FB9" w:rsidRDefault="00C0499A" w:rsidP="00E032E7">
      <w:pPr>
        <w:pStyle w:val="TableFigureFooter"/>
        <w:keepNext/>
        <w:keepLines/>
        <w:widowControl w:val="0"/>
      </w:pPr>
      <w:r w:rsidRPr="00B07FB9">
        <w:rPr>
          <w:vertAlign w:val="superscript"/>
        </w:rPr>
        <w:t xml:space="preserve">* </w:t>
      </w:r>
      <w:r w:rsidRPr="00B07FB9">
        <w:rPr>
          <w:szCs w:val="18"/>
        </w:rPr>
        <w:t>Requested effective DPMQ for niraparib (non-</w:t>
      </w:r>
      <w:proofErr w:type="spellStart"/>
      <w:r w:rsidRPr="00B07FB9">
        <w:rPr>
          <w:szCs w:val="18"/>
        </w:rPr>
        <w:t>BRCAm</w:t>
      </w:r>
      <w:proofErr w:type="spellEnd"/>
      <w:r w:rsidRPr="00B07FB9">
        <w:rPr>
          <w:szCs w:val="18"/>
        </w:rPr>
        <w:t xml:space="preserve"> NDA HGEOC): </w:t>
      </w:r>
      <w:r w:rsidRPr="00B07FB9">
        <w:t>84 caps = $</w:t>
      </w:r>
      <w:r w:rsidR="007A0897" w:rsidRPr="007A0897">
        <w:rPr>
          <w:color w:val="000000"/>
          <w:spacing w:val="40"/>
          <w:shd w:val="solid" w:color="000000" w:fill="000000"/>
          <w:fitText w:val="280" w:id="-1500824819"/>
          <w14:textFill>
            <w14:solidFill>
              <w14:srgbClr w14:val="000000">
                <w14:alpha w14:val="100000"/>
              </w14:srgbClr>
            </w14:solidFill>
          </w14:textFill>
        </w:rPr>
        <w:t xml:space="preserve">|  </w:t>
      </w:r>
      <w:r w:rsidR="007A0897" w:rsidRPr="007A0897">
        <w:rPr>
          <w:color w:val="000000"/>
          <w:spacing w:val="2"/>
          <w:shd w:val="solid" w:color="000000" w:fill="000000"/>
          <w:fitText w:val="280" w:id="-1500824819"/>
          <w14:textFill>
            <w14:solidFill>
              <w14:srgbClr w14:val="000000">
                <w14:alpha w14:val="100000"/>
              </w14:srgbClr>
            </w14:solidFill>
          </w14:textFill>
        </w:rPr>
        <w:t>|</w:t>
      </w:r>
      <w:r w:rsidRPr="00B07FB9">
        <w:t>; 56 caps: $</w:t>
      </w:r>
      <w:r w:rsidR="007A0897" w:rsidRPr="007A0897">
        <w:rPr>
          <w:color w:val="000000"/>
          <w:spacing w:val="37"/>
          <w:shd w:val="solid" w:color="000000" w:fill="000000"/>
          <w:fitText w:val="270" w:id="-1500824818"/>
          <w14:textFill>
            <w14:solidFill>
              <w14:srgbClr w14:val="000000">
                <w14:alpha w14:val="100000"/>
              </w14:srgbClr>
            </w14:solidFill>
          </w14:textFill>
        </w:rPr>
        <w:t xml:space="preserve">|  </w:t>
      </w:r>
      <w:r w:rsidR="007A0897" w:rsidRPr="007A0897">
        <w:rPr>
          <w:color w:val="000000"/>
          <w:spacing w:val="1"/>
          <w:shd w:val="solid" w:color="000000" w:fill="000000"/>
          <w:fitText w:val="270" w:id="-1500824818"/>
          <w14:textFill>
            <w14:solidFill>
              <w14:srgbClr w14:val="000000">
                <w14:alpha w14:val="100000"/>
              </w14:srgbClr>
            </w14:solidFill>
          </w14:textFill>
        </w:rPr>
        <w:t>|</w:t>
      </w:r>
      <w:r w:rsidRPr="00B07FB9">
        <w:rPr>
          <w:szCs w:val="18"/>
        </w:rPr>
        <w:t xml:space="preserve"> </w:t>
      </w:r>
    </w:p>
    <w:p w14:paraId="0093E9EF" w14:textId="50B126EC" w:rsidR="00460E9B" w:rsidRPr="00B07FB9" w:rsidRDefault="00460E9B" w:rsidP="00E032E7">
      <w:pPr>
        <w:pStyle w:val="TableFigureFooter"/>
        <w:keepNext/>
        <w:keepLines/>
        <w:widowControl w:val="0"/>
        <w:rPr>
          <w:szCs w:val="18"/>
          <w:lang w:eastAsia="en-US"/>
        </w:rPr>
      </w:pPr>
      <w:proofErr w:type="spellStart"/>
      <w:r w:rsidRPr="00B07FB9">
        <w:rPr>
          <w:vertAlign w:val="superscript"/>
        </w:rPr>
        <w:t>a</w:t>
      </w:r>
      <w:proofErr w:type="spellEnd"/>
      <w:r w:rsidRPr="00B07FB9">
        <w:rPr>
          <w:vertAlign w:val="superscript"/>
        </w:rPr>
        <w:t xml:space="preserve"> </w:t>
      </w:r>
      <w:r w:rsidRPr="00B07FB9">
        <w:t>Initial dose intensity for ITT cohort was 204 mg/day, decreasing to 160-170 mg/day from Cycle 4 onwards.</w:t>
      </w:r>
      <w:r w:rsidR="002538D8">
        <w:t xml:space="preserve"> Note that the mean dose of treatment stated in Table 20 was provided for the purposes of informing the PBAC consideration. Interpretation of the results and their application should therefore be limited to seeking to understand the basis for the PBAC outcome and should not be used for any other purpose</w:t>
      </w:r>
    </w:p>
    <w:p w14:paraId="458220FC" w14:textId="21D8EB5F" w:rsidR="00460E9B" w:rsidRPr="00B07FB9" w:rsidRDefault="00460E9B" w:rsidP="00E032E7">
      <w:pPr>
        <w:pStyle w:val="TableFigureFooter"/>
        <w:keepNext/>
        <w:keepLines/>
        <w:widowControl w:val="0"/>
        <w:rPr>
          <w:sz w:val="20"/>
          <w:szCs w:val="20"/>
        </w:rPr>
      </w:pPr>
      <w:r w:rsidRPr="00B07FB9">
        <w:rPr>
          <w:vertAlign w:val="superscript"/>
        </w:rPr>
        <w:t>b</w:t>
      </w:r>
      <w:r w:rsidRPr="00B07FB9">
        <w:t xml:space="preserve"> Initial dose intensity for ISD cohort was 184 mg/day, decreasing to 150-158 mg/day from Cycle 4 onwards.</w:t>
      </w:r>
      <w:r w:rsidR="002538D8">
        <w:t xml:space="preserve"> Note that the mean dose of treatment stated in Table 20 was provided for the purposes of informing the PBAC consideration. Interpretation of the results and their application should therefore be limited to seeking to understand the basis for the PBAC outcome and should not be used for any other purpose</w:t>
      </w:r>
    </w:p>
    <w:p w14:paraId="2C382F01" w14:textId="77777777" w:rsidR="00460E9B" w:rsidRPr="00B07FB9" w:rsidRDefault="00460E9B" w:rsidP="00E032E7">
      <w:pPr>
        <w:pStyle w:val="TableFigureFooter"/>
        <w:keepNext/>
        <w:keepLines/>
        <w:widowControl w:val="0"/>
      </w:pPr>
      <w:r w:rsidRPr="00B07FB9">
        <w:rPr>
          <w:vertAlign w:val="superscript"/>
        </w:rPr>
        <w:t xml:space="preserve">c </w:t>
      </w:r>
      <w:r w:rsidRPr="00B07FB9">
        <w:t xml:space="preserve">The cost is calculated for the truncated mean treatment exposure for niraparib arm (10.89 months) in the model using Step 1 and ITT cohort for the dosing schedule of the </w:t>
      </w:r>
      <w:r w:rsidRPr="00B07FB9">
        <w:rPr>
          <w:rFonts w:eastAsiaTheme="majorEastAsia"/>
        </w:rPr>
        <w:t>Excel workbook ‘’</w:t>
      </w:r>
      <w:proofErr w:type="spellStart"/>
      <w:r w:rsidRPr="00B07FB9">
        <w:rPr>
          <w:rFonts w:eastAsiaTheme="majorEastAsia"/>
        </w:rPr>
        <w:t>Zejula</w:t>
      </w:r>
      <w:proofErr w:type="spellEnd"/>
      <w:r w:rsidRPr="00B07FB9">
        <w:rPr>
          <w:rFonts w:eastAsiaTheme="majorEastAsia"/>
        </w:rPr>
        <w:t xml:space="preserve"> (niraparib) 1L </w:t>
      </w:r>
      <w:proofErr w:type="spellStart"/>
      <w:r w:rsidRPr="00B07FB9">
        <w:rPr>
          <w:rFonts w:eastAsiaTheme="majorEastAsia"/>
        </w:rPr>
        <w:t>BRCAm</w:t>
      </w:r>
      <w:proofErr w:type="spellEnd"/>
      <w:r w:rsidRPr="00B07FB9">
        <w:rPr>
          <w:rFonts w:eastAsiaTheme="majorEastAsia"/>
        </w:rPr>
        <w:t xml:space="preserve"> CMA’</w:t>
      </w:r>
      <w:r w:rsidRPr="00B07FB9">
        <w:t>. The mean duration of treatment in the niraparib arm in the PRIMA overall safety population is 10.3 months (Table 26, p60 of the submission).</w:t>
      </w:r>
    </w:p>
    <w:p w14:paraId="026FF4EF" w14:textId="2EB2871A" w:rsidR="00460E9B" w:rsidRPr="00B07FB9" w:rsidRDefault="00460E9B" w:rsidP="00E032E7">
      <w:pPr>
        <w:pStyle w:val="TableFigureFooter"/>
        <w:keepNext/>
        <w:keepLines/>
        <w:widowControl w:val="0"/>
      </w:pPr>
      <w:r w:rsidRPr="00B07FB9">
        <w:rPr>
          <w:vertAlign w:val="superscript"/>
        </w:rPr>
        <w:t>d</w:t>
      </w:r>
      <w:r w:rsidRPr="00B07FB9">
        <w:t xml:space="preserve"> </w:t>
      </w:r>
      <w:r w:rsidR="00637EA4" w:rsidRPr="00B07FB9">
        <w:t>U</w:t>
      </w:r>
      <w:r w:rsidRPr="00B07FB9">
        <w:t>ndiscounted mean duration without half-cycle correction. The undiscounted mean duration with half-cycle correction is 11.9 months.</w:t>
      </w:r>
    </w:p>
    <w:p w14:paraId="1C1437D0" w14:textId="487D4029" w:rsidR="00460E9B" w:rsidRPr="00B07FB9" w:rsidRDefault="00460E9B" w:rsidP="00E032E7">
      <w:pPr>
        <w:pStyle w:val="TableFigureFooter"/>
        <w:keepNext/>
        <w:keepLines/>
        <w:widowControl w:val="0"/>
      </w:pPr>
      <w:r w:rsidRPr="00B07FB9">
        <w:rPr>
          <w:vertAlign w:val="superscript"/>
        </w:rPr>
        <w:t xml:space="preserve">e </w:t>
      </w:r>
      <w:r w:rsidRPr="00B07FB9">
        <w:t xml:space="preserve">The </w:t>
      </w:r>
      <w:r w:rsidR="00EE7B86" w:rsidRPr="00B07FB9">
        <w:t>duration</w:t>
      </w:r>
      <w:r w:rsidRPr="00B07FB9">
        <w:t xml:space="preserve"> used in the financial analysis was the </w:t>
      </w:r>
      <w:r w:rsidR="00EE7B86" w:rsidRPr="00B07FB9">
        <w:t>undiscounted mean duration with half-cycle correction</w:t>
      </w:r>
      <w:r w:rsidR="00EE7B86" w:rsidRPr="00B07FB9" w:rsidDel="00EE7B86">
        <w:t xml:space="preserve"> </w:t>
      </w:r>
      <w:r w:rsidR="00EE7B86" w:rsidRPr="00B07FB9">
        <w:t>from</w:t>
      </w:r>
      <w:r w:rsidRPr="00B07FB9">
        <w:t xml:space="preserve"> the economic evaluation. </w:t>
      </w:r>
    </w:p>
    <w:p w14:paraId="4EADE8E0" w14:textId="77777777" w:rsidR="00460E9B" w:rsidRPr="00B07FB9" w:rsidRDefault="00460E9B" w:rsidP="00004638">
      <w:pPr>
        <w:pStyle w:val="TableFigureFooter"/>
        <w:keepNext/>
        <w:keepLines/>
        <w:widowControl w:val="0"/>
        <w:spacing w:after="180"/>
      </w:pPr>
      <w:r w:rsidRPr="00B07FB9">
        <w:t>f This figure is undiscounted and without half-cycle correction, using the niraparib price for non-</w:t>
      </w:r>
      <w:proofErr w:type="spellStart"/>
      <w:r w:rsidRPr="00B07FB9">
        <w:t>BRCAm</w:t>
      </w:r>
      <w:proofErr w:type="spellEnd"/>
      <w:r w:rsidRPr="00B07FB9">
        <w:t xml:space="preserve">. </w:t>
      </w:r>
    </w:p>
    <w:p w14:paraId="615F5161" w14:textId="2F067111" w:rsidR="00DC3492" w:rsidRDefault="00460E9B" w:rsidP="00004638">
      <w:pPr>
        <w:pStyle w:val="TableFigureFooter"/>
        <w:keepNext/>
        <w:keepLines/>
        <w:widowControl w:val="0"/>
        <w:spacing w:after="180"/>
      </w:pPr>
      <w:r w:rsidRPr="00B07FB9">
        <w:rPr>
          <w:vertAlign w:val="superscript"/>
        </w:rPr>
        <w:t xml:space="preserve">g </w:t>
      </w:r>
      <w:r w:rsidRPr="00B07FB9">
        <w:t xml:space="preserve">The financial analysis used the weighted price for niraparib. </w:t>
      </w:r>
    </w:p>
    <w:p w14:paraId="252C66BB" w14:textId="77777777" w:rsidR="00DC3492" w:rsidRDefault="00DC3492">
      <w:pPr>
        <w:jc w:val="left"/>
        <w:rPr>
          <w:rFonts w:ascii="Arial Narrow" w:hAnsi="Arial Narrow"/>
          <w:snapToGrid w:val="0"/>
          <w:sz w:val="18"/>
          <w:szCs w:val="22"/>
        </w:rPr>
      </w:pPr>
      <w:r>
        <w:br w:type="page"/>
      </w:r>
    </w:p>
    <w:p w14:paraId="2B9F5261" w14:textId="4A79919C" w:rsidR="00460E9B" w:rsidRPr="00B07FB9" w:rsidRDefault="00460E9B" w:rsidP="00EE7B86">
      <w:pPr>
        <w:pStyle w:val="TableFigureHeading"/>
        <w:widowControl w:val="0"/>
        <w:rPr>
          <w:rStyle w:val="CommentReference"/>
          <w:b/>
          <w:szCs w:val="24"/>
        </w:rPr>
      </w:pPr>
      <w:bookmarkStart w:id="63" w:name="_Ref90262311"/>
      <w:r w:rsidRPr="00B07FB9">
        <w:lastRenderedPageBreak/>
        <w:t xml:space="preserve">Table </w:t>
      </w:r>
      <w:r w:rsidR="00385E8C">
        <w:fldChar w:fldCharType="begin"/>
      </w:r>
      <w:r w:rsidR="00385E8C">
        <w:instrText xml:space="preserve"> </w:instrText>
      </w:r>
      <w:r w:rsidR="00385E8C">
        <w:instrText xml:space="preserve">SEQ Table \* ARABIC </w:instrText>
      </w:r>
      <w:r w:rsidR="00385E8C">
        <w:fldChar w:fldCharType="separate"/>
      </w:r>
      <w:r w:rsidR="00385E8C">
        <w:rPr>
          <w:noProof/>
        </w:rPr>
        <w:t>21</w:t>
      </w:r>
      <w:r w:rsidR="00385E8C">
        <w:fldChar w:fldCharType="end"/>
      </w:r>
      <w:bookmarkEnd w:id="63"/>
      <w:r w:rsidRPr="00B07FB9">
        <w:t xml:space="preserve">: </w:t>
      </w:r>
      <w:r w:rsidRPr="00B07FB9">
        <w:rPr>
          <w:rStyle w:val="CommentReference"/>
          <w:b/>
          <w:szCs w:val="24"/>
        </w:rPr>
        <w:t xml:space="preserve">Drug cost per patient for niraparib and </w:t>
      </w:r>
      <w:proofErr w:type="spellStart"/>
      <w:r w:rsidRPr="00B07FB9">
        <w:rPr>
          <w:rStyle w:val="CommentReference"/>
          <w:b/>
          <w:szCs w:val="24"/>
        </w:rPr>
        <w:t>olaparib</w:t>
      </w:r>
      <w:proofErr w:type="spellEnd"/>
      <w:r w:rsidRPr="00B07FB9">
        <w:rPr>
          <w:rStyle w:val="CommentReference"/>
          <w:b/>
          <w:szCs w:val="24"/>
        </w:rPr>
        <w:t xml:space="preserve"> - </w:t>
      </w:r>
      <w:proofErr w:type="spellStart"/>
      <w:r w:rsidRPr="00B07FB9">
        <w:rPr>
          <w:rStyle w:val="CommentReference"/>
          <w:b/>
          <w:szCs w:val="24"/>
        </w:rPr>
        <w:t>BRCAm</w:t>
      </w:r>
      <w:proofErr w:type="spellEnd"/>
      <w:r w:rsidRPr="00B07FB9">
        <w:rPr>
          <w:rStyle w:val="CommentReference"/>
          <w:b/>
          <w:szCs w:val="24"/>
        </w:rPr>
        <w:t xml:space="preserve"> NDA HGEOC (requested effective DPMQ*</w:t>
      </w:r>
      <w:r w:rsidR="00A85A8E" w:rsidRPr="00B07FB9">
        <w:rPr>
          <w:rStyle w:val="CommentReference"/>
          <w:b/>
          <w:szCs w:val="24"/>
        </w:rPr>
        <w:t xml:space="preserve"> for niraparib, and published DPMQ of </w:t>
      </w:r>
      <w:proofErr w:type="spellStart"/>
      <w:r w:rsidR="00A85A8E" w:rsidRPr="00B07FB9">
        <w:rPr>
          <w:rStyle w:val="CommentReference"/>
          <w:b/>
          <w:szCs w:val="24"/>
        </w:rPr>
        <w:t>olaparib</w:t>
      </w:r>
      <w:proofErr w:type="spellEnd"/>
      <w:r w:rsidR="00A85A8E" w:rsidRPr="00B07FB9">
        <w:rPr>
          <w:rStyle w:val="CommentReference"/>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Drug cost per patient for niraparib and olaparib - BRCAm NDA HGEOC (requested effective DPMQ* for niraparib, and published DPMQ of olaparib)"/>
      </w:tblPr>
      <w:tblGrid>
        <w:gridCol w:w="1471"/>
        <w:gridCol w:w="1257"/>
        <w:gridCol w:w="1259"/>
        <w:gridCol w:w="1259"/>
        <w:gridCol w:w="1257"/>
        <w:gridCol w:w="1259"/>
        <w:gridCol w:w="1255"/>
      </w:tblGrid>
      <w:tr w:rsidR="00460E9B" w:rsidRPr="00B07FB9" w14:paraId="75C06B8A" w14:textId="77777777" w:rsidTr="00460E9B">
        <w:trPr>
          <w:cantSplit/>
          <w:tblHeader/>
          <w:jc w:val="center"/>
        </w:trPr>
        <w:tc>
          <w:tcPr>
            <w:tcW w:w="816" w:type="pct"/>
            <w:shd w:val="clear" w:color="auto" w:fill="auto"/>
            <w:vAlign w:val="center"/>
          </w:tcPr>
          <w:p w14:paraId="1A2823AD" w14:textId="77777777" w:rsidR="00460E9B" w:rsidRPr="00B07FB9" w:rsidRDefault="00460E9B" w:rsidP="00EE7B86">
            <w:pPr>
              <w:pStyle w:val="In-tableHeading"/>
              <w:widowControl w:val="0"/>
              <w:jc w:val="center"/>
              <w:rPr>
                <w:lang w:val="en-AU"/>
              </w:rPr>
            </w:pPr>
          </w:p>
        </w:tc>
        <w:tc>
          <w:tcPr>
            <w:tcW w:w="2093" w:type="pct"/>
            <w:gridSpan w:val="3"/>
            <w:shd w:val="clear" w:color="auto" w:fill="auto"/>
            <w:vAlign w:val="center"/>
          </w:tcPr>
          <w:p w14:paraId="10ED6A2C" w14:textId="77777777" w:rsidR="00460E9B" w:rsidRPr="00B07FB9" w:rsidRDefault="00460E9B" w:rsidP="00EE7B86">
            <w:pPr>
              <w:pStyle w:val="In-tableHeading"/>
              <w:widowControl w:val="0"/>
              <w:jc w:val="center"/>
              <w:rPr>
                <w:lang w:val="en-AU"/>
              </w:rPr>
            </w:pPr>
            <w:r w:rsidRPr="00B07FB9">
              <w:rPr>
                <w:lang w:val="en-AU"/>
              </w:rPr>
              <w:t>Niraparib</w:t>
            </w:r>
          </w:p>
        </w:tc>
        <w:tc>
          <w:tcPr>
            <w:tcW w:w="2091" w:type="pct"/>
            <w:gridSpan w:val="3"/>
            <w:shd w:val="clear" w:color="auto" w:fill="FFFFFF" w:themeFill="background1"/>
            <w:vAlign w:val="center"/>
          </w:tcPr>
          <w:p w14:paraId="7F0ECC4C" w14:textId="77777777" w:rsidR="00460E9B" w:rsidRPr="00B07FB9" w:rsidRDefault="00460E9B" w:rsidP="00EE7B86">
            <w:pPr>
              <w:pStyle w:val="In-tableHeading"/>
              <w:widowControl w:val="0"/>
              <w:jc w:val="center"/>
              <w:rPr>
                <w:lang w:val="en-AU"/>
              </w:rPr>
            </w:pPr>
            <w:r w:rsidRPr="00B07FB9">
              <w:rPr>
                <w:lang w:val="en-AU"/>
              </w:rPr>
              <w:t>Olaparib</w:t>
            </w:r>
          </w:p>
        </w:tc>
      </w:tr>
      <w:tr w:rsidR="00460E9B" w:rsidRPr="00B07FB9" w14:paraId="69E07469" w14:textId="77777777" w:rsidTr="00460E9B">
        <w:trPr>
          <w:cantSplit/>
          <w:tblHeader/>
          <w:jc w:val="center"/>
        </w:trPr>
        <w:tc>
          <w:tcPr>
            <w:tcW w:w="816" w:type="pct"/>
            <w:shd w:val="clear" w:color="auto" w:fill="auto"/>
            <w:vAlign w:val="center"/>
          </w:tcPr>
          <w:p w14:paraId="71EA9354" w14:textId="77777777" w:rsidR="00460E9B" w:rsidRPr="00B07FB9" w:rsidRDefault="00460E9B" w:rsidP="00EE7B86">
            <w:pPr>
              <w:pStyle w:val="In-tableHeading"/>
              <w:widowControl w:val="0"/>
              <w:jc w:val="center"/>
              <w:rPr>
                <w:lang w:val="en-AU"/>
              </w:rPr>
            </w:pPr>
          </w:p>
        </w:tc>
        <w:tc>
          <w:tcPr>
            <w:tcW w:w="697" w:type="pct"/>
            <w:shd w:val="clear" w:color="auto" w:fill="auto"/>
            <w:vAlign w:val="center"/>
          </w:tcPr>
          <w:p w14:paraId="4F22E3A4" w14:textId="77777777" w:rsidR="00460E9B" w:rsidRPr="00B07FB9" w:rsidRDefault="00460E9B" w:rsidP="00EE7B86">
            <w:pPr>
              <w:pStyle w:val="In-tableHeading"/>
              <w:widowControl w:val="0"/>
              <w:jc w:val="center"/>
              <w:rPr>
                <w:lang w:val="en-AU"/>
              </w:rPr>
            </w:pPr>
            <w:r w:rsidRPr="00B07FB9">
              <w:rPr>
                <w:lang w:val="en-AU"/>
              </w:rPr>
              <w:t>Trial dose and duration</w:t>
            </w:r>
          </w:p>
        </w:tc>
        <w:tc>
          <w:tcPr>
            <w:tcW w:w="698" w:type="pct"/>
            <w:shd w:val="clear" w:color="auto" w:fill="auto"/>
            <w:vAlign w:val="center"/>
          </w:tcPr>
          <w:p w14:paraId="0883FA9A" w14:textId="77777777" w:rsidR="00460E9B" w:rsidRPr="00B07FB9" w:rsidRDefault="00460E9B" w:rsidP="00EE7B86">
            <w:pPr>
              <w:pStyle w:val="In-tableHeading"/>
              <w:widowControl w:val="0"/>
              <w:jc w:val="center"/>
              <w:rPr>
                <w:lang w:val="en-AU"/>
              </w:rPr>
            </w:pPr>
            <w:r w:rsidRPr="00B07FB9">
              <w:rPr>
                <w:lang w:val="en-AU"/>
              </w:rPr>
              <w:t>CMA</w:t>
            </w:r>
          </w:p>
        </w:tc>
        <w:tc>
          <w:tcPr>
            <w:tcW w:w="698" w:type="pct"/>
            <w:shd w:val="clear" w:color="auto" w:fill="auto"/>
            <w:vAlign w:val="center"/>
          </w:tcPr>
          <w:p w14:paraId="4A318843" w14:textId="77777777" w:rsidR="00460E9B" w:rsidRPr="00B07FB9" w:rsidRDefault="00460E9B" w:rsidP="00EE7B86">
            <w:pPr>
              <w:pStyle w:val="In-tableHeading"/>
              <w:widowControl w:val="0"/>
              <w:jc w:val="center"/>
              <w:rPr>
                <w:lang w:val="en-AU"/>
              </w:rPr>
            </w:pPr>
            <w:r w:rsidRPr="00B07FB9">
              <w:rPr>
                <w:lang w:val="en-AU"/>
              </w:rPr>
              <w:t>Financial estimates</w:t>
            </w:r>
          </w:p>
        </w:tc>
        <w:tc>
          <w:tcPr>
            <w:tcW w:w="697" w:type="pct"/>
            <w:shd w:val="clear" w:color="auto" w:fill="FFFFFF" w:themeFill="background1"/>
            <w:vAlign w:val="center"/>
          </w:tcPr>
          <w:p w14:paraId="69455385" w14:textId="77777777" w:rsidR="00460E9B" w:rsidRPr="00B07FB9" w:rsidRDefault="00460E9B" w:rsidP="00EE7B86">
            <w:pPr>
              <w:pStyle w:val="In-tableHeading"/>
              <w:widowControl w:val="0"/>
              <w:jc w:val="center"/>
              <w:rPr>
                <w:lang w:val="en-AU"/>
              </w:rPr>
            </w:pPr>
            <w:r w:rsidRPr="00B07FB9">
              <w:rPr>
                <w:lang w:val="en-AU"/>
              </w:rPr>
              <w:t>Trial dose and duration</w:t>
            </w:r>
          </w:p>
        </w:tc>
        <w:tc>
          <w:tcPr>
            <w:tcW w:w="698" w:type="pct"/>
            <w:shd w:val="clear" w:color="auto" w:fill="FFFFFF" w:themeFill="background1"/>
            <w:vAlign w:val="center"/>
          </w:tcPr>
          <w:p w14:paraId="23A205B6" w14:textId="77777777" w:rsidR="00460E9B" w:rsidRPr="00B07FB9" w:rsidRDefault="00460E9B" w:rsidP="00EE7B86">
            <w:pPr>
              <w:pStyle w:val="In-tableHeading"/>
              <w:widowControl w:val="0"/>
              <w:jc w:val="center"/>
              <w:rPr>
                <w:lang w:val="en-AU"/>
              </w:rPr>
            </w:pPr>
            <w:r w:rsidRPr="00B07FB9">
              <w:rPr>
                <w:lang w:val="en-AU"/>
              </w:rPr>
              <w:t>CMA</w:t>
            </w:r>
          </w:p>
          <w:p w14:paraId="19C1DC47" w14:textId="77777777" w:rsidR="00460E9B" w:rsidRPr="00B07FB9" w:rsidRDefault="00460E9B" w:rsidP="00EE7B86">
            <w:pPr>
              <w:pStyle w:val="In-tableHeading"/>
              <w:widowControl w:val="0"/>
              <w:jc w:val="center"/>
              <w:rPr>
                <w:lang w:val="en-AU"/>
              </w:rPr>
            </w:pPr>
          </w:p>
        </w:tc>
        <w:tc>
          <w:tcPr>
            <w:tcW w:w="696" w:type="pct"/>
            <w:shd w:val="clear" w:color="auto" w:fill="FFFFFF" w:themeFill="background1"/>
          </w:tcPr>
          <w:p w14:paraId="3D2C5C5F" w14:textId="77777777" w:rsidR="00460E9B" w:rsidRPr="00B07FB9" w:rsidRDefault="00460E9B" w:rsidP="00EE7B86">
            <w:pPr>
              <w:pStyle w:val="In-tableHeading"/>
              <w:widowControl w:val="0"/>
              <w:jc w:val="center"/>
              <w:rPr>
                <w:lang w:val="en-AU"/>
              </w:rPr>
            </w:pPr>
            <w:r w:rsidRPr="00B07FB9">
              <w:rPr>
                <w:lang w:val="en-AU"/>
              </w:rPr>
              <w:t>Financial estimates</w:t>
            </w:r>
          </w:p>
        </w:tc>
      </w:tr>
      <w:tr w:rsidR="00460E9B" w:rsidRPr="00B07FB9" w14:paraId="7AAB837D" w14:textId="77777777" w:rsidTr="00460E9B">
        <w:trPr>
          <w:cantSplit/>
          <w:jc w:val="center"/>
        </w:trPr>
        <w:tc>
          <w:tcPr>
            <w:tcW w:w="816" w:type="pct"/>
            <w:shd w:val="clear" w:color="auto" w:fill="auto"/>
            <w:vAlign w:val="center"/>
          </w:tcPr>
          <w:p w14:paraId="62DEE06C" w14:textId="77777777" w:rsidR="00460E9B" w:rsidRPr="00B07FB9" w:rsidRDefault="00460E9B" w:rsidP="00EE7B86">
            <w:pPr>
              <w:pStyle w:val="TableText0"/>
              <w:widowControl w:val="0"/>
            </w:pPr>
            <w:r w:rsidRPr="00B07FB9">
              <w:t>Mean dose</w:t>
            </w:r>
          </w:p>
        </w:tc>
        <w:tc>
          <w:tcPr>
            <w:tcW w:w="697" w:type="pct"/>
            <w:shd w:val="clear" w:color="auto" w:fill="auto"/>
            <w:vAlign w:val="center"/>
          </w:tcPr>
          <w:p w14:paraId="1B5467E1" w14:textId="77777777" w:rsidR="00460E9B" w:rsidRPr="00B07FB9" w:rsidRDefault="00460E9B" w:rsidP="00EE7B86">
            <w:pPr>
              <w:pStyle w:val="TableText0"/>
              <w:widowControl w:val="0"/>
              <w:contextualSpacing/>
              <w:jc w:val="center"/>
              <w:rPr>
                <w:vertAlign w:val="superscript"/>
              </w:rPr>
            </w:pPr>
            <w:r w:rsidRPr="00B07FB9">
              <w:t xml:space="preserve">PRIMA ITT cohort </w:t>
            </w:r>
            <w:proofErr w:type="spellStart"/>
            <w:r w:rsidRPr="00B07FB9">
              <w:t>dosing</w:t>
            </w:r>
            <w:r w:rsidRPr="00B07FB9">
              <w:rPr>
                <w:vertAlign w:val="superscript"/>
              </w:rPr>
              <w:t>a</w:t>
            </w:r>
            <w:proofErr w:type="spellEnd"/>
          </w:p>
          <w:p w14:paraId="1021D1A6" w14:textId="77777777" w:rsidR="00460E9B" w:rsidRPr="00B07FB9" w:rsidRDefault="00460E9B" w:rsidP="00EE7B86">
            <w:pPr>
              <w:pStyle w:val="TableText0"/>
              <w:widowControl w:val="0"/>
              <w:jc w:val="center"/>
            </w:pPr>
            <w:r w:rsidRPr="00B07FB9">
              <w:rPr>
                <w:iCs/>
              </w:rPr>
              <w:t xml:space="preserve">174.7 </w:t>
            </w:r>
            <w:r w:rsidRPr="00B07FB9">
              <w:t>mg/day</w:t>
            </w:r>
          </w:p>
        </w:tc>
        <w:tc>
          <w:tcPr>
            <w:tcW w:w="698" w:type="pct"/>
            <w:shd w:val="clear" w:color="auto" w:fill="auto"/>
            <w:vAlign w:val="center"/>
          </w:tcPr>
          <w:p w14:paraId="7C74758A" w14:textId="77777777" w:rsidR="00460E9B" w:rsidRPr="00B07FB9" w:rsidRDefault="00460E9B" w:rsidP="00EE7B86">
            <w:pPr>
              <w:pStyle w:val="TableText0"/>
              <w:widowControl w:val="0"/>
              <w:contextualSpacing/>
              <w:jc w:val="center"/>
              <w:rPr>
                <w:vertAlign w:val="superscript"/>
              </w:rPr>
            </w:pPr>
            <w:r w:rsidRPr="00B07FB9">
              <w:t xml:space="preserve">PRIMA ISD cohort </w:t>
            </w:r>
            <w:proofErr w:type="spellStart"/>
            <w:r w:rsidRPr="00B07FB9">
              <w:t>dosing</w:t>
            </w:r>
            <w:r w:rsidRPr="00B07FB9">
              <w:rPr>
                <w:vertAlign w:val="superscript"/>
              </w:rPr>
              <w:t>b</w:t>
            </w:r>
            <w:proofErr w:type="spellEnd"/>
          </w:p>
          <w:p w14:paraId="1ACE1DBB" w14:textId="77777777" w:rsidR="00460E9B" w:rsidRPr="00B07FB9" w:rsidRDefault="00460E9B" w:rsidP="00EE7B86">
            <w:pPr>
              <w:pStyle w:val="TableText0"/>
              <w:widowControl w:val="0"/>
              <w:jc w:val="center"/>
            </w:pPr>
            <w:r w:rsidRPr="00B07FB9">
              <w:t>162.1 mg/day</w:t>
            </w:r>
          </w:p>
        </w:tc>
        <w:tc>
          <w:tcPr>
            <w:tcW w:w="698" w:type="pct"/>
            <w:shd w:val="clear" w:color="auto" w:fill="auto"/>
            <w:vAlign w:val="center"/>
          </w:tcPr>
          <w:p w14:paraId="7057464E" w14:textId="77777777" w:rsidR="00460E9B" w:rsidRPr="00B07FB9" w:rsidRDefault="00460E9B" w:rsidP="00EE7B86">
            <w:pPr>
              <w:pStyle w:val="TableText0"/>
              <w:widowControl w:val="0"/>
              <w:contextualSpacing/>
              <w:jc w:val="center"/>
              <w:rPr>
                <w:vertAlign w:val="superscript"/>
              </w:rPr>
            </w:pPr>
            <w:r w:rsidRPr="00B07FB9">
              <w:t xml:space="preserve">PRIMA ISD cohort </w:t>
            </w:r>
            <w:proofErr w:type="spellStart"/>
            <w:r w:rsidRPr="00B07FB9">
              <w:t>dosing</w:t>
            </w:r>
            <w:r w:rsidRPr="00B07FB9">
              <w:rPr>
                <w:vertAlign w:val="superscript"/>
              </w:rPr>
              <w:t>b</w:t>
            </w:r>
            <w:proofErr w:type="spellEnd"/>
          </w:p>
          <w:p w14:paraId="5F310117" w14:textId="77777777" w:rsidR="00460E9B" w:rsidRPr="00B07FB9" w:rsidRDefault="00460E9B" w:rsidP="00EE7B86">
            <w:pPr>
              <w:pStyle w:val="TableText0"/>
              <w:widowControl w:val="0"/>
              <w:jc w:val="center"/>
            </w:pPr>
          </w:p>
        </w:tc>
        <w:tc>
          <w:tcPr>
            <w:tcW w:w="697" w:type="pct"/>
            <w:shd w:val="clear" w:color="auto" w:fill="FFFFFF" w:themeFill="background1"/>
            <w:vAlign w:val="center"/>
          </w:tcPr>
          <w:p w14:paraId="7603B8C7" w14:textId="77777777" w:rsidR="00460E9B" w:rsidRPr="00B07FB9" w:rsidRDefault="00460E9B" w:rsidP="00EE7B86">
            <w:pPr>
              <w:pStyle w:val="TableText0"/>
              <w:widowControl w:val="0"/>
              <w:jc w:val="center"/>
              <w:rPr>
                <w:b/>
                <w:vertAlign w:val="superscript"/>
              </w:rPr>
            </w:pPr>
            <w:r w:rsidRPr="00B07FB9">
              <w:t>558.80 mg/</w:t>
            </w:r>
            <w:proofErr w:type="spellStart"/>
            <w:r w:rsidRPr="00B07FB9">
              <w:t>day</w:t>
            </w:r>
            <w:r w:rsidRPr="00B07FB9">
              <w:rPr>
                <w:vertAlign w:val="superscript"/>
              </w:rPr>
              <w:t>c</w:t>
            </w:r>
            <w:proofErr w:type="spellEnd"/>
          </w:p>
        </w:tc>
        <w:tc>
          <w:tcPr>
            <w:tcW w:w="698" w:type="pct"/>
            <w:shd w:val="clear" w:color="auto" w:fill="FFFFFF" w:themeFill="background1"/>
            <w:vAlign w:val="center"/>
          </w:tcPr>
          <w:p w14:paraId="07D499F1" w14:textId="698B4070" w:rsidR="00460E9B" w:rsidRPr="00B07FB9" w:rsidRDefault="00460E9B" w:rsidP="00EE7B86">
            <w:pPr>
              <w:pStyle w:val="TableText0"/>
              <w:widowControl w:val="0"/>
              <w:jc w:val="center"/>
            </w:pPr>
            <w:r w:rsidRPr="00B07FB9">
              <w:t>600mg/day, 500mg/day or 400mg/</w:t>
            </w:r>
            <w:proofErr w:type="spellStart"/>
            <w:r w:rsidRPr="00B07FB9">
              <w:t>day</w:t>
            </w:r>
            <w:r w:rsidRPr="00B07FB9">
              <w:rPr>
                <w:vertAlign w:val="superscript"/>
              </w:rPr>
              <w:t>d</w:t>
            </w:r>
            <w:proofErr w:type="spellEnd"/>
          </w:p>
        </w:tc>
        <w:tc>
          <w:tcPr>
            <w:tcW w:w="696" w:type="pct"/>
            <w:shd w:val="clear" w:color="auto" w:fill="FFFFFF" w:themeFill="background1"/>
            <w:vAlign w:val="center"/>
          </w:tcPr>
          <w:p w14:paraId="0222588B" w14:textId="77777777" w:rsidR="00460E9B" w:rsidRPr="00B07FB9" w:rsidRDefault="00460E9B" w:rsidP="00EE7B86">
            <w:pPr>
              <w:pStyle w:val="TableText0"/>
              <w:widowControl w:val="0"/>
              <w:jc w:val="center"/>
              <w:rPr>
                <w:b/>
              </w:rPr>
            </w:pPr>
            <w:r w:rsidRPr="00B07FB9">
              <w:t xml:space="preserve">Not </w:t>
            </w:r>
            <w:proofErr w:type="spellStart"/>
            <w:r w:rsidRPr="00B07FB9">
              <w:t>estimated</w:t>
            </w:r>
            <w:r w:rsidRPr="00B07FB9">
              <w:rPr>
                <w:vertAlign w:val="superscript"/>
              </w:rPr>
              <w:t>d</w:t>
            </w:r>
            <w:proofErr w:type="spellEnd"/>
          </w:p>
        </w:tc>
      </w:tr>
      <w:tr w:rsidR="00460E9B" w:rsidRPr="00B07FB9" w14:paraId="02AE4838" w14:textId="77777777" w:rsidTr="00460E9B">
        <w:trPr>
          <w:cantSplit/>
          <w:jc w:val="center"/>
        </w:trPr>
        <w:tc>
          <w:tcPr>
            <w:tcW w:w="816" w:type="pct"/>
            <w:shd w:val="clear" w:color="auto" w:fill="auto"/>
            <w:vAlign w:val="center"/>
          </w:tcPr>
          <w:p w14:paraId="20E05F0E" w14:textId="77777777" w:rsidR="00460E9B" w:rsidRPr="00B07FB9" w:rsidRDefault="00460E9B" w:rsidP="00EE7B86">
            <w:pPr>
              <w:pStyle w:val="TableText0"/>
              <w:widowControl w:val="0"/>
            </w:pPr>
            <w:r w:rsidRPr="00B07FB9">
              <w:t>Mean duration</w:t>
            </w:r>
          </w:p>
        </w:tc>
        <w:tc>
          <w:tcPr>
            <w:tcW w:w="697" w:type="pct"/>
            <w:shd w:val="clear" w:color="auto" w:fill="auto"/>
            <w:vAlign w:val="center"/>
          </w:tcPr>
          <w:p w14:paraId="5AAB643E" w14:textId="77777777" w:rsidR="00460E9B" w:rsidRPr="00B07FB9" w:rsidRDefault="00460E9B" w:rsidP="00EE7B86">
            <w:pPr>
              <w:pStyle w:val="TableText0"/>
              <w:widowControl w:val="0"/>
              <w:jc w:val="center"/>
            </w:pPr>
            <w:r w:rsidRPr="00B07FB9">
              <w:t>Not reported</w:t>
            </w:r>
          </w:p>
        </w:tc>
        <w:tc>
          <w:tcPr>
            <w:tcW w:w="698" w:type="pct"/>
            <w:shd w:val="clear" w:color="auto" w:fill="auto"/>
            <w:vAlign w:val="center"/>
          </w:tcPr>
          <w:p w14:paraId="7C317549" w14:textId="77777777" w:rsidR="00460E9B" w:rsidRPr="00B07FB9" w:rsidRDefault="00460E9B" w:rsidP="00EE7B86">
            <w:pPr>
              <w:pStyle w:val="TableText0"/>
              <w:widowControl w:val="0"/>
              <w:jc w:val="center"/>
            </w:pPr>
            <w:r w:rsidRPr="00B07FB9">
              <w:t>25 months</w:t>
            </w:r>
          </w:p>
        </w:tc>
        <w:tc>
          <w:tcPr>
            <w:tcW w:w="698" w:type="pct"/>
            <w:shd w:val="clear" w:color="auto" w:fill="auto"/>
            <w:vAlign w:val="center"/>
          </w:tcPr>
          <w:p w14:paraId="106D7EC3" w14:textId="77777777" w:rsidR="00460E9B" w:rsidRPr="00B07FB9" w:rsidRDefault="00460E9B" w:rsidP="00EE7B86">
            <w:pPr>
              <w:pStyle w:val="TableText0"/>
              <w:widowControl w:val="0"/>
              <w:jc w:val="center"/>
            </w:pPr>
            <w:r w:rsidRPr="00B07FB9">
              <w:t>25 months</w:t>
            </w:r>
          </w:p>
        </w:tc>
        <w:tc>
          <w:tcPr>
            <w:tcW w:w="697" w:type="pct"/>
            <w:shd w:val="clear" w:color="auto" w:fill="FFFFFF" w:themeFill="background1"/>
            <w:vAlign w:val="center"/>
          </w:tcPr>
          <w:p w14:paraId="53A4C173" w14:textId="77777777" w:rsidR="00460E9B" w:rsidRPr="00B07FB9" w:rsidRDefault="00460E9B" w:rsidP="00EE7B86">
            <w:pPr>
              <w:pStyle w:val="TableText0"/>
              <w:widowControl w:val="0"/>
              <w:jc w:val="center"/>
              <w:rPr>
                <w:b/>
              </w:rPr>
            </w:pPr>
            <w:r w:rsidRPr="00B07FB9">
              <w:t xml:space="preserve">20.65 </w:t>
            </w:r>
            <w:proofErr w:type="spellStart"/>
            <w:r w:rsidRPr="00B07FB9">
              <w:t>months</w:t>
            </w:r>
            <w:r w:rsidRPr="00B07FB9">
              <w:rPr>
                <w:vertAlign w:val="superscript"/>
              </w:rPr>
              <w:t>c</w:t>
            </w:r>
            <w:proofErr w:type="spellEnd"/>
          </w:p>
        </w:tc>
        <w:tc>
          <w:tcPr>
            <w:tcW w:w="698" w:type="pct"/>
            <w:shd w:val="clear" w:color="auto" w:fill="FFFFFF" w:themeFill="background1"/>
            <w:vAlign w:val="center"/>
          </w:tcPr>
          <w:p w14:paraId="729E44F9" w14:textId="77777777" w:rsidR="00460E9B" w:rsidRPr="00B07FB9" w:rsidRDefault="00460E9B" w:rsidP="00EE7B86">
            <w:pPr>
              <w:pStyle w:val="TableText0"/>
              <w:widowControl w:val="0"/>
              <w:jc w:val="center"/>
              <w:rPr>
                <w:b/>
              </w:rPr>
            </w:pPr>
            <w:r w:rsidRPr="00B07FB9">
              <w:t xml:space="preserve">20.9 </w:t>
            </w:r>
            <w:proofErr w:type="spellStart"/>
            <w:r w:rsidRPr="00B07FB9">
              <w:t>months</w:t>
            </w:r>
            <w:r w:rsidRPr="00B07FB9">
              <w:rPr>
                <w:vertAlign w:val="superscript"/>
              </w:rPr>
              <w:t>e</w:t>
            </w:r>
            <w:proofErr w:type="spellEnd"/>
          </w:p>
        </w:tc>
        <w:tc>
          <w:tcPr>
            <w:tcW w:w="696" w:type="pct"/>
            <w:shd w:val="clear" w:color="auto" w:fill="FFFFFF" w:themeFill="background1"/>
          </w:tcPr>
          <w:p w14:paraId="3CC8E963" w14:textId="77777777" w:rsidR="00460E9B" w:rsidRPr="00B07FB9" w:rsidRDefault="00460E9B" w:rsidP="00EE7B86">
            <w:pPr>
              <w:pStyle w:val="TableText0"/>
              <w:widowControl w:val="0"/>
              <w:jc w:val="center"/>
              <w:rPr>
                <w:vertAlign w:val="superscript"/>
              </w:rPr>
            </w:pPr>
            <w:r w:rsidRPr="00B07FB9">
              <w:t xml:space="preserve">20.9 </w:t>
            </w:r>
            <w:proofErr w:type="spellStart"/>
            <w:r w:rsidRPr="00B07FB9">
              <w:t>months</w:t>
            </w:r>
            <w:r w:rsidRPr="00B07FB9">
              <w:rPr>
                <w:vertAlign w:val="superscript"/>
              </w:rPr>
              <w:t>e</w:t>
            </w:r>
            <w:proofErr w:type="spellEnd"/>
          </w:p>
        </w:tc>
      </w:tr>
      <w:tr w:rsidR="00460E9B" w:rsidRPr="00B07FB9" w14:paraId="6D6462AA" w14:textId="77777777" w:rsidTr="00460E9B">
        <w:trPr>
          <w:cantSplit/>
          <w:jc w:val="center"/>
        </w:trPr>
        <w:tc>
          <w:tcPr>
            <w:tcW w:w="816" w:type="pct"/>
            <w:shd w:val="clear" w:color="auto" w:fill="auto"/>
            <w:vAlign w:val="center"/>
          </w:tcPr>
          <w:p w14:paraId="73154A3B" w14:textId="77777777" w:rsidR="00460E9B" w:rsidRPr="00B07FB9" w:rsidRDefault="00460E9B" w:rsidP="00EE7B86">
            <w:pPr>
              <w:pStyle w:val="TableText0"/>
              <w:widowControl w:val="0"/>
            </w:pPr>
            <w:r w:rsidRPr="00B07FB9">
              <w:t>Cost/patient/course</w:t>
            </w:r>
          </w:p>
        </w:tc>
        <w:tc>
          <w:tcPr>
            <w:tcW w:w="697" w:type="pct"/>
            <w:shd w:val="clear" w:color="auto" w:fill="auto"/>
            <w:vAlign w:val="center"/>
          </w:tcPr>
          <w:p w14:paraId="12CDBAFD" w14:textId="77777777" w:rsidR="00460E9B" w:rsidRPr="00B07FB9" w:rsidRDefault="00460E9B" w:rsidP="00EE7B86">
            <w:pPr>
              <w:pStyle w:val="TableText0"/>
              <w:widowControl w:val="0"/>
              <w:jc w:val="center"/>
            </w:pPr>
            <w:r w:rsidRPr="00B07FB9">
              <w:t>–</w:t>
            </w:r>
          </w:p>
        </w:tc>
        <w:tc>
          <w:tcPr>
            <w:tcW w:w="698" w:type="pct"/>
            <w:shd w:val="clear" w:color="auto" w:fill="auto"/>
            <w:vAlign w:val="center"/>
          </w:tcPr>
          <w:p w14:paraId="798B488F" w14:textId="16FEF9E5" w:rsidR="00460E9B" w:rsidRPr="00B07FB9" w:rsidRDefault="00460E9B" w:rsidP="00EE7B86">
            <w:pPr>
              <w:pStyle w:val="TableText0"/>
              <w:widowControl w:val="0"/>
              <w:jc w:val="center"/>
            </w:pPr>
            <w:r w:rsidRPr="00B07FB9">
              <w:rPr>
                <w:snapToGrid w:val="0"/>
              </w:rPr>
              <w:t>$</w:t>
            </w:r>
            <w:r w:rsidR="007A0897" w:rsidRPr="007A0897">
              <w:rPr>
                <w:snapToGrid w:val="0"/>
                <w:color w:val="000000"/>
                <w:shd w:val="solid" w:color="000000" w:fill="000000"/>
                <w14:textFill>
                  <w14:solidFill>
                    <w14:srgbClr w14:val="000000">
                      <w14:alpha w14:val="100000"/>
                    </w14:srgbClr>
                  </w14:solidFill>
                </w14:textFill>
              </w:rPr>
              <w:t>|</w:t>
            </w:r>
          </w:p>
        </w:tc>
        <w:tc>
          <w:tcPr>
            <w:tcW w:w="698" w:type="pct"/>
            <w:shd w:val="clear" w:color="auto" w:fill="auto"/>
            <w:vAlign w:val="center"/>
          </w:tcPr>
          <w:p w14:paraId="6F6B8F2E" w14:textId="463EE745" w:rsidR="00460E9B" w:rsidRPr="00B07FB9" w:rsidRDefault="00460E9B" w:rsidP="00EE7B86">
            <w:pPr>
              <w:pStyle w:val="TableText0"/>
              <w:widowControl w:val="0"/>
              <w:jc w:val="center"/>
              <w:rPr>
                <w:vertAlign w:val="superscript"/>
              </w:rPr>
            </w:pPr>
            <w:r w:rsidRPr="00B07FB9">
              <w:t>$</w:t>
            </w:r>
            <w:r w:rsidR="007A0897" w:rsidRPr="00385E8C">
              <w:rPr>
                <w:rFonts w:hint="eastAsia"/>
                <w:color w:val="000000"/>
                <w:w w:val="15"/>
                <w:shd w:val="solid" w:color="000000" w:fill="000000"/>
                <w:fitText w:val="10" w:id="-1500824817"/>
                <w14:textFill>
                  <w14:solidFill>
                    <w14:srgbClr w14:val="000000">
                      <w14:alpha w14:val="100000"/>
                    </w14:srgbClr>
                  </w14:solidFill>
                </w14:textFill>
              </w:rPr>
              <w:t xml:space="preserve">　</w:t>
            </w:r>
            <w:r w:rsidR="007A0897" w:rsidRPr="00385E8C">
              <w:rPr>
                <w:color w:val="000000"/>
                <w:w w:val="15"/>
                <w:shd w:val="solid" w:color="000000" w:fill="000000"/>
                <w:fitText w:val="10" w:id="-1500824817"/>
                <w14:textFill>
                  <w14:solidFill>
                    <w14:srgbClr w14:val="000000">
                      <w14:alpha w14:val="100000"/>
                    </w14:srgbClr>
                  </w14:solidFill>
                </w14:textFill>
              </w:rPr>
              <w:t>|</w:t>
            </w:r>
            <w:r w:rsidR="007A0897" w:rsidRPr="00385E8C">
              <w:rPr>
                <w:rFonts w:hint="eastAsia"/>
                <w:color w:val="000000"/>
                <w:spacing w:val="-55"/>
                <w:w w:val="15"/>
                <w:shd w:val="solid" w:color="000000" w:fill="000000"/>
                <w:fitText w:val="10" w:id="-1500824817"/>
                <w14:textFill>
                  <w14:solidFill>
                    <w14:srgbClr w14:val="000000">
                      <w14:alpha w14:val="100000"/>
                    </w14:srgbClr>
                  </w14:solidFill>
                </w14:textFill>
              </w:rPr>
              <w:t xml:space="preserve">　</w:t>
            </w:r>
            <w:r w:rsidRPr="00B07FB9">
              <w:rPr>
                <w:vertAlign w:val="superscript"/>
              </w:rPr>
              <w:t>f</w:t>
            </w:r>
          </w:p>
        </w:tc>
        <w:tc>
          <w:tcPr>
            <w:tcW w:w="697" w:type="pct"/>
            <w:shd w:val="clear" w:color="auto" w:fill="FFFFFF" w:themeFill="background1"/>
            <w:vAlign w:val="center"/>
          </w:tcPr>
          <w:p w14:paraId="0C60D405" w14:textId="378A2248" w:rsidR="00460E9B" w:rsidRPr="00B07FB9" w:rsidRDefault="001B03EF" w:rsidP="00EE7B86">
            <w:pPr>
              <w:pStyle w:val="TableText0"/>
              <w:widowControl w:val="0"/>
              <w:jc w:val="center"/>
              <w:rPr>
                <w:vertAlign w:val="superscript"/>
              </w:rPr>
            </w:pPr>
            <w:r w:rsidRPr="00B07FB9">
              <w:t>$</w:t>
            </w:r>
            <w:r w:rsidR="00460E9B" w:rsidRPr="00B07FB9">
              <w:t>149,210</w:t>
            </w:r>
            <w:r w:rsidR="00460E9B" w:rsidRPr="00B07FB9">
              <w:rPr>
                <w:vertAlign w:val="superscript"/>
              </w:rPr>
              <w:t>g</w:t>
            </w:r>
          </w:p>
        </w:tc>
        <w:tc>
          <w:tcPr>
            <w:tcW w:w="698" w:type="pct"/>
            <w:shd w:val="clear" w:color="auto" w:fill="FFFFFF" w:themeFill="background1"/>
            <w:vAlign w:val="center"/>
          </w:tcPr>
          <w:p w14:paraId="79B2847A" w14:textId="77777777" w:rsidR="00460E9B" w:rsidRPr="00B07FB9" w:rsidRDefault="00460E9B" w:rsidP="00EE7B86">
            <w:pPr>
              <w:pStyle w:val="TableText0"/>
              <w:widowControl w:val="0"/>
              <w:jc w:val="center"/>
            </w:pPr>
            <w:r w:rsidRPr="00B07FB9">
              <w:rPr>
                <w:snapToGrid w:val="0"/>
              </w:rPr>
              <w:t>$158,382.07</w:t>
            </w:r>
            <w:r w:rsidRPr="00B07FB9">
              <w:rPr>
                <w:snapToGrid w:val="0"/>
                <w:vertAlign w:val="superscript"/>
              </w:rPr>
              <w:t>h</w:t>
            </w:r>
          </w:p>
        </w:tc>
        <w:tc>
          <w:tcPr>
            <w:tcW w:w="696" w:type="pct"/>
            <w:shd w:val="clear" w:color="auto" w:fill="FFFFFF" w:themeFill="background1"/>
          </w:tcPr>
          <w:p w14:paraId="50913328" w14:textId="77777777" w:rsidR="00460E9B" w:rsidRPr="00B07FB9" w:rsidRDefault="00460E9B" w:rsidP="00EE7B86">
            <w:pPr>
              <w:pStyle w:val="TableText0"/>
              <w:widowControl w:val="0"/>
              <w:jc w:val="center"/>
              <w:rPr>
                <w:vertAlign w:val="superscript"/>
              </w:rPr>
            </w:pPr>
            <w:r w:rsidRPr="00B07FB9">
              <w:t>$151.017</w:t>
            </w:r>
            <w:r w:rsidRPr="00B07FB9">
              <w:rPr>
                <w:vertAlign w:val="superscript"/>
              </w:rPr>
              <w:t>g</w:t>
            </w:r>
          </w:p>
        </w:tc>
      </w:tr>
      <w:tr w:rsidR="00E41F07" w:rsidRPr="00B07FB9" w14:paraId="06271409" w14:textId="77777777" w:rsidTr="00460E9B">
        <w:trPr>
          <w:cantSplit/>
          <w:jc w:val="center"/>
        </w:trPr>
        <w:tc>
          <w:tcPr>
            <w:tcW w:w="816" w:type="pct"/>
            <w:shd w:val="clear" w:color="auto" w:fill="auto"/>
            <w:vAlign w:val="center"/>
          </w:tcPr>
          <w:p w14:paraId="210998CC" w14:textId="1EEBE7A8" w:rsidR="00E41F07" w:rsidRPr="00B07FB9" w:rsidRDefault="00E41F07" w:rsidP="00E41F07">
            <w:pPr>
              <w:pStyle w:val="TableText0"/>
              <w:keepNext w:val="0"/>
              <w:widowControl w:val="0"/>
            </w:pPr>
            <w:r w:rsidRPr="00B07FB9">
              <w:t>Cost/patient/course (PSCR revised price)</w:t>
            </w:r>
          </w:p>
        </w:tc>
        <w:tc>
          <w:tcPr>
            <w:tcW w:w="697" w:type="pct"/>
            <w:shd w:val="clear" w:color="auto" w:fill="auto"/>
            <w:vAlign w:val="center"/>
          </w:tcPr>
          <w:p w14:paraId="08379BC9" w14:textId="77777777" w:rsidR="00E41F07" w:rsidRPr="00B07FB9" w:rsidRDefault="00E41F07" w:rsidP="00E41F07">
            <w:pPr>
              <w:pStyle w:val="TableText0"/>
              <w:keepNext w:val="0"/>
              <w:widowControl w:val="0"/>
              <w:jc w:val="center"/>
            </w:pPr>
          </w:p>
        </w:tc>
        <w:tc>
          <w:tcPr>
            <w:tcW w:w="698" w:type="pct"/>
            <w:shd w:val="clear" w:color="auto" w:fill="auto"/>
            <w:vAlign w:val="center"/>
          </w:tcPr>
          <w:p w14:paraId="5860210B" w14:textId="4C38A5F2" w:rsidR="00E41F07" w:rsidRPr="00B07FB9" w:rsidRDefault="00E41F07" w:rsidP="00E41F07">
            <w:pPr>
              <w:pStyle w:val="TableText0"/>
              <w:keepNext w:val="0"/>
              <w:widowControl w:val="0"/>
              <w:jc w:val="center"/>
              <w:rPr>
                <w:snapToGrid w:val="0"/>
              </w:rPr>
            </w:pPr>
            <w:r w:rsidRPr="00B07FB9">
              <w:t>$</w:t>
            </w:r>
            <w:r w:rsidR="007A0897" w:rsidRPr="007A0897">
              <w:rPr>
                <w:color w:val="000000"/>
                <w:shd w:val="solid" w:color="000000" w:fill="000000"/>
                <w14:textFill>
                  <w14:solidFill>
                    <w14:srgbClr w14:val="000000">
                      <w14:alpha w14:val="100000"/>
                    </w14:srgbClr>
                  </w14:solidFill>
                </w14:textFill>
              </w:rPr>
              <w:t>|</w:t>
            </w:r>
            <w:proofErr w:type="spellStart"/>
            <w:r w:rsidRPr="00B07FB9">
              <w:rPr>
                <w:vertAlign w:val="superscript"/>
              </w:rPr>
              <w:t>i</w:t>
            </w:r>
            <w:proofErr w:type="spellEnd"/>
          </w:p>
        </w:tc>
        <w:tc>
          <w:tcPr>
            <w:tcW w:w="698" w:type="pct"/>
            <w:shd w:val="clear" w:color="auto" w:fill="auto"/>
            <w:vAlign w:val="center"/>
          </w:tcPr>
          <w:p w14:paraId="7AE09795" w14:textId="2F0607C8" w:rsidR="00E41F07" w:rsidRPr="00B07FB9" w:rsidRDefault="00E41F07" w:rsidP="00E41F07">
            <w:pPr>
              <w:pStyle w:val="TableText0"/>
              <w:keepNext w:val="0"/>
              <w:widowControl w:val="0"/>
              <w:jc w:val="center"/>
            </w:pPr>
            <w:r w:rsidRPr="00B07FB9">
              <w:t>$</w:t>
            </w:r>
            <w:r w:rsidR="007A0897" w:rsidRPr="00385E8C">
              <w:rPr>
                <w:rFonts w:hint="eastAsia"/>
                <w:color w:val="000000"/>
                <w:w w:val="15"/>
                <w:shd w:val="solid" w:color="000000" w:fill="000000"/>
                <w:fitText w:val="10" w:id="-1500824816"/>
                <w14:textFill>
                  <w14:solidFill>
                    <w14:srgbClr w14:val="000000">
                      <w14:alpha w14:val="100000"/>
                    </w14:srgbClr>
                  </w14:solidFill>
                </w14:textFill>
              </w:rPr>
              <w:t xml:space="preserve">　</w:t>
            </w:r>
            <w:r w:rsidR="007A0897" w:rsidRPr="00385E8C">
              <w:rPr>
                <w:color w:val="000000"/>
                <w:w w:val="15"/>
                <w:shd w:val="solid" w:color="000000" w:fill="000000"/>
                <w:fitText w:val="10" w:id="-1500824816"/>
                <w14:textFill>
                  <w14:solidFill>
                    <w14:srgbClr w14:val="000000">
                      <w14:alpha w14:val="100000"/>
                    </w14:srgbClr>
                  </w14:solidFill>
                </w14:textFill>
              </w:rPr>
              <w:t>|</w:t>
            </w:r>
            <w:r w:rsidR="007A0897" w:rsidRPr="00385E8C">
              <w:rPr>
                <w:rFonts w:hint="eastAsia"/>
                <w:color w:val="000000"/>
                <w:spacing w:val="-55"/>
                <w:w w:val="15"/>
                <w:shd w:val="solid" w:color="000000" w:fill="000000"/>
                <w:fitText w:val="10" w:id="-1500824816"/>
                <w14:textFill>
                  <w14:solidFill>
                    <w14:srgbClr w14:val="000000">
                      <w14:alpha w14:val="100000"/>
                    </w14:srgbClr>
                  </w14:solidFill>
                </w14:textFill>
              </w:rPr>
              <w:t xml:space="preserve">　</w:t>
            </w:r>
            <w:r w:rsidRPr="00B07FB9">
              <w:rPr>
                <w:vertAlign w:val="superscript"/>
              </w:rPr>
              <w:t>f</w:t>
            </w:r>
          </w:p>
        </w:tc>
        <w:tc>
          <w:tcPr>
            <w:tcW w:w="697" w:type="pct"/>
            <w:shd w:val="clear" w:color="auto" w:fill="FFFFFF" w:themeFill="background1"/>
            <w:vAlign w:val="center"/>
          </w:tcPr>
          <w:p w14:paraId="1524213F" w14:textId="77777777" w:rsidR="00E41F07" w:rsidRPr="00B07FB9" w:rsidRDefault="00E41F07" w:rsidP="00E41F07">
            <w:pPr>
              <w:pStyle w:val="TableText0"/>
              <w:keepNext w:val="0"/>
              <w:widowControl w:val="0"/>
              <w:jc w:val="center"/>
            </w:pPr>
          </w:p>
        </w:tc>
        <w:tc>
          <w:tcPr>
            <w:tcW w:w="698" w:type="pct"/>
            <w:shd w:val="clear" w:color="auto" w:fill="FFFFFF" w:themeFill="background1"/>
            <w:vAlign w:val="center"/>
          </w:tcPr>
          <w:p w14:paraId="261C39F1" w14:textId="77777777" w:rsidR="00E41F07" w:rsidRPr="00B07FB9" w:rsidRDefault="00E41F07" w:rsidP="00E41F07">
            <w:pPr>
              <w:pStyle w:val="TableText0"/>
              <w:keepNext w:val="0"/>
              <w:widowControl w:val="0"/>
              <w:jc w:val="center"/>
              <w:rPr>
                <w:snapToGrid w:val="0"/>
              </w:rPr>
            </w:pPr>
          </w:p>
        </w:tc>
        <w:tc>
          <w:tcPr>
            <w:tcW w:w="696" w:type="pct"/>
            <w:shd w:val="clear" w:color="auto" w:fill="FFFFFF" w:themeFill="background1"/>
          </w:tcPr>
          <w:p w14:paraId="23E7940A" w14:textId="77777777" w:rsidR="00E41F07" w:rsidRPr="00B07FB9" w:rsidRDefault="00E41F07" w:rsidP="00E41F07">
            <w:pPr>
              <w:pStyle w:val="TableText0"/>
              <w:keepNext w:val="0"/>
              <w:widowControl w:val="0"/>
              <w:jc w:val="center"/>
            </w:pPr>
          </w:p>
        </w:tc>
      </w:tr>
    </w:tbl>
    <w:p w14:paraId="3F2A0B7E" w14:textId="77777777" w:rsidR="00460E9B" w:rsidRPr="00B07FB9" w:rsidRDefault="00460E9B" w:rsidP="000C6F49">
      <w:pPr>
        <w:pStyle w:val="TableFigureFooter"/>
        <w:widowControl w:val="0"/>
      </w:pPr>
      <w:r w:rsidRPr="00B07FB9">
        <w:t>Source:</w:t>
      </w:r>
      <w:r w:rsidRPr="00B07FB9">
        <w:rPr>
          <w:rFonts w:ascii="Calibri" w:hAnsi="Calibri"/>
          <w:iCs/>
          <w:snapToGrid/>
          <w:sz w:val="24"/>
          <w:szCs w:val="24"/>
        </w:rPr>
        <w:t xml:space="preserve"> </w:t>
      </w:r>
      <w:r w:rsidRPr="00B07FB9">
        <w:rPr>
          <w:iCs/>
        </w:rPr>
        <w:t xml:space="preserve">Compiled during evaluation based on Table 26, p60 and Table 108, p172 of the submission and </w:t>
      </w:r>
      <w:r w:rsidRPr="00B07FB9">
        <w:t>Excel workbook ‘’</w:t>
      </w:r>
      <w:proofErr w:type="spellStart"/>
      <w:r w:rsidRPr="00B07FB9">
        <w:t>Zejula</w:t>
      </w:r>
      <w:proofErr w:type="spellEnd"/>
      <w:r w:rsidRPr="00B07FB9">
        <w:t xml:space="preserve"> (niraparib) 1L BIM_Nov21’</w:t>
      </w:r>
    </w:p>
    <w:p w14:paraId="4B07C4CD" w14:textId="773F1F85" w:rsidR="00460E9B" w:rsidRPr="00B07FB9" w:rsidRDefault="00460E9B" w:rsidP="000C6F49">
      <w:pPr>
        <w:pStyle w:val="TableFigureFooter"/>
        <w:widowControl w:val="0"/>
      </w:pPr>
      <w:proofErr w:type="spellStart"/>
      <w:r w:rsidRPr="00B07FB9">
        <w:t>BRCAm</w:t>
      </w:r>
      <w:proofErr w:type="spellEnd"/>
      <w:r w:rsidRPr="00B07FB9">
        <w:t xml:space="preserve"> = </w:t>
      </w:r>
      <w:r w:rsidR="00B86754" w:rsidRPr="00B07FB9">
        <w:t>BRCA gene mutation</w:t>
      </w:r>
      <w:r w:rsidRPr="00B07FB9">
        <w:t xml:space="preserve">; CMA = cost=minimisation analysis, DPMQ = dispensed price for maximum quantity; </w:t>
      </w:r>
      <w:r w:rsidRPr="00B07FB9">
        <w:rPr>
          <w:rFonts w:eastAsiaTheme="majorEastAsia"/>
        </w:rPr>
        <w:t>ISD = individualised starting dose; ITT = intention-to-treat</w:t>
      </w:r>
    </w:p>
    <w:p w14:paraId="790C9138" w14:textId="406A39E6" w:rsidR="00C0499A" w:rsidRPr="00B07FB9" w:rsidRDefault="00C0499A" w:rsidP="000C6F49">
      <w:pPr>
        <w:pStyle w:val="TableFigureFooter"/>
        <w:widowControl w:val="0"/>
      </w:pPr>
      <w:r w:rsidRPr="00B07FB9">
        <w:rPr>
          <w:vertAlign w:val="superscript"/>
        </w:rPr>
        <w:t>*</w:t>
      </w:r>
      <w:r w:rsidRPr="00B07FB9">
        <w:t xml:space="preserve"> </w:t>
      </w:r>
      <w:r w:rsidRPr="00B07FB9">
        <w:rPr>
          <w:szCs w:val="18"/>
        </w:rPr>
        <w:t>Requested effective DPMQ for niraparib (</w:t>
      </w:r>
      <w:proofErr w:type="spellStart"/>
      <w:r w:rsidRPr="00B07FB9">
        <w:rPr>
          <w:szCs w:val="18"/>
        </w:rPr>
        <w:t>BRCAm</w:t>
      </w:r>
      <w:proofErr w:type="spellEnd"/>
      <w:r w:rsidRPr="00B07FB9">
        <w:rPr>
          <w:szCs w:val="18"/>
        </w:rPr>
        <w:t xml:space="preserve"> NDA HGEOC): </w:t>
      </w:r>
      <w:r w:rsidRPr="00B07FB9">
        <w:t>84 caps =</w:t>
      </w:r>
      <w:r w:rsidR="000A0EF1" w:rsidRPr="00B07FB9">
        <w:t xml:space="preserve"> $</w:t>
      </w:r>
      <w:r w:rsidR="007A0897" w:rsidRPr="007A0897">
        <w:rPr>
          <w:color w:val="000000"/>
          <w:spacing w:val="40"/>
          <w:shd w:val="solid" w:color="000000" w:fill="000000"/>
          <w:fitText w:val="280" w:id="-1500824832"/>
          <w14:textFill>
            <w14:solidFill>
              <w14:srgbClr w14:val="000000">
                <w14:alpha w14:val="100000"/>
              </w14:srgbClr>
            </w14:solidFill>
          </w14:textFill>
        </w:rPr>
        <w:t xml:space="preserve">|  </w:t>
      </w:r>
      <w:r w:rsidR="007A0897" w:rsidRPr="007A0897">
        <w:rPr>
          <w:color w:val="000000"/>
          <w:spacing w:val="2"/>
          <w:shd w:val="solid" w:color="000000" w:fill="000000"/>
          <w:fitText w:val="280" w:id="-1500824832"/>
          <w14:textFill>
            <w14:solidFill>
              <w14:srgbClr w14:val="000000">
                <w14:alpha w14:val="100000"/>
              </w14:srgbClr>
            </w14:solidFill>
          </w14:textFill>
        </w:rPr>
        <w:t>|</w:t>
      </w:r>
      <w:r w:rsidRPr="00B07FB9">
        <w:t xml:space="preserve">; 56 caps = </w:t>
      </w:r>
      <w:r w:rsidR="000A0EF1" w:rsidRPr="00B07FB9">
        <w:t>$</w:t>
      </w:r>
      <w:r w:rsidR="007A0897" w:rsidRPr="007A0897">
        <w:rPr>
          <w:color w:val="000000"/>
          <w:spacing w:val="40"/>
          <w:shd w:val="solid" w:color="000000" w:fill="000000"/>
          <w:fitText w:val="280" w:id="-1500824831"/>
          <w14:textFill>
            <w14:solidFill>
              <w14:srgbClr w14:val="000000">
                <w14:alpha w14:val="100000"/>
              </w14:srgbClr>
            </w14:solidFill>
          </w14:textFill>
        </w:rPr>
        <w:t xml:space="preserve">|  </w:t>
      </w:r>
      <w:r w:rsidR="007A0897" w:rsidRPr="007A0897">
        <w:rPr>
          <w:color w:val="000000"/>
          <w:spacing w:val="2"/>
          <w:shd w:val="solid" w:color="000000" w:fill="000000"/>
          <w:fitText w:val="280" w:id="-1500824831"/>
          <w14:textFill>
            <w14:solidFill>
              <w14:srgbClr w14:val="000000">
                <w14:alpha w14:val="100000"/>
              </w14:srgbClr>
            </w14:solidFill>
          </w14:textFill>
        </w:rPr>
        <w:t>|</w:t>
      </w:r>
    </w:p>
    <w:p w14:paraId="0415D91F" w14:textId="77C3BC3F" w:rsidR="00460E9B" w:rsidRPr="00B07FB9" w:rsidRDefault="00460E9B" w:rsidP="000C6F49">
      <w:pPr>
        <w:pStyle w:val="TableFigureFooter"/>
        <w:widowControl w:val="0"/>
        <w:rPr>
          <w:vertAlign w:val="superscript"/>
        </w:rPr>
      </w:pPr>
      <w:proofErr w:type="spellStart"/>
      <w:r w:rsidRPr="00B07FB9">
        <w:rPr>
          <w:vertAlign w:val="superscript"/>
        </w:rPr>
        <w:t>a</w:t>
      </w:r>
      <w:proofErr w:type="spellEnd"/>
      <w:r w:rsidRPr="00B07FB9">
        <w:rPr>
          <w:vertAlign w:val="superscript"/>
        </w:rPr>
        <w:t xml:space="preserve"> </w:t>
      </w:r>
      <w:r w:rsidRPr="00B07FB9">
        <w:t>Initial dose intensity for ITT cohort was 204 mg/day, decreasing to 160-170 mg/day from Cycle 4 onwards</w:t>
      </w:r>
      <w:r w:rsidRPr="00B07FB9">
        <w:rPr>
          <w:vertAlign w:val="superscript"/>
        </w:rPr>
        <w:t xml:space="preserve"> </w:t>
      </w:r>
      <w:r w:rsidR="002538D8">
        <w:rPr>
          <w:vertAlign w:val="superscript"/>
        </w:rPr>
        <w:t xml:space="preserve">. </w:t>
      </w:r>
      <w:r w:rsidR="002538D8">
        <w:t>Note that the mean dose of treatment stated in Table 21 was provided for the purposes of informing the PBAC consideration. Interpretation of the results and their application should therefore be limited to seeking to understand the basis for the PBAC outcome and should not be used for any other purpose</w:t>
      </w:r>
    </w:p>
    <w:p w14:paraId="55373C46" w14:textId="37113A51" w:rsidR="00460E9B" w:rsidRPr="00B07FB9" w:rsidRDefault="00460E9B" w:rsidP="000C6F49">
      <w:pPr>
        <w:pStyle w:val="TableFigureFooter"/>
        <w:widowControl w:val="0"/>
      </w:pPr>
      <w:r w:rsidRPr="00B07FB9">
        <w:rPr>
          <w:vertAlign w:val="superscript"/>
        </w:rPr>
        <w:t xml:space="preserve">b </w:t>
      </w:r>
      <w:r w:rsidRPr="00B07FB9">
        <w:t>Initial dose intensity for ISD cohort was 184 mg/day, decreasing to 150-158 mg/day from Cycle 4 onwards</w:t>
      </w:r>
      <w:r w:rsidR="002538D8">
        <w:t>. Note that the mean dose of treatment stated in Table 21 was provided for the purposes of informing the PBAC consideration. Interpretation of the results and their application should therefore be limited to seeking to understand the basis for the PBAC outcome and should not be used for any other purpose</w:t>
      </w:r>
    </w:p>
    <w:p w14:paraId="4310243E" w14:textId="77777777" w:rsidR="00460E9B" w:rsidRPr="00B07FB9" w:rsidRDefault="00460E9B" w:rsidP="000C6F49">
      <w:pPr>
        <w:pStyle w:val="TableFigureFooter"/>
        <w:widowControl w:val="0"/>
      </w:pPr>
      <w:r w:rsidRPr="00B07FB9">
        <w:rPr>
          <w:vertAlign w:val="superscript"/>
        </w:rPr>
        <w:t xml:space="preserve">c </w:t>
      </w:r>
      <w:r w:rsidRPr="00B07FB9">
        <w:t xml:space="preserve">In SOLO-1 trial, a mean dose intensity of 558.80 mg/day for a mean treatment duration of 20.65 months was reported for </w:t>
      </w:r>
      <w:proofErr w:type="spellStart"/>
      <w:r w:rsidRPr="00B07FB9">
        <w:t>olaparib</w:t>
      </w:r>
      <w:proofErr w:type="spellEnd"/>
      <w:r w:rsidRPr="00B07FB9">
        <w:t xml:space="preserve"> (</w:t>
      </w:r>
      <w:r w:rsidRPr="00B07FB9">
        <w:rPr>
          <w:iCs/>
        </w:rPr>
        <w:t xml:space="preserve">Paragraph 6.40, Olaparib PSD, July 2020 PBAC meeting). </w:t>
      </w:r>
    </w:p>
    <w:p w14:paraId="5D4B3E0E" w14:textId="7FFF6E67" w:rsidR="00460E9B" w:rsidRPr="00B07FB9" w:rsidRDefault="00460E9B" w:rsidP="000C6F49">
      <w:pPr>
        <w:pStyle w:val="TableFigureFooter"/>
        <w:widowControl w:val="0"/>
        <w:rPr>
          <w:iCs/>
        </w:rPr>
      </w:pPr>
      <w:r w:rsidRPr="00B07FB9">
        <w:rPr>
          <w:vertAlign w:val="superscript"/>
        </w:rPr>
        <w:t>d</w:t>
      </w:r>
      <w:r w:rsidRPr="00B07FB9">
        <w:t xml:space="preserve"> Olaparib has a flat pricing irrespective of daily dose. </w:t>
      </w:r>
    </w:p>
    <w:p w14:paraId="2A988FA1" w14:textId="77777777" w:rsidR="00460E9B" w:rsidRPr="00B07FB9" w:rsidRDefault="00460E9B" w:rsidP="000C6F49">
      <w:pPr>
        <w:pStyle w:val="TableFigureFooter"/>
        <w:widowControl w:val="0"/>
        <w:rPr>
          <w:iCs/>
        </w:rPr>
      </w:pPr>
      <w:r w:rsidRPr="00B07FB9">
        <w:rPr>
          <w:vertAlign w:val="superscript"/>
        </w:rPr>
        <w:t>e</w:t>
      </w:r>
      <w:r w:rsidRPr="00B07FB9">
        <w:t xml:space="preserve"> T</w:t>
      </w:r>
      <w:r w:rsidRPr="00B07FB9">
        <w:rPr>
          <w:iCs/>
        </w:rPr>
        <w:t xml:space="preserve">he resubmission used the 20.9 months in the CMA based on the average duration of treatment per patient in the first six years of listing </w:t>
      </w:r>
      <w:proofErr w:type="spellStart"/>
      <w:r w:rsidRPr="00B07FB9">
        <w:rPr>
          <w:iCs/>
        </w:rPr>
        <w:t>olaparib</w:t>
      </w:r>
      <w:proofErr w:type="spellEnd"/>
      <w:r w:rsidRPr="00B07FB9">
        <w:rPr>
          <w:iCs/>
        </w:rPr>
        <w:t xml:space="preserve"> in the 1L setting based on SOLO-1 trial (Table 13, </w:t>
      </w:r>
      <w:proofErr w:type="spellStart"/>
      <w:r w:rsidRPr="00B07FB9">
        <w:rPr>
          <w:iCs/>
        </w:rPr>
        <w:t>olaparib</w:t>
      </w:r>
      <w:proofErr w:type="spellEnd"/>
      <w:r w:rsidRPr="00B07FB9">
        <w:rPr>
          <w:iCs/>
        </w:rPr>
        <w:t xml:space="preserve"> PSD, July 2020 PBAC meeting).</w:t>
      </w:r>
    </w:p>
    <w:p w14:paraId="39CAE696" w14:textId="77777777" w:rsidR="00460E9B" w:rsidRPr="00B07FB9" w:rsidRDefault="00460E9B" w:rsidP="000C6F49">
      <w:pPr>
        <w:pStyle w:val="TableFigureFooter"/>
        <w:widowControl w:val="0"/>
      </w:pPr>
      <w:proofErr w:type="spellStart"/>
      <w:r w:rsidRPr="00B07FB9">
        <w:rPr>
          <w:vertAlign w:val="superscript"/>
        </w:rPr>
        <w:t>f</w:t>
      </w:r>
      <w:proofErr w:type="spellEnd"/>
      <w:r w:rsidRPr="00B07FB9">
        <w:rPr>
          <w:vertAlign w:val="superscript"/>
        </w:rPr>
        <w:t xml:space="preserve"> </w:t>
      </w:r>
      <w:r w:rsidRPr="00B07FB9">
        <w:t xml:space="preserve">The financial analysis used the weighted price for niraparib. </w:t>
      </w:r>
    </w:p>
    <w:p w14:paraId="37FCCCD4" w14:textId="77777777" w:rsidR="00460E9B" w:rsidRPr="00B07FB9" w:rsidRDefault="00460E9B" w:rsidP="000C6F49">
      <w:pPr>
        <w:pStyle w:val="TableFigureFooter"/>
        <w:widowControl w:val="0"/>
      </w:pPr>
      <w:r w:rsidRPr="00B07FB9">
        <w:rPr>
          <w:vertAlign w:val="superscript"/>
        </w:rPr>
        <w:t xml:space="preserve">g </w:t>
      </w:r>
      <w:r w:rsidRPr="00B07FB9">
        <w:t xml:space="preserve">Taking into treatment interruptions, which were estimated to account for 1 month out of a total of 21.5 months of treatment (paragraph 6.48, </w:t>
      </w:r>
      <w:proofErr w:type="spellStart"/>
      <w:r w:rsidRPr="00B07FB9">
        <w:t>olaparib</w:t>
      </w:r>
      <w:proofErr w:type="spellEnd"/>
      <w:r w:rsidRPr="00B07FB9">
        <w:t xml:space="preserve"> PSD, July 2020 PBAC meeting)</w:t>
      </w:r>
    </w:p>
    <w:p w14:paraId="784AADAA" w14:textId="1F26BA31" w:rsidR="00460E9B" w:rsidRPr="00B07FB9" w:rsidRDefault="00460E9B" w:rsidP="000C6F49">
      <w:pPr>
        <w:pStyle w:val="TableFigureFooter"/>
        <w:widowControl w:val="0"/>
      </w:pPr>
      <w:r w:rsidRPr="00B07FB9">
        <w:rPr>
          <w:vertAlign w:val="superscript"/>
        </w:rPr>
        <w:t xml:space="preserve">h </w:t>
      </w:r>
      <w:r w:rsidRPr="00B07FB9">
        <w:t xml:space="preserve">Based on a constant </w:t>
      </w:r>
      <w:proofErr w:type="spellStart"/>
      <w:r w:rsidRPr="00B07FB9">
        <w:t>olaparib</w:t>
      </w:r>
      <w:proofErr w:type="spellEnd"/>
      <w:r w:rsidRPr="00B07FB9">
        <w:t xml:space="preserve"> daily cost of $248.97 (=$6,971.22 / 28) for a treatment duration of 20.9 months. </w:t>
      </w:r>
    </w:p>
    <w:p w14:paraId="07E7937E" w14:textId="247B688D" w:rsidR="00E032E7" w:rsidRDefault="00E41F07" w:rsidP="00004638">
      <w:pPr>
        <w:pStyle w:val="TableFigureFooter"/>
        <w:widowControl w:val="0"/>
        <w:spacing w:after="180"/>
      </w:pPr>
      <w:proofErr w:type="spellStart"/>
      <w:r w:rsidRPr="00B07FB9">
        <w:rPr>
          <w:vertAlign w:val="superscript"/>
        </w:rPr>
        <w:t>i</w:t>
      </w:r>
      <w:proofErr w:type="spellEnd"/>
      <w:r w:rsidRPr="00B07FB9">
        <w:t xml:space="preserve"> This is calculated by multiplying the proposed DPMQ price for mg in </w:t>
      </w:r>
      <w:proofErr w:type="spellStart"/>
      <w:r w:rsidRPr="00B07FB9">
        <w:t>BRCAm</w:t>
      </w:r>
      <w:proofErr w:type="spellEnd"/>
      <w:r w:rsidRPr="00B07FB9">
        <w:t xml:space="preserve"> cohort ($</w:t>
      </w:r>
      <w:r w:rsidR="007A0897" w:rsidRPr="007A0897">
        <w:rPr>
          <w:color w:val="000000"/>
          <w:spacing w:val="40"/>
          <w:shd w:val="solid" w:color="000000" w:fill="000000"/>
          <w:fitText w:val="280" w:id="-1500824830"/>
          <w14:textFill>
            <w14:solidFill>
              <w14:srgbClr w14:val="000000">
                <w14:alpha w14:val="100000"/>
              </w14:srgbClr>
            </w14:solidFill>
          </w14:textFill>
        </w:rPr>
        <w:t xml:space="preserve">|  </w:t>
      </w:r>
      <w:r w:rsidR="007A0897" w:rsidRPr="007A0897">
        <w:rPr>
          <w:color w:val="000000"/>
          <w:spacing w:val="2"/>
          <w:shd w:val="solid" w:color="000000" w:fill="000000"/>
          <w:fitText w:val="280" w:id="-1500824830"/>
          <w14:textFill>
            <w14:solidFill>
              <w14:srgbClr w14:val="000000">
                <w14:alpha w14:val="100000"/>
              </w14:srgbClr>
            </w14:solidFill>
          </w14:textFill>
        </w:rPr>
        <w:t>|</w:t>
      </w:r>
      <w:r w:rsidRPr="00B07FB9">
        <w:t>= $</w:t>
      </w:r>
      <w:r w:rsidR="007A0897" w:rsidRPr="007A0897">
        <w:rPr>
          <w:color w:val="000000"/>
          <w:spacing w:val="37"/>
          <w:shd w:val="solid" w:color="000000" w:fill="000000"/>
          <w:fitText w:val="270" w:id="-1500824829"/>
          <w14:textFill>
            <w14:solidFill>
              <w14:srgbClr w14:val="000000">
                <w14:alpha w14:val="100000"/>
              </w14:srgbClr>
            </w14:solidFill>
          </w14:textFill>
        </w:rPr>
        <w:t xml:space="preserve">|  </w:t>
      </w:r>
      <w:r w:rsidR="007A0897" w:rsidRPr="007A0897">
        <w:rPr>
          <w:color w:val="000000"/>
          <w:spacing w:val="1"/>
          <w:shd w:val="solid" w:color="000000" w:fill="000000"/>
          <w:fitText w:val="270" w:id="-1500824829"/>
          <w14:textFill>
            <w14:solidFill>
              <w14:srgbClr w14:val="000000">
                <w14:alpha w14:val="100000"/>
              </w14:srgbClr>
            </w14:solidFill>
          </w14:textFill>
        </w:rPr>
        <w:t>|</w:t>
      </w:r>
      <w:r w:rsidRPr="00B07FB9">
        <w:t>/5600 mg) by the total mg per course (123,310 mg).</w:t>
      </w:r>
    </w:p>
    <w:p w14:paraId="03149917" w14:textId="77777777" w:rsidR="000F715C" w:rsidRPr="00B07FB9" w:rsidRDefault="000F715C" w:rsidP="00004638">
      <w:pPr>
        <w:pStyle w:val="TableFigureFooter"/>
        <w:widowControl w:val="0"/>
        <w:spacing w:after="180"/>
      </w:pPr>
    </w:p>
    <w:p w14:paraId="268768EF" w14:textId="3626F292" w:rsidR="00B60939" w:rsidRPr="00B07FB9" w:rsidRDefault="00B60939" w:rsidP="000C6F49">
      <w:pPr>
        <w:pStyle w:val="4-SubsectionHeading"/>
        <w:keepNext w:val="0"/>
        <w:widowControl w:val="0"/>
      </w:pPr>
      <w:bookmarkStart w:id="64" w:name="_Toc93404201"/>
      <w:r w:rsidRPr="00B07FB9">
        <w:t>Estimated PBS usage &amp; financial implications</w:t>
      </w:r>
      <w:bookmarkEnd w:id="39"/>
      <w:bookmarkEnd w:id="64"/>
    </w:p>
    <w:p w14:paraId="15598B77" w14:textId="238D4ECC" w:rsidR="004431C0" w:rsidRPr="00B07FB9" w:rsidRDefault="00C25D9C" w:rsidP="000C6F49">
      <w:pPr>
        <w:pStyle w:val="3-BodyText"/>
        <w:widowControl w:val="0"/>
      </w:pPr>
      <w:r w:rsidRPr="00B07FB9">
        <w:t xml:space="preserve">This submission </w:t>
      </w:r>
      <w:r w:rsidR="003844ED" w:rsidRPr="00B07FB9">
        <w:t>was</w:t>
      </w:r>
      <w:r w:rsidR="00D051D6" w:rsidRPr="00B07FB9">
        <w:t xml:space="preserve"> not</w:t>
      </w:r>
      <w:r w:rsidRPr="00B07FB9">
        <w:t xml:space="preserve"> considered by DUSC.</w:t>
      </w:r>
      <w:r w:rsidR="00D051D6" w:rsidRPr="00B07FB9">
        <w:t xml:space="preserve"> </w:t>
      </w:r>
    </w:p>
    <w:p w14:paraId="5CF7EEA6" w14:textId="294F396D" w:rsidR="00DC3492" w:rsidRDefault="005B2EB1" w:rsidP="000C6F49">
      <w:pPr>
        <w:pStyle w:val="3-BodyText"/>
        <w:widowControl w:val="0"/>
      </w:pPr>
      <w:r w:rsidRPr="00B07FB9">
        <w:t>The key inputs for the updated financial estimates presented in the resubmission are summarised below.</w:t>
      </w:r>
    </w:p>
    <w:p w14:paraId="5F5AD872" w14:textId="77777777" w:rsidR="00DC3492" w:rsidRDefault="00DC3492">
      <w:pPr>
        <w:jc w:val="left"/>
        <w:rPr>
          <w:rFonts w:asciiTheme="minorHAnsi" w:hAnsiTheme="minorHAnsi"/>
          <w:snapToGrid w:val="0"/>
        </w:rPr>
      </w:pPr>
      <w:r>
        <w:br w:type="page"/>
      </w:r>
    </w:p>
    <w:p w14:paraId="7524D28B" w14:textId="311134E5" w:rsidR="00D051D6" w:rsidRPr="00B07FB9" w:rsidRDefault="00D051D6" w:rsidP="000C6F49">
      <w:pPr>
        <w:pStyle w:val="TableFigureHeading"/>
        <w:keepNext w:val="0"/>
        <w:widowControl w:val="0"/>
      </w:pPr>
      <w:r w:rsidRPr="00B07FB9">
        <w:lastRenderedPageBreak/>
        <w:t xml:space="preserve">Table </w:t>
      </w:r>
      <w:r w:rsidR="00385E8C">
        <w:fldChar w:fldCharType="begin"/>
      </w:r>
      <w:r w:rsidR="00385E8C">
        <w:instrText xml:space="preserve"> SEQ Table \* ARABIC </w:instrText>
      </w:r>
      <w:r w:rsidR="00385E8C">
        <w:fldChar w:fldCharType="separate"/>
      </w:r>
      <w:r w:rsidR="00385E8C">
        <w:rPr>
          <w:noProof/>
        </w:rPr>
        <w:t>22</w:t>
      </w:r>
      <w:r w:rsidR="00385E8C">
        <w:fldChar w:fldCharType="end"/>
      </w:r>
      <w:r w:rsidRPr="00B07FB9">
        <w:t>: Key inputs for the updated financial estimates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2: Key inputs for the updated financial estimates in the resubmission"/>
      </w:tblPr>
      <w:tblGrid>
        <w:gridCol w:w="1661"/>
        <w:gridCol w:w="3747"/>
        <w:gridCol w:w="3609"/>
      </w:tblGrid>
      <w:tr w:rsidR="0047517A" w:rsidRPr="00B07FB9" w14:paraId="7A060506" w14:textId="77777777" w:rsidTr="002122F4">
        <w:trPr>
          <w:tblHeader/>
        </w:trPr>
        <w:tc>
          <w:tcPr>
            <w:tcW w:w="921" w:type="pct"/>
            <w:vAlign w:val="center"/>
          </w:tcPr>
          <w:p w14:paraId="2436EC05" w14:textId="77777777" w:rsidR="0047517A" w:rsidRPr="00B07FB9" w:rsidRDefault="0047517A" w:rsidP="000C6F49">
            <w:pPr>
              <w:pStyle w:val="In-tableHeading"/>
              <w:keepNext w:val="0"/>
              <w:widowControl w:val="0"/>
              <w:ind w:right="-57"/>
              <w:rPr>
                <w:lang w:val="en-AU"/>
              </w:rPr>
            </w:pPr>
            <w:r w:rsidRPr="00B07FB9">
              <w:rPr>
                <w:lang w:val="en-AU"/>
              </w:rPr>
              <w:t>Data</w:t>
            </w:r>
          </w:p>
        </w:tc>
        <w:tc>
          <w:tcPr>
            <w:tcW w:w="2078" w:type="pct"/>
            <w:vAlign w:val="center"/>
          </w:tcPr>
          <w:p w14:paraId="021C8BBC" w14:textId="4257A664" w:rsidR="0047517A" w:rsidRPr="00B07FB9" w:rsidRDefault="0047517A" w:rsidP="000C6F49">
            <w:pPr>
              <w:pStyle w:val="In-tableHeading"/>
              <w:keepNext w:val="0"/>
              <w:widowControl w:val="0"/>
              <w:ind w:right="-57"/>
              <w:jc w:val="center"/>
              <w:rPr>
                <w:lang w:val="en-AU"/>
              </w:rPr>
            </w:pPr>
            <w:r w:rsidRPr="00B07FB9">
              <w:rPr>
                <w:lang w:val="en-AU"/>
              </w:rPr>
              <w:t>Value and source</w:t>
            </w:r>
          </w:p>
        </w:tc>
        <w:tc>
          <w:tcPr>
            <w:tcW w:w="2001" w:type="pct"/>
            <w:vAlign w:val="center"/>
          </w:tcPr>
          <w:p w14:paraId="1C295DF3" w14:textId="77777777" w:rsidR="0047517A" w:rsidRPr="00B07FB9" w:rsidRDefault="0047517A" w:rsidP="000C6F49">
            <w:pPr>
              <w:pStyle w:val="In-tableHeading"/>
              <w:keepNext w:val="0"/>
              <w:widowControl w:val="0"/>
              <w:ind w:right="-57"/>
              <w:jc w:val="center"/>
              <w:rPr>
                <w:lang w:val="en-AU"/>
              </w:rPr>
            </w:pPr>
            <w:r w:rsidRPr="00B07FB9">
              <w:rPr>
                <w:lang w:val="en-AU"/>
              </w:rPr>
              <w:t>Comment</w:t>
            </w:r>
          </w:p>
        </w:tc>
      </w:tr>
      <w:tr w:rsidR="00D051D6" w:rsidRPr="00B07FB9" w14:paraId="7963CB9B" w14:textId="77777777" w:rsidTr="002122F4">
        <w:tc>
          <w:tcPr>
            <w:tcW w:w="5000" w:type="pct"/>
            <w:gridSpan w:val="3"/>
            <w:vAlign w:val="center"/>
          </w:tcPr>
          <w:p w14:paraId="53FBAE8A" w14:textId="77777777" w:rsidR="00D051D6" w:rsidRPr="00B07FB9" w:rsidRDefault="00D051D6" w:rsidP="000C6F49">
            <w:pPr>
              <w:pStyle w:val="In-tableHeading"/>
              <w:keepNext w:val="0"/>
              <w:widowControl w:val="0"/>
              <w:ind w:right="-57"/>
              <w:rPr>
                <w:lang w:val="en-AU"/>
              </w:rPr>
            </w:pPr>
            <w:r w:rsidRPr="00B07FB9">
              <w:rPr>
                <w:lang w:val="en-AU"/>
              </w:rPr>
              <w:t>Eligible population</w:t>
            </w:r>
          </w:p>
        </w:tc>
      </w:tr>
      <w:tr w:rsidR="0047517A" w:rsidRPr="00B07FB9" w14:paraId="7D38D814" w14:textId="77777777" w:rsidTr="002122F4">
        <w:tc>
          <w:tcPr>
            <w:tcW w:w="921" w:type="pct"/>
          </w:tcPr>
          <w:p w14:paraId="0486F398" w14:textId="77777777" w:rsidR="0047517A" w:rsidRPr="00B07FB9" w:rsidRDefault="0047517A" w:rsidP="000C6F49">
            <w:pPr>
              <w:pStyle w:val="TableText0"/>
              <w:keepNext w:val="0"/>
              <w:widowControl w:val="0"/>
              <w:ind w:right="-57"/>
            </w:pPr>
            <w:r w:rsidRPr="00B07FB9">
              <w:rPr>
                <w:rFonts w:eastAsiaTheme="minorHAnsi" w:cstheme="minorBidi"/>
                <w:bCs w:val="0"/>
              </w:rPr>
              <w:t>Incidence of ovarian, fallopian tube or peritoneal cancer</w:t>
            </w:r>
          </w:p>
        </w:tc>
        <w:tc>
          <w:tcPr>
            <w:tcW w:w="2078" w:type="pct"/>
          </w:tcPr>
          <w:p w14:paraId="67C51201" w14:textId="77777777" w:rsidR="0047517A" w:rsidRPr="00B07FB9" w:rsidRDefault="0047517A" w:rsidP="000C6F49">
            <w:pPr>
              <w:pStyle w:val="TableText0"/>
              <w:keepNext w:val="0"/>
              <w:widowControl w:val="0"/>
              <w:ind w:right="-57"/>
            </w:pPr>
            <w:r w:rsidRPr="00B07FB9">
              <w:t xml:space="preserve">1,629 in Year 1, increasing to 1,759 in Year 6 </w:t>
            </w:r>
          </w:p>
          <w:p w14:paraId="72ABB539" w14:textId="5B612138" w:rsidR="0047517A" w:rsidRPr="00B07FB9" w:rsidRDefault="0047517A" w:rsidP="000C6F49">
            <w:pPr>
              <w:pStyle w:val="TableText0"/>
              <w:keepNext w:val="0"/>
              <w:widowControl w:val="0"/>
              <w:ind w:right="-57"/>
            </w:pPr>
            <w:r w:rsidRPr="00B07FB9">
              <w:t xml:space="preserve">AIHW incidence data (2021); NZ </w:t>
            </w:r>
            <w:proofErr w:type="spellStart"/>
            <w:r w:rsidRPr="00B07FB9">
              <w:t>MoH</w:t>
            </w:r>
            <w:proofErr w:type="spellEnd"/>
            <w:r w:rsidRPr="00B07FB9">
              <w:t xml:space="preserve"> data</w:t>
            </w:r>
          </w:p>
        </w:tc>
        <w:tc>
          <w:tcPr>
            <w:tcW w:w="2001" w:type="pct"/>
          </w:tcPr>
          <w:p w14:paraId="40544DC8" w14:textId="50664B18" w:rsidR="0047517A" w:rsidRPr="00B07FB9" w:rsidRDefault="0047517A" w:rsidP="000C6F49">
            <w:pPr>
              <w:pStyle w:val="TableText0"/>
              <w:keepNext w:val="0"/>
              <w:widowControl w:val="0"/>
              <w:ind w:right="-57"/>
            </w:pPr>
            <w:r w:rsidRPr="00B07FB9">
              <w:t>Data source unchanged from previous submission. Updated AIHW data were used.</w:t>
            </w:r>
            <w:r w:rsidR="00EE3394" w:rsidRPr="00B07FB9">
              <w:t xml:space="preserve">  The NZ </w:t>
            </w:r>
            <w:proofErr w:type="spellStart"/>
            <w:r w:rsidR="00EE3394" w:rsidRPr="00B07FB9">
              <w:t>MoH</w:t>
            </w:r>
            <w:proofErr w:type="spellEnd"/>
            <w:r w:rsidR="00EE3394" w:rsidRPr="00B07FB9">
              <w:t xml:space="preserve"> data which was used to determine the proportion of ICD-10 Code C48</w:t>
            </w:r>
            <w:r w:rsidR="00EE3394" w:rsidRPr="00B07FB9">
              <w:rPr>
                <w:vertAlign w:val="superscript"/>
              </w:rPr>
              <w:t>a</w:t>
            </w:r>
            <w:r w:rsidR="00EE3394" w:rsidRPr="00B07FB9">
              <w:t xml:space="preserve"> cases that are peritoneal cancers was of small sample size.</w:t>
            </w:r>
          </w:p>
        </w:tc>
      </w:tr>
      <w:tr w:rsidR="0047517A" w:rsidRPr="00B07FB9" w14:paraId="19682658" w14:textId="77777777" w:rsidTr="002122F4">
        <w:tc>
          <w:tcPr>
            <w:tcW w:w="921" w:type="pct"/>
          </w:tcPr>
          <w:p w14:paraId="08C68316" w14:textId="77777777" w:rsidR="0047517A" w:rsidRPr="00B07FB9" w:rsidRDefault="0047517A" w:rsidP="000C6F49">
            <w:pPr>
              <w:pStyle w:val="TableText0"/>
              <w:keepNext w:val="0"/>
              <w:widowControl w:val="0"/>
              <w:ind w:right="-57"/>
            </w:pPr>
            <w:r w:rsidRPr="00B07FB9">
              <w:t>% with epithelial disease</w:t>
            </w:r>
          </w:p>
        </w:tc>
        <w:tc>
          <w:tcPr>
            <w:tcW w:w="2078" w:type="pct"/>
            <w:tcBorders>
              <w:bottom w:val="single" w:sz="4" w:space="0" w:color="auto"/>
            </w:tcBorders>
          </w:tcPr>
          <w:p w14:paraId="70B23773" w14:textId="77777777" w:rsidR="0047517A" w:rsidRPr="00B07FB9" w:rsidRDefault="0047517A" w:rsidP="000C6F49">
            <w:pPr>
              <w:pStyle w:val="TableText0"/>
              <w:keepNext w:val="0"/>
              <w:widowControl w:val="0"/>
              <w:ind w:right="-57"/>
            </w:pPr>
            <w:r w:rsidRPr="00B07FB9">
              <w:t>83.7%</w:t>
            </w:r>
          </w:p>
          <w:p w14:paraId="7F0BCEE2" w14:textId="3048B771" w:rsidR="0047517A" w:rsidRPr="00B07FB9" w:rsidRDefault="0047517A" w:rsidP="000C6F49">
            <w:pPr>
              <w:pStyle w:val="TableText0"/>
              <w:keepNext w:val="0"/>
              <w:widowControl w:val="0"/>
              <w:ind w:right="-57"/>
            </w:pPr>
            <w:r w:rsidRPr="00B07FB9">
              <w:rPr>
                <w:rFonts w:cs="Times New Roman"/>
              </w:rPr>
              <w:t>AIHW 2010</w:t>
            </w:r>
          </w:p>
        </w:tc>
        <w:tc>
          <w:tcPr>
            <w:tcW w:w="2001" w:type="pct"/>
          </w:tcPr>
          <w:p w14:paraId="030CB428" w14:textId="77777777" w:rsidR="0047517A" w:rsidRPr="00B07FB9" w:rsidRDefault="0047517A" w:rsidP="000C6F49">
            <w:pPr>
              <w:pStyle w:val="TableText0"/>
              <w:keepNext w:val="0"/>
              <w:widowControl w:val="0"/>
              <w:ind w:right="-57"/>
            </w:pPr>
            <w:r w:rsidRPr="00B07FB9">
              <w:t>Revised as per previous PBAC consideration</w:t>
            </w:r>
          </w:p>
        </w:tc>
      </w:tr>
      <w:tr w:rsidR="0047517A" w:rsidRPr="00B07FB9" w14:paraId="65D9D494" w14:textId="77777777" w:rsidTr="002122F4">
        <w:tc>
          <w:tcPr>
            <w:tcW w:w="921" w:type="pct"/>
          </w:tcPr>
          <w:p w14:paraId="4B93C035" w14:textId="77777777" w:rsidR="0047517A" w:rsidRPr="00B07FB9" w:rsidRDefault="0047517A" w:rsidP="000C6F49">
            <w:pPr>
              <w:pStyle w:val="TableText0"/>
              <w:keepNext w:val="0"/>
              <w:widowControl w:val="0"/>
              <w:ind w:right="-57"/>
            </w:pPr>
            <w:r w:rsidRPr="00B07FB9">
              <w:t>% with high-grade carcinoma</w:t>
            </w:r>
          </w:p>
        </w:tc>
        <w:tc>
          <w:tcPr>
            <w:tcW w:w="2078" w:type="pct"/>
            <w:shd w:val="clear" w:color="auto" w:fill="CCECFF"/>
          </w:tcPr>
          <w:p w14:paraId="29FA967A" w14:textId="77777777" w:rsidR="0047517A" w:rsidRPr="00B07FB9" w:rsidRDefault="0047517A" w:rsidP="000C6F49">
            <w:pPr>
              <w:pStyle w:val="TableText0"/>
              <w:keepNext w:val="0"/>
              <w:widowControl w:val="0"/>
              <w:ind w:right="-57"/>
            </w:pPr>
            <w:r w:rsidRPr="00B07FB9">
              <w:t>93.6%</w:t>
            </w:r>
          </w:p>
          <w:p w14:paraId="347BFE24" w14:textId="0F5846E0" w:rsidR="0047517A" w:rsidRPr="00B07FB9" w:rsidRDefault="0047517A" w:rsidP="000C6F49">
            <w:pPr>
              <w:pStyle w:val="TableText0"/>
              <w:keepNext w:val="0"/>
              <w:widowControl w:val="0"/>
              <w:ind w:right="-57"/>
            </w:pPr>
            <w:r w:rsidRPr="00B07FB9">
              <w:t xml:space="preserve">Analysis of patients in the AOCS (Alsop 2012) </w:t>
            </w:r>
          </w:p>
        </w:tc>
        <w:tc>
          <w:tcPr>
            <w:tcW w:w="2001" w:type="pct"/>
            <w:vMerge w:val="restart"/>
          </w:tcPr>
          <w:p w14:paraId="13D17749" w14:textId="77777777" w:rsidR="0047517A" w:rsidRPr="00B07FB9" w:rsidRDefault="0047517A" w:rsidP="000C6F49">
            <w:pPr>
              <w:pStyle w:val="TableText0"/>
              <w:keepNext w:val="0"/>
              <w:widowControl w:val="0"/>
              <w:ind w:right="-57"/>
            </w:pPr>
            <w:r w:rsidRPr="00B07FB9">
              <w:t>Unchanged from previous submission. Reasonable data sources.</w:t>
            </w:r>
          </w:p>
        </w:tc>
      </w:tr>
      <w:tr w:rsidR="0047517A" w:rsidRPr="00B07FB9" w14:paraId="052B2B05" w14:textId="77777777" w:rsidTr="002122F4">
        <w:tc>
          <w:tcPr>
            <w:tcW w:w="921" w:type="pct"/>
          </w:tcPr>
          <w:p w14:paraId="70BD2048" w14:textId="77777777" w:rsidR="0047517A" w:rsidRPr="00B07FB9" w:rsidRDefault="0047517A" w:rsidP="000C6F49">
            <w:pPr>
              <w:pStyle w:val="TableText0"/>
              <w:keepNext w:val="0"/>
              <w:widowControl w:val="0"/>
              <w:ind w:right="-57"/>
            </w:pPr>
            <w:r w:rsidRPr="00B07FB9">
              <w:t>% advanced (FIGO III/IV) disease in high-grade ovarian cancer</w:t>
            </w:r>
          </w:p>
        </w:tc>
        <w:tc>
          <w:tcPr>
            <w:tcW w:w="2078" w:type="pct"/>
            <w:shd w:val="clear" w:color="auto" w:fill="CCECFF"/>
          </w:tcPr>
          <w:p w14:paraId="26805A1A" w14:textId="77777777" w:rsidR="0047517A" w:rsidRPr="00B07FB9" w:rsidRDefault="0047517A" w:rsidP="000C6F49">
            <w:pPr>
              <w:pStyle w:val="TableText0"/>
              <w:keepNext w:val="0"/>
              <w:widowControl w:val="0"/>
              <w:ind w:right="-57"/>
            </w:pPr>
            <w:r w:rsidRPr="00B07FB9">
              <w:t>81.8%</w:t>
            </w:r>
          </w:p>
          <w:p w14:paraId="7F63428B" w14:textId="250D6466" w:rsidR="0047517A" w:rsidRPr="00B07FB9" w:rsidRDefault="0047517A" w:rsidP="000C6F49">
            <w:pPr>
              <w:pStyle w:val="TableText0"/>
              <w:keepNext w:val="0"/>
              <w:widowControl w:val="0"/>
              <w:ind w:right="-57"/>
            </w:pPr>
            <w:r w:rsidRPr="00B07FB9">
              <w:t>Analysis of patients in the AOCS (Lindemann 2018)</w:t>
            </w:r>
          </w:p>
        </w:tc>
        <w:tc>
          <w:tcPr>
            <w:tcW w:w="2001" w:type="pct"/>
            <w:vMerge/>
          </w:tcPr>
          <w:p w14:paraId="1DFCC556" w14:textId="77777777" w:rsidR="0047517A" w:rsidRPr="00B07FB9" w:rsidRDefault="0047517A" w:rsidP="000C6F49">
            <w:pPr>
              <w:pStyle w:val="TableText0"/>
              <w:keepNext w:val="0"/>
              <w:widowControl w:val="0"/>
              <w:ind w:right="-57"/>
            </w:pPr>
          </w:p>
        </w:tc>
      </w:tr>
      <w:tr w:rsidR="0047517A" w:rsidRPr="00B07FB9" w14:paraId="001E5A3C" w14:textId="77777777" w:rsidTr="002122F4">
        <w:tc>
          <w:tcPr>
            <w:tcW w:w="921" w:type="pct"/>
          </w:tcPr>
          <w:p w14:paraId="641E09D3" w14:textId="77777777" w:rsidR="0047517A" w:rsidRPr="00B07FB9" w:rsidRDefault="0047517A" w:rsidP="000C6F49">
            <w:pPr>
              <w:pStyle w:val="TableText0"/>
              <w:keepNext w:val="0"/>
              <w:widowControl w:val="0"/>
              <w:ind w:right="-57"/>
            </w:pPr>
            <w:r w:rsidRPr="00B07FB9">
              <w:t>% treated with 1L PBC</w:t>
            </w:r>
          </w:p>
        </w:tc>
        <w:tc>
          <w:tcPr>
            <w:tcW w:w="2078" w:type="pct"/>
            <w:tcBorders>
              <w:bottom w:val="single" w:sz="4" w:space="0" w:color="auto"/>
            </w:tcBorders>
            <w:shd w:val="clear" w:color="auto" w:fill="CCECFF"/>
          </w:tcPr>
          <w:p w14:paraId="458FEDE1" w14:textId="77777777" w:rsidR="0047517A" w:rsidRPr="00B07FB9" w:rsidRDefault="0047517A" w:rsidP="000C6F49">
            <w:pPr>
              <w:pStyle w:val="TableText0"/>
              <w:keepNext w:val="0"/>
              <w:widowControl w:val="0"/>
              <w:ind w:right="-57"/>
            </w:pPr>
            <w:r w:rsidRPr="00B07FB9">
              <w:t>91.5%</w:t>
            </w:r>
          </w:p>
          <w:p w14:paraId="14D28B1E" w14:textId="3DA5AE66" w:rsidR="0047517A" w:rsidRPr="00B07FB9" w:rsidRDefault="0047517A" w:rsidP="000C6F49">
            <w:pPr>
              <w:pStyle w:val="TableText0"/>
              <w:keepNext w:val="0"/>
              <w:widowControl w:val="0"/>
              <w:ind w:right="-57"/>
            </w:pPr>
            <w:r w:rsidRPr="00B07FB9">
              <w:t>Analysis of patients in the AOCS (Alsop 2012)</w:t>
            </w:r>
          </w:p>
        </w:tc>
        <w:tc>
          <w:tcPr>
            <w:tcW w:w="2001" w:type="pct"/>
            <w:vMerge/>
          </w:tcPr>
          <w:p w14:paraId="6C2FC826" w14:textId="77777777" w:rsidR="0047517A" w:rsidRPr="00B07FB9" w:rsidRDefault="0047517A" w:rsidP="000C6F49">
            <w:pPr>
              <w:pStyle w:val="TableText0"/>
              <w:keepNext w:val="0"/>
              <w:widowControl w:val="0"/>
              <w:ind w:right="-57"/>
            </w:pPr>
          </w:p>
        </w:tc>
      </w:tr>
      <w:tr w:rsidR="0047517A" w:rsidRPr="00B07FB9" w14:paraId="0E2EA353" w14:textId="77777777" w:rsidTr="002122F4">
        <w:tc>
          <w:tcPr>
            <w:tcW w:w="921" w:type="pct"/>
          </w:tcPr>
          <w:p w14:paraId="27787029" w14:textId="77777777" w:rsidR="0047517A" w:rsidRPr="00B07FB9" w:rsidRDefault="0047517A" w:rsidP="000C6F49">
            <w:pPr>
              <w:pStyle w:val="TableText0"/>
              <w:keepNext w:val="0"/>
              <w:widowControl w:val="0"/>
              <w:ind w:right="-57"/>
            </w:pPr>
            <w:r w:rsidRPr="00B07FB9">
              <w:t>Response rate (CR or PR) to 1L PBC</w:t>
            </w:r>
          </w:p>
        </w:tc>
        <w:tc>
          <w:tcPr>
            <w:tcW w:w="2078" w:type="pct"/>
            <w:shd w:val="clear" w:color="auto" w:fill="CCECFF"/>
          </w:tcPr>
          <w:p w14:paraId="64DD9AFD" w14:textId="77777777" w:rsidR="0047517A" w:rsidRPr="00B07FB9" w:rsidRDefault="0047517A" w:rsidP="000C6F49">
            <w:pPr>
              <w:pStyle w:val="TableText0"/>
              <w:keepNext w:val="0"/>
              <w:widowControl w:val="0"/>
              <w:ind w:right="-57"/>
            </w:pPr>
            <w:r w:rsidRPr="00B07FB9">
              <w:t>88.6%</w:t>
            </w:r>
          </w:p>
          <w:p w14:paraId="3B2E606A" w14:textId="43CE8553" w:rsidR="0047517A" w:rsidRPr="00B07FB9" w:rsidRDefault="0047517A" w:rsidP="000C6F49">
            <w:pPr>
              <w:pStyle w:val="TableText0"/>
              <w:keepNext w:val="0"/>
              <w:widowControl w:val="0"/>
              <w:ind w:right="-57"/>
            </w:pPr>
            <w:r w:rsidRPr="00B07FB9">
              <w:t>Morgan 2021</w:t>
            </w:r>
          </w:p>
        </w:tc>
        <w:tc>
          <w:tcPr>
            <w:tcW w:w="2001" w:type="pct"/>
          </w:tcPr>
          <w:p w14:paraId="7D35A602" w14:textId="77777777" w:rsidR="0047517A" w:rsidRPr="00B07FB9" w:rsidRDefault="0047517A" w:rsidP="000C6F49">
            <w:pPr>
              <w:pStyle w:val="TableText0"/>
              <w:keepNext w:val="0"/>
              <w:widowControl w:val="0"/>
              <w:ind w:right="-57"/>
            </w:pPr>
            <w:r w:rsidRPr="00B07FB9">
              <w:t>Unchanged from previous submission. Reasonable estimate</w:t>
            </w:r>
          </w:p>
        </w:tc>
      </w:tr>
      <w:tr w:rsidR="0047517A" w:rsidRPr="00B07FB9" w14:paraId="4C82D379" w14:textId="77777777" w:rsidTr="002122F4">
        <w:tc>
          <w:tcPr>
            <w:tcW w:w="921" w:type="pct"/>
          </w:tcPr>
          <w:p w14:paraId="2E3C5FBA" w14:textId="77777777" w:rsidR="0047517A" w:rsidRPr="00B07FB9" w:rsidRDefault="0047517A" w:rsidP="000C6F49">
            <w:pPr>
              <w:pStyle w:val="TableText0"/>
              <w:keepNext w:val="0"/>
              <w:widowControl w:val="0"/>
              <w:ind w:right="-57"/>
            </w:pPr>
            <w:r w:rsidRPr="00B07FB9">
              <w:t xml:space="preserve">% with </w:t>
            </w:r>
            <w:proofErr w:type="spellStart"/>
            <w:r w:rsidRPr="00B07FB9">
              <w:t>BRCAm</w:t>
            </w:r>
            <w:proofErr w:type="spellEnd"/>
            <w:r w:rsidRPr="00B07FB9">
              <w:t xml:space="preserve"> (germline and/or somatic)</w:t>
            </w:r>
          </w:p>
        </w:tc>
        <w:tc>
          <w:tcPr>
            <w:tcW w:w="2078" w:type="pct"/>
            <w:shd w:val="clear" w:color="auto" w:fill="CCECFF"/>
          </w:tcPr>
          <w:p w14:paraId="5DF48E24" w14:textId="77777777" w:rsidR="0047517A" w:rsidRPr="00B07FB9" w:rsidRDefault="0047517A" w:rsidP="000C6F49">
            <w:pPr>
              <w:pStyle w:val="TableText0"/>
              <w:keepNext w:val="0"/>
              <w:widowControl w:val="0"/>
              <w:ind w:right="-57"/>
            </w:pPr>
            <w:proofErr w:type="spellStart"/>
            <w:r w:rsidRPr="00B07FB9">
              <w:t>gBRCAm</w:t>
            </w:r>
            <w:proofErr w:type="spellEnd"/>
            <w:r w:rsidRPr="00B07FB9">
              <w:t>: 22.6%</w:t>
            </w:r>
          </w:p>
          <w:p w14:paraId="09FDF3B7" w14:textId="77777777" w:rsidR="0047517A" w:rsidRPr="00B07FB9" w:rsidRDefault="0047517A" w:rsidP="000C6F49">
            <w:pPr>
              <w:pStyle w:val="TableText0"/>
              <w:keepNext w:val="0"/>
              <w:widowControl w:val="0"/>
              <w:ind w:right="-57"/>
            </w:pPr>
            <w:proofErr w:type="spellStart"/>
            <w:r w:rsidRPr="00B07FB9">
              <w:t>sBRCAm</w:t>
            </w:r>
            <w:proofErr w:type="spellEnd"/>
            <w:r w:rsidRPr="00B07FB9">
              <w:t>: 6.3%</w:t>
            </w:r>
          </w:p>
          <w:p w14:paraId="11B33974" w14:textId="77777777" w:rsidR="0047517A" w:rsidRPr="00B07FB9" w:rsidRDefault="0047517A" w:rsidP="000C6F49">
            <w:pPr>
              <w:pStyle w:val="TableText0"/>
              <w:keepNext w:val="0"/>
              <w:widowControl w:val="0"/>
              <w:ind w:right="-57"/>
            </w:pPr>
            <w:r w:rsidRPr="00B07FB9">
              <w:t>Total: 28.9%</w:t>
            </w:r>
          </w:p>
          <w:p w14:paraId="276A483C" w14:textId="6E7B77E3" w:rsidR="0047517A" w:rsidRPr="00B07FB9" w:rsidRDefault="0047517A" w:rsidP="000C6F49">
            <w:pPr>
              <w:pStyle w:val="TableText0"/>
              <w:keepNext w:val="0"/>
              <w:widowControl w:val="0"/>
              <w:ind w:right="-57"/>
            </w:pPr>
            <w:r w:rsidRPr="00B07FB9">
              <w:t>Alsop 2012; CGARN 2011</w:t>
            </w:r>
          </w:p>
        </w:tc>
        <w:tc>
          <w:tcPr>
            <w:tcW w:w="2001" w:type="pct"/>
          </w:tcPr>
          <w:p w14:paraId="3361DDB2" w14:textId="72B025A3" w:rsidR="0047517A" w:rsidRPr="00B07FB9" w:rsidRDefault="0047517A" w:rsidP="000C6F49">
            <w:pPr>
              <w:pStyle w:val="TableText0"/>
              <w:keepNext w:val="0"/>
              <w:widowControl w:val="0"/>
              <w:ind w:right="-57"/>
            </w:pPr>
            <w:r w:rsidRPr="00B07FB9">
              <w:rPr>
                <w:iCs/>
              </w:rPr>
              <w:t xml:space="preserve">Unchanged from previous submission. The prevalence of </w:t>
            </w:r>
            <w:proofErr w:type="spellStart"/>
            <w:r w:rsidRPr="00B07FB9">
              <w:rPr>
                <w:iCs/>
              </w:rPr>
              <w:t>BRCAm</w:t>
            </w:r>
            <w:proofErr w:type="spellEnd"/>
            <w:r w:rsidRPr="00B07FB9">
              <w:rPr>
                <w:iCs/>
              </w:rPr>
              <w:t xml:space="preserve"> </w:t>
            </w:r>
            <w:r w:rsidR="0012266F" w:rsidRPr="00B07FB9">
              <w:rPr>
                <w:iCs/>
              </w:rPr>
              <w:t xml:space="preserve">used in the resubmission </w:t>
            </w:r>
            <w:r w:rsidRPr="00B07FB9">
              <w:rPr>
                <w:iCs/>
              </w:rPr>
              <w:t xml:space="preserve">was higher than the estimate previously accepted by the PBAC (25.3%). Using a lower prevalence would increase the net costs to the PBS/RPBS. </w:t>
            </w:r>
          </w:p>
        </w:tc>
      </w:tr>
      <w:tr w:rsidR="0047517A" w:rsidRPr="00B07FB9" w14:paraId="0AB2A57A" w14:textId="77777777" w:rsidTr="002122F4">
        <w:tc>
          <w:tcPr>
            <w:tcW w:w="921" w:type="pct"/>
          </w:tcPr>
          <w:p w14:paraId="51F7B2AE" w14:textId="77777777" w:rsidR="0047517A" w:rsidRPr="00B07FB9" w:rsidRDefault="0047517A" w:rsidP="000C6F49">
            <w:pPr>
              <w:pStyle w:val="TableText0"/>
              <w:keepNext w:val="0"/>
              <w:widowControl w:val="0"/>
              <w:ind w:right="-57"/>
            </w:pPr>
            <w:r w:rsidRPr="00B07FB9">
              <w:t xml:space="preserve">% discontinuing </w:t>
            </w:r>
            <w:proofErr w:type="spellStart"/>
            <w:r w:rsidRPr="00B07FB9">
              <w:t>olaparib</w:t>
            </w:r>
            <w:proofErr w:type="spellEnd"/>
            <w:r w:rsidRPr="00B07FB9">
              <w:t xml:space="preserve"> as 1L therapy due to AEs</w:t>
            </w:r>
          </w:p>
        </w:tc>
        <w:tc>
          <w:tcPr>
            <w:tcW w:w="2078" w:type="pct"/>
            <w:shd w:val="clear" w:color="auto" w:fill="CCECFF"/>
          </w:tcPr>
          <w:p w14:paraId="60B6063E" w14:textId="77777777" w:rsidR="0047517A" w:rsidRPr="00B07FB9" w:rsidRDefault="0047517A" w:rsidP="000C6F49">
            <w:pPr>
              <w:pStyle w:val="TableText0"/>
              <w:keepNext w:val="0"/>
              <w:widowControl w:val="0"/>
              <w:ind w:right="-57"/>
            </w:pPr>
            <w:r w:rsidRPr="00B07FB9">
              <w:t>11.5%</w:t>
            </w:r>
          </w:p>
          <w:p w14:paraId="48F7ABDE" w14:textId="7B860D38" w:rsidR="0047517A" w:rsidRPr="00B07FB9" w:rsidRDefault="0047517A" w:rsidP="000C6F49">
            <w:pPr>
              <w:pStyle w:val="TableText0"/>
              <w:keepNext w:val="0"/>
              <w:widowControl w:val="0"/>
              <w:ind w:right="-57"/>
            </w:pPr>
            <w:r w:rsidRPr="00B07FB9">
              <w:t xml:space="preserve">SOLO-1 trial </w:t>
            </w:r>
          </w:p>
        </w:tc>
        <w:tc>
          <w:tcPr>
            <w:tcW w:w="2001" w:type="pct"/>
          </w:tcPr>
          <w:p w14:paraId="60893492" w14:textId="77777777" w:rsidR="0047517A" w:rsidRPr="00B07FB9" w:rsidRDefault="0047517A" w:rsidP="000C6F49">
            <w:pPr>
              <w:pStyle w:val="TableText0"/>
              <w:keepNext w:val="0"/>
              <w:widowControl w:val="0"/>
              <w:ind w:right="-57"/>
              <w:rPr>
                <w:iCs/>
              </w:rPr>
            </w:pPr>
            <w:r w:rsidRPr="00B07FB9">
              <w:rPr>
                <w:iCs/>
              </w:rPr>
              <w:t xml:space="preserve">Unchanged from previous submission. Reasonable. </w:t>
            </w:r>
          </w:p>
        </w:tc>
      </w:tr>
      <w:tr w:rsidR="0047517A" w:rsidRPr="00B07FB9" w14:paraId="7272CEE9" w14:textId="77777777" w:rsidTr="002122F4">
        <w:tc>
          <w:tcPr>
            <w:tcW w:w="5000" w:type="pct"/>
            <w:gridSpan w:val="3"/>
          </w:tcPr>
          <w:p w14:paraId="0282E409" w14:textId="77777777" w:rsidR="0047517A" w:rsidRPr="00B07FB9" w:rsidRDefault="0047517A" w:rsidP="000C6F49">
            <w:pPr>
              <w:pStyle w:val="TableText0"/>
              <w:keepNext w:val="0"/>
              <w:widowControl w:val="0"/>
              <w:ind w:right="-57"/>
              <w:rPr>
                <w:b/>
              </w:rPr>
            </w:pPr>
            <w:r w:rsidRPr="00B07FB9">
              <w:rPr>
                <w:b/>
              </w:rPr>
              <w:t>Treatment utilisation</w:t>
            </w:r>
          </w:p>
        </w:tc>
      </w:tr>
      <w:tr w:rsidR="0047517A" w:rsidRPr="00B07FB9" w14:paraId="0B382071" w14:textId="77777777" w:rsidTr="002122F4">
        <w:trPr>
          <w:trHeight w:val="563"/>
        </w:trPr>
        <w:tc>
          <w:tcPr>
            <w:tcW w:w="921" w:type="pct"/>
          </w:tcPr>
          <w:p w14:paraId="3978AFD7" w14:textId="77777777" w:rsidR="0047517A" w:rsidRPr="00B07FB9" w:rsidRDefault="0047517A" w:rsidP="000C6F49">
            <w:pPr>
              <w:pStyle w:val="TableText0"/>
              <w:keepNext w:val="0"/>
              <w:widowControl w:val="0"/>
              <w:ind w:right="-57"/>
            </w:pPr>
            <w:r w:rsidRPr="00B07FB9">
              <w:t xml:space="preserve">Uptake of various first-line maintenance therapies without listing of niraparib   </w:t>
            </w:r>
          </w:p>
        </w:tc>
        <w:tc>
          <w:tcPr>
            <w:tcW w:w="2078" w:type="pct"/>
          </w:tcPr>
          <w:p w14:paraId="0D28C021" w14:textId="77777777" w:rsidR="0047517A" w:rsidRPr="00B07FB9" w:rsidRDefault="0047517A" w:rsidP="000C6F49">
            <w:pPr>
              <w:pStyle w:val="TableText0"/>
              <w:keepNext w:val="0"/>
              <w:widowControl w:val="0"/>
              <w:ind w:right="-57"/>
            </w:pPr>
            <w:proofErr w:type="spellStart"/>
            <w:r w:rsidRPr="00B07FB9">
              <w:rPr>
                <w:u w:val="single"/>
              </w:rPr>
              <w:t>BRCAm</w:t>
            </w:r>
            <w:proofErr w:type="spellEnd"/>
            <w:r w:rsidRPr="00B07FB9">
              <w:rPr>
                <w:u w:val="single"/>
              </w:rPr>
              <w:t xml:space="preserve"> patients</w:t>
            </w:r>
            <w:r w:rsidRPr="00B07FB9">
              <w:t>:</w:t>
            </w:r>
          </w:p>
          <w:p w14:paraId="6F5F6D7B" w14:textId="77777777" w:rsidR="0047517A" w:rsidRPr="00B07FB9" w:rsidRDefault="0047517A" w:rsidP="000C6F49">
            <w:pPr>
              <w:pStyle w:val="TableText0"/>
              <w:keepNext w:val="0"/>
              <w:widowControl w:val="0"/>
              <w:shd w:val="clear" w:color="auto" w:fill="CCECFF"/>
              <w:ind w:right="-57"/>
            </w:pPr>
            <w:r w:rsidRPr="00B07FB9">
              <w:t>Bevacizumab: 15% in Year 1 to 5% in Years 3-6</w:t>
            </w:r>
          </w:p>
          <w:p w14:paraId="3AF7EA11" w14:textId="77777777" w:rsidR="0047517A" w:rsidRPr="00B07FB9" w:rsidRDefault="0047517A" w:rsidP="000C6F49">
            <w:pPr>
              <w:pStyle w:val="TableText0"/>
              <w:keepNext w:val="0"/>
              <w:widowControl w:val="0"/>
              <w:shd w:val="clear" w:color="auto" w:fill="CCECFF"/>
              <w:ind w:right="-57"/>
            </w:pPr>
            <w:r w:rsidRPr="00B07FB9">
              <w:t>Olaparib: 75% in Year 1 to 90% in Years 3-6</w:t>
            </w:r>
          </w:p>
          <w:p w14:paraId="737573E4" w14:textId="77777777" w:rsidR="0047517A" w:rsidRPr="00B07FB9" w:rsidRDefault="0047517A" w:rsidP="000C6F49">
            <w:pPr>
              <w:pStyle w:val="TableText0"/>
              <w:keepNext w:val="0"/>
              <w:widowControl w:val="0"/>
              <w:shd w:val="clear" w:color="auto" w:fill="CCECFF"/>
              <w:ind w:right="-57"/>
            </w:pPr>
            <w:r w:rsidRPr="00B07FB9">
              <w:t xml:space="preserve">SMM: 10% in Year 1 to 5% in Years 3-6 </w:t>
            </w:r>
          </w:p>
          <w:p w14:paraId="7BEBEAD6" w14:textId="77777777" w:rsidR="0047517A" w:rsidRPr="00B07FB9" w:rsidRDefault="0047517A" w:rsidP="000C6F49">
            <w:pPr>
              <w:pStyle w:val="TableText0"/>
              <w:keepNext w:val="0"/>
              <w:widowControl w:val="0"/>
              <w:ind w:right="-57"/>
            </w:pPr>
            <w:r w:rsidRPr="00B07FB9">
              <w:rPr>
                <w:u w:val="single"/>
              </w:rPr>
              <w:t>Non-</w:t>
            </w:r>
            <w:proofErr w:type="spellStart"/>
            <w:r w:rsidRPr="00B07FB9">
              <w:rPr>
                <w:u w:val="single"/>
              </w:rPr>
              <w:t>BRCAm</w:t>
            </w:r>
            <w:proofErr w:type="spellEnd"/>
            <w:r w:rsidRPr="00B07FB9">
              <w:rPr>
                <w:u w:val="single"/>
              </w:rPr>
              <w:t xml:space="preserve"> patients</w:t>
            </w:r>
            <w:r w:rsidRPr="00B07FB9">
              <w:t>:</w:t>
            </w:r>
          </w:p>
          <w:p w14:paraId="249CFB12" w14:textId="77777777" w:rsidR="0047517A" w:rsidRPr="00B07FB9" w:rsidRDefault="0047517A" w:rsidP="000C6F49">
            <w:pPr>
              <w:pStyle w:val="TableText0"/>
              <w:keepNext w:val="0"/>
              <w:widowControl w:val="0"/>
              <w:ind w:right="-57"/>
            </w:pPr>
            <w:r w:rsidRPr="00B07FB9">
              <w:t>Bevacizumab: 27.4% in Years 1-6</w:t>
            </w:r>
          </w:p>
          <w:p w14:paraId="3558A799" w14:textId="77777777" w:rsidR="0047517A" w:rsidRPr="00B07FB9" w:rsidRDefault="0047517A" w:rsidP="000C6F49">
            <w:pPr>
              <w:pStyle w:val="TableText0"/>
              <w:keepNext w:val="0"/>
              <w:widowControl w:val="0"/>
              <w:ind w:right="-57"/>
            </w:pPr>
            <w:r w:rsidRPr="00B07FB9">
              <w:t xml:space="preserve">SMM: 72.6% in Years 1-6 </w:t>
            </w:r>
          </w:p>
          <w:p w14:paraId="331C83A9" w14:textId="25226C0E" w:rsidR="0047517A" w:rsidRPr="00B07FB9" w:rsidRDefault="0047517A" w:rsidP="000C6F49">
            <w:pPr>
              <w:pStyle w:val="TableText0"/>
              <w:keepNext w:val="0"/>
              <w:widowControl w:val="0"/>
              <w:ind w:right="-57"/>
            </w:pPr>
            <w:r w:rsidRPr="00B07FB9">
              <w:t xml:space="preserve">Resubmission’s assumptions, 2018 DUSC report on bevacizumab, PBS utilisation data on bevacizumab (2018-2020), assumptions in previous </w:t>
            </w:r>
            <w:proofErr w:type="spellStart"/>
            <w:r w:rsidRPr="00B07FB9">
              <w:t>olaparib</w:t>
            </w:r>
            <w:proofErr w:type="spellEnd"/>
            <w:r w:rsidRPr="00B07FB9">
              <w:t xml:space="preserve"> submissions</w:t>
            </w:r>
          </w:p>
        </w:tc>
        <w:tc>
          <w:tcPr>
            <w:tcW w:w="2001" w:type="pct"/>
          </w:tcPr>
          <w:p w14:paraId="4579D693" w14:textId="77777777" w:rsidR="0047517A" w:rsidRPr="00B07FB9" w:rsidRDefault="0047517A" w:rsidP="000C6F49">
            <w:pPr>
              <w:pStyle w:val="TableText0"/>
              <w:keepNext w:val="0"/>
              <w:widowControl w:val="0"/>
              <w:spacing w:after="120"/>
              <w:ind w:right="-57"/>
            </w:pPr>
            <w:r w:rsidRPr="00B07FB9">
              <w:t xml:space="preserve">The uptake of treatments in </w:t>
            </w:r>
            <w:proofErr w:type="spellStart"/>
            <w:r w:rsidRPr="00B07FB9">
              <w:t>BRCAm</w:t>
            </w:r>
            <w:proofErr w:type="spellEnd"/>
            <w:r w:rsidRPr="00B07FB9">
              <w:t xml:space="preserve"> patients was unchanged. </w:t>
            </w:r>
          </w:p>
          <w:p w14:paraId="67F3B373" w14:textId="7600CD98" w:rsidR="0047517A" w:rsidRPr="00B07FB9" w:rsidRDefault="0047517A" w:rsidP="000C6F49">
            <w:pPr>
              <w:pStyle w:val="TableText0"/>
              <w:keepNext w:val="0"/>
              <w:widowControl w:val="0"/>
              <w:ind w:right="-57"/>
            </w:pPr>
            <w:r w:rsidRPr="00B07FB9">
              <w:t xml:space="preserve">The proportion of </w:t>
            </w:r>
            <w:r w:rsidR="0030254C" w:rsidRPr="00B07FB9">
              <w:t>non-</w:t>
            </w:r>
            <w:proofErr w:type="spellStart"/>
            <w:r w:rsidR="0030254C" w:rsidRPr="00B07FB9">
              <w:t>BRCAm</w:t>
            </w:r>
            <w:proofErr w:type="spellEnd"/>
            <w:r w:rsidR="0030254C" w:rsidRPr="00B07FB9">
              <w:t xml:space="preserve"> </w:t>
            </w:r>
            <w:r w:rsidRPr="00B07FB9">
              <w:t>patients receiving bevacizumab was revised based on the updated PBS statistics on relevant bevacizumab items in 2018-2020, before the change of bevacizumab PBS listing (unrestricted). There is a lack of data on bevacizumab use in the proposed population in current clinical practice.</w:t>
            </w:r>
            <w:r w:rsidR="00A60EDC" w:rsidRPr="00B07FB9">
              <w:t xml:space="preserve"> </w:t>
            </w:r>
            <w:r w:rsidR="00335534" w:rsidRPr="00B07FB9">
              <w:t>However, a sensitivity analysis performed during the evaluation indicated that a change in this variable would not have a big impact on the net PBS/RPBS costs</w:t>
            </w:r>
          </w:p>
        </w:tc>
      </w:tr>
      <w:tr w:rsidR="0047517A" w:rsidRPr="00B07FB9" w14:paraId="2CAF1350" w14:textId="77777777" w:rsidTr="002122F4">
        <w:trPr>
          <w:trHeight w:val="1916"/>
        </w:trPr>
        <w:tc>
          <w:tcPr>
            <w:tcW w:w="921" w:type="pct"/>
          </w:tcPr>
          <w:p w14:paraId="36CF01A2" w14:textId="77777777" w:rsidR="0047517A" w:rsidRPr="00B07FB9" w:rsidRDefault="0047517A" w:rsidP="000C6F49">
            <w:pPr>
              <w:pStyle w:val="TableText0"/>
              <w:keepNext w:val="0"/>
              <w:widowControl w:val="0"/>
              <w:ind w:right="-57"/>
            </w:pPr>
            <w:r w:rsidRPr="00B07FB9">
              <w:t xml:space="preserve">Uptake of various first-line maintenance therapies with listing of niraparib   </w:t>
            </w:r>
          </w:p>
        </w:tc>
        <w:tc>
          <w:tcPr>
            <w:tcW w:w="2078" w:type="pct"/>
          </w:tcPr>
          <w:p w14:paraId="3E7E5D65" w14:textId="77777777" w:rsidR="0047517A" w:rsidRPr="00B07FB9" w:rsidRDefault="0047517A" w:rsidP="000C6F49">
            <w:pPr>
              <w:pStyle w:val="TableText0"/>
              <w:keepNext w:val="0"/>
              <w:widowControl w:val="0"/>
              <w:ind w:right="-57"/>
            </w:pPr>
            <w:proofErr w:type="spellStart"/>
            <w:r w:rsidRPr="00B07FB9">
              <w:rPr>
                <w:u w:val="single"/>
              </w:rPr>
              <w:t>BRCAm</w:t>
            </w:r>
            <w:proofErr w:type="spellEnd"/>
            <w:r w:rsidRPr="00B07FB9">
              <w:rPr>
                <w:u w:val="single"/>
              </w:rPr>
              <w:t xml:space="preserve"> patients</w:t>
            </w:r>
            <w:r w:rsidRPr="00B07FB9">
              <w:t>:</w:t>
            </w:r>
          </w:p>
          <w:p w14:paraId="10D1D126" w14:textId="77777777" w:rsidR="0047517A" w:rsidRPr="00B07FB9" w:rsidRDefault="0047517A" w:rsidP="000C6F49">
            <w:pPr>
              <w:pStyle w:val="TableText0"/>
              <w:keepNext w:val="0"/>
              <w:widowControl w:val="0"/>
              <w:ind w:right="-57"/>
            </w:pPr>
            <w:r w:rsidRPr="00B07FB9">
              <w:t>Niraparib: 15% in Year 1 to 36% in Years 3-6</w:t>
            </w:r>
          </w:p>
          <w:p w14:paraId="5C515008" w14:textId="77777777" w:rsidR="0047517A" w:rsidRPr="00B07FB9" w:rsidRDefault="0047517A" w:rsidP="000C6F49">
            <w:pPr>
              <w:pStyle w:val="TableText0"/>
              <w:keepNext w:val="0"/>
              <w:widowControl w:val="0"/>
              <w:shd w:val="clear" w:color="auto" w:fill="CCECFF"/>
              <w:ind w:right="-57"/>
            </w:pPr>
            <w:r w:rsidRPr="00B07FB9">
              <w:t>Bevacizumab: 15% in Year 1 to 5% in Years 3-6</w:t>
            </w:r>
          </w:p>
          <w:p w14:paraId="367829B5" w14:textId="77777777" w:rsidR="0047517A" w:rsidRPr="00B07FB9" w:rsidRDefault="0047517A" w:rsidP="000C6F49">
            <w:pPr>
              <w:pStyle w:val="TableText0"/>
              <w:keepNext w:val="0"/>
              <w:widowControl w:val="0"/>
              <w:ind w:right="-57"/>
            </w:pPr>
            <w:r w:rsidRPr="00B07FB9">
              <w:t>Olaparib: 60% in Year 1 to 54% in Years 3-6</w:t>
            </w:r>
          </w:p>
          <w:p w14:paraId="3DB40285" w14:textId="77777777" w:rsidR="0047517A" w:rsidRPr="00B07FB9" w:rsidRDefault="0047517A" w:rsidP="000C6F49">
            <w:pPr>
              <w:pStyle w:val="TableText0"/>
              <w:keepNext w:val="0"/>
              <w:widowControl w:val="0"/>
              <w:shd w:val="clear" w:color="auto" w:fill="CCECFF"/>
              <w:ind w:right="-57"/>
            </w:pPr>
            <w:r w:rsidRPr="00B07FB9">
              <w:t>SMM: 10% in Year 1 to 5% in Years 3-6</w:t>
            </w:r>
          </w:p>
          <w:p w14:paraId="3DD172DF" w14:textId="77777777" w:rsidR="0047517A" w:rsidRPr="00B07FB9" w:rsidRDefault="0047517A" w:rsidP="000C6F49">
            <w:pPr>
              <w:pStyle w:val="TableText0"/>
              <w:keepNext w:val="0"/>
              <w:widowControl w:val="0"/>
              <w:ind w:right="-57"/>
            </w:pPr>
            <w:r w:rsidRPr="00B07FB9">
              <w:rPr>
                <w:u w:val="single"/>
              </w:rPr>
              <w:t>Non-</w:t>
            </w:r>
            <w:proofErr w:type="spellStart"/>
            <w:r w:rsidRPr="00B07FB9">
              <w:rPr>
                <w:u w:val="single"/>
              </w:rPr>
              <w:t>BRCAm</w:t>
            </w:r>
            <w:proofErr w:type="spellEnd"/>
            <w:r w:rsidRPr="00B07FB9">
              <w:rPr>
                <w:u w:val="single"/>
              </w:rPr>
              <w:t xml:space="preserve"> patients</w:t>
            </w:r>
            <w:r w:rsidRPr="00B07FB9">
              <w:t>:</w:t>
            </w:r>
          </w:p>
          <w:p w14:paraId="2730A496" w14:textId="77777777" w:rsidR="0047517A" w:rsidRPr="00B07FB9" w:rsidRDefault="0047517A" w:rsidP="000C6F49">
            <w:pPr>
              <w:pStyle w:val="TableText0"/>
              <w:keepNext w:val="0"/>
              <w:widowControl w:val="0"/>
              <w:shd w:val="clear" w:color="auto" w:fill="CCECFF"/>
              <w:ind w:right="-57"/>
            </w:pPr>
            <w:r w:rsidRPr="00B07FB9">
              <w:t>Niraparib: 50% in Year 1 to 75% in Years 3-6</w:t>
            </w:r>
          </w:p>
          <w:p w14:paraId="1026E497" w14:textId="77777777" w:rsidR="0047517A" w:rsidRPr="00B07FB9" w:rsidRDefault="0047517A" w:rsidP="000C6F49">
            <w:pPr>
              <w:pStyle w:val="TableText0"/>
              <w:keepNext w:val="0"/>
              <w:widowControl w:val="0"/>
              <w:ind w:right="-57"/>
            </w:pPr>
            <w:r w:rsidRPr="00B07FB9">
              <w:t>Bevacizumab: 25% in Year 1 to 15% in Years 3-6</w:t>
            </w:r>
          </w:p>
          <w:p w14:paraId="19A730B1" w14:textId="3F1C1D04" w:rsidR="0047517A" w:rsidRPr="00B07FB9" w:rsidRDefault="0047517A" w:rsidP="000C6F49">
            <w:pPr>
              <w:pStyle w:val="TableText0"/>
              <w:keepNext w:val="0"/>
              <w:widowControl w:val="0"/>
              <w:ind w:right="-57"/>
            </w:pPr>
            <w:r w:rsidRPr="00B07FB9">
              <w:lastRenderedPageBreak/>
              <w:t>SMM: 25% in Year 1 to 10% in Years 3-6 Resubmission’s assumptions</w:t>
            </w:r>
          </w:p>
        </w:tc>
        <w:tc>
          <w:tcPr>
            <w:tcW w:w="2001" w:type="pct"/>
          </w:tcPr>
          <w:p w14:paraId="37AAA86D" w14:textId="6E1FCBDF" w:rsidR="0047517A" w:rsidRPr="00B07FB9" w:rsidRDefault="0047517A" w:rsidP="000C6F49">
            <w:pPr>
              <w:pStyle w:val="TableText0"/>
              <w:keepNext w:val="0"/>
              <w:widowControl w:val="0"/>
              <w:spacing w:after="120"/>
              <w:ind w:right="-57"/>
            </w:pPr>
            <w:r w:rsidRPr="00B07FB9">
              <w:lastRenderedPageBreak/>
              <w:t xml:space="preserve">In comparison with the previous submission, a lower substitution rate of niraparib for </w:t>
            </w:r>
            <w:proofErr w:type="spellStart"/>
            <w:r w:rsidRPr="00B07FB9">
              <w:t>olaparib</w:t>
            </w:r>
            <w:proofErr w:type="spellEnd"/>
            <w:r w:rsidRPr="00B07FB9">
              <w:t xml:space="preserve"> in </w:t>
            </w:r>
            <w:proofErr w:type="spellStart"/>
            <w:r w:rsidRPr="00B07FB9">
              <w:t>BRCAm</w:t>
            </w:r>
            <w:proofErr w:type="spellEnd"/>
            <w:r w:rsidRPr="00B07FB9">
              <w:t xml:space="preserve"> patients was assumed as per advice from previous review. </w:t>
            </w:r>
          </w:p>
          <w:p w14:paraId="3E03A3C8" w14:textId="2FD313B1" w:rsidR="0047517A" w:rsidRPr="00B07FB9" w:rsidRDefault="0047517A" w:rsidP="000C6F49">
            <w:pPr>
              <w:pStyle w:val="TableText0"/>
              <w:keepNext w:val="0"/>
              <w:widowControl w:val="0"/>
              <w:ind w:right="-57"/>
            </w:pPr>
            <w:r w:rsidRPr="00B07FB9">
              <w:t>For non-</w:t>
            </w:r>
            <w:proofErr w:type="spellStart"/>
            <w:r w:rsidRPr="00B07FB9">
              <w:t>BRCAm</w:t>
            </w:r>
            <w:proofErr w:type="spellEnd"/>
            <w:r w:rsidRPr="00B07FB9">
              <w:t xml:space="preserve"> patients, the proportion of patients receiving niraparib remained unchanged; but the extent of use of bevacizumab was adjusted on the basis of the PBS data on bevacizumab in 2018-2020. </w:t>
            </w:r>
          </w:p>
        </w:tc>
      </w:tr>
      <w:tr w:rsidR="0047517A" w:rsidRPr="00B07FB9" w14:paraId="5CF7725E" w14:textId="77777777" w:rsidTr="002122F4">
        <w:tc>
          <w:tcPr>
            <w:tcW w:w="921" w:type="pct"/>
          </w:tcPr>
          <w:p w14:paraId="22A9B0B5" w14:textId="77777777" w:rsidR="0047517A" w:rsidRPr="00B07FB9" w:rsidRDefault="0047517A" w:rsidP="000C6F49">
            <w:pPr>
              <w:pStyle w:val="TableText0"/>
              <w:keepNext w:val="0"/>
              <w:widowControl w:val="0"/>
              <w:ind w:right="-57"/>
            </w:pPr>
            <w:r w:rsidRPr="00B07FB9">
              <w:t xml:space="preserve">Uptake of niraparib in patients discontinuing </w:t>
            </w:r>
            <w:proofErr w:type="spellStart"/>
            <w:r w:rsidRPr="00B07FB9">
              <w:t>olaparib</w:t>
            </w:r>
            <w:proofErr w:type="spellEnd"/>
            <w:r w:rsidRPr="00B07FB9">
              <w:t xml:space="preserve"> due to AEs</w:t>
            </w:r>
          </w:p>
        </w:tc>
        <w:tc>
          <w:tcPr>
            <w:tcW w:w="2078" w:type="pct"/>
          </w:tcPr>
          <w:p w14:paraId="086604FC" w14:textId="77777777" w:rsidR="0047517A" w:rsidRPr="00B07FB9" w:rsidRDefault="0047517A" w:rsidP="000C6F49">
            <w:pPr>
              <w:pStyle w:val="TableText0"/>
              <w:keepNext w:val="0"/>
              <w:widowControl w:val="0"/>
              <w:ind w:right="-57"/>
            </w:pPr>
            <w:r w:rsidRPr="00B07FB9">
              <w:t>20%</w:t>
            </w:r>
          </w:p>
          <w:p w14:paraId="31BC8C94" w14:textId="4EFE2F36" w:rsidR="0047517A" w:rsidRPr="00B07FB9" w:rsidRDefault="0047517A" w:rsidP="000C6F49">
            <w:pPr>
              <w:pStyle w:val="TableText0"/>
              <w:keepNext w:val="0"/>
              <w:widowControl w:val="0"/>
              <w:ind w:right="-57"/>
            </w:pPr>
            <w:r w:rsidRPr="00B07FB9">
              <w:t xml:space="preserve">Resubmission’s assumption </w:t>
            </w:r>
          </w:p>
        </w:tc>
        <w:tc>
          <w:tcPr>
            <w:tcW w:w="2001" w:type="pct"/>
          </w:tcPr>
          <w:p w14:paraId="2969DAB1" w14:textId="0E963A10" w:rsidR="0047517A" w:rsidRPr="00B07FB9" w:rsidRDefault="0047517A" w:rsidP="000C6F49">
            <w:pPr>
              <w:pStyle w:val="TableText0"/>
              <w:keepNext w:val="0"/>
              <w:widowControl w:val="0"/>
              <w:ind w:right="-57"/>
            </w:pPr>
            <w:r w:rsidRPr="00B07FB9">
              <w:t>This estimate has been reduced from 80% to 20%, as the PBAC previously considered that this group of patients would be “very small” (Paragraph 7.16, Niraparib PSD, July 2021 PBAC meeting).</w:t>
            </w:r>
          </w:p>
        </w:tc>
      </w:tr>
      <w:tr w:rsidR="0047517A" w:rsidRPr="00B07FB9" w14:paraId="7C08B007" w14:textId="77777777" w:rsidTr="002122F4">
        <w:trPr>
          <w:trHeight w:val="2112"/>
        </w:trPr>
        <w:tc>
          <w:tcPr>
            <w:tcW w:w="921" w:type="pct"/>
          </w:tcPr>
          <w:p w14:paraId="1BEB7796" w14:textId="213DEFD7" w:rsidR="0047517A" w:rsidRPr="00B07FB9" w:rsidRDefault="0047517A" w:rsidP="000C6F49">
            <w:pPr>
              <w:pStyle w:val="TableText0"/>
              <w:keepNext w:val="0"/>
              <w:widowControl w:val="0"/>
              <w:ind w:right="-57"/>
            </w:pPr>
            <w:r w:rsidRPr="00B07FB9">
              <w:t xml:space="preserve">Average treatment duration of niraparib in subsequent treatment years </w:t>
            </w:r>
            <w:r w:rsidR="00DE3D82" w:rsidRPr="00B07FB9">
              <w:t>(</w:t>
            </w:r>
            <w:r w:rsidRPr="00B07FB9">
              <w:t>years</w:t>
            </w:r>
            <w:r w:rsidR="00DE3D82" w:rsidRPr="00B07FB9">
              <w:t>)</w:t>
            </w:r>
          </w:p>
        </w:tc>
        <w:tc>
          <w:tcPr>
            <w:tcW w:w="2078" w:type="pct"/>
            <w:tcBorders>
              <w:bottom w:val="single" w:sz="4" w:space="0" w:color="auto"/>
            </w:tcBorders>
          </w:tcPr>
          <w:p w14:paraId="0443BEBB" w14:textId="77777777" w:rsidR="0047517A" w:rsidRPr="00B07FB9" w:rsidRDefault="0047517A" w:rsidP="000C6F49">
            <w:pPr>
              <w:pStyle w:val="TableText0"/>
              <w:keepNext w:val="0"/>
              <w:widowControl w:val="0"/>
              <w:ind w:right="-57"/>
            </w:pPr>
            <w:proofErr w:type="spellStart"/>
            <w:r w:rsidRPr="00B07FB9">
              <w:rPr>
                <w:u w:val="single"/>
              </w:rPr>
              <w:t>BRCAm</w:t>
            </w:r>
            <w:proofErr w:type="spellEnd"/>
            <w:r w:rsidRPr="00B07FB9">
              <w:rPr>
                <w:u w:val="single"/>
              </w:rPr>
              <w:t xml:space="preserve"> patients</w:t>
            </w:r>
            <w:r w:rsidRPr="00B07FB9">
              <w:t>:</w:t>
            </w:r>
          </w:p>
          <w:p w14:paraId="395FD91A" w14:textId="5F4E6EF0" w:rsidR="0047517A" w:rsidRPr="00B07FB9" w:rsidRDefault="0047517A" w:rsidP="000C6F49">
            <w:pPr>
              <w:pStyle w:val="TableText0"/>
              <w:keepNext w:val="0"/>
              <w:widowControl w:val="0"/>
              <w:ind w:right="-57"/>
            </w:pPr>
            <w:r w:rsidRPr="00B07FB9">
              <w:t>0.86 in 1</w:t>
            </w:r>
            <w:r w:rsidRPr="00B07FB9">
              <w:rPr>
                <w:vertAlign w:val="superscript"/>
              </w:rPr>
              <w:t>st</w:t>
            </w:r>
            <w:r w:rsidRPr="00B07FB9">
              <w:t xml:space="preserve"> year of treatment</w:t>
            </w:r>
            <w:r w:rsidR="004431C0" w:rsidRPr="00B07FB9">
              <w:t xml:space="preserve">, </w:t>
            </w:r>
            <w:r w:rsidRPr="00B07FB9">
              <w:t>0.68 in 2</w:t>
            </w:r>
            <w:r w:rsidRPr="00B07FB9">
              <w:rPr>
                <w:vertAlign w:val="superscript"/>
              </w:rPr>
              <w:t>nd</w:t>
            </w:r>
            <w:r w:rsidRPr="00B07FB9">
              <w:t xml:space="preserve"> year</w:t>
            </w:r>
            <w:r w:rsidR="004431C0" w:rsidRPr="00B07FB9">
              <w:t xml:space="preserve">, </w:t>
            </w:r>
            <w:r w:rsidRPr="00B07FB9">
              <w:t>0.46 in 3</w:t>
            </w:r>
            <w:r w:rsidRPr="00B07FB9">
              <w:rPr>
                <w:vertAlign w:val="superscript"/>
              </w:rPr>
              <w:t>rd</w:t>
            </w:r>
            <w:r w:rsidRPr="00B07FB9">
              <w:t xml:space="preserve"> year</w:t>
            </w:r>
            <w:r w:rsidR="004431C0" w:rsidRPr="00B07FB9">
              <w:t xml:space="preserve">, </w:t>
            </w:r>
            <w:r w:rsidRPr="00B07FB9">
              <w:t>0.05 in 4</w:t>
            </w:r>
            <w:r w:rsidRPr="00B07FB9">
              <w:rPr>
                <w:vertAlign w:val="superscript"/>
              </w:rPr>
              <w:t>th</w:t>
            </w:r>
            <w:r w:rsidRPr="00B07FB9">
              <w:t xml:space="preserve"> year</w:t>
            </w:r>
            <w:r w:rsidR="004431C0" w:rsidRPr="00B07FB9">
              <w:t xml:space="preserve">, </w:t>
            </w:r>
            <w:r w:rsidRPr="00B07FB9">
              <w:t>0.03 in 5</w:t>
            </w:r>
            <w:r w:rsidRPr="00B07FB9">
              <w:rPr>
                <w:vertAlign w:val="superscript"/>
              </w:rPr>
              <w:t>th</w:t>
            </w:r>
            <w:r w:rsidRPr="00B07FB9">
              <w:t xml:space="preserve"> year</w:t>
            </w:r>
            <w:r w:rsidR="004431C0" w:rsidRPr="00B07FB9">
              <w:t xml:space="preserve">, </w:t>
            </w:r>
            <w:r w:rsidRPr="00B07FB9">
              <w:t>0.0 in 6</w:t>
            </w:r>
            <w:r w:rsidRPr="00B07FB9">
              <w:rPr>
                <w:vertAlign w:val="superscript"/>
              </w:rPr>
              <w:t>th</w:t>
            </w:r>
            <w:r w:rsidRPr="00B07FB9">
              <w:t xml:space="preserve"> year</w:t>
            </w:r>
          </w:p>
          <w:p w14:paraId="0D190707" w14:textId="77777777" w:rsidR="0047517A" w:rsidRPr="00B07FB9" w:rsidRDefault="0047517A" w:rsidP="000C6F49">
            <w:pPr>
              <w:pStyle w:val="TableText0"/>
              <w:keepNext w:val="0"/>
              <w:widowControl w:val="0"/>
              <w:ind w:right="-57"/>
            </w:pPr>
            <w:r w:rsidRPr="00B07FB9">
              <w:rPr>
                <w:u w:val="single"/>
              </w:rPr>
              <w:t>Non-</w:t>
            </w:r>
            <w:proofErr w:type="spellStart"/>
            <w:r w:rsidRPr="00B07FB9">
              <w:rPr>
                <w:u w:val="single"/>
              </w:rPr>
              <w:t>BRCAm</w:t>
            </w:r>
            <w:proofErr w:type="spellEnd"/>
            <w:r w:rsidRPr="00B07FB9">
              <w:rPr>
                <w:u w:val="single"/>
              </w:rPr>
              <w:t xml:space="preserve"> patients</w:t>
            </w:r>
            <w:r w:rsidRPr="00B07FB9">
              <w:t>:</w:t>
            </w:r>
          </w:p>
          <w:p w14:paraId="14F8285B" w14:textId="46CB6BB2" w:rsidR="0047517A" w:rsidRPr="00B07FB9" w:rsidRDefault="0047517A" w:rsidP="000C6F49">
            <w:pPr>
              <w:pStyle w:val="TableText0"/>
              <w:keepNext w:val="0"/>
              <w:widowControl w:val="0"/>
              <w:ind w:right="-57"/>
            </w:pPr>
            <w:r w:rsidRPr="00B07FB9">
              <w:t>0.65 in 1</w:t>
            </w:r>
            <w:r w:rsidRPr="00B07FB9">
              <w:rPr>
                <w:vertAlign w:val="superscript"/>
              </w:rPr>
              <w:t>st</w:t>
            </w:r>
            <w:r w:rsidRPr="00B07FB9">
              <w:t xml:space="preserve"> year of treatment</w:t>
            </w:r>
            <w:r w:rsidR="004431C0" w:rsidRPr="00B07FB9">
              <w:t xml:space="preserve">, </w:t>
            </w:r>
            <w:r w:rsidRPr="00B07FB9">
              <w:t>0.23 in 2</w:t>
            </w:r>
            <w:r w:rsidRPr="00B07FB9">
              <w:rPr>
                <w:vertAlign w:val="superscript"/>
              </w:rPr>
              <w:t>nd</w:t>
            </w:r>
            <w:r w:rsidRPr="00B07FB9">
              <w:t xml:space="preserve"> year</w:t>
            </w:r>
            <w:r w:rsidR="004431C0" w:rsidRPr="00B07FB9">
              <w:t xml:space="preserve">, </w:t>
            </w:r>
            <w:r w:rsidRPr="00B07FB9">
              <w:t>0.10 in 3</w:t>
            </w:r>
            <w:r w:rsidRPr="00B07FB9">
              <w:rPr>
                <w:vertAlign w:val="superscript"/>
              </w:rPr>
              <w:t>rd</w:t>
            </w:r>
            <w:r w:rsidRPr="00B07FB9">
              <w:t xml:space="preserve"> year</w:t>
            </w:r>
            <w:r w:rsidR="004431C0" w:rsidRPr="00B07FB9">
              <w:t xml:space="preserve">, </w:t>
            </w:r>
            <w:r w:rsidRPr="00B07FB9">
              <w:t>0.02 in 4</w:t>
            </w:r>
            <w:r w:rsidRPr="00B07FB9">
              <w:rPr>
                <w:vertAlign w:val="superscript"/>
              </w:rPr>
              <w:t>th</w:t>
            </w:r>
            <w:r w:rsidRPr="00B07FB9">
              <w:t xml:space="preserve"> year</w:t>
            </w:r>
            <w:r w:rsidR="004431C0" w:rsidRPr="00B07FB9">
              <w:t xml:space="preserve">, </w:t>
            </w:r>
            <w:r w:rsidRPr="00B07FB9">
              <w:t>0.0 in 5</w:t>
            </w:r>
            <w:r w:rsidRPr="00B07FB9">
              <w:rPr>
                <w:vertAlign w:val="superscript"/>
              </w:rPr>
              <w:t>th</w:t>
            </w:r>
            <w:r w:rsidRPr="00B07FB9">
              <w:t xml:space="preserve"> and 6</w:t>
            </w:r>
            <w:r w:rsidRPr="00B07FB9">
              <w:rPr>
                <w:vertAlign w:val="superscript"/>
              </w:rPr>
              <w:t>th</w:t>
            </w:r>
            <w:r w:rsidRPr="00B07FB9">
              <w:t xml:space="preserve"> years</w:t>
            </w:r>
          </w:p>
          <w:p w14:paraId="144766AF" w14:textId="5B924E10" w:rsidR="0047517A" w:rsidRPr="00B07FB9" w:rsidRDefault="0047517A" w:rsidP="000C6F49">
            <w:pPr>
              <w:pStyle w:val="TableText0"/>
              <w:keepNext w:val="0"/>
              <w:widowControl w:val="0"/>
              <w:ind w:right="-57"/>
            </w:pPr>
            <w:r w:rsidRPr="00B07FB9">
              <w:t>CMA, modelled TTD used in the CUA, based on the PRIMA trial data in the non-</w:t>
            </w:r>
            <w:proofErr w:type="spellStart"/>
            <w:r w:rsidRPr="00B07FB9">
              <w:t>BRCAm</w:t>
            </w:r>
            <w:proofErr w:type="spellEnd"/>
            <w:r w:rsidRPr="00B07FB9">
              <w:t xml:space="preserve"> subgroup.</w:t>
            </w:r>
          </w:p>
        </w:tc>
        <w:tc>
          <w:tcPr>
            <w:tcW w:w="2001" w:type="pct"/>
          </w:tcPr>
          <w:p w14:paraId="123AFD00" w14:textId="2E82D7D4" w:rsidR="0047517A" w:rsidRPr="00B07FB9" w:rsidRDefault="0047517A" w:rsidP="000C6F49">
            <w:pPr>
              <w:pStyle w:val="TableText0"/>
              <w:keepNext w:val="0"/>
              <w:widowControl w:val="0"/>
              <w:ind w:right="-57"/>
            </w:pPr>
            <w:r w:rsidRPr="00B07FB9">
              <w:t xml:space="preserve">Unlike </w:t>
            </w:r>
            <w:r w:rsidR="00DE3D82" w:rsidRPr="00B07FB9">
              <w:t xml:space="preserve">the </w:t>
            </w:r>
            <w:r w:rsidRPr="00B07FB9">
              <w:t xml:space="preserve">previous submission, the treatment duration for niraparib </w:t>
            </w:r>
            <w:r w:rsidR="00433E8F" w:rsidRPr="00B07FB9">
              <w:t>in</w:t>
            </w:r>
            <w:r w:rsidRPr="00B07FB9">
              <w:t xml:space="preserve"> non-</w:t>
            </w:r>
            <w:proofErr w:type="spellStart"/>
            <w:r w:rsidRPr="00B07FB9">
              <w:t>BRCAm</w:t>
            </w:r>
            <w:proofErr w:type="spellEnd"/>
            <w:r w:rsidRPr="00B07FB9">
              <w:t xml:space="preserve"> and </w:t>
            </w:r>
            <w:proofErr w:type="spellStart"/>
            <w:r w:rsidRPr="00B07FB9">
              <w:t>BRCAm</w:t>
            </w:r>
            <w:proofErr w:type="spellEnd"/>
            <w:r w:rsidRPr="00B07FB9">
              <w:t xml:space="preserve"> cohorts was estimated separately. The non-</w:t>
            </w:r>
            <w:proofErr w:type="spellStart"/>
            <w:r w:rsidRPr="00B07FB9">
              <w:t>BRCAm</w:t>
            </w:r>
            <w:proofErr w:type="spellEnd"/>
            <w:r w:rsidRPr="00B07FB9">
              <w:t xml:space="preserve"> subgroup of PRIMA included patients who initiated niraparib at a FSD. The treatment duration in these patients might not represent the treatment duration of niraparib, at its proposed ISD regimen.</w:t>
            </w:r>
          </w:p>
        </w:tc>
      </w:tr>
      <w:tr w:rsidR="00A07F10" w:rsidRPr="00B07FB9" w14:paraId="0337FD77" w14:textId="77777777" w:rsidTr="002122F4">
        <w:tc>
          <w:tcPr>
            <w:tcW w:w="921" w:type="pct"/>
          </w:tcPr>
          <w:p w14:paraId="59839902" w14:textId="77777777" w:rsidR="00A07F10" w:rsidRPr="00B07FB9" w:rsidRDefault="00A07F10" w:rsidP="000C6F49">
            <w:pPr>
              <w:pStyle w:val="TableText0"/>
              <w:keepNext w:val="0"/>
              <w:widowControl w:val="0"/>
              <w:ind w:right="-57"/>
            </w:pPr>
            <w:r w:rsidRPr="00B07FB9">
              <w:t>No. of niraparib packs per patient in each treatment year</w:t>
            </w:r>
          </w:p>
        </w:tc>
        <w:tc>
          <w:tcPr>
            <w:tcW w:w="2078" w:type="pct"/>
            <w:tcBorders>
              <w:bottom w:val="single" w:sz="4" w:space="0" w:color="auto"/>
            </w:tcBorders>
            <w:shd w:val="clear" w:color="auto" w:fill="CCECFF"/>
          </w:tcPr>
          <w:p w14:paraId="19E89BBD" w14:textId="707DAF17" w:rsidR="00A07F10" w:rsidRPr="00B07FB9" w:rsidRDefault="00A07F10" w:rsidP="000C6F49">
            <w:pPr>
              <w:pStyle w:val="TableText0"/>
              <w:keepNext w:val="0"/>
              <w:widowControl w:val="0"/>
              <w:ind w:right="-57"/>
            </w:pPr>
            <w:r w:rsidRPr="00B07FB9">
              <w:t>84-cap</w:t>
            </w:r>
            <w:r w:rsidR="00DE3D82" w:rsidRPr="00B07FB9">
              <w:t>s</w:t>
            </w:r>
            <w:r w:rsidRPr="00B07FB9">
              <w:t>ule pack: 0.99 in the 1</w:t>
            </w:r>
            <w:r w:rsidRPr="00B07FB9">
              <w:rPr>
                <w:vertAlign w:val="superscript"/>
              </w:rPr>
              <w:t>st</w:t>
            </w:r>
            <w:r w:rsidRPr="00B07FB9">
              <w:t xml:space="preserve"> year of treatment, 0.30 in each subsequent year</w:t>
            </w:r>
          </w:p>
          <w:p w14:paraId="46FF309C" w14:textId="41FD5DF7" w:rsidR="00A07F10" w:rsidRPr="00B07FB9" w:rsidRDefault="00A07F10" w:rsidP="000C6F49">
            <w:pPr>
              <w:pStyle w:val="TableText0"/>
              <w:keepNext w:val="0"/>
              <w:widowControl w:val="0"/>
              <w:ind w:right="-57"/>
            </w:pPr>
            <w:r w:rsidRPr="00B07FB9">
              <w:t>56-cap</w:t>
            </w:r>
            <w:r w:rsidR="007F53CC" w:rsidRPr="00B07FB9">
              <w:t>s</w:t>
            </w:r>
            <w:r w:rsidRPr="00B07FB9">
              <w:t>ule pack: 8.79 in the 1</w:t>
            </w:r>
            <w:r w:rsidRPr="00B07FB9">
              <w:rPr>
                <w:vertAlign w:val="superscript"/>
              </w:rPr>
              <w:t>st</w:t>
            </w:r>
            <w:r w:rsidRPr="00B07FB9">
              <w:t xml:space="preserve"> year of treatment, 9.37 in each subsequent year</w:t>
            </w:r>
          </w:p>
          <w:p w14:paraId="5C4CAA4E" w14:textId="21E4E0FC" w:rsidR="00A07F10" w:rsidRPr="00B07FB9" w:rsidRDefault="00A07F10" w:rsidP="000C6F49">
            <w:pPr>
              <w:pStyle w:val="TableText0"/>
              <w:keepNext w:val="0"/>
              <w:widowControl w:val="0"/>
              <w:ind w:right="-57"/>
            </w:pPr>
            <w:r w:rsidRPr="00B07FB9">
              <w:t xml:space="preserve">Dose intensity and compliance data from PRIMA, </w:t>
            </w:r>
            <w:r w:rsidR="00433E8F" w:rsidRPr="00B07FB9">
              <w:t>ISD</w:t>
            </w:r>
            <w:r w:rsidRPr="00B07FB9">
              <w:t xml:space="preserve"> cohort</w:t>
            </w:r>
            <w:r w:rsidR="00956607">
              <w:t>*</w:t>
            </w:r>
          </w:p>
        </w:tc>
        <w:tc>
          <w:tcPr>
            <w:tcW w:w="2001" w:type="pct"/>
          </w:tcPr>
          <w:p w14:paraId="042E6727" w14:textId="77777777" w:rsidR="00A07F10" w:rsidRPr="00B07FB9" w:rsidRDefault="00A07F10" w:rsidP="000C6F49">
            <w:pPr>
              <w:pStyle w:val="TableText0"/>
              <w:keepNext w:val="0"/>
              <w:widowControl w:val="0"/>
              <w:ind w:right="-57"/>
            </w:pPr>
            <w:r w:rsidRPr="00B07FB9">
              <w:t xml:space="preserve">Unchanged from previous submission. Appropriate. </w:t>
            </w:r>
          </w:p>
        </w:tc>
      </w:tr>
      <w:tr w:rsidR="00A07F10" w:rsidRPr="00B07FB9" w14:paraId="753D3CAD" w14:textId="77777777" w:rsidTr="002122F4">
        <w:tc>
          <w:tcPr>
            <w:tcW w:w="921" w:type="pct"/>
          </w:tcPr>
          <w:p w14:paraId="16037DD9" w14:textId="77777777" w:rsidR="00A07F10" w:rsidRPr="00B07FB9" w:rsidRDefault="00A07F10" w:rsidP="000C6F49">
            <w:pPr>
              <w:pStyle w:val="TableText0"/>
              <w:keepNext w:val="0"/>
              <w:widowControl w:val="0"/>
              <w:ind w:right="-57"/>
            </w:pPr>
            <w:r w:rsidRPr="00B07FB9">
              <w:t>Treatment duration of bevacizumab maintenance therapy</w:t>
            </w:r>
          </w:p>
        </w:tc>
        <w:tc>
          <w:tcPr>
            <w:tcW w:w="2078" w:type="pct"/>
            <w:shd w:val="clear" w:color="auto" w:fill="CCECFF"/>
          </w:tcPr>
          <w:p w14:paraId="0ABD31AD" w14:textId="77777777" w:rsidR="00A07F10" w:rsidRPr="00B07FB9" w:rsidRDefault="00A07F10" w:rsidP="000C6F49">
            <w:pPr>
              <w:pStyle w:val="TableText0"/>
              <w:keepNext w:val="0"/>
              <w:widowControl w:val="0"/>
              <w:ind w:right="-57"/>
            </w:pPr>
            <w:r w:rsidRPr="00B07FB9">
              <w:t>12.93 doses</w:t>
            </w:r>
          </w:p>
          <w:p w14:paraId="51158E47" w14:textId="60E34AE6" w:rsidR="00A07F10" w:rsidRPr="00B07FB9" w:rsidRDefault="00A07F10" w:rsidP="000C6F49">
            <w:pPr>
              <w:pStyle w:val="TableText0"/>
              <w:keepNext w:val="0"/>
              <w:widowControl w:val="0"/>
              <w:ind w:right="-57"/>
            </w:pPr>
            <w:r w:rsidRPr="00B07FB9">
              <w:t xml:space="preserve">2018 DUSC report on bevacizumab </w:t>
            </w:r>
          </w:p>
        </w:tc>
        <w:tc>
          <w:tcPr>
            <w:tcW w:w="2001" w:type="pct"/>
          </w:tcPr>
          <w:p w14:paraId="43001548" w14:textId="2EEEBBAE" w:rsidR="00A07F10" w:rsidRPr="00B07FB9" w:rsidRDefault="00A07F10" w:rsidP="000C6F49">
            <w:pPr>
              <w:pStyle w:val="TableText0"/>
              <w:keepNext w:val="0"/>
              <w:widowControl w:val="0"/>
              <w:ind w:right="-57"/>
            </w:pPr>
            <w:r w:rsidRPr="00B07FB9">
              <w:t xml:space="preserve">Unchanged from previous submission. The PBS restriction for bevacizumab </w:t>
            </w:r>
            <w:r w:rsidR="00433E8F" w:rsidRPr="00B07FB9">
              <w:t xml:space="preserve">as in the 2018 DUSC </w:t>
            </w:r>
            <w:proofErr w:type="spellStart"/>
            <w:r w:rsidR="00433E8F" w:rsidRPr="00B07FB9">
              <w:t>report</w:t>
            </w:r>
            <w:r w:rsidR="00B80E59" w:rsidRPr="00B07FB9">
              <w:rPr>
                <w:vertAlign w:val="superscript"/>
              </w:rPr>
              <w:t>b</w:t>
            </w:r>
            <w:proofErr w:type="spellEnd"/>
            <w:r w:rsidR="00433E8F" w:rsidRPr="00B07FB9">
              <w:t xml:space="preserve"> wa</w:t>
            </w:r>
            <w:r w:rsidRPr="00B07FB9">
              <w:t>s not in line with the proposed listing of niraparib. Therefore, the DUSC data might not reflect the treatment duration of bevacizumab in the requested target population.</w:t>
            </w:r>
          </w:p>
        </w:tc>
      </w:tr>
      <w:tr w:rsidR="004431C0" w:rsidRPr="00B07FB9" w14:paraId="74C6D269" w14:textId="77777777" w:rsidTr="002122F4">
        <w:tc>
          <w:tcPr>
            <w:tcW w:w="921" w:type="pct"/>
          </w:tcPr>
          <w:p w14:paraId="494DAAAA" w14:textId="12485C82" w:rsidR="004431C0" w:rsidRPr="00B07FB9" w:rsidRDefault="004431C0" w:rsidP="000C6F49">
            <w:pPr>
              <w:pStyle w:val="TableText0"/>
              <w:keepNext w:val="0"/>
              <w:widowControl w:val="0"/>
              <w:ind w:right="-57"/>
            </w:pPr>
            <w:r w:rsidRPr="00B07FB9">
              <w:t xml:space="preserve">No. of first-line </w:t>
            </w:r>
            <w:proofErr w:type="spellStart"/>
            <w:r w:rsidRPr="00B07FB9">
              <w:t>olaparib</w:t>
            </w:r>
            <w:proofErr w:type="spellEnd"/>
            <w:r w:rsidRPr="00B07FB9">
              <w:t xml:space="preserve"> scripts in each treatment year</w:t>
            </w:r>
          </w:p>
        </w:tc>
        <w:tc>
          <w:tcPr>
            <w:tcW w:w="2078" w:type="pct"/>
          </w:tcPr>
          <w:p w14:paraId="5959F5AC" w14:textId="691AD714" w:rsidR="004431C0" w:rsidRPr="00B07FB9" w:rsidRDefault="004431C0" w:rsidP="000C6F49">
            <w:pPr>
              <w:pStyle w:val="TableText0"/>
              <w:keepNext w:val="0"/>
              <w:widowControl w:val="0"/>
              <w:ind w:right="-57"/>
            </w:pPr>
            <w:r w:rsidRPr="00B07FB9">
              <w:t>10.7 in the 1</w:t>
            </w:r>
            <w:r w:rsidRPr="00B07FB9">
              <w:rPr>
                <w:vertAlign w:val="superscript"/>
              </w:rPr>
              <w:t>st</w:t>
            </w:r>
            <w:r w:rsidRPr="00B07FB9">
              <w:t xml:space="preserve"> year, 8.5 in 2</w:t>
            </w:r>
            <w:r w:rsidRPr="00B07FB9">
              <w:rPr>
                <w:vertAlign w:val="superscript"/>
              </w:rPr>
              <w:t>nd</w:t>
            </w:r>
            <w:r w:rsidRPr="00B07FB9">
              <w:t xml:space="preserve"> year, 1.5 in 3</w:t>
            </w:r>
            <w:r w:rsidRPr="00B07FB9">
              <w:rPr>
                <w:vertAlign w:val="superscript"/>
              </w:rPr>
              <w:t>rd</w:t>
            </w:r>
            <w:r w:rsidRPr="00B07FB9">
              <w:t xml:space="preserve"> year, 0.6 in 4</w:t>
            </w:r>
            <w:r w:rsidRPr="00B07FB9">
              <w:rPr>
                <w:vertAlign w:val="superscript"/>
              </w:rPr>
              <w:t>th</w:t>
            </w:r>
            <w:r w:rsidRPr="00B07FB9">
              <w:t xml:space="preserve"> year, 0.4 in 5</w:t>
            </w:r>
            <w:r w:rsidRPr="00B07FB9">
              <w:rPr>
                <w:vertAlign w:val="superscript"/>
              </w:rPr>
              <w:t>th</w:t>
            </w:r>
            <w:r w:rsidRPr="00B07FB9">
              <w:t xml:space="preserve"> year, 0 in 6</w:t>
            </w:r>
            <w:r w:rsidRPr="00B07FB9">
              <w:rPr>
                <w:vertAlign w:val="superscript"/>
              </w:rPr>
              <w:t>th</w:t>
            </w:r>
            <w:r w:rsidRPr="00B07FB9">
              <w:t xml:space="preserve"> year</w:t>
            </w:r>
          </w:p>
          <w:p w14:paraId="243E6D65" w14:textId="0CE5722E" w:rsidR="004431C0" w:rsidRPr="00B07FB9" w:rsidRDefault="004431C0" w:rsidP="000C6F49">
            <w:pPr>
              <w:pStyle w:val="TableText0"/>
              <w:keepNext w:val="0"/>
              <w:widowControl w:val="0"/>
              <w:ind w:right="-57"/>
            </w:pPr>
            <w:r w:rsidRPr="00B07FB9">
              <w:t xml:space="preserve">July 2020 </w:t>
            </w:r>
            <w:proofErr w:type="spellStart"/>
            <w:r w:rsidRPr="00B07FB9">
              <w:t>olaparib</w:t>
            </w:r>
            <w:proofErr w:type="spellEnd"/>
            <w:r w:rsidRPr="00B07FB9">
              <w:t xml:space="preserve"> submission, based on TTD curve for </w:t>
            </w:r>
            <w:proofErr w:type="spellStart"/>
            <w:r w:rsidRPr="00B07FB9">
              <w:t>olaparib</w:t>
            </w:r>
            <w:proofErr w:type="spellEnd"/>
            <w:r w:rsidRPr="00B07FB9">
              <w:t xml:space="preserve"> in SOLO-1</w:t>
            </w:r>
          </w:p>
        </w:tc>
        <w:tc>
          <w:tcPr>
            <w:tcW w:w="2001" w:type="pct"/>
          </w:tcPr>
          <w:p w14:paraId="09F7716B" w14:textId="438AD79E" w:rsidR="004431C0" w:rsidRPr="00B07FB9" w:rsidRDefault="004431C0" w:rsidP="000C6F49">
            <w:pPr>
              <w:pStyle w:val="TableText0"/>
              <w:keepNext w:val="0"/>
              <w:widowControl w:val="0"/>
              <w:ind w:right="-57"/>
            </w:pPr>
            <w:r w:rsidRPr="00B07FB9">
              <w:t xml:space="preserve">The treatment duration of </w:t>
            </w:r>
            <w:proofErr w:type="spellStart"/>
            <w:r w:rsidRPr="00B07FB9">
              <w:t>olaparib</w:t>
            </w:r>
            <w:proofErr w:type="spellEnd"/>
            <w:r w:rsidRPr="00B07FB9">
              <w:t xml:space="preserve"> was revised to account for treatment interruption and for the difference in days of treatment covered per </w:t>
            </w:r>
            <w:proofErr w:type="spellStart"/>
            <w:r w:rsidRPr="00B07FB9">
              <w:t>olaparib</w:t>
            </w:r>
            <w:proofErr w:type="spellEnd"/>
            <w:r w:rsidRPr="00B07FB9">
              <w:t xml:space="preserve"> script (28 days) and the days in each month (30.4 days), as per advice from the previous review.</w:t>
            </w:r>
          </w:p>
        </w:tc>
      </w:tr>
      <w:tr w:rsidR="004431C0" w:rsidRPr="00B07FB9" w14:paraId="621030C2" w14:textId="77777777" w:rsidTr="002122F4">
        <w:tc>
          <w:tcPr>
            <w:tcW w:w="921" w:type="pct"/>
            <w:vAlign w:val="center"/>
          </w:tcPr>
          <w:p w14:paraId="34131353" w14:textId="77777777" w:rsidR="004431C0" w:rsidRPr="00B07FB9" w:rsidRDefault="004431C0" w:rsidP="000C6F49">
            <w:pPr>
              <w:pStyle w:val="TableText0"/>
              <w:keepNext w:val="0"/>
              <w:widowControl w:val="0"/>
              <w:ind w:right="-57"/>
            </w:pPr>
            <w:r w:rsidRPr="00B07FB9">
              <w:t>MBS costs</w:t>
            </w:r>
          </w:p>
          <w:p w14:paraId="5AD91B30" w14:textId="77777777" w:rsidR="004431C0" w:rsidRPr="00B07FB9" w:rsidRDefault="004431C0" w:rsidP="000C6F49">
            <w:pPr>
              <w:pStyle w:val="TableText0"/>
              <w:keepNext w:val="0"/>
              <w:widowControl w:val="0"/>
              <w:ind w:right="-57" w:firstLine="180"/>
            </w:pPr>
            <w:r w:rsidRPr="00B07FB9">
              <w:t>CBC</w:t>
            </w:r>
          </w:p>
          <w:p w14:paraId="55F4D794" w14:textId="77777777" w:rsidR="004431C0" w:rsidRPr="00B07FB9" w:rsidRDefault="004431C0" w:rsidP="000C6F49">
            <w:pPr>
              <w:pStyle w:val="TableText0"/>
              <w:keepNext w:val="0"/>
              <w:widowControl w:val="0"/>
              <w:ind w:right="-57" w:firstLine="180"/>
            </w:pPr>
            <w:r w:rsidRPr="00B07FB9">
              <w:t>GP consultation</w:t>
            </w:r>
          </w:p>
          <w:p w14:paraId="2CFF2C1F" w14:textId="77777777" w:rsidR="004431C0" w:rsidRPr="00B07FB9" w:rsidRDefault="004431C0" w:rsidP="000C6F49">
            <w:pPr>
              <w:pStyle w:val="TableText0"/>
              <w:keepNext w:val="0"/>
              <w:widowControl w:val="0"/>
              <w:ind w:right="-57" w:firstLine="180"/>
            </w:pPr>
            <w:r w:rsidRPr="00B07FB9">
              <w:t>IV administration</w:t>
            </w:r>
          </w:p>
        </w:tc>
        <w:tc>
          <w:tcPr>
            <w:tcW w:w="2078" w:type="pct"/>
            <w:vAlign w:val="center"/>
          </w:tcPr>
          <w:p w14:paraId="341FDB82" w14:textId="77777777" w:rsidR="004431C0" w:rsidRPr="00B07FB9" w:rsidRDefault="004431C0" w:rsidP="000C6F49">
            <w:pPr>
              <w:pStyle w:val="TableText0"/>
              <w:keepNext w:val="0"/>
              <w:widowControl w:val="0"/>
              <w:ind w:right="-57"/>
            </w:pPr>
            <w:r w:rsidRPr="00B07FB9">
              <w:t xml:space="preserve">Schedule fee: </w:t>
            </w:r>
          </w:p>
          <w:p w14:paraId="18D09558" w14:textId="7F205B46" w:rsidR="004431C0" w:rsidRPr="00B07FB9" w:rsidRDefault="004431C0" w:rsidP="000C6F49">
            <w:pPr>
              <w:pStyle w:val="TableText0"/>
              <w:keepNext w:val="0"/>
              <w:widowControl w:val="0"/>
              <w:shd w:val="clear" w:color="auto" w:fill="CCECFF"/>
              <w:ind w:right="-57"/>
            </w:pPr>
            <w:r w:rsidRPr="00B07FB9">
              <w:rPr>
                <w:shd w:val="clear" w:color="auto" w:fill="CCECFF"/>
              </w:rPr>
              <w:t>$16.95 (MBS item: 65070)</w:t>
            </w:r>
          </w:p>
          <w:p w14:paraId="6F598274" w14:textId="7BCDD72B" w:rsidR="004431C0" w:rsidRPr="00B07FB9" w:rsidRDefault="004431C0" w:rsidP="000C6F49">
            <w:pPr>
              <w:pStyle w:val="TableText0"/>
              <w:keepNext w:val="0"/>
              <w:widowControl w:val="0"/>
              <w:ind w:right="-57"/>
            </w:pPr>
            <w:r w:rsidRPr="00B07FB9">
              <w:t>$39.10 (MBS item: 23)</w:t>
            </w:r>
          </w:p>
          <w:p w14:paraId="578A5A86" w14:textId="2AEF51E4" w:rsidR="004431C0" w:rsidRPr="00B07FB9" w:rsidRDefault="004431C0" w:rsidP="000C6F49">
            <w:pPr>
              <w:pStyle w:val="TableText0"/>
              <w:keepNext w:val="0"/>
              <w:widowControl w:val="0"/>
              <w:ind w:right="-57"/>
            </w:pPr>
            <w:r w:rsidRPr="00B07FB9">
              <w:t>$112.40 (MBS item: 13950)</w:t>
            </w:r>
          </w:p>
        </w:tc>
        <w:tc>
          <w:tcPr>
            <w:tcW w:w="2001" w:type="pct"/>
          </w:tcPr>
          <w:p w14:paraId="71BFB1AD" w14:textId="77777777" w:rsidR="004431C0" w:rsidRPr="00B07FB9" w:rsidRDefault="004431C0" w:rsidP="000C6F49">
            <w:pPr>
              <w:pStyle w:val="TableText0"/>
              <w:keepNext w:val="0"/>
              <w:widowControl w:val="0"/>
              <w:ind w:right="-57"/>
            </w:pPr>
            <w:r w:rsidRPr="00B07FB9">
              <w:t>Updated MBS costs</w:t>
            </w:r>
          </w:p>
        </w:tc>
      </w:tr>
    </w:tbl>
    <w:p w14:paraId="222B6682" w14:textId="77777777" w:rsidR="00D051D6" w:rsidRPr="00B07FB9" w:rsidRDefault="00D051D6" w:rsidP="000C6F49">
      <w:pPr>
        <w:pStyle w:val="TableFigureFooter"/>
        <w:widowControl w:val="0"/>
      </w:pPr>
      <w:r w:rsidRPr="00B07FB9">
        <w:t>Source: Table 112, p177 and Section 4.1, pp177-187 of the resubmission; “</w:t>
      </w:r>
      <w:proofErr w:type="spellStart"/>
      <w:r w:rsidRPr="00B07FB9">
        <w:t>Zejula</w:t>
      </w:r>
      <w:proofErr w:type="spellEnd"/>
      <w:r w:rsidRPr="00B07FB9">
        <w:t xml:space="preserve"> (niraparib) 1L BIM_Nov21” Excel workbook</w:t>
      </w:r>
    </w:p>
    <w:p w14:paraId="76084F82" w14:textId="17B2C6C2" w:rsidR="00D051D6" w:rsidRPr="00B07FB9" w:rsidRDefault="00D051D6" w:rsidP="000C6F49">
      <w:pPr>
        <w:pStyle w:val="TableFigureFooter"/>
        <w:widowControl w:val="0"/>
      </w:pPr>
      <w:r w:rsidRPr="00B07FB9">
        <w:t xml:space="preserve">1L = first-line; AEMP = approved ex-manufacturer price; AIHW = Australian Institute of Health and Welfare; CBC = complete blood count; CGARN = Cancer Genome Atlas Research Network; CMA = cost-minimisation analysis; CR = complete response; CUA = cost-utilisation analysis; DPMQ = dispensed price for maximum quantity; DUSC = Drug Utilisation Sub-Committee; FIGO = International Federation of </w:t>
      </w:r>
      <w:proofErr w:type="spellStart"/>
      <w:r w:rsidRPr="00B07FB9">
        <w:t>Gynecology</w:t>
      </w:r>
      <w:proofErr w:type="spellEnd"/>
      <w:r w:rsidRPr="00B07FB9">
        <w:t xml:space="preserve"> and Obstetrics; FSD = fixed starting dose; </w:t>
      </w:r>
      <w:proofErr w:type="spellStart"/>
      <w:r w:rsidRPr="00B07FB9">
        <w:t>gBRCAm</w:t>
      </w:r>
      <w:proofErr w:type="spellEnd"/>
      <w:r w:rsidRPr="00B07FB9">
        <w:t xml:space="preserve"> = germline </w:t>
      </w:r>
      <w:r w:rsidR="00B86754" w:rsidRPr="00B07FB9">
        <w:t>BRCA</w:t>
      </w:r>
      <w:r w:rsidRPr="00B07FB9">
        <w:t xml:space="preserve"> gene mutation; GP = general practitioner; ICD-10 = International Classification of Disease 10</w:t>
      </w:r>
      <w:r w:rsidRPr="00B07FB9">
        <w:rPr>
          <w:vertAlign w:val="superscript"/>
        </w:rPr>
        <w:t>th</w:t>
      </w:r>
      <w:r w:rsidRPr="00B07FB9">
        <w:t xml:space="preserve"> revision; </w:t>
      </w:r>
      <w:r w:rsidR="00433E8F" w:rsidRPr="00B07FB9">
        <w:t xml:space="preserve">ISD = individualised starting dose; </w:t>
      </w:r>
      <w:r w:rsidRPr="00B07FB9">
        <w:t xml:space="preserve">ITT = intention-to-treat; IV = intravenous; NZ </w:t>
      </w:r>
      <w:proofErr w:type="spellStart"/>
      <w:r w:rsidRPr="00B07FB9">
        <w:t>MoH</w:t>
      </w:r>
      <w:proofErr w:type="spellEnd"/>
      <w:r w:rsidRPr="00B07FB9">
        <w:t xml:space="preserve"> = New Zealand Ministry of Health; PBC = platinum-based chemotherapy; PR = partial response; PSD = public summary document; </w:t>
      </w:r>
      <w:proofErr w:type="spellStart"/>
      <w:r w:rsidRPr="00B07FB9">
        <w:t>sBRCAm</w:t>
      </w:r>
      <w:proofErr w:type="spellEnd"/>
      <w:r w:rsidRPr="00B07FB9">
        <w:t xml:space="preserve"> </w:t>
      </w:r>
      <w:r w:rsidRPr="00B07FB9">
        <w:lastRenderedPageBreak/>
        <w:t xml:space="preserve">= somatic </w:t>
      </w:r>
      <w:r w:rsidR="00B86754" w:rsidRPr="00B07FB9">
        <w:t>BRCA</w:t>
      </w:r>
      <w:r w:rsidRPr="00B07FB9">
        <w:t xml:space="preserve"> gene mutation; SMM = standard medical management; TTD = time to treatment discontinuation</w:t>
      </w:r>
    </w:p>
    <w:p w14:paraId="44FDD947" w14:textId="5A2F9799" w:rsidR="00EE3394" w:rsidRPr="00B07FB9" w:rsidRDefault="00EE3394" w:rsidP="000C6F49">
      <w:pPr>
        <w:pStyle w:val="TableFigureFooter"/>
        <w:widowControl w:val="0"/>
      </w:pPr>
      <w:r w:rsidRPr="00B07FB9">
        <w:rPr>
          <w:vertAlign w:val="superscript"/>
        </w:rPr>
        <w:t xml:space="preserve">a </w:t>
      </w:r>
      <w:r w:rsidRPr="00B07FB9">
        <w:t>ICD-10 Code C48 refers to malignant neoplasm of retroperitoneum and peritoneum</w:t>
      </w:r>
    </w:p>
    <w:p w14:paraId="10018088" w14:textId="77777777" w:rsidR="00CA17C6" w:rsidRPr="00B07FB9" w:rsidRDefault="00CA17C6" w:rsidP="000C6F49">
      <w:pPr>
        <w:pStyle w:val="TableFigureFooter"/>
        <w:widowControl w:val="0"/>
      </w:pPr>
      <w:r w:rsidRPr="00B07FB9">
        <w:t xml:space="preserve">Note: </w:t>
      </w:r>
      <w:r w:rsidRPr="00B07FB9">
        <w:rPr>
          <w:shd w:val="clear" w:color="auto" w:fill="CCECFF"/>
        </w:rPr>
        <w:t>Blue shading</w:t>
      </w:r>
      <w:r w:rsidRPr="00B07FB9">
        <w:t xml:space="preserve"> indicates data previously seen by the PBAC.</w:t>
      </w:r>
    </w:p>
    <w:p w14:paraId="72D4FC08" w14:textId="6497D9CB" w:rsidR="00EE3394" w:rsidRDefault="00433E8F" w:rsidP="00990236">
      <w:pPr>
        <w:pStyle w:val="TableFigureFooter"/>
        <w:widowControl w:val="0"/>
      </w:pPr>
      <w:r w:rsidRPr="00B07FB9">
        <w:rPr>
          <w:vertAlign w:val="superscript"/>
        </w:rPr>
        <w:t xml:space="preserve">b </w:t>
      </w:r>
      <w:r w:rsidRPr="00B07FB9">
        <w:t xml:space="preserve">The bevacizumab restriction was </w:t>
      </w:r>
      <w:proofErr w:type="spellStart"/>
      <w:r w:rsidRPr="00B07FB9">
        <w:t>suboptimally</w:t>
      </w:r>
      <w:proofErr w:type="spellEnd"/>
      <w:r w:rsidRPr="00B07FB9">
        <w:t xml:space="preserve"> debulked Stage IIIB/IIIC or Stage IV ovarian, regardless of grade and treatment response to 1L PBC, at the time of the 2018 DUSC report.</w:t>
      </w:r>
    </w:p>
    <w:p w14:paraId="308B2E11" w14:textId="22B2191A" w:rsidR="00956607" w:rsidRPr="00B07FB9" w:rsidRDefault="00956607" w:rsidP="00990236">
      <w:pPr>
        <w:pStyle w:val="TableFigureFooter"/>
        <w:widowControl w:val="0"/>
      </w:pPr>
      <w:r>
        <w:t xml:space="preserve">*Note that the dose </w:t>
      </w:r>
      <w:proofErr w:type="spellStart"/>
      <w:r>
        <w:t>intenstity</w:t>
      </w:r>
      <w:proofErr w:type="spellEnd"/>
      <w:r>
        <w:t xml:space="preserve"> and compliance data from PRIMA used to derive the number of niraparib packs stated in Table 22 was provided for the purposes of informing the PBAC consideration. Interpretation of the results and their application should therefore be limited to seeking to understand the basis for the PBAC outcome and should not be used for any other purpose</w:t>
      </w:r>
    </w:p>
    <w:p w14:paraId="4F32DEF2" w14:textId="3F0BBD12" w:rsidR="00CA17C6" w:rsidRPr="00B07FB9" w:rsidRDefault="00480B67" w:rsidP="000C6F49">
      <w:pPr>
        <w:pStyle w:val="3-BodyText"/>
        <w:widowControl w:val="0"/>
      </w:pPr>
      <w:r w:rsidRPr="00B07FB9">
        <w:t xml:space="preserve">Overall, the epidemiological approach taken by the resubmission to estimate the financial impacts of the proposed listing of niraparib was largely consistent with the previous submission. The following </w:t>
      </w:r>
      <w:r w:rsidR="004F4A0A" w:rsidRPr="00B07FB9">
        <w:t>amendment</w:t>
      </w:r>
      <w:r w:rsidRPr="00B07FB9">
        <w:t xml:space="preserve">s </w:t>
      </w:r>
      <w:r w:rsidR="00B85ADD" w:rsidRPr="00B07FB9">
        <w:t>were</w:t>
      </w:r>
      <w:r w:rsidRPr="00B07FB9">
        <w:t xml:space="preserve"> made as per </w:t>
      </w:r>
      <w:r w:rsidR="00A60EDC" w:rsidRPr="00B07FB9">
        <w:t xml:space="preserve">advice from the </w:t>
      </w:r>
      <w:r w:rsidRPr="00B07FB9">
        <w:t>previous evaluation</w:t>
      </w:r>
      <w:r w:rsidR="004F4A0A" w:rsidRPr="00B07FB9">
        <w:t xml:space="preserve"> </w:t>
      </w:r>
      <w:r w:rsidRPr="00B07FB9">
        <w:t>(Table 13 and Paragraph 7.16, Nira</w:t>
      </w:r>
      <w:r w:rsidR="00CA17C6" w:rsidRPr="00B07FB9">
        <w:t xml:space="preserve">parib PSD, July 2021 meeting): </w:t>
      </w:r>
    </w:p>
    <w:p w14:paraId="4B534081" w14:textId="6D449A2D" w:rsidR="00CA17C6" w:rsidRPr="00B07FB9" w:rsidRDefault="00294C83" w:rsidP="003C6ACF">
      <w:pPr>
        <w:pStyle w:val="3-BodyText"/>
        <w:widowControl w:val="0"/>
        <w:numPr>
          <w:ilvl w:val="1"/>
          <w:numId w:val="8"/>
        </w:numPr>
        <w:ind w:left="1276" w:hanging="426"/>
      </w:pPr>
      <w:r w:rsidRPr="00B07FB9">
        <w:t xml:space="preserve">The proportion of ovarian cancers with epithelial histology was adjusted by removing tumours with unspecified histology from the estimate. </w:t>
      </w:r>
    </w:p>
    <w:p w14:paraId="79AD2D97" w14:textId="5017B238" w:rsidR="00480B67" w:rsidRPr="00B07FB9" w:rsidRDefault="00A60EDC" w:rsidP="003C6ACF">
      <w:pPr>
        <w:pStyle w:val="3-BodyText"/>
        <w:widowControl w:val="0"/>
        <w:numPr>
          <w:ilvl w:val="1"/>
          <w:numId w:val="8"/>
        </w:numPr>
        <w:ind w:left="1276" w:hanging="426"/>
      </w:pPr>
      <w:r w:rsidRPr="00B07FB9">
        <w:t>The e</w:t>
      </w:r>
      <w:r w:rsidR="00480B67" w:rsidRPr="00B07FB9">
        <w:t xml:space="preserve">xtent of substitution of </w:t>
      </w:r>
      <w:proofErr w:type="spellStart"/>
      <w:r w:rsidR="00480B67" w:rsidRPr="00B07FB9">
        <w:t>olaparib</w:t>
      </w:r>
      <w:proofErr w:type="spellEnd"/>
      <w:r w:rsidR="00480B67" w:rsidRPr="00B07FB9">
        <w:t xml:space="preserve"> with niraparib in </w:t>
      </w:r>
      <w:proofErr w:type="spellStart"/>
      <w:r w:rsidR="00480B67" w:rsidRPr="00B07FB9">
        <w:t>BRCAm</w:t>
      </w:r>
      <w:proofErr w:type="spellEnd"/>
      <w:r w:rsidR="00480B67" w:rsidRPr="00B07FB9">
        <w:t xml:space="preserve"> patients </w:t>
      </w:r>
      <w:r w:rsidR="00B85ADD" w:rsidRPr="00B07FB9">
        <w:t>was</w:t>
      </w:r>
      <w:r w:rsidR="00480B67" w:rsidRPr="00B07FB9">
        <w:t xml:space="preserve"> reduced</w:t>
      </w:r>
      <w:r w:rsidR="004931A4" w:rsidRPr="00B07FB9">
        <w:t xml:space="preserve"> (from a peak of 50% </w:t>
      </w:r>
      <w:proofErr w:type="spellStart"/>
      <w:r w:rsidR="004931A4" w:rsidRPr="00B07FB9">
        <w:t>PARPi</w:t>
      </w:r>
      <w:proofErr w:type="spellEnd"/>
      <w:r w:rsidR="004931A4" w:rsidRPr="00B07FB9">
        <w:t xml:space="preserve"> use to 40%)</w:t>
      </w:r>
      <w:r w:rsidR="00480B67" w:rsidRPr="00B07FB9">
        <w:t>.</w:t>
      </w:r>
    </w:p>
    <w:p w14:paraId="375FBFE4" w14:textId="77777777" w:rsidR="00480B67" w:rsidRPr="00B07FB9" w:rsidRDefault="00480B67" w:rsidP="003C6ACF">
      <w:pPr>
        <w:pStyle w:val="3-BodyText"/>
        <w:widowControl w:val="0"/>
        <w:numPr>
          <w:ilvl w:val="1"/>
          <w:numId w:val="8"/>
        </w:numPr>
        <w:ind w:left="1276" w:hanging="426"/>
      </w:pPr>
      <w:r w:rsidRPr="00B07FB9">
        <w:t xml:space="preserve">A lower uptake of niraparib among patients discontinuing </w:t>
      </w:r>
      <w:proofErr w:type="spellStart"/>
      <w:r w:rsidRPr="00B07FB9">
        <w:t>olaparib</w:t>
      </w:r>
      <w:proofErr w:type="spellEnd"/>
      <w:r w:rsidRPr="00B07FB9">
        <w:t xml:space="preserve"> due to intolerance was assumed. </w:t>
      </w:r>
    </w:p>
    <w:p w14:paraId="6F514CEA" w14:textId="5BCEC811" w:rsidR="00480B67" w:rsidRPr="00B07FB9" w:rsidRDefault="00480B67" w:rsidP="003C6ACF">
      <w:pPr>
        <w:pStyle w:val="3-BodyText"/>
        <w:widowControl w:val="0"/>
        <w:numPr>
          <w:ilvl w:val="1"/>
          <w:numId w:val="8"/>
        </w:numPr>
        <w:ind w:left="1276" w:hanging="426"/>
      </w:pPr>
      <w:r w:rsidRPr="00B07FB9">
        <w:t>The niraparib script use per year of treatment was estimated separately for non-</w:t>
      </w:r>
      <w:proofErr w:type="spellStart"/>
      <w:r w:rsidRPr="00B07FB9">
        <w:t>BRCAm</w:t>
      </w:r>
      <w:proofErr w:type="spellEnd"/>
      <w:r w:rsidRPr="00B07FB9">
        <w:t xml:space="preserve"> patients (aligned with CUA vs. SMM) and </w:t>
      </w:r>
      <w:proofErr w:type="spellStart"/>
      <w:r w:rsidRPr="00B07FB9">
        <w:t>BRCAm</w:t>
      </w:r>
      <w:proofErr w:type="spellEnd"/>
      <w:r w:rsidRPr="00B07FB9">
        <w:t xml:space="preserve"> patients (based on CMA vs. </w:t>
      </w:r>
      <w:proofErr w:type="spellStart"/>
      <w:r w:rsidRPr="00B07FB9">
        <w:t>olaparib</w:t>
      </w:r>
      <w:proofErr w:type="spellEnd"/>
      <w:r w:rsidR="00294C83" w:rsidRPr="00B07FB9">
        <w:t>)</w:t>
      </w:r>
      <w:r w:rsidRPr="00B07FB9">
        <w:t>.</w:t>
      </w:r>
    </w:p>
    <w:p w14:paraId="1D00AAF7" w14:textId="17E26B70" w:rsidR="00480B67" w:rsidRPr="00B07FB9" w:rsidRDefault="00480B67" w:rsidP="003C6ACF">
      <w:pPr>
        <w:pStyle w:val="3-BodyText"/>
        <w:widowControl w:val="0"/>
        <w:numPr>
          <w:ilvl w:val="1"/>
          <w:numId w:val="8"/>
        </w:numPr>
        <w:ind w:left="1276" w:hanging="426"/>
      </w:pPr>
      <w:r w:rsidRPr="00B07FB9">
        <w:t xml:space="preserve">Olaparib script use per year of treatment has been revised to account for treatment interruption and pack size.  </w:t>
      </w:r>
    </w:p>
    <w:p w14:paraId="606AFDCD" w14:textId="01FCB1A2" w:rsidR="004C12BE" w:rsidRPr="00B07FB9" w:rsidRDefault="004C12BE" w:rsidP="000C6F49">
      <w:pPr>
        <w:pStyle w:val="3-BodyText"/>
        <w:widowControl w:val="0"/>
      </w:pPr>
      <w:r w:rsidRPr="00B07FB9">
        <w:t xml:space="preserve">The ESC considered that the changes </w:t>
      </w:r>
      <w:r w:rsidR="00C37D6E" w:rsidRPr="00B07FB9">
        <w:t xml:space="preserve">to the financial estimates </w:t>
      </w:r>
      <w:r w:rsidRPr="00B07FB9">
        <w:t>applied</w:t>
      </w:r>
      <w:r w:rsidR="00E41F07" w:rsidRPr="00B07FB9">
        <w:t xml:space="preserve"> in the resubmission</w:t>
      </w:r>
      <w:r w:rsidRPr="00B07FB9">
        <w:t xml:space="preserve"> appeared reasonable</w:t>
      </w:r>
      <w:r w:rsidR="00C37D6E" w:rsidRPr="00B07FB9">
        <w:t xml:space="preserve">, however the extent of substitution of </w:t>
      </w:r>
      <w:proofErr w:type="spellStart"/>
      <w:r w:rsidR="00C37D6E" w:rsidRPr="00B07FB9">
        <w:t>olaparib</w:t>
      </w:r>
      <w:proofErr w:type="spellEnd"/>
      <w:r w:rsidR="00C37D6E" w:rsidRPr="00B07FB9">
        <w:t xml:space="preserve"> with niraparib remains higher than is expected (see also paragraph </w:t>
      </w:r>
      <w:r w:rsidR="00C37D6E" w:rsidRPr="00B07FB9">
        <w:fldChar w:fldCharType="begin"/>
      </w:r>
      <w:r w:rsidR="00C37D6E" w:rsidRPr="00B07FB9">
        <w:instrText xml:space="preserve"> REF _Ref95813219 \r \h </w:instrText>
      </w:r>
      <w:r w:rsidR="00C726A3" w:rsidRPr="00B07FB9">
        <w:instrText xml:space="preserve"> \* MERGEFORMAT </w:instrText>
      </w:r>
      <w:r w:rsidR="00C37D6E" w:rsidRPr="00B07FB9">
        <w:fldChar w:fldCharType="separate"/>
      </w:r>
      <w:r w:rsidR="00385E8C">
        <w:t>6.75</w:t>
      </w:r>
      <w:r w:rsidR="00C37D6E" w:rsidRPr="00B07FB9">
        <w:fldChar w:fldCharType="end"/>
      </w:r>
      <w:r w:rsidR="00C37D6E" w:rsidRPr="00B07FB9">
        <w:t>) which also impacts on the weighted price for niraparib</w:t>
      </w:r>
      <w:r w:rsidRPr="00B07FB9">
        <w:t xml:space="preserve">. </w:t>
      </w:r>
    </w:p>
    <w:p w14:paraId="1DA324FF" w14:textId="21FD3017" w:rsidR="009317D1" w:rsidRPr="00B07FB9" w:rsidRDefault="00CA17C6" w:rsidP="000C6F49">
      <w:pPr>
        <w:pStyle w:val="3-BodyText"/>
        <w:widowControl w:val="0"/>
      </w:pPr>
      <w:r w:rsidRPr="00B07FB9">
        <w:t>The estimated use and financial implications of listing niraparib as first-line maintenance therapy for NDA HGEOC are summarised below.</w:t>
      </w:r>
      <w:r w:rsidR="00C37D6E" w:rsidRPr="00B07FB9">
        <w:t xml:space="preserve"> Revised </w:t>
      </w:r>
      <w:r w:rsidR="004931A4" w:rsidRPr="00B07FB9">
        <w:t>financial estimates</w:t>
      </w:r>
      <w:r w:rsidR="00C37D6E" w:rsidRPr="00B07FB9">
        <w:t xml:space="preserve"> as presented in the PSCR are also shown in the table below.</w:t>
      </w:r>
      <w:r w:rsidR="004931A4" w:rsidRPr="00B07FB9">
        <w:t xml:space="preserve"> The revised estimates applied the revised PSCR effective price (</w:t>
      </w:r>
      <w:r w:rsidR="004931A4" w:rsidRPr="00B07FB9">
        <w:rPr>
          <w:lang w:bidi="en-US"/>
        </w:rPr>
        <w:t>AEMP: 56 capsules = $</w:t>
      </w:r>
      <w:r w:rsidR="007A0897" w:rsidRPr="00385E8C">
        <w:rPr>
          <w:color w:val="000000"/>
          <w:w w:val="15"/>
          <w:shd w:val="solid" w:color="000000" w:fill="000000"/>
          <w:fitText w:val="-20" w:id="-1500824828"/>
          <w:lang w:bidi="en-US"/>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8"/>
          <w:lang w:bidi="en-US"/>
          <w14:textFill>
            <w14:solidFill>
              <w14:srgbClr w14:val="000000">
                <w14:alpha w14:val="100000"/>
              </w14:srgbClr>
            </w14:solidFill>
          </w14:textFill>
        </w:rPr>
        <w:t>|</w:t>
      </w:r>
      <w:r w:rsidR="004931A4" w:rsidRPr="00B07FB9">
        <w:rPr>
          <w:lang w:bidi="en-US"/>
        </w:rPr>
        <w:t>; 84 capsules = $</w:t>
      </w:r>
      <w:r w:rsidR="007A0897" w:rsidRPr="00385E8C">
        <w:rPr>
          <w:color w:val="000000"/>
          <w:w w:val="15"/>
          <w:shd w:val="solid" w:color="000000" w:fill="000000"/>
          <w:fitText w:val="-20" w:id="-1500824827"/>
          <w:lang w:bidi="en-US"/>
          <w14:textFill>
            <w14:solidFill>
              <w14:srgbClr w14:val="000000">
                <w14:alpha w14:val="100000"/>
              </w14:srgbClr>
            </w14:solidFill>
          </w14:textFill>
        </w:rPr>
        <w:t xml:space="preserve">|  </w:t>
      </w:r>
      <w:r w:rsidR="007A0897" w:rsidRPr="00385E8C">
        <w:rPr>
          <w:color w:val="000000"/>
          <w:spacing w:val="-69"/>
          <w:w w:val="15"/>
          <w:shd w:val="solid" w:color="000000" w:fill="000000"/>
          <w:fitText w:val="-20" w:id="-1500824827"/>
          <w:lang w:bidi="en-US"/>
          <w14:textFill>
            <w14:solidFill>
              <w14:srgbClr w14:val="000000">
                <w14:alpha w14:val="100000"/>
              </w14:srgbClr>
            </w14:solidFill>
          </w14:textFill>
        </w:rPr>
        <w:t>|</w:t>
      </w:r>
      <w:r w:rsidR="004931A4" w:rsidRPr="00B07FB9">
        <w:rPr>
          <w:lang w:bidi="en-US"/>
        </w:rPr>
        <w:t>)</w:t>
      </w:r>
      <w:r w:rsidR="004931A4" w:rsidRPr="00B07FB9">
        <w:t xml:space="preserve"> and reduced the prevalence of </w:t>
      </w:r>
      <w:proofErr w:type="spellStart"/>
      <w:r w:rsidR="004931A4" w:rsidRPr="00B07FB9">
        <w:t>BRCAm</w:t>
      </w:r>
      <w:proofErr w:type="spellEnd"/>
      <w:r w:rsidR="004931A4" w:rsidRPr="00B07FB9">
        <w:t xml:space="preserve"> to 25.3%.</w:t>
      </w:r>
      <w:r w:rsidR="006D429D" w:rsidRPr="00B07FB9">
        <w:t xml:space="preserve"> The</w:t>
      </w:r>
      <w:r w:rsidR="00191E82" w:rsidRPr="00B07FB9">
        <w:t xml:space="preserve"> financial estimates</w:t>
      </w:r>
      <w:r w:rsidR="006D429D" w:rsidRPr="00B07FB9">
        <w:t xml:space="preserve"> were revised again in the pre-PBAC response, as shown below</w:t>
      </w:r>
      <w:r w:rsidR="003015B9" w:rsidRPr="00B07FB9">
        <w:t xml:space="preserve">, based on a </w:t>
      </w:r>
      <w:r w:rsidR="00191E82" w:rsidRPr="00B07FB9">
        <w:t xml:space="preserve">revised weighting </w:t>
      </w:r>
      <w:r w:rsidR="003015B9" w:rsidRPr="00B07FB9">
        <w:t xml:space="preserve">between populations </w:t>
      </w:r>
      <w:r w:rsidR="00191E82" w:rsidRPr="00B07FB9">
        <w:t xml:space="preserve">as described paragraph </w:t>
      </w:r>
      <w:r w:rsidR="00191E82" w:rsidRPr="00B07FB9">
        <w:fldChar w:fldCharType="begin"/>
      </w:r>
      <w:r w:rsidR="00191E82" w:rsidRPr="00B07FB9">
        <w:instrText xml:space="preserve"> REF _Ref99055490 \r \h </w:instrText>
      </w:r>
      <w:r w:rsidR="00191E82" w:rsidRPr="00B07FB9">
        <w:fldChar w:fldCharType="separate"/>
      </w:r>
      <w:r w:rsidR="00385E8C">
        <w:t>6.74</w:t>
      </w:r>
      <w:r w:rsidR="00191E82" w:rsidRPr="00B07FB9">
        <w:fldChar w:fldCharType="end"/>
      </w:r>
      <w:r w:rsidR="006D429D" w:rsidRPr="00B07FB9">
        <w:t xml:space="preserve">. </w:t>
      </w:r>
    </w:p>
    <w:p w14:paraId="38EC053C" w14:textId="541D21C6" w:rsidR="00C25D9C" w:rsidRPr="00B07FB9" w:rsidRDefault="00CA17C6" w:rsidP="00A4339A">
      <w:pPr>
        <w:pStyle w:val="TableFigureHeading"/>
        <w:keepLines/>
        <w:widowControl w:val="0"/>
        <w:rPr>
          <w:b w:val="0"/>
        </w:rPr>
      </w:pPr>
      <w:r w:rsidRPr="00B07FB9">
        <w:lastRenderedPageBreak/>
        <w:t xml:space="preserve">Table </w:t>
      </w:r>
      <w:r w:rsidR="00385E8C">
        <w:fldChar w:fldCharType="begin"/>
      </w:r>
      <w:r w:rsidR="00385E8C">
        <w:instrText xml:space="preserve"> SEQ Table \* AR</w:instrText>
      </w:r>
      <w:r w:rsidR="00385E8C">
        <w:instrText xml:space="preserve">ABIC </w:instrText>
      </w:r>
      <w:r w:rsidR="00385E8C">
        <w:fldChar w:fldCharType="separate"/>
      </w:r>
      <w:r w:rsidR="00385E8C">
        <w:rPr>
          <w:noProof/>
        </w:rPr>
        <w:t>23</w:t>
      </w:r>
      <w:r w:rsidR="00385E8C">
        <w:fldChar w:fldCharType="end"/>
      </w:r>
      <w:r w:rsidRPr="00B07FB9">
        <w:t>:</w:t>
      </w:r>
      <w:r w:rsidRPr="00B07FB9">
        <w:rPr>
          <w:b w:val="0"/>
        </w:rPr>
        <w:t xml:space="preserve"> </w:t>
      </w:r>
      <w:r w:rsidR="002A2F50" w:rsidRPr="00B07FB9">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3: Estimated use and financial implications"/>
      </w:tblPr>
      <w:tblGrid>
        <w:gridCol w:w="2087"/>
        <w:gridCol w:w="1145"/>
        <w:gridCol w:w="1145"/>
        <w:gridCol w:w="1145"/>
        <w:gridCol w:w="1145"/>
        <w:gridCol w:w="1145"/>
        <w:gridCol w:w="1205"/>
      </w:tblGrid>
      <w:tr w:rsidR="00385A9D" w:rsidRPr="00B07FB9" w14:paraId="43A2A3A1" w14:textId="77777777" w:rsidTr="006D429D">
        <w:trPr>
          <w:tblHeader/>
        </w:trPr>
        <w:tc>
          <w:tcPr>
            <w:tcW w:w="1157" w:type="pct"/>
            <w:shd w:val="clear" w:color="auto" w:fill="auto"/>
            <w:vAlign w:val="center"/>
          </w:tcPr>
          <w:p w14:paraId="0A4E41E1" w14:textId="77777777" w:rsidR="00385A9D" w:rsidRPr="00B07FB9" w:rsidRDefault="00385A9D" w:rsidP="00A4339A">
            <w:pPr>
              <w:pStyle w:val="In-tableHeading"/>
              <w:keepLines/>
              <w:widowControl w:val="0"/>
              <w:jc w:val="center"/>
              <w:rPr>
                <w:lang w:val="en-AU"/>
              </w:rPr>
            </w:pPr>
          </w:p>
        </w:tc>
        <w:tc>
          <w:tcPr>
            <w:tcW w:w="635" w:type="pct"/>
            <w:shd w:val="clear" w:color="auto" w:fill="auto"/>
            <w:vAlign w:val="center"/>
          </w:tcPr>
          <w:p w14:paraId="77420B6F" w14:textId="77777777" w:rsidR="00385A9D" w:rsidRPr="00B07FB9" w:rsidRDefault="00385A9D" w:rsidP="00A4339A">
            <w:pPr>
              <w:pStyle w:val="In-tableHeading"/>
              <w:keepLines/>
              <w:widowControl w:val="0"/>
              <w:jc w:val="center"/>
              <w:rPr>
                <w:lang w:val="en-AU"/>
              </w:rPr>
            </w:pPr>
            <w:r w:rsidRPr="00B07FB9">
              <w:rPr>
                <w:lang w:val="en-AU"/>
              </w:rPr>
              <w:t>Year 1</w:t>
            </w:r>
          </w:p>
        </w:tc>
        <w:tc>
          <w:tcPr>
            <w:tcW w:w="635" w:type="pct"/>
            <w:shd w:val="clear" w:color="auto" w:fill="auto"/>
            <w:vAlign w:val="center"/>
          </w:tcPr>
          <w:p w14:paraId="3BBD9218" w14:textId="77777777" w:rsidR="00385A9D" w:rsidRPr="00B07FB9" w:rsidRDefault="00385A9D" w:rsidP="00A4339A">
            <w:pPr>
              <w:pStyle w:val="In-tableHeading"/>
              <w:keepLines/>
              <w:widowControl w:val="0"/>
              <w:jc w:val="center"/>
              <w:rPr>
                <w:lang w:val="en-AU"/>
              </w:rPr>
            </w:pPr>
            <w:r w:rsidRPr="00B07FB9">
              <w:rPr>
                <w:lang w:val="en-AU"/>
              </w:rPr>
              <w:t>Year 2</w:t>
            </w:r>
          </w:p>
        </w:tc>
        <w:tc>
          <w:tcPr>
            <w:tcW w:w="635" w:type="pct"/>
            <w:shd w:val="clear" w:color="auto" w:fill="auto"/>
            <w:vAlign w:val="center"/>
          </w:tcPr>
          <w:p w14:paraId="729A646E" w14:textId="77777777" w:rsidR="00385A9D" w:rsidRPr="00B07FB9" w:rsidRDefault="00385A9D" w:rsidP="00A4339A">
            <w:pPr>
              <w:pStyle w:val="In-tableHeading"/>
              <w:keepLines/>
              <w:widowControl w:val="0"/>
              <w:jc w:val="center"/>
              <w:rPr>
                <w:lang w:val="en-AU"/>
              </w:rPr>
            </w:pPr>
            <w:r w:rsidRPr="00B07FB9">
              <w:rPr>
                <w:lang w:val="en-AU"/>
              </w:rPr>
              <w:t>Year 3</w:t>
            </w:r>
          </w:p>
        </w:tc>
        <w:tc>
          <w:tcPr>
            <w:tcW w:w="635" w:type="pct"/>
            <w:shd w:val="clear" w:color="auto" w:fill="auto"/>
            <w:vAlign w:val="center"/>
          </w:tcPr>
          <w:p w14:paraId="280BB544" w14:textId="77777777" w:rsidR="00385A9D" w:rsidRPr="00B07FB9" w:rsidRDefault="00385A9D" w:rsidP="00A4339A">
            <w:pPr>
              <w:pStyle w:val="In-tableHeading"/>
              <w:keepLines/>
              <w:widowControl w:val="0"/>
              <w:jc w:val="center"/>
              <w:rPr>
                <w:lang w:val="en-AU"/>
              </w:rPr>
            </w:pPr>
            <w:r w:rsidRPr="00B07FB9">
              <w:rPr>
                <w:lang w:val="en-AU"/>
              </w:rPr>
              <w:t>Year 4</w:t>
            </w:r>
          </w:p>
        </w:tc>
        <w:tc>
          <w:tcPr>
            <w:tcW w:w="635" w:type="pct"/>
            <w:shd w:val="clear" w:color="auto" w:fill="auto"/>
            <w:vAlign w:val="center"/>
          </w:tcPr>
          <w:p w14:paraId="6435BB5B" w14:textId="77777777" w:rsidR="00385A9D" w:rsidRPr="00B07FB9" w:rsidRDefault="00385A9D" w:rsidP="00A4339A">
            <w:pPr>
              <w:pStyle w:val="In-tableHeading"/>
              <w:keepLines/>
              <w:widowControl w:val="0"/>
              <w:jc w:val="center"/>
              <w:rPr>
                <w:lang w:val="en-AU"/>
              </w:rPr>
            </w:pPr>
            <w:r w:rsidRPr="00B07FB9">
              <w:rPr>
                <w:lang w:val="en-AU"/>
              </w:rPr>
              <w:t>Year 5</w:t>
            </w:r>
          </w:p>
        </w:tc>
        <w:tc>
          <w:tcPr>
            <w:tcW w:w="669" w:type="pct"/>
          </w:tcPr>
          <w:p w14:paraId="7C618119" w14:textId="77777777" w:rsidR="00385A9D" w:rsidRPr="00B07FB9" w:rsidRDefault="00385A9D" w:rsidP="00A4339A">
            <w:pPr>
              <w:pStyle w:val="In-tableHeading"/>
              <w:keepLines/>
              <w:widowControl w:val="0"/>
              <w:jc w:val="center"/>
              <w:rPr>
                <w:lang w:val="en-AU"/>
              </w:rPr>
            </w:pPr>
            <w:r w:rsidRPr="00B07FB9">
              <w:rPr>
                <w:lang w:val="en-AU"/>
              </w:rPr>
              <w:t>Year 6</w:t>
            </w:r>
          </w:p>
        </w:tc>
      </w:tr>
      <w:tr w:rsidR="00385A9D" w:rsidRPr="00B07FB9" w14:paraId="3C519059" w14:textId="77777777" w:rsidTr="004931A4">
        <w:tc>
          <w:tcPr>
            <w:tcW w:w="5000" w:type="pct"/>
            <w:gridSpan w:val="7"/>
            <w:shd w:val="clear" w:color="auto" w:fill="auto"/>
            <w:vAlign w:val="center"/>
          </w:tcPr>
          <w:p w14:paraId="516C2197" w14:textId="77777777" w:rsidR="00385A9D" w:rsidRPr="00B07FB9" w:rsidRDefault="00385A9D" w:rsidP="00A4339A">
            <w:pPr>
              <w:pStyle w:val="In-tableHeading"/>
              <w:keepLines/>
              <w:widowControl w:val="0"/>
              <w:rPr>
                <w:bCs/>
                <w:color w:val="000000"/>
                <w:lang w:val="en-AU"/>
              </w:rPr>
            </w:pPr>
            <w:r w:rsidRPr="00B07FB9">
              <w:rPr>
                <w:bCs/>
                <w:color w:val="000000"/>
                <w:lang w:val="en-AU"/>
              </w:rPr>
              <w:t>Estimated extent of use</w:t>
            </w:r>
          </w:p>
        </w:tc>
      </w:tr>
      <w:tr w:rsidR="00E70244" w:rsidRPr="00B07FB9" w14:paraId="148A8EEF" w14:textId="77777777" w:rsidTr="006D429D">
        <w:tc>
          <w:tcPr>
            <w:tcW w:w="1157" w:type="pct"/>
            <w:shd w:val="clear" w:color="auto" w:fill="auto"/>
            <w:vAlign w:val="center"/>
          </w:tcPr>
          <w:p w14:paraId="201B6ECA" w14:textId="1767EF69" w:rsidR="00E70244" w:rsidRPr="00B07FB9" w:rsidRDefault="00E70244" w:rsidP="00A4339A">
            <w:pPr>
              <w:pStyle w:val="TableText0"/>
              <w:keepLines/>
              <w:widowControl w:val="0"/>
              <w:rPr>
                <w:rFonts w:ascii="Times" w:hAnsi="Times"/>
                <w:vertAlign w:val="superscript"/>
              </w:rPr>
            </w:pPr>
            <w:r w:rsidRPr="00B07FB9">
              <w:t xml:space="preserve">Number of patients </w:t>
            </w:r>
            <w:proofErr w:type="spellStart"/>
            <w:r w:rsidRPr="00B07FB9">
              <w:t>treated</w:t>
            </w:r>
            <w:r w:rsidR="003F271B" w:rsidRPr="00B07FB9">
              <w:rPr>
                <w:vertAlign w:val="superscript"/>
              </w:rPr>
              <w:t>a</w:t>
            </w:r>
            <w:proofErr w:type="spellEnd"/>
          </w:p>
        </w:tc>
        <w:tc>
          <w:tcPr>
            <w:tcW w:w="635" w:type="pct"/>
            <w:shd w:val="clear" w:color="auto" w:fill="auto"/>
          </w:tcPr>
          <w:p w14:paraId="577607A9" w14:textId="79E8FAE0" w:rsidR="00E70244" w:rsidRPr="00B85BA5" w:rsidRDefault="007A0897" w:rsidP="00A4339A">
            <w:pPr>
              <w:pStyle w:val="TableText0"/>
              <w:keepLines/>
              <w:widowControl w:val="0"/>
              <w:jc w:val="center"/>
              <w:rPr>
                <w:color w:val="000000"/>
                <w:highlight w:val="yellow"/>
                <w:vertAlign w:val="superscript"/>
              </w:rPr>
            </w:pPr>
            <w:r w:rsidRPr="00385E8C">
              <w:rPr>
                <w:rFonts w:hint="eastAsia"/>
                <w:color w:val="000000"/>
                <w:w w:val="15"/>
                <w:shd w:val="solid" w:color="000000" w:fill="000000"/>
                <w:fitText w:val="20" w:id="-1500824826"/>
                <w14:textFill>
                  <w14:solidFill>
                    <w14:srgbClr w14:val="000000">
                      <w14:alpha w14:val="100000"/>
                    </w14:srgbClr>
                  </w14:solidFill>
                </w14:textFill>
              </w:rPr>
              <w:t xml:space="preserve">　</w:t>
            </w:r>
            <w:r w:rsidRPr="00385E8C">
              <w:rPr>
                <w:color w:val="000000"/>
                <w:w w:val="15"/>
                <w:shd w:val="solid" w:color="000000" w:fill="000000"/>
                <w:fitText w:val="20" w:id="-1500824826"/>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6"/>
                <w14:textFill>
                  <w14:solidFill>
                    <w14:srgbClr w14:val="000000">
                      <w14:alpha w14:val="100000"/>
                    </w14:srgbClr>
                  </w14:solidFill>
                </w14:textFill>
              </w:rPr>
              <w:t xml:space="preserve">　</w:t>
            </w:r>
            <w:r w:rsidR="00B85BA5" w:rsidRPr="00B85BA5">
              <w:rPr>
                <w:vertAlign w:val="superscript"/>
              </w:rPr>
              <w:t>1</w:t>
            </w:r>
          </w:p>
        </w:tc>
        <w:tc>
          <w:tcPr>
            <w:tcW w:w="635" w:type="pct"/>
            <w:shd w:val="clear" w:color="auto" w:fill="auto"/>
          </w:tcPr>
          <w:p w14:paraId="6610B4C9" w14:textId="4040A99B" w:rsidR="00E70244" w:rsidRPr="00C652B2" w:rsidRDefault="007A0897" w:rsidP="00A4339A">
            <w:pPr>
              <w:pStyle w:val="TableText0"/>
              <w:keepLines/>
              <w:widowControl w:val="0"/>
              <w:jc w:val="center"/>
              <w:rPr>
                <w:color w:val="000000"/>
                <w:highlight w:val="yellow"/>
              </w:rPr>
            </w:pPr>
            <w:r w:rsidRPr="00385E8C">
              <w:rPr>
                <w:rFonts w:hint="eastAsia"/>
                <w:color w:val="000000"/>
                <w:w w:val="15"/>
                <w:shd w:val="solid" w:color="000000" w:fill="000000"/>
                <w:fitText w:val="20" w:id="-1500824825"/>
                <w14:textFill>
                  <w14:solidFill>
                    <w14:srgbClr w14:val="000000">
                      <w14:alpha w14:val="100000"/>
                    </w14:srgbClr>
                  </w14:solidFill>
                </w14:textFill>
              </w:rPr>
              <w:t xml:space="preserve">　</w:t>
            </w:r>
            <w:r w:rsidRPr="00385E8C">
              <w:rPr>
                <w:color w:val="000000"/>
                <w:w w:val="15"/>
                <w:shd w:val="solid" w:color="000000" w:fill="000000"/>
                <w:fitText w:val="20" w:id="-1500824825"/>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5"/>
                <w14:textFill>
                  <w14:solidFill>
                    <w14:srgbClr w14:val="000000">
                      <w14:alpha w14:val="100000"/>
                    </w14:srgbClr>
                  </w14:solidFill>
                </w14:textFill>
              </w:rPr>
              <w:t xml:space="preserve">　</w:t>
            </w:r>
            <w:r w:rsidR="00B85BA5" w:rsidRPr="00B85BA5">
              <w:rPr>
                <w:vertAlign w:val="superscript"/>
              </w:rPr>
              <w:t>2</w:t>
            </w:r>
          </w:p>
        </w:tc>
        <w:tc>
          <w:tcPr>
            <w:tcW w:w="635" w:type="pct"/>
            <w:shd w:val="clear" w:color="auto" w:fill="auto"/>
          </w:tcPr>
          <w:p w14:paraId="29F46D6B" w14:textId="749959FB" w:rsidR="00E70244" w:rsidRPr="00C652B2" w:rsidRDefault="007A0897" w:rsidP="00A4339A">
            <w:pPr>
              <w:pStyle w:val="TableText0"/>
              <w:keepLines/>
              <w:widowControl w:val="0"/>
              <w:jc w:val="center"/>
              <w:rPr>
                <w:color w:val="000000"/>
                <w:highlight w:val="yellow"/>
              </w:rPr>
            </w:pPr>
            <w:r w:rsidRPr="00385E8C">
              <w:rPr>
                <w:rFonts w:hint="eastAsia"/>
                <w:color w:val="000000"/>
                <w:w w:val="15"/>
                <w:shd w:val="solid" w:color="000000" w:fill="000000"/>
                <w:fitText w:val="20" w:id="-1500824824"/>
                <w14:textFill>
                  <w14:solidFill>
                    <w14:srgbClr w14:val="000000">
                      <w14:alpha w14:val="100000"/>
                    </w14:srgbClr>
                  </w14:solidFill>
                </w14:textFill>
              </w:rPr>
              <w:t xml:space="preserve">　</w:t>
            </w:r>
            <w:r w:rsidRPr="00385E8C">
              <w:rPr>
                <w:color w:val="000000"/>
                <w:w w:val="15"/>
                <w:shd w:val="solid" w:color="000000" w:fill="000000"/>
                <w:fitText w:val="20" w:id="-1500824824"/>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4"/>
                <w14:textFill>
                  <w14:solidFill>
                    <w14:srgbClr w14:val="000000">
                      <w14:alpha w14:val="100000"/>
                    </w14:srgbClr>
                  </w14:solidFill>
                </w14:textFill>
              </w:rPr>
              <w:t xml:space="preserve">　</w:t>
            </w:r>
            <w:r w:rsidR="00B85BA5" w:rsidRPr="00B85BA5">
              <w:rPr>
                <w:vertAlign w:val="superscript"/>
              </w:rPr>
              <w:t>2</w:t>
            </w:r>
          </w:p>
        </w:tc>
        <w:tc>
          <w:tcPr>
            <w:tcW w:w="635" w:type="pct"/>
            <w:shd w:val="clear" w:color="auto" w:fill="auto"/>
          </w:tcPr>
          <w:p w14:paraId="21167904" w14:textId="60B4D1CF" w:rsidR="00E70244" w:rsidRPr="00C652B2" w:rsidRDefault="007A0897" w:rsidP="00A4339A">
            <w:pPr>
              <w:pStyle w:val="TableText0"/>
              <w:keepLines/>
              <w:widowControl w:val="0"/>
              <w:jc w:val="center"/>
              <w:rPr>
                <w:color w:val="000000"/>
                <w:highlight w:val="yellow"/>
              </w:rPr>
            </w:pPr>
            <w:r w:rsidRPr="00385E8C">
              <w:rPr>
                <w:rFonts w:hint="eastAsia"/>
                <w:color w:val="000000"/>
                <w:w w:val="15"/>
                <w:shd w:val="solid" w:color="000000" w:fill="000000"/>
                <w:fitText w:val="20" w:id="-1500824823"/>
                <w14:textFill>
                  <w14:solidFill>
                    <w14:srgbClr w14:val="000000">
                      <w14:alpha w14:val="100000"/>
                    </w14:srgbClr>
                  </w14:solidFill>
                </w14:textFill>
              </w:rPr>
              <w:t xml:space="preserve">　</w:t>
            </w:r>
            <w:r w:rsidRPr="00385E8C">
              <w:rPr>
                <w:color w:val="000000"/>
                <w:w w:val="15"/>
                <w:shd w:val="solid" w:color="000000" w:fill="000000"/>
                <w:fitText w:val="20" w:id="-1500824823"/>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3"/>
                <w14:textFill>
                  <w14:solidFill>
                    <w14:srgbClr w14:val="000000">
                      <w14:alpha w14:val="100000"/>
                    </w14:srgbClr>
                  </w14:solidFill>
                </w14:textFill>
              </w:rPr>
              <w:t xml:space="preserve">　</w:t>
            </w:r>
            <w:r w:rsidR="00B85BA5" w:rsidRPr="00B85BA5">
              <w:rPr>
                <w:vertAlign w:val="superscript"/>
              </w:rPr>
              <w:t>2</w:t>
            </w:r>
          </w:p>
        </w:tc>
        <w:tc>
          <w:tcPr>
            <w:tcW w:w="635" w:type="pct"/>
            <w:shd w:val="clear" w:color="auto" w:fill="auto"/>
          </w:tcPr>
          <w:p w14:paraId="762D4B71" w14:textId="54FF9176" w:rsidR="00E70244" w:rsidRPr="00C652B2" w:rsidRDefault="007A0897" w:rsidP="00A4339A">
            <w:pPr>
              <w:pStyle w:val="TableText0"/>
              <w:keepLines/>
              <w:widowControl w:val="0"/>
              <w:jc w:val="center"/>
              <w:rPr>
                <w:color w:val="000000"/>
                <w:highlight w:val="yellow"/>
              </w:rPr>
            </w:pPr>
            <w:r w:rsidRPr="00385E8C">
              <w:rPr>
                <w:rFonts w:hint="eastAsia"/>
                <w:color w:val="000000"/>
                <w:w w:val="15"/>
                <w:shd w:val="solid" w:color="000000" w:fill="000000"/>
                <w:fitText w:val="20" w:id="-1500824822"/>
                <w14:textFill>
                  <w14:solidFill>
                    <w14:srgbClr w14:val="000000">
                      <w14:alpha w14:val="100000"/>
                    </w14:srgbClr>
                  </w14:solidFill>
                </w14:textFill>
              </w:rPr>
              <w:t xml:space="preserve">　</w:t>
            </w:r>
            <w:r w:rsidRPr="00385E8C">
              <w:rPr>
                <w:color w:val="000000"/>
                <w:w w:val="15"/>
                <w:shd w:val="solid" w:color="000000" w:fill="000000"/>
                <w:fitText w:val="20" w:id="-1500824822"/>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2"/>
                <w14:textFill>
                  <w14:solidFill>
                    <w14:srgbClr w14:val="000000">
                      <w14:alpha w14:val="100000"/>
                    </w14:srgbClr>
                  </w14:solidFill>
                </w14:textFill>
              </w:rPr>
              <w:t xml:space="preserve">　</w:t>
            </w:r>
            <w:r w:rsidR="00B85BA5" w:rsidRPr="00B85BA5">
              <w:rPr>
                <w:vertAlign w:val="superscript"/>
              </w:rPr>
              <w:t>2</w:t>
            </w:r>
          </w:p>
        </w:tc>
        <w:tc>
          <w:tcPr>
            <w:tcW w:w="669" w:type="pct"/>
          </w:tcPr>
          <w:p w14:paraId="42B428B5" w14:textId="21D5BA18" w:rsidR="00E70244" w:rsidRPr="00C652B2" w:rsidRDefault="007A0897" w:rsidP="00A4339A">
            <w:pPr>
              <w:pStyle w:val="TableText0"/>
              <w:keepLines/>
              <w:widowControl w:val="0"/>
              <w:jc w:val="center"/>
              <w:rPr>
                <w:color w:val="000000"/>
                <w:highlight w:val="yellow"/>
              </w:rPr>
            </w:pPr>
            <w:r w:rsidRPr="007A0897">
              <w:rPr>
                <w:color w:val="000000"/>
                <w:shd w:val="solid" w:color="000000" w:fill="000000"/>
                <w14:textFill>
                  <w14:solidFill>
                    <w14:srgbClr w14:val="000000">
                      <w14:alpha w14:val="100000"/>
                    </w14:srgbClr>
                  </w14:solidFill>
                </w14:textFill>
              </w:rPr>
              <w:t>|</w:t>
            </w:r>
            <w:r w:rsidR="00B85BA5" w:rsidRPr="00B85BA5">
              <w:rPr>
                <w:vertAlign w:val="superscript"/>
              </w:rPr>
              <w:t>2</w:t>
            </w:r>
          </w:p>
        </w:tc>
      </w:tr>
      <w:tr w:rsidR="00E70244" w:rsidRPr="00B07FB9" w14:paraId="1CEE4D09" w14:textId="77777777" w:rsidTr="006D429D">
        <w:tc>
          <w:tcPr>
            <w:tcW w:w="1157" w:type="pct"/>
            <w:shd w:val="clear" w:color="auto" w:fill="auto"/>
            <w:vAlign w:val="center"/>
          </w:tcPr>
          <w:p w14:paraId="229A1EDF" w14:textId="39C4C470" w:rsidR="00E70244" w:rsidRPr="00B07FB9" w:rsidRDefault="00E70244" w:rsidP="00A4339A">
            <w:pPr>
              <w:pStyle w:val="TableText0"/>
              <w:keepLines/>
              <w:widowControl w:val="0"/>
              <w:rPr>
                <w:rFonts w:ascii="Times" w:hAnsi="Times"/>
                <w:vertAlign w:val="superscript"/>
              </w:rPr>
            </w:pPr>
            <w:r w:rsidRPr="00B07FB9">
              <w:t xml:space="preserve">Number of scripts </w:t>
            </w:r>
            <w:proofErr w:type="spellStart"/>
            <w:r w:rsidRPr="00B07FB9">
              <w:t>dispensed</w:t>
            </w:r>
            <w:r w:rsidR="003F271B" w:rsidRPr="00B07FB9">
              <w:rPr>
                <w:vertAlign w:val="superscript"/>
              </w:rPr>
              <w:t>b</w:t>
            </w:r>
            <w:proofErr w:type="spellEnd"/>
          </w:p>
        </w:tc>
        <w:tc>
          <w:tcPr>
            <w:tcW w:w="635" w:type="pct"/>
            <w:shd w:val="clear" w:color="auto" w:fill="auto"/>
          </w:tcPr>
          <w:p w14:paraId="0D9F25C2" w14:textId="433BA40D" w:rsidR="00E70244" w:rsidRPr="00B85BA5" w:rsidRDefault="007A0897" w:rsidP="00A4339A">
            <w:pPr>
              <w:pStyle w:val="TableText0"/>
              <w:keepLines/>
              <w:widowControl w:val="0"/>
              <w:jc w:val="center"/>
              <w:rPr>
                <w:color w:val="000000"/>
                <w:highlight w:val="yellow"/>
                <w:vertAlign w:val="superscript"/>
              </w:rPr>
            </w:pPr>
            <w:r w:rsidRPr="00385E8C">
              <w:rPr>
                <w:rFonts w:hint="eastAsia"/>
                <w:color w:val="000000"/>
                <w:w w:val="15"/>
                <w:shd w:val="solid" w:color="000000" w:fill="000000"/>
                <w:fitText w:val="20" w:id="-1500824821"/>
                <w14:textFill>
                  <w14:solidFill>
                    <w14:srgbClr w14:val="000000">
                      <w14:alpha w14:val="100000"/>
                    </w14:srgbClr>
                  </w14:solidFill>
                </w14:textFill>
              </w:rPr>
              <w:t xml:space="preserve">　</w:t>
            </w:r>
            <w:r w:rsidRPr="00385E8C">
              <w:rPr>
                <w:color w:val="000000"/>
                <w:w w:val="15"/>
                <w:shd w:val="solid" w:color="000000" w:fill="000000"/>
                <w:fitText w:val="20" w:id="-1500824821"/>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1"/>
                <w14:textFill>
                  <w14:solidFill>
                    <w14:srgbClr w14:val="000000">
                      <w14:alpha w14:val="100000"/>
                    </w14:srgbClr>
                  </w14:solidFill>
                </w14:textFill>
              </w:rPr>
              <w:t xml:space="preserve">　</w:t>
            </w:r>
            <w:r w:rsidR="00B85BA5" w:rsidRPr="00B85BA5">
              <w:rPr>
                <w:vertAlign w:val="superscript"/>
              </w:rPr>
              <w:t>2</w:t>
            </w:r>
          </w:p>
        </w:tc>
        <w:tc>
          <w:tcPr>
            <w:tcW w:w="635" w:type="pct"/>
            <w:shd w:val="clear" w:color="auto" w:fill="auto"/>
          </w:tcPr>
          <w:p w14:paraId="2D7847AA" w14:textId="07391CEA" w:rsidR="00E70244" w:rsidRPr="00C652B2" w:rsidRDefault="007A0897" w:rsidP="00A4339A">
            <w:pPr>
              <w:pStyle w:val="TableText0"/>
              <w:keepLines/>
              <w:widowControl w:val="0"/>
              <w:jc w:val="center"/>
              <w:rPr>
                <w:color w:val="000000"/>
                <w:highlight w:val="yellow"/>
              </w:rPr>
            </w:pPr>
            <w:r w:rsidRPr="00385E8C">
              <w:rPr>
                <w:rFonts w:hint="eastAsia"/>
                <w:color w:val="000000"/>
                <w:w w:val="15"/>
                <w:shd w:val="solid" w:color="000000" w:fill="000000"/>
                <w:fitText w:val="20" w:id="-1500824820"/>
                <w14:textFill>
                  <w14:solidFill>
                    <w14:srgbClr w14:val="000000">
                      <w14:alpha w14:val="100000"/>
                    </w14:srgbClr>
                  </w14:solidFill>
                </w14:textFill>
              </w:rPr>
              <w:t xml:space="preserve">　</w:t>
            </w:r>
            <w:r w:rsidRPr="00385E8C">
              <w:rPr>
                <w:color w:val="000000"/>
                <w:w w:val="15"/>
                <w:shd w:val="solid" w:color="000000" w:fill="000000"/>
                <w:fitText w:val="20" w:id="-1500824820"/>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0"/>
                <w14:textFill>
                  <w14:solidFill>
                    <w14:srgbClr w14:val="000000">
                      <w14:alpha w14:val="100000"/>
                    </w14:srgbClr>
                  </w14:solidFill>
                </w14:textFill>
              </w:rPr>
              <w:t xml:space="preserve">　</w:t>
            </w:r>
            <w:r w:rsidR="00B85BA5" w:rsidRPr="00B85BA5">
              <w:rPr>
                <w:vertAlign w:val="superscript"/>
              </w:rPr>
              <w:t>2</w:t>
            </w:r>
          </w:p>
        </w:tc>
        <w:tc>
          <w:tcPr>
            <w:tcW w:w="635" w:type="pct"/>
            <w:shd w:val="clear" w:color="auto" w:fill="auto"/>
          </w:tcPr>
          <w:p w14:paraId="7A620378" w14:textId="51BEE5C4" w:rsidR="00E70244" w:rsidRPr="00C652B2" w:rsidRDefault="007A0897" w:rsidP="00A4339A">
            <w:pPr>
              <w:pStyle w:val="TableText0"/>
              <w:keepLines/>
              <w:widowControl w:val="0"/>
              <w:jc w:val="center"/>
              <w:rPr>
                <w:color w:val="000000"/>
                <w:highlight w:val="yellow"/>
              </w:rPr>
            </w:pPr>
            <w:r w:rsidRPr="007A0897">
              <w:rPr>
                <w:color w:val="000000"/>
                <w:spacing w:val="154"/>
                <w:shd w:val="solid" w:color="000000" w:fill="000000"/>
                <w:fitText w:val="240" w:id="-1500824819"/>
                <w14:textFill>
                  <w14:solidFill>
                    <w14:srgbClr w14:val="000000">
                      <w14:alpha w14:val="100000"/>
                    </w14:srgbClr>
                  </w14:solidFill>
                </w14:textFill>
              </w:rPr>
              <w:t>|</w:t>
            </w:r>
            <w:r w:rsidRPr="007A0897">
              <w:rPr>
                <w:color w:val="000000"/>
                <w:spacing w:val="1"/>
                <w:shd w:val="solid" w:color="000000" w:fill="000000"/>
                <w:fitText w:val="240" w:id="-1500824819"/>
                <w14:textFill>
                  <w14:solidFill>
                    <w14:srgbClr w14:val="000000">
                      <w14:alpha w14:val="100000"/>
                    </w14:srgbClr>
                  </w14:solidFill>
                </w14:textFill>
              </w:rPr>
              <w:t>|</w:t>
            </w:r>
            <w:r w:rsidR="00DB6FCC">
              <w:rPr>
                <w:vertAlign w:val="superscript"/>
              </w:rPr>
              <w:t>5</w:t>
            </w:r>
          </w:p>
        </w:tc>
        <w:tc>
          <w:tcPr>
            <w:tcW w:w="635" w:type="pct"/>
            <w:shd w:val="clear" w:color="auto" w:fill="auto"/>
          </w:tcPr>
          <w:p w14:paraId="1D2C1413" w14:textId="23817B21" w:rsidR="00E70244" w:rsidRPr="00C652B2" w:rsidRDefault="007A0897" w:rsidP="00A4339A">
            <w:pPr>
              <w:pStyle w:val="TableText0"/>
              <w:keepLines/>
              <w:widowControl w:val="0"/>
              <w:jc w:val="center"/>
              <w:rPr>
                <w:color w:val="000000"/>
                <w:highlight w:val="yellow"/>
              </w:rPr>
            </w:pPr>
            <w:r w:rsidRPr="007A0897">
              <w:rPr>
                <w:color w:val="000000"/>
                <w:spacing w:val="154"/>
                <w:shd w:val="solid" w:color="000000" w:fill="000000"/>
                <w:fitText w:val="240" w:id="-1500824817"/>
                <w14:textFill>
                  <w14:solidFill>
                    <w14:srgbClr w14:val="000000">
                      <w14:alpha w14:val="100000"/>
                    </w14:srgbClr>
                  </w14:solidFill>
                </w14:textFill>
              </w:rPr>
              <w:t>|</w:t>
            </w:r>
            <w:r w:rsidRPr="007A0897">
              <w:rPr>
                <w:color w:val="000000"/>
                <w:spacing w:val="1"/>
                <w:shd w:val="solid" w:color="000000" w:fill="000000"/>
                <w:fitText w:val="240" w:id="-1500824817"/>
                <w14:textFill>
                  <w14:solidFill>
                    <w14:srgbClr w14:val="000000">
                      <w14:alpha w14:val="100000"/>
                    </w14:srgbClr>
                  </w14:solidFill>
                </w14:textFill>
              </w:rPr>
              <w:t>|</w:t>
            </w:r>
            <w:r w:rsidR="00DB6FCC">
              <w:rPr>
                <w:vertAlign w:val="superscript"/>
              </w:rPr>
              <w:t>5</w:t>
            </w:r>
          </w:p>
        </w:tc>
        <w:tc>
          <w:tcPr>
            <w:tcW w:w="635" w:type="pct"/>
            <w:shd w:val="clear" w:color="auto" w:fill="auto"/>
          </w:tcPr>
          <w:p w14:paraId="3F0ACB95" w14:textId="395D5C2F" w:rsidR="00E70244" w:rsidRPr="00C652B2" w:rsidRDefault="007A0897" w:rsidP="00A4339A">
            <w:pPr>
              <w:pStyle w:val="TableText0"/>
              <w:keepLines/>
              <w:widowControl w:val="0"/>
              <w:jc w:val="center"/>
              <w:rPr>
                <w:color w:val="000000"/>
                <w:highlight w:val="yellow"/>
              </w:rPr>
            </w:pPr>
            <w:r w:rsidRPr="007A0897">
              <w:rPr>
                <w:color w:val="000000"/>
                <w:spacing w:val="154"/>
                <w:shd w:val="solid" w:color="000000" w:fill="000000"/>
                <w:fitText w:val="240" w:id="-1500824832"/>
                <w14:textFill>
                  <w14:solidFill>
                    <w14:srgbClr w14:val="000000">
                      <w14:alpha w14:val="100000"/>
                    </w14:srgbClr>
                  </w14:solidFill>
                </w14:textFill>
              </w:rPr>
              <w:t>|</w:t>
            </w:r>
            <w:r w:rsidRPr="007A0897">
              <w:rPr>
                <w:color w:val="000000"/>
                <w:spacing w:val="1"/>
                <w:shd w:val="solid" w:color="000000" w:fill="000000"/>
                <w:fitText w:val="240" w:id="-1500824832"/>
                <w14:textFill>
                  <w14:solidFill>
                    <w14:srgbClr w14:val="000000">
                      <w14:alpha w14:val="100000"/>
                    </w14:srgbClr>
                  </w14:solidFill>
                </w14:textFill>
              </w:rPr>
              <w:t>|</w:t>
            </w:r>
            <w:r w:rsidR="00DB6FCC">
              <w:rPr>
                <w:vertAlign w:val="superscript"/>
              </w:rPr>
              <w:t>5</w:t>
            </w:r>
          </w:p>
        </w:tc>
        <w:tc>
          <w:tcPr>
            <w:tcW w:w="669" w:type="pct"/>
          </w:tcPr>
          <w:p w14:paraId="1C30F331" w14:textId="7D95540B" w:rsidR="00E70244" w:rsidRPr="00C652B2" w:rsidRDefault="007A0897" w:rsidP="00A4339A">
            <w:pPr>
              <w:pStyle w:val="TableText0"/>
              <w:keepLines/>
              <w:widowControl w:val="0"/>
              <w:jc w:val="center"/>
              <w:rPr>
                <w:color w:val="000000"/>
                <w:highlight w:val="yellow"/>
              </w:rPr>
            </w:pPr>
            <w:r w:rsidRPr="007A0897">
              <w:rPr>
                <w:color w:val="000000"/>
                <w:spacing w:val="41"/>
                <w:shd w:val="solid" w:color="000000" w:fill="000000"/>
                <w:fitText w:val="210" w:id="-1500824830"/>
                <w14:textFill>
                  <w14:solidFill>
                    <w14:srgbClr w14:val="000000">
                      <w14:alpha w14:val="100000"/>
                    </w14:srgbClr>
                  </w14:solidFill>
                </w14:textFill>
              </w:rPr>
              <w:t>||</w:t>
            </w:r>
            <w:r w:rsidRPr="007A0897">
              <w:rPr>
                <w:color w:val="000000"/>
                <w:spacing w:val="1"/>
                <w:shd w:val="solid" w:color="000000" w:fill="000000"/>
                <w:fitText w:val="210" w:id="-1500824830"/>
                <w14:textFill>
                  <w14:solidFill>
                    <w14:srgbClr w14:val="000000">
                      <w14:alpha w14:val="100000"/>
                    </w14:srgbClr>
                  </w14:solidFill>
                </w14:textFill>
              </w:rPr>
              <w:t>|</w:t>
            </w:r>
            <w:r w:rsidR="00DB6FCC">
              <w:rPr>
                <w:vertAlign w:val="superscript"/>
              </w:rPr>
              <w:t>5</w:t>
            </w:r>
          </w:p>
        </w:tc>
      </w:tr>
      <w:tr w:rsidR="00385A9D" w:rsidRPr="00B07FB9" w14:paraId="1E699D47" w14:textId="77777777" w:rsidTr="004931A4">
        <w:tc>
          <w:tcPr>
            <w:tcW w:w="5000" w:type="pct"/>
            <w:gridSpan w:val="7"/>
            <w:shd w:val="clear" w:color="auto" w:fill="auto"/>
            <w:vAlign w:val="center"/>
          </w:tcPr>
          <w:p w14:paraId="7D0E0884" w14:textId="6BA72DE7" w:rsidR="00385A9D" w:rsidRPr="00B07FB9" w:rsidRDefault="00385A9D" w:rsidP="00A4339A">
            <w:pPr>
              <w:pStyle w:val="In-tableHeading"/>
              <w:keepLines/>
              <w:widowControl w:val="0"/>
              <w:rPr>
                <w:lang w:val="en-AU"/>
              </w:rPr>
            </w:pPr>
            <w:r w:rsidRPr="00B07FB9">
              <w:rPr>
                <w:lang w:val="en-AU"/>
              </w:rPr>
              <w:t xml:space="preserve">Estimated financial implications of </w:t>
            </w:r>
            <w:r w:rsidR="00E70244" w:rsidRPr="00B07FB9">
              <w:rPr>
                <w:lang w:val="en-AU"/>
              </w:rPr>
              <w:t>niraparib</w:t>
            </w:r>
          </w:p>
        </w:tc>
      </w:tr>
      <w:tr w:rsidR="00E70244" w:rsidRPr="00C652B2" w14:paraId="4B4ACF1A" w14:textId="77777777" w:rsidTr="006D429D">
        <w:tc>
          <w:tcPr>
            <w:tcW w:w="1157" w:type="pct"/>
            <w:shd w:val="clear" w:color="auto" w:fill="auto"/>
            <w:vAlign w:val="center"/>
          </w:tcPr>
          <w:p w14:paraId="467993BD" w14:textId="145FAFB2" w:rsidR="00E70244" w:rsidRPr="00B07FB9" w:rsidRDefault="00E70244" w:rsidP="00A4339A">
            <w:pPr>
              <w:pStyle w:val="TableText0"/>
              <w:keepLines/>
              <w:widowControl w:val="0"/>
              <w:rPr>
                <w:sz w:val="19"/>
                <w:szCs w:val="19"/>
              </w:rPr>
            </w:pPr>
            <w:r w:rsidRPr="00B07FB9">
              <w:rPr>
                <w:sz w:val="19"/>
                <w:szCs w:val="19"/>
              </w:rPr>
              <w:t xml:space="preserve">Cost to PBS/RPBS less </w:t>
            </w:r>
            <w:proofErr w:type="spellStart"/>
            <w:r w:rsidRPr="00B07FB9">
              <w:rPr>
                <w:sz w:val="19"/>
                <w:szCs w:val="19"/>
              </w:rPr>
              <w:t>copayments</w:t>
            </w:r>
            <w:proofErr w:type="spellEnd"/>
            <w:r w:rsidR="00C652B2">
              <w:rPr>
                <w:sz w:val="19"/>
                <w:szCs w:val="19"/>
              </w:rPr>
              <w:t xml:space="preserve"> ($)</w:t>
            </w:r>
          </w:p>
        </w:tc>
        <w:tc>
          <w:tcPr>
            <w:tcW w:w="635" w:type="pct"/>
            <w:shd w:val="clear" w:color="auto" w:fill="auto"/>
          </w:tcPr>
          <w:p w14:paraId="4125A2B6" w14:textId="07DCC343"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4828"/>
                <w14:textFill>
                  <w14:solidFill>
                    <w14:srgbClr w14:val="000000">
                      <w14:alpha w14:val="100000"/>
                    </w14:srgbClr>
                  </w14:solidFill>
                </w14:textFill>
              </w:rPr>
              <w:t xml:space="preserve">　</w:t>
            </w:r>
            <w:r w:rsidRPr="00385E8C">
              <w:rPr>
                <w:color w:val="000000"/>
                <w:w w:val="15"/>
                <w:shd w:val="solid" w:color="000000" w:fill="000000"/>
                <w:fitText w:val="20" w:id="-1500824828"/>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8"/>
                <w14:textFill>
                  <w14:solidFill>
                    <w14:srgbClr w14:val="000000">
                      <w14:alpha w14:val="100000"/>
                    </w14:srgbClr>
                  </w14:solidFill>
                </w14:textFill>
              </w:rPr>
              <w:t xml:space="preserve">　</w:t>
            </w:r>
            <w:r w:rsidR="00B85BA5">
              <w:rPr>
                <w:vertAlign w:val="superscript"/>
              </w:rPr>
              <w:t>3</w:t>
            </w:r>
          </w:p>
        </w:tc>
        <w:tc>
          <w:tcPr>
            <w:tcW w:w="635" w:type="pct"/>
            <w:shd w:val="clear" w:color="auto" w:fill="auto"/>
          </w:tcPr>
          <w:p w14:paraId="5BDFECEB" w14:textId="230F0987"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4827"/>
                <w14:textFill>
                  <w14:solidFill>
                    <w14:srgbClr w14:val="000000">
                      <w14:alpha w14:val="100000"/>
                    </w14:srgbClr>
                  </w14:solidFill>
                </w14:textFill>
              </w:rPr>
              <w:t xml:space="preserve">　</w:t>
            </w:r>
            <w:r w:rsidRPr="00385E8C">
              <w:rPr>
                <w:color w:val="000000"/>
                <w:w w:val="15"/>
                <w:shd w:val="solid" w:color="000000" w:fill="000000"/>
                <w:fitText w:val="20" w:id="-1500824827"/>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7"/>
                <w14:textFill>
                  <w14:solidFill>
                    <w14:srgbClr w14:val="000000">
                      <w14:alpha w14:val="100000"/>
                    </w14:srgbClr>
                  </w14:solidFill>
                </w14:textFill>
              </w:rPr>
              <w:t xml:space="preserve">　</w:t>
            </w:r>
            <w:r w:rsidR="00DB6FCC">
              <w:rPr>
                <w:vertAlign w:val="superscript"/>
              </w:rPr>
              <w:t>3</w:t>
            </w:r>
          </w:p>
        </w:tc>
        <w:tc>
          <w:tcPr>
            <w:tcW w:w="635" w:type="pct"/>
            <w:shd w:val="clear" w:color="auto" w:fill="auto"/>
          </w:tcPr>
          <w:p w14:paraId="3890D42E" w14:textId="1B5969B7"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4826"/>
                <w14:textFill>
                  <w14:solidFill>
                    <w14:srgbClr w14:val="000000">
                      <w14:alpha w14:val="100000"/>
                    </w14:srgbClr>
                  </w14:solidFill>
                </w14:textFill>
              </w:rPr>
              <w:t xml:space="preserve">　</w:t>
            </w:r>
            <w:r w:rsidRPr="00385E8C">
              <w:rPr>
                <w:color w:val="000000"/>
                <w:w w:val="15"/>
                <w:shd w:val="solid" w:color="000000" w:fill="000000"/>
                <w:fitText w:val="20" w:id="-1500824826"/>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6"/>
                <w14:textFill>
                  <w14:solidFill>
                    <w14:srgbClr w14:val="000000">
                      <w14:alpha w14:val="100000"/>
                    </w14:srgbClr>
                  </w14:solidFill>
                </w14:textFill>
              </w:rPr>
              <w:t xml:space="preserve">　</w:t>
            </w:r>
            <w:r w:rsidR="00DB6FCC">
              <w:rPr>
                <w:vertAlign w:val="superscript"/>
              </w:rPr>
              <w:t>6</w:t>
            </w:r>
          </w:p>
        </w:tc>
        <w:tc>
          <w:tcPr>
            <w:tcW w:w="635" w:type="pct"/>
            <w:shd w:val="clear" w:color="auto" w:fill="auto"/>
          </w:tcPr>
          <w:p w14:paraId="2728B643" w14:textId="0CC8E2F9"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4825"/>
                <w14:textFill>
                  <w14:solidFill>
                    <w14:srgbClr w14:val="000000">
                      <w14:alpha w14:val="100000"/>
                    </w14:srgbClr>
                  </w14:solidFill>
                </w14:textFill>
              </w:rPr>
              <w:t xml:space="preserve">　</w:t>
            </w:r>
            <w:r w:rsidRPr="00385E8C">
              <w:rPr>
                <w:color w:val="000000"/>
                <w:w w:val="15"/>
                <w:shd w:val="solid" w:color="000000" w:fill="000000"/>
                <w:fitText w:val="20" w:id="-1500824825"/>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5"/>
                <w14:textFill>
                  <w14:solidFill>
                    <w14:srgbClr w14:val="000000">
                      <w14:alpha w14:val="100000"/>
                    </w14:srgbClr>
                  </w14:solidFill>
                </w14:textFill>
              </w:rPr>
              <w:t xml:space="preserve">　</w:t>
            </w:r>
            <w:r w:rsidR="00DB6FCC">
              <w:rPr>
                <w:vertAlign w:val="superscript"/>
              </w:rPr>
              <w:t>6</w:t>
            </w:r>
          </w:p>
        </w:tc>
        <w:tc>
          <w:tcPr>
            <w:tcW w:w="635" w:type="pct"/>
            <w:shd w:val="clear" w:color="auto" w:fill="auto"/>
          </w:tcPr>
          <w:p w14:paraId="5FE5021A" w14:textId="70A33CDC"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4824"/>
                <w14:textFill>
                  <w14:solidFill>
                    <w14:srgbClr w14:val="000000">
                      <w14:alpha w14:val="100000"/>
                    </w14:srgbClr>
                  </w14:solidFill>
                </w14:textFill>
              </w:rPr>
              <w:t xml:space="preserve">　</w:t>
            </w:r>
            <w:r w:rsidRPr="00385E8C">
              <w:rPr>
                <w:color w:val="000000"/>
                <w:w w:val="15"/>
                <w:shd w:val="solid" w:color="000000" w:fill="000000"/>
                <w:fitText w:val="20" w:id="-1500824824"/>
                <w14:textFill>
                  <w14:solidFill>
                    <w14:srgbClr w14:val="000000">
                      <w14:alpha w14:val="100000"/>
                    </w14:srgbClr>
                  </w14:solidFill>
                </w14:textFill>
              </w:rPr>
              <w:t>|</w:t>
            </w:r>
            <w:r w:rsidRPr="00385E8C">
              <w:rPr>
                <w:rFonts w:hint="eastAsia"/>
                <w:color w:val="000000"/>
                <w:spacing w:val="-45"/>
                <w:w w:val="15"/>
                <w:shd w:val="solid" w:color="000000" w:fill="000000"/>
                <w:fitText w:val="20" w:id="-1500824824"/>
                <w14:textFill>
                  <w14:solidFill>
                    <w14:srgbClr w14:val="000000">
                      <w14:alpha w14:val="100000"/>
                    </w14:srgbClr>
                  </w14:solidFill>
                </w14:textFill>
              </w:rPr>
              <w:t xml:space="preserve">　</w:t>
            </w:r>
            <w:r w:rsidR="00DB6FCC">
              <w:rPr>
                <w:vertAlign w:val="superscript"/>
              </w:rPr>
              <w:t>6</w:t>
            </w:r>
          </w:p>
        </w:tc>
        <w:tc>
          <w:tcPr>
            <w:tcW w:w="669" w:type="pct"/>
          </w:tcPr>
          <w:p w14:paraId="6F8E9082" w14:textId="33D2755E" w:rsidR="00E70244" w:rsidRPr="00C652B2" w:rsidRDefault="007A0897" w:rsidP="00A4339A">
            <w:pPr>
              <w:pStyle w:val="TableText0"/>
              <w:keepLines/>
              <w:widowControl w:val="0"/>
              <w:jc w:val="center"/>
              <w:rPr>
                <w:highlight w:val="yellow"/>
              </w:rPr>
            </w:pPr>
            <w:r w:rsidRPr="007A0897">
              <w:rPr>
                <w:color w:val="000000"/>
                <w:shd w:val="solid" w:color="000000" w:fill="000000"/>
                <w14:textFill>
                  <w14:solidFill>
                    <w14:srgbClr w14:val="000000">
                      <w14:alpha w14:val="100000"/>
                    </w14:srgbClr>
                  </w14:solidFill>
                </w14:textFill>
              </w:rPr>
              <w:t>|</w:t>
            </w:r>
            <w:r w:rsidR="00DB6FCC">
              <w:rPr>
                <w:vertAlign w:val="superscript"/>
              </w:rPr>
              <w:t>6</w:t>
            </w:r>
          </w:p>
        </w:tc>
      </w:tr>
      <w:tr w:rsidR="00385A9D" w:rsidRPr="00B07FB9" w14:paraId="344AC0E2" w14:textId="77777777" w:rsidTr="004931A4">
        <w:tc>
          <w:tcPr>
            <w:tcW w:w="5000" w:type="pct"/>
            <w:gridSpan w:val="7"/>
            <w:shd w:val="clear" w:color="auto" w:fill="auto"/>
            <w:vAlign w:val="center"/>
          </w:tcPr>
          <w:p w14:paraId="0FF7E64D" w14:textId="701C941D" w:rsidR="00385A9D" w:rsidRPr="00B07FB9" w:rsidRDefault="00385A9D" w:rsidP="00A4339A">
            <w:pPr>
              <w:pStyle w:val="TableText0"/>
              <w:keepLines/>
              <w:widowControl w:val="0"/>
            </w:pPr>
            <w:r w:rsidRPr="00B07FB9">
              <w:t xml:space="preserve">Estimated </w:t>
            </w:r>
            <w:r w:rsidR="00E70244" w:rsidRPr="00B07FB9">
              <w:t>financial implications for other medicines</w:t>
            </w:r>
          </w:p>
        </w:tc>
      </w:tr>
      <w:tr w:rsidR="00E70244" w:rsidRPr="00B07FB9" w14:paraId="0CE077D9" w14:textId="77777777" w:rsidTr="006D429D">
        <w:tc>
          <w:tcPr>
            <w:tcW w:w="1157" w:type="pct"/>
            <w:shd w:val="clear" w:color="auto" w:fill="auto"/>
            <w:vAlign w:val="center"/>
          </w:tcPr>
          <w:p w14:paraId="40F6A2C5" w14:textId="00293510" w:rsidR="00E70244" w:rsidRPr="00B07FB9" w:rsidRDefault="00E70244" w:rsidP="00A4339A">
            <w:pPr>
              <w:pStyle w:val="TableText0"/>
              <w:keepLines/>
              <w:widowControl w:val="0"/>
              <w:rPr>
                <w:sz w:val="19"/>
                <w:szCs w:val="19"/>
              </w:rPr>
            </w:pPr>
            <w:r w:rsidRPr="00B07FB9">
              <w:rPr>
                <w:sz w:val="19"/>
                <w:szCs w:val="19"/>
              </w:rPr>
              <w:t>Olaparib</w:t>
            </w:r>
            <w:r w:rsidR="00C652B2">
              <w:rPr>
                <w:sz w:val="19"/>
                <w:szCs w:val="19"/>
              </w:rPr>
              <w:t xml:space="preserve"> ($)</w:t>
            </w:r>
          </w:p>
        </w:tc>
        <w:tc>
          <w:tcPr>
            <w:tcW w:w="635" w:type="pct"/>
            <w:shd w:val="clear" w:color="auto" w:fill="auto"/>
          </w:tcPr>
          <w:p w14:paraId="50CF2446" w14:textId="63D7D853"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23"/>
                <w14:textFill>
                  <w14:solidFill>
                    <w14:srgbClr w14:val="000000">
                      <w14:alpha w14:val="100000"/>
                    </w14:srgbClr>
                  </w14:solidFill>
                </w14:textFill>
              </w:rPr>
              <w:t xml:space="preserve">　</w:t>
            </w:r>
            <w:r w:rsidR="007A0897" w:rsidRPr="007A0897">
              <w:rPr>
                <w:color w:val="000000"/>
                <w:w w:val="15"/>
                <w:shd w:val="solid" w:color="000000" w:fill="000000"/>
                <w:fitText w:val="60" w:id="-1500824823"/>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23"/>
                <w14:textFill>
                  <w14:solidFill>
                    <w14:srgbClr w14:val="000000">
                      <w14:alpha w14:val="100000"/>
                    </w14:srgbClr>
                  </w14:solidFill>
                </w14:textFill>
              </w:rPr>
              <w:t xml:space="preserve">　</w:t>
            </w:r>
            <w:r w:rsidR="00B85BA5">
              <w:rPr>
                <w:vertAlign w:val="superscript"/>
              </w:rPr>
              <w:t>4</w:t>
            </w:r>
            <w:r w:rsidR="00B85BA5">
              <w:t xml:space="preserve"> </w:t>
            </w:r>
          </w:p>
        </w:tc>
        <w:tc>
          <w:tcPr>
            <w:tcW w:w="635" w:type="pct"/>
            <w:shd w:val="clear" w:color="auto" w:fill="auto"/>
          </w:tcPr>
          <w:p w14:paraId="35AF80ED" w14:textId="0169BEC9"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22"/>
                <w14:textFill>
                  <w14:solidFill>
                    <w14:srgbClr w14:val="000000">
                      <w14:alpha w14:val="100000"/>
                    </w14:srgbClr>
                  </w14:solidFill>
                </w14:textFill>
              </w:rPr>
              <w:t xml:space="preserve">　</w:t>
            </w:r>
            <w:r w:rsidR="007A0897" w:rsidRPr="007A0897">
              <w:rPr>
                <w:color w:val="000000"/>
                <w:w w:val="15"/>
                <w:shd w:val="solid" w:color="000000" w:fill="000000"/>
                <w:fitText w:val="60" w:id="-1500824822"/>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22"/>
                <w14:textFill>
                  <w14:solidFill>
                    <w14:srgbClr w14:val="000000">
                      <w14:alpha w14:val="100000"/>
                    </w14:srgbClr>
                  </w14:solidFill>
                </w14:textFill>
              </w:rPr>
              <w:t xml:space="preserve">　</w:t>
            </w:r>
            <w:r w:rsidR="00B85BA5">
              <w:rPr>
                <w:vertAlign w:val="superscript"/>
              </w:rPr>
              <w:t>4</w:t>
            </w:r>
          </w:p>
        </w:tc>
        <w:tc>
          <w:tcPr>
            <w:tcW w:w="635" w:type="pct"/>
            <w:shd w:val="clear" w:color="auto" w:fill="auto"/>
          </w:tcPr>
          <w:p w14:paraId="28F1C25D" w14:textId="321AB6BD"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21"/>
                <w14:textFill>
                  <w14:solidFill>
                    <w14:srgbClr w14:val="000000">
                      <w14:alpha w14:val="100000"/>
                    </w14:srgbClr>
                  </w14:solidFill>
                </w14:textFill>
              </w:rPr>
              <w:t xml:space="preserve">　</w:t>
            </w:r>
            <w:r w:rsidR="007A0897" w:rsidRPr="007A0897">
              <w:rPr>
                <w:color w:val="000000"/>
                <w:w w:val="15"/>
                <w:shd w:val="solid" w:color="000000" w:fill="000000"/>
                <w:fitText w:val="60" w:id="-1500824821"/>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21"/>
                <w14:textFill>
                  <w14:solidFill>
                    <w14:srgbClr w14:val="000000">
                      <w14:alpha w14:val="100000"/>
                    </w14:srgbClr>
                  </w14:solidFill>
                </w14:textFill>
              </w:rPr>
              <w:t xml:space="preserve">　</w:t>
            </w:r>
            <w:r w:rsidR="00DB6FCC">
              <w:rPr>
                <w:vertAlign w:val="superscript"/>
              </w:rPr>
              <w:t>3</w:t>
            </w:r>
          </w:p>
        </w:tc>
        <w:tc>
          <w:tcPr>
            <w:tcW w:w="635" w:type="pct"/>
            <w:shd w:val="clear" w:color="auto" w:fill="auto"/>
          </w:tcPr>
          <w:p w14:paraId="5DBA4173" w14:textId="6235A622"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20"/>
                <w14:textFill>
                  <w14:solidFill>
                    <w14:srgbClr w14:val="000000">
                      <w14:alpha w14:val="100000"/>
                    </w14:srgbClr>
                  </w14:solidFill>
                </w14:textFill>
              </w:rPr>
              <w:t xml:space="preserve">　</w:t>
            </w:r>
            <w:r w:rsidR="007A0897" w:rsidRPr="007A0897">
              <w:rPr>
                <w:color w:val="000000"/>
                <w:w w:val="15"/>
                <w:shd w:val="solid" w:color="000000" w:fill="000000"/>
                <w:fitText w:val="60" w:id="-1500824820"/>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20"/>
                <w14:textFill>
                  <w14:solidFill>
                    <w14:srgbClr w14:val="000000">
                      <w14:alpha w14:val="100000"/>
                    </w14:srgbClr>
                  </w14:solidFill>
                </w14:textFill>
              </w:rPr>
              <w:t xml:space="preserve">　</w:t>
            </w:r>
            <w:r w:rsidR="00DB6FCC">
              <w:rPr>
                <w:vertAlign w:val="superscript"/>
              </w:rPr>
              <w:t>3</w:t>
            </w:r>
          </w:p>
        </w:tc>
        <w:tc>
          <w:tcPr>
            <w:tcW w:w="635" w:type="pct"/>
            <w:shd w:val="clear" w:color="auto" w:fill="auto"/>
          </w:tcPr>
          <w:p w14:paraId="4D6DC68C" w14:textId="52DF1CC9"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19"/>
                <w14:textFill>
                  <w14:solidFill>
                    <w14:srgbClr w14:val="000000">
                      <w14:alpha w14:val="100000"/>
                    </w14:srgbClr>
                  </w14:solidFill>
                </w14:textFill>
              </w:rPr>
              <w:t xml:space="preserve">　</w:t>
            </w:r>
            <w:r w:rsidR="007A0897" w:rsidRPr="007A0897">
              <w:rPr>
                <w:color w:val="000000"/>
                <w:w w:val="15"/>
                <w:shd w:val="solid" w:color="000000" w:fill="000000"/>
                <w:fitText w:val="60" w:id="-1500824819"/>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19"/>
                <w14:textFill>
                  <w14:solidFill>
                    <w14:srgbClr w14:val="000000">
                      <w14:alpha w14:val="100000"/>
                    </w14:srgbClr>
                  </w14:solidFill>
                </w14:textFill>
              </w:rPr>
              <w:t xml:space="preserve">　</w:t>
            </w:r>
            <w:r w:rsidR="00DB6FCC">
              <w:rPr>
                <w:vertAlign w:val="superscript"/>
              </w:rPr>
              <w:t>3</w:t>
            </w:r>
          </w:p>
        </w:tc>
        <w:tc>
          <w:tcPr>
            <w:tcW w:w="669" w:type="pct"/>
          </w:tcPr>
          <w:p w14:paraId="0766C6AC" w14:textId="001BF830"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30" w:id="-1500824818"/>
                <w14:textFill>
                  <w14:solidFill>
                    <w14:srgbClr w14:val="000000">
                      <w14:alpha w14:val="100000"/>
                    </w14:srgbClr>
                  </w14:solidFill>
                </w14:textFill>
              </w:rPr>
              <w:t xml:space="preserve">　</w:t>
            </w:r>
            <w:r w:rsidR="007A0897" w:rsidRPr="007A0897">
              <w:rPr>
                <w:color w:val="000000"/>
                <w:w w:val="15"/>
                <w:shd w:val="solid" w:color="000000" w:fill="000000"/>
                <w:fitText w:val="30" w:id="-1500824818"/>
                <w14:textFill>
                  <w14:solidFill>
                    <w14:srgbClr w14:val="000000">
                      <w14:alpha w14:val="100000"/>
                    </w14:srgbClr>
                  </w14:solidFill>
                </w14:textFill>
              </w:rPr>
              <w:t>|</w:t>
            </w:r>
            <w:r w:rsidR="007A0897" w:rsidRPr="007A0897">
              <w:rPr>
                <w:rFonts w:hint="eastAsia"/>
                <w:color w:val="000000"/>
                <w:spacing w:val="-35"/>
                <w:w w:val="15"/>
                <w:shd w:val="solid" w:color="000000" w:fill="000000"/>
                <w:fitText w:val="30" w:id="-1500824818"/>
                <w14:textFill>
                  <w14:solidFill>
                    <w14:srgbClr w14:val="000000">
                      <w14:alpha w14:val="100000"/>
                    </w14:srgbClr>
                  </w14:solidFill>
                </w14:textFill>
              </w:rPr>
              <w:t xml:space="preserve">　</w:t>
            </w:r>
            <w:r w:rsidR="00DB6FCC">
              <w:rPr>
                <w:vertAlign w:val="superscript"/>
              </w:rPr>
              <w:t>3</w:t>
            </w:r>
          </w:p>
        </w:tc>
      </w:tr>
      <w:tr w:rsidR="00E70244" w:rsidRPr="00B07FB9" w14:paraId="4BFEECD6" w14:textId="77777777" w:rsidTr="006D429D">
        <w:tc>
          <w:tcPr>
            <w:tcW w:w="1157" w:type="pct"/>
            <w:shd w:val="clear" w:color="auto" w:fill="auto"/>
            <w:vAlign w:val="center"/>
          </w:tcPr>
          <w:p w14:paraId="7CAE80BD" w14:textId="2C26F613" w:rsidR="00E70244" w:rsidRPr="00B07FB9" w:rsidRDefault="00E70244" w:rsidP="00A4339A">
            <w:pPr>
              <w:pStyle w:val="TableText0"/>
              <w:keepLines/>
              <w:widowControl w:val="0"/>
              <w:rPr>
                <w:sz w:val="19"/>
                <w:szCs w:val="19"/>
              </w:rPr>
            </w:pPr>
            <w:r w:rsidRPr="00B07FB9">
              <w:rPr>
                <w:sz w:val="19"/>
                <w:szCs w:val="19"/>
              </w:rPr>
              <w:t>Bevacizumab</w:t>
            </w:r>
            <w:r w:rsidR="00C652B2">
              <w:rPr>
                <w:sz w:val="19"/>
                <w:szCs w:val="19"/>
              </w:rPr>
              <w:t xml:space="preserve"> ($)</w:t>
            </w:r>
          </w:p>
        </w:tc>
        <w:tc>
          <w:tcPr>
            <w:tcW w:w="635" w:type="pct"/>
            <w:shd w:val="clear" w:color="auto" w:fill="auto"/>
          </w:tcPr>
          <w:p w14:paraId="4D8DCE97" w14:textId="2C618EF2"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17"/>
                <w14:textFill>
                  <w14:solidFill>
                    <w14:srgbClr w14:val="000000">
                      <w14:alpha w14:val="100000"/>
                    </w14:srgbClr>
                  </w14:solidFill>
                </w14:textFill>
              </w:rPr>
              <w:t xml:space="preserve">　</w:t>
            </w:r>
            <w:r w:rsidR="007A0897" w:rsidRPr="007A0897">
              <w:rPr>
                <w:color w:val="000000"/>
                <w:w w:val="15"/>
                <w:shd w:val="solid" w:color="000000" w:fill="000000"/>
                <w:fitText w:val="60" w:id="-1500824817"/>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17"/>
                <w14:textFill>
                  <w14:solidFill>
                    <w14:srgbClr w14:val="000000">
                      <w14:alpha w14:val="100000"/>
                    </w14:srgbClr>
                  </w14:solidFill>
                </w14:textFill>
              </w:rPr>
              <w:t xml:space="preserve">　</w:t>
            </w:r>
            <w:r w:rsidR="00B85BA5">
              <w:rPr>
                <w:vertAlign w:val="superscript"/>
              </w:rPr>
              <w:t>4</w:t>
            </w:r>
          </w:p>
        </w:tc>
        <w:tc>
          <w:tcPr>
            <w:tcW w:w="635" w:type="pct"/>
            <w:shd w:val="clear" w:color="auto" w:fill="auto"/>
          </w:tcPr>
          <w:p w14:paraId="543B617A" w14:textId="21C5FF8C"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16"/>
                <w14:textFill>
                  <w14:solidFill>
                    <w14:srgbClr w14:val="000000">
                      <w14:alpha w14:val="100000"/>
                    </w14:srgbClr>
                  </w14:solidFill>
                </w14:textFill>
              </w:rPr>
              <w:t xml:space="preserve">　</w:t>
            </w:r>
            <w:r w:rsidR="007A0897" w:rsidRPr="007A0897">
              <w:rPr>
                <w:color w:val="000000"/>
                <w:w w:val="15"/>
                <w:shd w:val="solid" w:color="000000" w:fill="000000"/>
                <w:fitText w:val="60" w:id="-1500824816"/>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16"/>
                <w14:textFill>
                  <w14:solidFill>
                    <w14:srgbClr w14:val="000000">
                      <w14:alpha w14:val="100000"/>
                    </w14:srgbClr>
                  </w14:solidFill>
                </w14:textFill>
              </w:rPr>
              <w:t xml:space="preserve">　</w:t>
            </w:r>
            <w:r w:rsidR="00B85BA5">
              <w:rPr>
                <w:vertAlign w:val="superscript"/>
              </w:rPr>
              <w:t>4</w:t>
            </w:r>
          </w:p>
        </w:tc>
        <w:tc>
          <w:tcPr>
            <w:tcW w:w="635" w:type="pct"/>
            <w:shd w:val="clear" w:color="auto" w:fill="auto"/>
          </w:tcPr>
          <w:p w14:paraId="0517715F" w14:textId="2E8F2936"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32"/>
                <w14:textFill>
                  <w14:solidFill>
                    <w14:srgbClr w14:val="000000">
                      <w14:alpha w14:val="100000"/>
                    </w14:srgbClr>
                  </w14:solidFill>
                </w14:textFill>
              </w:rPr>
              <w:t xml:space="preserve">　</w:t>
            </w:r>
            <w:r w:rsidR="007A0897" w:rsidRPr="007A0897">
              <w:rPr>
                <w:color w:val="000000"/>
                <w:w w:val="15"/>
                <w:shd w:val="solid" w:color="000000" w:fill="000000"/>
                <w:fitText w:val="60" w:id="-1500824832"/>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32"/>
                <w14:textFill>
                  <w14:solidFill>
                    <w14:srgbClr w14:val="000000">
                      <w14:alpha w14:val="100000"/>
                    </w14:srgbClr>
                  </w14:solidFill>
                </w14:textFill>
              </w:rPr>
              <w:t xml:space="preserve">　</w:t>
            </w:r>
            <w:r w:rsidR="00DB6FCC">
              <w:rPr>
                <w:vertAlign w:val="superscript"/>
              </w:rPr>
              <w:t>4</w:t>
            </w:r>
          </w:p>
        </w:tc>
        <w:tc>
          <w:tcPr>
            <w:tcW w:w="635" w:type="pct"/>
            <w:shd w:val="clear" w:color="auto" w:fill="auto"/>
          </w:tcPr>
          <w:p w14:paraId="6F64FA23" w14:textId="759F8246"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31"/>
                <w14:textFill>
                  <w14:solidFill>
                    <w14:srgbClr w14:val="000000">
                      <w14:alpha w14:val="100000"/>
                    </w14:srgbClr>
                  </w14:solidFill>
                </w14:textFill>
              </w:rPr>
              <w:t xml:space="preserve">　</w:t>
            </w:r>
            <w:r w:rsidR="007A0897" w:rsidRPr="007A0897">
              <w:rPr>
                <w:color w:val="000000"/>
                <w:w w:val="15"/>
                <w:shd w:val="solid" w:color="000000" w:fill="000000"/>
                <w:fitText w:val="60" w:id="-1500824831"/>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31"/>
                <w14:textFill>
                  <w14:solidFill>
                    <w14:srgbClr w14:val="000000">
                      <w14:alpha w14:val="100000"/>
                    </w14:srgbClr>
                  </w14:solidFill>
                </w14:textFill>
              </w:rPr>
              <w:t xml:space="preserve">　</w:t>
            </w:r>
            <w:r w:rsidR="00DB6FCC">
              <w:rPr>
                <w:vertAlign w:val="superscript"/>
              </w:rPr>
              <w:t>4</w:t>
            </w:r>
          </w:p>
        </w:tc>
        <w:tc>
          <w:tcPr>
            <w:tcW w:w="635" w:type="pct"/>
            <w:shd w:val="clear" w:color="auto" w:fill="auto"/>
          </w:tcPr>
          <w:p w14:paraId="0FDD0C80" w14:textId="06A24F14"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60" w:id="-1500824830"/>
                <w14:textFill>
                  <w14:solidFill>
                    <w14:srgbClr w14:val="000000">
                      <w14:alpha w14:val="100000"/>
                    </w14:srgbClr>
                  </w14:solidFill>
                </w14:textFill>
              </w:rPr>
              <w:t xml:space="preserve">　</w:t>
            </w:r>
            <w:r w:rsidR="007A0897" w:rsidRPr="007A0897">
              <w:rPr>
                <w:color w:val="000000"/>
                <w:w w:val="15"/>
                <w:shd w:val="solid" w:color="000000" w:fill="000000"/>
                <w:fitText w:val="60" w:id="-1500824830"/>
                <w14:textFill>
                  <w14:solidFill>
                    <w14:srgbClr w14:val="000000">
                      <w14:alpha w14:val="100000"/>
                    </w14:srgbClr>
                  </w14:solidFill>
                </w14:textFill>
              </w:rPr>
              <w:t>|</w:t>
            </w:r>
            <w:r w:rsidR="007A0897" w:rsidRPr="007A0897">
              <w:rPr>
                <w:rFonts w:hint="eastAsia"/>
                <w:color w:val="000000"/>
                <w:spacing w:val="-5"/>
                <w:w w:val="15"/>
                <w:shd w:val="solid" w:color="000000" w:fill="000000"/>
                <w:fitText w:val="60" w:id="-1500824830"/>
                <w14:textFill>
                  <w14:solidFill>
                    <w14:srgbClr w14:val="000000">
                      <w14:alpha w14:val="100000"/>
                    </w14:srgbClr>
                  </w14:solidFill>
                </w14:textFill>
              </w:rPr>
              <w:t xml:space="preserve">　</w:t>
            </w:r>
            <w:r w:rsidR="00DB6FCC">
              <w:rPr>
                <w:vertAlign w:val="superscript"/>
              </w:rPr>
              <w:t>4</w:t>
            </w:r>
          </w:p>
        </w:tc>
        <w:tc>
          <w:tcPr>
            <w:tcW w:w="669" w:type="pct"/>
          </w:tcPr>
          <w:p w14:paraId="2E3540AD" w14:textId="11F91EC2" w:rsidR="00E70244" w:rsidRPr="00B07FB9" w:rsidRDefault="00E70244" w:rsidP="00A4339A">
            <w:pPr>
              <w:pStyle w:val="TableText0"/>
              <w:keepLines/>
              <w:widowControl w:val="0"/>
              <w:jc w:val="center"/>
            </w:pPr>
            <w:r w:rsidRPr="00B07FB9">
              <w:t>-</w:t>
            </w:r>
            <w:r w:rsidR="007A0897" w:rsidRPr="007A0897">
              <w:rPr>
                <w:rFonts w:hint="eastAsia"/>
                <w:color w:val="000000"/>
                <w:w w:val="15"/>
                <w:shd w:val="solid" w:color="000000" w:fill="000000"/>
                <w:fitText w:val="30" w:id="-1500824829"/>
                <w14:textFill>
                  <w14:solidFill>
                    <w14:srgbClr w14:val="000000">
                      <w14:alpha w14:val="100000"/>
                    </w14:srgbClr>
                  </w14:solidFill>
                </w14:textFill>
              </w:rPr>
              <w:t xml:space="preserve">　</w:t>
            </w:r>
            <w:r w:rsidR="007A0897" w:rsidRPr="007A0897">
              <w:rPr>
                <w:color w:val="000000"/>
                <w:w w:val="15"/>
                <w:shd w:val="solid" w:color="000000" w:fill="000000"/>
                <w:fitText w:val="30" w:id="-1500824829"/>
                <w14:textFill>
                  <w14:solidFill>
                    <w14:srgbClr w14:val="000000">
                      <w14:alpha w14:val="100000"/>
                    </w14:srgbClr>
                  </w14:solidFill>
                </w14:textFill>
              </w:rPr>
              <w:t>|</w:t>
            </w:r>
            <w:r w:rsidR="007A0897" w:rsidRPr="007A0897">
              <w:rPr>
                <w:rFonts w:hint="eastAsia"/>
                <w:color w:val="000000"/>
                <w:spacing w:val="-35"/>
                <w:w w:val="15"/>
                <w:shd w:val="solid" w:color="000000" w:fill="000000"/>
                <w:fitText w:val="30" w:id="-1500824829"/>
                <w14:textFill>
                  <w14:solidFill>
                    <w14:srgbClr w14:val="000000">
                      <w14:alpha w14:val="100000"/>
                    </w14:srgbClr>
                  </w14:solidFill>
                </w14:textFill>
              </w:rPr>
              <w:t xml:space="preserve">　</w:t>
            </w:r>
            <w:r w:rsidR="00DB6FCC">
              <w:rPr>
                <w:vertAlign w:val="superscript"/>
              </w:rPr>
              <w:t>4</w:t>
            </w:r>
          </w:p>
        </w:tc>
      </w:tr>
      <w:tr w:rsidR="00385A9D" w:rsidRPr="00B07FB9" w14:paraId="4FA07BD8" w14:textId="77777777" w:rsidTr="004931A4">
        <w:tc>
          <w:tcPr>
            <w:tcW w:w="5000" w:type="pct"/>
            <w:gridSpan w:val="7"/>
            <w:shd w:val="clear" w:color="auto" w:fill="auto"/>
            <w:vAlign w:val="center"/>
          </w:tcPr>
          <w:p w14:paraId="1A627EA0" w14:textId="50796D75" w:rsidR="00385A9D" w:rsidRPr="00B07FB9" w:rsidRDefault="00385A9D" w:rsidP="00A4339A">
            <w:pPr>
              <w:pStyle w:val="In-tableHeading"/>
              <w:keepLines/>
              <w:widowControl w:val="0"/>
              <w:rPr>
                <w:lang w:val="en-AU"/>
              </w:rPr>
            </w:pPr>
            <w:r w:rsidRPr="00B07FB9">
              <w:rPr>
                <w:lang w:val="en-AU"/>
              </w:rPr>
              <w:t>Net financial implications</w:t>
            </w:r>
            <w:r w:rsidRPr="00B07FB9">
              <w:rPr>
                <w:color w:val="4BACC6" w:themeColor="accent5"/>
                <w:lang w:val="en-AU"/>
              </w:rPr>
              <w:t xml:space="preserve"> </w:t>
            </w:r>
          </w:p>
        </w:tc>
      </w:tr>
      <w:tr w:rsidR="00E70244" w:rsidRPr="00B07FB9" w14:paraId="3F33D4C6" w14:textId="77777777" w:rsidTr="006D429D">
        <w:tc>
          <w:tcPr>
            <w:tcW w:w="1157" w:type="pct"/>
            <w:shd w:val="clear" w:color="auto" w:fill="auto"/>
            <w:vAlign w:val="center"/>
          </w:tcPr>
          <w:p w14:paraId="5ABBDE64" w14:textId="6664C8C5" w:rsidR="00E70244" w:rsidRPr="00B07FB9" w:rsidRDefault="00E70244" w:rsidP="00A4339A">
            <w:pPr>
              <w:pStyle w:val="TableText0"/>
              <w:keepLines/>
              <w:widowControl w:val="0"/>
              <w:rPr>
                <w:sz w:val="19"/>
                <w:szCs w:val="19"/>
              </w:rPr>
            </w:pPr>
            <w:r w:rsidRPr="00B07FB9">
              <w:rPr>
                <w:sz w:val="19"/>
                <w:szCs w:val="19"/>
              </w:rPr>
              <w:t>Net cost to PBS/RPBS</w:t>
            </w:r>
            <w:r w:rsidR="00C652B2">
              <w:rPr>
                <w:sz w:val="19"/>
                <w:szCs w:val="19"/>
              </w:rPr>
              <w:t xml:space="preserve"> ($)</w:t>
            </w:r>
          </w:p>
        </w:tc>
        <w:tc>
          <w:tcPr>
            <w:tcW w:w="635" w:type="pct"/>
            <w:shd w:val="clear" w:color="auto" w:fill="auto"/>
          </w:tcPr>
          <w:p w14:paraId="744F82C2" w14:textId="4655B7A7"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52"/>
                <w14:textFill>
                  <w14:solidFill>
                    <w14:srgbClr w14:val="000000">
                      <w14:alpha w14:val="100000"/>
                    </w14:srgbClr>
                  </w14:solidFill>
                </w14:textFill>
              </w:rPr>
              <w:t xml:space="preserve">　</w:t>
            </w:r>
            <w:r w:rsidRPr="00385E8C">
              <w:rPr>
                <w:color w:val="000000"/>
                <w:w w:val="15"/>
                <w:shd w:val="solid" w:color="000000" w:fill="000000"/>
                <w:fitText w:val="20" w:id="-1500823552"/>
                <w14:textFill>
                  <w14:solidFill>
                    <w14:srgbClr w14:val="000000">
                      <w14:alpha w14:val="100000"/>
                    </w14:srgbClr>
                  </w14:solidFill>
                </w14:textFill>
              </w:rPr>
              <w:t>|</w:t>
            </w:r>
            <w:r w:rsidRPr="00385E8C">
              <w:rPr>
                <w:rFonts w:hint="eastAsia"/>
                <w:color w:val="000000"/>
                <w:spacing w:val="-45"/>
                <w:w w:val="15"/>
                <w:shd w:val="solid" w:color="000000" w:fill="000000"/>
                <w:fitText w:val="20" w:id="-1500823552"/>
                <w14:textFill>
                  <w14:solidFill>
                    <w14:srgbClr w14:val="000000">
                      <w14:alpha w14:val="100000"/>
                    </w14:srgbClr>
                  </w14:solidFill>
                </w14:textFill>
              </w:rPr>
              <w:t xml:space="preserve">　</w:t>
            </w:r>
            <w:r w:rsidR="00B85BA5">
              <w:rPr>
                <w:vertAlign w:val="superscript"/>
              </w:rPr>
              <w:t>4</w:t>
            </w:r>
          </w:p>
        </w:tc>
        <w:tc>
          <w:tcPr>
            <w:tcW w:w="635" w:type="pct"/>
            <w:shd w:val="clear" w:color="auto" w:fill="auto"/>
          </w:tcPr>
          <w:p w14:paraId="295843EA" w14:textId="3FF1FB39"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51"/>
                <w14:textFill>
                  <w14:solidFill>
                    <w14:srgbClr w14:val="000000">
                      <w14:alpha w14:val="100000"/>
                    </w14:srgbClr>
                  </w14:solidFill>
                </w14:textFill>
              </w:rPr>
              <w:t xml:space="preserve">　</w:t>
            </w:r>
            <w:r w:rsidRPr="00385E8C">
              <w:rPr>
                <w:color w:val="000000"/>
                <w:w w:val="15"/>
                <w:shd w:val="solid" w:color="000000" w:fill="000000"/>
                <w:fitText w:val="20" w:id="-1500823551"/>
                <w14:textFill>
                  <w14:solidFill>
                    <w14:srgbClr w14:val="000000">
                      <w14:alpha w14:val="100000"/>
                    </w14:srgbClr>
                  </w14:solidFill>
                </w14:textFill>
              </w:rPr>
              <w:t>|</w:t>
            </w:r>
            <w:r w:rsidRPr="00385E8C">
              <w:rPr>
                <w:rFonts w:hint="eastAsia"/>
                <w:color w:val="000000"/>
                <w:spacing w:val="-45"/>
                <w:w w:val="15"/>
                <w:shd w:val="solid" w:color="000000" w:fill="000000"/>
                <w:fitText w:val="20" w:id="-1500823551"/>
                <w14:textFill>
                  <w14:solidFill>
                    <w14:srgbClr w14:val="000000">
                      <w14:alpha w14:val="100000"/>
                    </w14:srgbClr>
                  </w14:solidFill>
                </w14:textFill>
              </w:rPr>
              <w:t xml:space="preserve">　</w:t>
            </w:r>
            <w:r w:rsidR="00B85BA5">
              <w:rPr>
                <w:vertAlign w:val="superscript"/>
              </w:rPr>
              <w:t>4</w:t>
            </w:r>
          </w:p>
        </w:tc>
        <w:tc>
          <w:tcPr>
            <w:tcW w:w="635" w:type="pct"/>
            <w:shd w:val="clear" w:color="auto" w:fill="auto"/>
          </w:tcPr>
          <w:p w14:paraId="3A32302A" w14:textId="729A38CE"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50"/>
                <w14:textFill>
                  <w14:solidFill>
                    <w14:srgbClr w14:val="000000">
                      <w14:alpha w14:val="100000"/>
                    </w14:srgbClr>
                  </w14:solidFill>
                </w14:textFill>
              </w:rPr>
              <w:t xml:space="preserve">　</w:t>
            </w:r>
            <w:r w:rsidRPr="00385E8C">
              <w:rPr>
                <w:color w:val="000000"/>
                <w:w w:val="15"/>
                <w:shd w:val="solid" w:color="000000" w:fill="000000"/>
                <w:fitText w:val="20" w:id="-1500823550"/>
                <w14:textFill>
                  <w14:solidFill>
                    <w14:srgbClr w14:val="000000">
                      <w14:alpha w14:val="100000"/>
                    </w14:srgbClr>
                  </w14:solidFill>
                </w14:textFill>
              </w:rPr>
              <w:t>|</w:t>
            </w:r>
            <w:r w:rsidRPr="00385E8C">
              <w:rPr>
                <w:rFonts w:hint="eastAsia"/>
                <w:color w:val="000000"/>
                <w:spacing w:val="-45"/>
                <w:w w:val="15"/>
                <w:shd w:val="solid" w:color="000000" w:fill="000000"/>
                <w:fitText w:val="20" w:id="-1500823550"/>
                <w14:textFill>
                  <w14:solidFill>
                    <w14:srgbClr w14:val="000000">
                      <w14:alpha w14:val="100000"/>
                    </w14:srgbClr>
                  </w14:solidFill>
                </w14:textFill>
              </w:rPr>
              <w:t xml:space="preserve">　</w:t>
            </w:r>
            <w:r w:rsidR="00DB6FCC">
              <w:rPr>
                <w:vertAlign w:val="superscript"/>
              </w:rPr>
              <w:t>3</w:t>
            </w:r>
          </w:p>
        </w:tc>
        <w:tc>
          <w:tcPr>
            <w:tcW w:w="635" w:type="pct"/>
            <w:shd w:val="clear" w:color="auto" w:fill="auto"/>
          </w:tcPr>
          <w:p w14:paraId="326E9207" w14:textId="1144CFBE"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9"/>
                <w14:textFill>
                  <w14:solidFill>
                    <w14:srgbClr w14:val="000000">
                      <w14:alpha w14:val="100000"/>
                    </w14:srgbClr>
                  </w14:solidFill>
                </w14:textFill>
              </w:rPr>
              <w:t xml:space="preserve">　</w:t>
            </w:r>
            <w:r w:rsidRPr="00385E8C">
              <w:rPr>
                <w:color w:val="000000"/>
                <w:w w:val="15"/>
                <w:shd w:val="solid" w:color="000000" w:fill="000000"/>
                <w:fitText w:val="20" w:id="-1500823549"/>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9"/>
                <w14:textFill>
                  <w14:solidFill>
                    <w14:srgbClr w14:val="000000">
                      <w14:alpha w14:val="100000"/>
                    </w14:srgbClr>
                  </w14:solidFill>
                </w14:textFill>
              </w:rPr>
              <w:t xml:space="preserve">　</w:t>
            </w:r>
            <w:r w:rsidR="00DB6FCC">
              <w:rPr>
                <w:vertAlign w:val="superscript"/>
              </w:rPr>
              <w:t>3</w:t>
            </w:r>
          </w:p>
        </w:tc>
        <w:tc>
          <w:tcPr>
            <w:tcW w:w="635" w:type="pct"/>
            <w:shd w:val="clear" w:color="auto" w:fill="auto"/>
          </w:tcPr>
          <w:p w14:paraId="56E4D70E" w14:textId="58362534" w:rsidR="00E70244"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8"/>
                <w14:textFill>
                  <w14:solidFill>
                    <w14:srgbClr w14:val="000000">
                      <w14:alpha w14:val="100000"/>
                    </w14:srgbClr>
                  </w14:solidFill>
                </w14:textFill>
              </w:rPr>
              <w:t xml:space="preserve">　</w:t>
            </w:r>
            <w:r w:rsidRPr="00385E8C">
              <w:rPr>
                <w:color w:val="000000"/>
                <w:w w:val="15"/>
                <w:shd w:val="solid" w:color="000000" w:fill="000000"/>
                <w:fitText w:val="20" w:id="-1500823548"/>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8"/>
                <w14:textFill>
                  <w14:solidFill>
                    <w14:srgbClr w14:val="000000">
                      <w14:alpha w14:val="100000"/>
                    </w14:srgbClr>
                  </w14:solidFill>
                </w14:textFill>
              </w:rPr>
              <w:t xml:space="preserve">　</w:t>
            </w:r>
            <w:r w:rsidR="00DB6FCC">
              <w:rPr>
                <w:vertAlign w:val="superscript"/>
              </w:rPr>
              <w:t>3</w:t>
            </w:r>
          </w:p>
        </w:tc>
        <w:tc>
          <w:tcPr>
            <w:tcW w:w="669" w:type="pct"/>
          </w:tcPr>
          <w:p w14:paraId="241B1CFD" w14:textId="52ACC1C7" w:rsidR="00E70244" w:rsidRPr="00C652B2" w:rsidRDefault="007A0897" w:rsidP="00A4339A">
            <w:pPr>
              <w:pStyle w:val="TableText0"/>
              <w:keepLines/>
              <w:widowControl w:val="0"/>
              <w:jc w:val="center"/>
              <w:rPr>
                <w:highlight w:val="yellow"/>
              </w:rPr>
            </w:pPr>
            <w:r w:rsidRPr="007A0897">
              <w:rPr>
                <w:color w:val="000000"/>
                <w:shd w:val="solid" w:color="000000" w:fill="000000"/>
                <w14:textFill>
                  <w14:solidFill>
                    <w14:srgbClr w14:val="000000">
                      <w14:alpha w14:val="100000"/>
                    </w14:srgbClr>
                  </w14:solidFill>
                </w14:textFill>
              </w:rPr>
              <w:t>|</w:t>
            </w:r>
            <w:r w:rsidR="00DB6FCC">
              <w:rPr>
                <w:vertAlign w:val="superscript"/>
              </w:rPr>
              <w:t>3</w:t>
            </w:r>
          </w:p>
        </w:tc>
      </w:tr>
      <w:tr w:rsidR="001D0969" w:rsidRPr="00B07FB9" w14:paraId="571B64F4" w14:textId="77777777" w:rsidTr="006D429D">
        <w:tc>
          <w:tcPr>
            <w:tcW w:w="1157" w:type="pct"/>
            <w:shd w:val="clear" w:color="auto" w:fill="auto"/>
            <w:vAlign w:val="center"/>
          </w:tcPr>
          <w:p w14:paraId="427698FB" w14:textId="43771A5D" w:rsidR="001D0969" w:rsidRPr="00B07FB9" w:rsidRDefault="001D0969" w:rsidP="00A4339A">
            <w:pPr>
              <w:pStyle w:val="TableText0"/>
              <w:keepLines/>
              <w:widowControl w:val="0"/>
              <w:rPr>
                <w:rFonts w:ascii="Times" w:hAnsi="Times"/>
              </w:rPr>
            </w:pPr>
            <w:r w:rsidRPr="00B07FB9">
              <w:rPr>
                <w:sz w:val="19"/>
                <w:szCs w:val="19"/>
              </w:rPr>
              <w:t>Net cost to MBS</w:t>
            </w:r>
            <w:r w:rsidR="00C652B2">
              <w:rPr>
                <w:sz w:val="19"/>
                <w:szCs w:val="19"/>
              </w:rPr>
              <w:t xml:space="preserve"> ($)</w:t>
            </w:r>
          </w:p>
        </w:tc>
        <w:tc>
          <w:tcPr>
            <w:tcW w:w="635" w:type="pct"/>
            <w:shd w:val="clear" w:color="auto" w:fill="auto"/>
          </w:tcPr>
          <w:p w14:paraId="5AD7A1FC" w14:textId="34A42033"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7"/>
                <w14:textFill>
                  <w14:solidFill>
                    <w14:srgbClr w14:val="000000">
                      <w14:alpha w14:val="100000"/>
                    </w14:srgbClr>
                  </w14:solidFill>
                </w14:textFill>
              </w:rPr>
              <w:t xml:space="preserve">　</w:t>
            </w:r>
            <w:r w:rsidRPr="00385E8C">
              <w:rPr>
                <w:color w:val="000000"/>
                <w:w w:val="15"/>
                <w:shd w:val="solid" w:color="000000" w:fill="000000"/>
                <w:fitText w:val="20" w:id="-1500823547"/>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7"/>
                <w14:textFill>
                  <w14:solidFill>
                    <w14:srgbClr w14:val="000000">
                      <w14:alpha w14:val="100000"/>
                    </w14:srgbClr>
                  </w14:solidFill>
                </w14:textFill>
              </w:rPr>
              <w:t xml:space="preserve">　</w:t>
            </w:r>
            <w:r w:rsidR="00B85BA5">
              <w:rPr>
                <w:vertAlign w:val="superscript"/>
              </w:rPr>
              <w:t>4</w:t>
            </w:r>
          </w:p>
        </w:tc>
        <w:tc>
          <w:tcPr>
            <w:tcW w:w="635" w:type="pct"/>
            <w:shd w:val="clear" w:color="auto" w:fill="auto"/>
          </w:tcPr>
          <w:p w14:paraId="1D6E215B" w14:textId="761978CE"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6"/>
                <w14:textFill>
                  <w14:solidFill>
                    <w14:srgbClr w14:val="000000">
                      <w14:alpha w14:val="100000"/>
                    </w14:srgbClr>
                  </w14:solidFill>
                </w14:textFill>
              </w:rPr>
              <w:t xml:space="preserve">　</w:t>
            </w:r>
            <w:r w:rsidRPr="00385E8C">
              <w:rPr>
                <w:color w:val="000000"/>
                <w:w w:val="15"/>
                <w:shd w:val="solid" w:color="000000" w:fill="000000"/>
                <w:fitText w:val="20" w:id="-1500823546"/>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6"/>
                <w14:textFill>
                  <w14:solidFill>
                    <w14:srgbClr w14:val="000000">
                      <w14:alpha w14:val="100000"/>
                    </w14:srgbClr>
                  </w14:solidFill>
                </w14:textFill>
              </w:rPr>
              <w:t xml:space="preserve">　</w:t>
            </w:r>
            <w:r w:rsidR="00B85BA5">
              <w:rPr>
                <w:vertAlign w:val="superscript"/>
              </w:rPr>
              <w:t>4</w:t>
            </w:r>
          </w:p>
        </w:tc>
        <w:tc>
          <w:tcPr>
            <w:tcW w:w="635" w:type="pct"/>
            <w:shd w:val="clear" w:color="auto" w:fill="auto"/>
          </w:tcPr>
          <w:p w14:paraId="25026D9D" w14:textId="7EABE1FD"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5"/>
                <w14:textFill>
                  <w14:solidFill>
                    <w14:srgbClr w14:val="000000">
                      <w14:alpha w14:val="100000"/>
                    </w14:srgbClr>
                  </w14:solidFill>
                </w14:textFill>
              </w:rPr>
              <w:t xml:space="preserve">　</w:t>
            </w:r>
            <w:r w:rsidRPr="00385E8C">
              <w:rPr>
                <w:color w:val="000000"/>
                <w:w w:val="15"/>
                <w:shd w:val="solid" w:color="000000" w:fill="000000"/>
                <w:fitText w:val="20" w:id="-1500823545"/>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5"/>
                <w14:textFill>
                  <w14:solidFill>
                    <w14:srgbClr w14:val="000000">
                      <w14:alpha w14:val="100000"/>
                    </w14:srgbClr>
                  </w14:solidFill>
                </w14:textFill>
              </w:rPr>
              <w:t xml:space="preserve">　</w:t>
            </w:r>
            <w:r w:rsidR="00B85BA5">
              <w:rPr>
                <w:vertAlign w:val="superscript"/>
              </w:rPr>
              <w:t>4</w:t>
            </w:r>
          </w:p>
        </w:tc>
        <w:tc>
          <w:tcPr>
            <w:tcW w:w="635" w:type="pct"/>
            <w:shd w:val="clear" w:color="auto" w:fill="auto"/>
          </w:tcPr>
          <w:p w14:paraId="6933D36F" w14:textId="3C1BC430"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4"/>
                <w14:textFill>
                  <w14:solidFill>
                    <w14:srgbClr w14:val="000000">
                      <w14:alpha w14:val="100000"/>
                    </w14:srgbClr>
                  </w14:solidFill>
                </w14:textFill>
              </w:rPr>
              <w:t xml:space="preserve">　</w:t>
            </w:r>
            <w:r w:rsidRPr="00385E8C">
              <w:rPr>
                <w:color w:val="000000"/>
                <w:w w:val="15"/>
                <w:shd w:val="solid" w:color="000000" w:fill="000000"/>
                <w:fitText w:val="20" w:id="-1500823544"/>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4"/>
                <w14:textFill>
                  <w14:solidFill>
                    <w14:srgbClr w14:val="000000">
                      <w14:alpha w14:val="100000"/>
                    </w14:srgbClr>
                  </w14:solidFill>
                </w14:textFill>
              </w:rPr>
              <w:t xml:space="preserve">　</w:t>
            </w:r>
            <w:r w:rsidR="00B85BA5">
              <w:rPr>
                <w:vertAlign w:val="superscript"/>
              </w:rPr>
              <w:t>4</w:t>
            </w:r>
          </w:p>
        </w:tc>
        <w:tc>
          <w:tcPr>
            <w:tcW w:w="635" w:type="pct"/>
            <w:shd w:val="clear" w:color="auto" w:fill="auto"/>
          </w:tcPr>
          <w:p w14:paraId="04433A65" w14:textId="2F6436D2"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3"/>
                <w14:textFill>
                  <w14:solidFill>
                    <w14:srgbClr w14:val="000000">
                      <w14:alpha w14:val="100000"/>
                    </w14:srgbClr>
                  </w14:solidFill>
                </w14:textFill>
              </w:rPr>
              <w:t xml:space="preserve">　</w:t>
            </w:r>
            <w:r w:rsidRPr="00385E8C">
              <w:rPr>
                <w:color w:val="000000"/>
                <w:w w:val="15"/>
                <w:shd w:val="solid" w:color="000000" w:fill="000000"/>
                <w:fitText w:val="20" w:id="-1500823543"/>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3"/>
                <w14:textFill>
                  <w14:solidFill>
                    <w14:srgbClr w14:val="000000">
                      <w14:alpha w14:val="100000"/>
                    </w14:srgbClr>
                  </w14:solidFill>
                </w14:textFill>
              </w:rPr>
              <w:t xml:space="preserve">　</w:t>
            </w:r>
            <w:r w:rsidR="00B85BA5">
              <w:rPr>
                <w:vertAlign w:val="superscript"/>
              </w:rPr>
              <w:t>4</w:t>
            </w:r>
          </w:p>
        </w:tc>
        <w:tc>
          <w:tcPr>
            <w:tcW w:w="669" w:type="pct"/>
          </w:tcPr>
          <w:p w14:paraId="2223EBD7" w14:textId="619C009A" w:rsidR="001D0969" w:rsidRPr="00C652B2" w:rsidRDefault="007A0897" w:rsidP="00A4339A">
            <w:pPr>
              <w:pStyle w:val="TableText0"/>
              <w:keepLines/>
              <w:widowControl w:val="0"/>
              <w:jc w:val="center"/>
              <w:rPr>
                <w:highlight w:val="yellow"/>
              </w:rPr>
            </w:pPr>
            <w:r w:rsidRPr="007A0897">
              <w:rPr>
                <w:color w:val="000000"/>
                <w:shd w:val="solid" w:color="000000" w:fill="000000"/>
                <w14:textFill>
                  <w14:solidFill>
                    <w14:srgbClr w14:val="000000">
                      <w14:alpha w14:val="100000"/>
                    </w14:srgbClr>
                  </w14:solidFill>
                </w14:textFill>
              </w:rPr>
              <w:t>|</w:t>
            </w:r>
            <w:r w:rsidR="00B85BA5">
              <w:rPr>
                <w:vertAlign w:val="superscript"/>
              </w:rPr>
              <w:t>4</w:t>
            </w:r>
          </w:p>
        </w:tc>
      </w:tr>
      <w:tr w:rsidR="001D0969" w:rsidRPr="00B07FB9" w14:paraId="123830C0" w14:textId="77777777" w:rsidTr="006D429D">
        <w:tc>
          <w:tcPr>
            <w:tcW w:w="1157" w:type="pct"/>
            <w:tcBorders>
              <w:bottom w:val="single" w:sz="4" w:space="0" w:color="auto"/>
            </w:tcBorders>
            <w:shd w:val="clear" w:color="auto" w:fill="auto"/>
            <w:vAlign w:val="center"/>
          </w:tcPr>
          <w:p w14:paraId="50FCDA47" w14:textId="4B3B31BC" w:rsidR="001D0969" w:rsidRPr="00B07FB9" w:rsidRDefault="001D0969" w:rsidP="00A4339A">
            <w:pPr>
              <w:pStyle w:val="TableText0"/>
              <w:keepLines/>
              <w:widowControl w:val="0"/>
              <w:rPr>
                <w:sz w:val="19"/>
                <w:szCs w:val="19"/>
              </w:rPr>
            </w:pPr>
            <w:r w:rsidRPr="00B07FB9">
              <w:rPr>
                <w:sz w:val="19"/>
                <w:szCs w:val="19"/>
              </w:rPr>
              <w:t>Net cost to PBS/RPBS/MBS</w:t>
            </w:r>
            <w:r w:rsidR="00C652B2">
              <w:rPr>
                <w:sz w:val="19"/>
                <w:szCs w:val="19"/>
              </w:rPr>
              <w:t xml:space="preserve"> ($)</w:t>
            </w:r>
          </w:p>
        </w:tc>
        <w:tc>
          <w:tcPr>
            <w:tcW w:w="635" w:type="pct"/>
            <w:tcBorders>
              <w:bottom w:val="single" w:sz="4" w:space="0" w:color="auto"/>
            </w:tcBorders>
            <w:shd w:val="clear" w:color="auto" w:fill="auto"/>
          </w:tcPr>
          <w:p w14:paraId="0F4EB661" w14:textId="1992385F"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2"/>
                <w14:textFill>
                  <w14:solidFill>
                    <w14:srgbClr w14:val="000000">
                      <w14:alpha w14:val="100000"/>
                    </w14:srgbClr>
                  </w14:solidFill>
                </w14:textFill>
              </w:rPr>
              <w:t xml:space="preserve">　</w:t>
            </w:r>
            <w:r w:rsidRPr="00385E8C">
              <w:rPr>
                <w:color w:val="000000"/>
                <w:w w:val="15"/>
                <w:shd w:val="solid" w:color="000000" w:fill="000000"/>
                <w:fitText w:val="20" w:id="-1500823542"/>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2"/>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tcPr>
          <w:p w14:paraId="59B75FE2" w14:textId="26AB7478"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1"/>
                <w14:textFill>
                  <w14:solidFill>
                    <w14:srgbClr w14:val="000000">
                      <w14:alpha w14:val="100000"/>
                    </w14:srgbClr>
                  </w14:solidFill>
                </w14:textFill>
              </w:rPr>
              <w:t xml:space="preserve">　</w:t>
            </w:r>
            <w:r w:rsidRPr="00385E8C">
              <w:rPr>
                <w:color w:val="000000"/>
                <w:w w:val="15"/>
                <w:shd w:val="solid" w:color="000000" w:fill="000000"/>
                <w:fitText w:val="20" w:id="-1500823541"/>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1"/>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tcPr>
          <w:p w14:paraId="6AE6473A" w14:textId="4605E6F8"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40"/>
                <w14:textFill>
                  <w14:solidFill>
                    <w14:srgbClr w14:val="000000">
                      <w14:alpha w14:val="100000"/>
                    </w14:srgbClr>
                  </w14:solidFill>
                </w14:textFill>
              </w:rPr>
              <w:t xml:space="preserve">　</w:t>
            </w:r>
            <w:r w:rsidRPr="00385E8C">
              <w:rPr>
                <w:color w:val="000000"/>
                <w:w w:val="15"/>
                <w:shd w:val="solid" w:color="000000" w:fill="000000"/>
                <w:fitText w:val="20" w:id="-1500823540"/>
                <w14:textFill>
                  <w14:solidFill>
                    <w14:srgbClr w14:val="000000">
                      <w14:alpha w14:val="100000"/>
                    </w14:srgbClr>
                  </w14:solidFill>
                </w14:textFill>
              </w:rPr>
              <w:t>|</w:t>
            </w:r>
            <w:r w:rsidRPr="00385E8C">
              <w:rPr>
                <w:rFonts w:hint="eastAsia"/>
                <w:color w:val="000000"/>
                <w:spacing w:val="-45"/>
                <w:w w:val="15"/>
                <w:shd w:val="solid" w:color="000000" w:fill="000000"/>
                <w:fitText w:val="20" w:id="-1500823540"/>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tcPr>
          <w:p w14:paraId="1F476C04" w14:textId="4A3911D2"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39"/>
                <w14:textFill>
                  <w14:solidFill>
                    <w14:srgbClr w14:val="000000">
                      <w14:alpha w14:val="100000"/>
                    </w14:srgbClr>
                  </w14:solidFill>
                </w14:textFill>
              </w:rPr>
              <w:t xml:space="preserve">　</w:t>
            </w:r>
            <w:r w:rsidRPr="00385E8C">
              <w:rPr>
                <w:color w:val="000000"/>
                <w:w w:val="15"/>
                <w:shd w:val="solid" w:color="000000" w:fill="000000"/>
                <w:fitText w:val="20" w:id="-1500823539"/>
                <w14:textFill>
                  <w14:solidFill>
                    <w14:srgbClr w14:val="000000">
                      <w14:alpha w14:val="100000"/>
                    </w14:srgbClr>
                  </w14:solidFill>
                </w14:textFill>
              </w:rPr>
              <w:t>|</w:t>
            </w:r>
            <w:r w:rsidRPr="00385E8C">
              <w:rPr>
                <w:rFonts w:hint="eastAsia"/>
                <w:color w:val="000000"/>
                <w:spacing w:val="-45"/>
                <w:w w:val="15"/>
                <w:shd w:val="solid" w:color="000000" w:fill="000000"/>
                <w:fitText w:val="20" w:id="-1500823539"/>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tcPr>
          <w:p w14:paraId="12079751" w14:textId="5009BD2F" w:rsidR="001D0969"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38"/>
                <w14:textFill>
                  <w14:solidFill>
                    <w14:srgbClr w14:val="000000">
                      <w14:alpha w14:val="100000"/>
                    </w14:srgbClr>
                  </w14:solidFill>
                </w14:textFill>
              </w:rPr>
              <w:t xml:space="preserve">　</w:t>
            </w:r>
            <w:r w:rsidRPr="00385E8C">
              <w:rPr>
                <w:color w:val="000000"/>
                <w:w w:val="15"/>
                <w:shd w:val="solid" w:color="000000" w:fill="000000"/>
                <w:fitText w:val="20" w:id="-1500823538"/>
                <w14:textFill>
                  <w14:solidFill>
                    <w14:srgbClr w14:val="000000">
                      <w14:alpha w14:val="100000"/>
                    </w14:srgbClr>
                  </w14:solidFill>
                </w14:textFill>
              </w:rPr>
              <w:t>|</w:t>
            </w:r>
            <w:r w:rsidRPr="00385E8C">
              <w:rPr>
                <w:rFonts w:hint="eastAsia"/>
                <w:color w:val="000000"/>
                <w:spacing w:val="-45"/>
                <w:w w:val="15"/>
                <w:shd w:val="solid" w:color="000000" w:fill="000000"/>
                <w:fitText w:val="20" w:id="-1500823538"/>
                <w14:textFill>
                  <w14:solidFill>
                    <w14:srgbClr w14:val="000000">
                      <w14:alpha w14:val="100000"/>
                    </w14:srgbClr>
                  </w14:solidFill>
                </w14:textFill>
              </w:rPr>
              <w:t xml:space="preserve">　</w:t>
            </w:r>
            <w:r w:rsidR="00DB6FCC">
              <w:rPr>
                <w:vertAlign w:val="superscript"/>
              </w:rPr>
              <w:t>3</w:t>
            </w:r>
          </w:p>
        </w:tc>
        <w:tc>
          <w:tcPr>
            <w:tcW w:w="669" w:type="pct"/>
            <w:tcBorders>
              <w:bottom w:val="single" w:sz="4" w:space="0" w:color="auto"/>
            </w:tcBorders>
          </w:tcPr>
          <w:p w14:paraId="4844CB4D" w14:textId="7A19F6A7" w:rsidR="001D0969" w:rsidRPr="00C652B2" w:rsidRDefault="007A0897" w:rsidP="00A4339A">
            <w:pPr>
              <w:pStyle w:val="TableText0"/>
              <w:keepLines/>
              <w:widowControl w:val="0"/>
              <w:jc w:val="center"/>
              <w:rPr>
                <w:highlight w:val="yellow"/>
              </w:rPr>
            </w:pPr>
            <w:r w:rsidRPr="007A0897">
              <w:rPr>
                <w:color w:val="000000"/>
                <w:shd w:val="solid" w:color="000000" w:fill="000000"/>
                <w14:textFill>
                  <w14:solidFill>
                    <w14:srgbClr w14:val="000000">
                      <w14:alpha w14:val="100000"/>
                    </w14:srgbClr>
                  </w14:solidFill>
                </w14:textFill>
              </w:rPr>
              <w:t>|</w:t>
            </w:r>
            <w:r w:rsidR="00DB6FCC">
              <w:rPr>
                <w:vertAlign w:val="superscript"/>
              </w:rPr>
              <w:t>3</w:t>
            </w:r>
          </w:p>
        </w:tc>
      </w:tr>
      <w:tr w:rsidR="004C12BE" w:rsidRPr="00B07FB9" w14:paraId="09430950" w14:textId="77777777" w:rsidTr="004931A4">
        <w:tc>
          <w:tcPr>
            <w:tcW w:w="5000" w:type="pct"/>
            <w:gridSpan w:val="7"/>
            <w:shd w:val="clear" w:color="auto" w:fill="auto"/>
            <w:vAlign w:val="center"/>
          </w:tcPr>
          <w:p w14:paraId="47CFC846" w14:textId="65F0C9FF" w:rsidR="004C12BE" w:rsidRPr="00B07FB9" w:rsidRDefault="004C12BE" w:rsidP="00FB0C7B">
            <w:pPr>
              <w:pStyle w:val="In-tableHeading"/>
              <w:keepLines/>
              <w:widowControl w:val="0"/>
              <w:rPr>
                <w:lang w:val="en-AU"/>
              </w:rPr>
            </w:pPr>
            <w:r w:rsidRPr="00B07FB9">
              <w:rPr>
                <w:lang w:val="en-AU"/>
              </w:rPr>
              <w:t>Net financial implications – revised PSCR</w:t>
            </w:r>
          </w:p>
        </w:tc>
      </w:tr>
      <w:tr w:rsidR="004931A4" w:rsidRPr="00B07FB9" w14:paraId="53F45939" w14:textId="77777777" w:rsidTr="006D429D">
        <w:tc>
          <w:tcPr>
            <w:tcW w:w="1157" w:type="pct"/>
            <w:tcBorders>
              <w:bottom w:val="single" w:sz="4" w:space="0" w:color="auto"/>
            </w:tcBorders>
            <w:shd w:val="clear" w:color="auto" w:fill="auto"/>
            <w:vAlign w:val="center"/>
          </w:tcPr>
          <w:p w14:paraId="0E2FE76D" w14:textId="38EFCBDE" w:rsidR="004931A4" w:rsidRPr="00B07FB9" w:rsidRDefault="004931A4" w:rsidP="004931A4">
            <w:pPr>
              <w:pStyle w:val="TableText0"/>
              <w:keepLines/>
              <w:widowControl w:val="0"/>
              <w:rPr>
                <w:sz w:val="19"/>
                <w:szCs w:val="19"/>
              </w:rPr>
            </w:pPr>
            <w:r w:rsidRPr="00B07FB9">
              <w:rPr>
                <w:szCs w:val="20"/>
              </w:rPr>
              <w:t>New listing</w:t>
            </w:r>
            <w:r w:rsidR="00C652B2">
              <w:rPr>
                <w:sz w:val="19"/>
                <w:szCs w:val="19"/>
              </w:rPr>
              <w:t xml:space="preserve"> ($)</w:t>
            </w:r>
          </w:p>
        </w:tc>
        <w:tc>
          <w:tcPr>
            <w:tcW w:w="635" w:type="pct"/>
            <w:tcBorders>
              <w:bottom w:val="single" w:sz="4" w:space="0" w:color="auto"/>
            </w:tcBorders>
            <w:shd w:val="clear" w:color="auto" w:fill="auto"/>
          </w:tcPr>
          <w:p w14:paraId="5ECDF977" w14:textId="507C9929"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37"/>
                <w14:textFill>
                  <w14:solidFill>
                    <w14:srgbClr w14:val="000000">
                      <w14:alpha w14:val="100000"/>
                    </w14:srgbClr>
                  </w14:solidFill>
                </w14:textFill>
              </w:rPr>
              <w:t xml:space="preserve">　</w:t>
            </w:r>
            <w:r w:rsidRPr="00385E8C">
              <w:rPr>
                <w:color w:val="000000"/>
                <w:w w:val="15"/>
                <w:szCs w:val="20"/>
                <w:shd w:val="solid" w:color="000000" w:fill="000000"/>
                <w:fitText w:val="20" w:id="-1500823537"/>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37"/>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tcPr>
          <w:p w14:paraId="1EE84544" w14:textId="63E2AF36"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36"/>
                <w14:textFill>
                  <w14:solidFill>
                    <w14:srgbClr w14:val="000000">
                      <w14:alpha w14:val="100000"/>
                    </w14:srgbClr>
                  </w14:solidFill>
                </w14:textFill>
              </w:rPr>
              <w:t xml:space="preserve">　</w:t>
            </w:r>
            <w:r w:rsidRPr="00385E8C">
              <w:rPr>
                <w:color w:val="000000"/>
                <w:w w:val="15"/>
                <w:szCs w:val="20"/>
                <w:shd w:val="solid" w:color="000000" w:fill="000000"/>
                <w:fitText w:val="20" w:id="-1500823536"/>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36"/>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tcPr>
          <w:p w14:paraId="4FB5FEEB" w14:textId="4615B5DF"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52"/>
                <w14:textFill>
                  <w14:solidFill>
                    <w14:srgbClr w14:val="000000">
                      <w14:alpha w14:val="100000"/>
                    </w14:srgbClr>
                  </w14:solidFill>
                </w14:textFill>
              </w:rPr>
              <w:t xml:space="preserve">　</w:t>
            </w:r>
            <w:r w:rsidRPr="00385E8C">
              <w:rPr>
                <w:color w:val="000000"/>
                <w:w w:val="15"/>
                <w:szCs w:val="20"/>
                <w:shd w:val="solid" w:color="000000" w:fill="000000"/>
                <w:fitText w:val="20" w:id="-1500823552"/>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52"/>
                <w14:textFill>
                  <w14:solidFill>
                    <w14:srgbClr w14:val="000000">
                      <w14:alpha w14:val="100000"/>
                    </w14:srgbClr>
                  </w14:solidFill>
                </w14:textFill>
              </w:rPr>
              <w:t xml:space="preserve">　</w:t>
            </w:r>
            <w:r w:rsidR="00DB6FCC">
              <w:rPr>
                <w:vertAlign w:val="superscript"/>
              </w:rPr>
              <w:t>6</w:t>
            </w:r>
          </w:p>
        </w:tc>
        <w:tc>
          <w:tcPr>
            <w:tcW w:w="635" w:type="pct"/>
            <w:tcBorders>
              <w:bottom w:val="single" w:sz="4" w:space="0" w:color="auto"/>
            </w:tcBorders>
            <w:shd w:val="clear" w:color="auto" w:fill="auto"/>
          </w:tcPr>
          <w:p w14:paraId="14016693" w14:textId="0FD44368"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51"/>
                <w14:textFill>
                  <w14:solidFill>
                    <w14:srgbClr w14:val="000000">
                      <w14:alpha w14:val="100000"/>
                    </w14:srgbClr>
                  </w14:solidFill>
                </w14:textFill>
              </w:rPr>
              <w:t xml:space="preserve">　</w:t>
            </w:r>
            <w:r w:rsidRPr="00385E8C">
              <w:rPr>
                <w:color w:val="000000"/>
                <w:w w:val="15"/>
                <w:szCs w:val="20"/>
                <w:shd w:val="solid" w:color="000000" w:fill="000000"/>
                <w:fitText w:val="20" w:id="-1500823551"/>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51"/>
                <w14:textFill>
                  <w14:solidFill>
                    <w14:srgbClr w14:val="000000">
                      <w14:alpha w14:val="100000"/>
                    </w14:srgbClr>
                  </w14:solidFill>
                </w14:textFill>
              </w:rPr>
              <w:t xml:space="preserve">　</w:t>
            </w:r>
            <w:r w:rsidR="00DB6FCC">
              <w:rPr>
                <w:vertAlign w:val="superscript"/>
              </w:rPr>
              <w:t>6</w:t>
            </w:r>
          </w:p>
        </w:tc>
        <w:tc>
          <w:tcPr>
            <w:tcW w:w="635" w:type="pct"/>
            <w:tcBorders>
              <w:bottom w:val="single" w:sz="4" w:space="0" w:color="auto"/>
            </w:tcBorders>
            <w:shd w:val="clear" w:color="auto" w:fill="auto"/>
          </w:tcPr>
          <w:p w14:paraId="14C8C9C8" w14:textId="66E9D2BF"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50"/>
                <w14:textFill>
                  <w14:solidFill>
                    <w14:srgbClr w14:val="000000">
                      <w14:alpha w14:val="100000"/>
                    </w14:srgbClr>
                  </w14:solidFill>
                </w14:textFill>
              </w:rPr>
              <w:t xml:space="preserve">　</w:t>
            </w:r>
            <w:r w:rsidRPr="00385E8C">
              <w:rPr>
                <w:color w:val="000000"/>
                <w:w w:val="15"/>
                <w:szCs w:val="20"/>
                <w:shd w:val="solid" w:color="000000" w:fill="000000"/>
                <w:fitText w:val="20" w:id="-1500823550"/>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50"/>
                <w14:textFill>
                  <w14:solidFill>
                    <w14:srgbClr w14:val="000000">
                      <w14:alpha w14:val="100000"/>
                    </w14:srgbClr>
                  </w14:solidFill>
                </w14:textFill>
              </w:rPr>
              <w:t xml:space="preserve">　</w:t>
            </w:r>
            <w:r w:rsidR="00DB6FCC">
              <w:rPr>
                <w:vertAlign w:val="superscript"/>
              </w:rPr>
              <w:t>6</w:t>
            </w:r>
          </w:p>
        </w:tc>
        <w:tc>
          <w:tcPr>
            <w:tcW w:w="669" w:type="pct"/>
            <w:tcBorders>
              <w:bottom w:val="single" w:sz="4" w:space="0" w:color="auto"/>
            </w:tcBorders>
          </w:tcPr>
          <w:p w14:paraId="75F1AFDB" w14:textId="6AE27D46" w:rsidR="004931A4" w:rsidRPr="00C652B2" w:rsidRDefault="007A0897" w:rsidP="004931A4">
            <w:pPr>
              <w:pStyle w:val="TableText0"/>
              <w:keepLines/>
              <w:widowControl w:val="0"/>
              <w:jc w:val="center"/>
              <w:rPr>
                <w:highlight w:val="yellow"/>
              </w:rPr>
            </w:pPr>
            <w:r w:rsidRPr="007A0897">
              <w:rPr>
                <w:color w:val="000000"/>
                <w:szCs w:val="20"/>
                <w:shd w:val="solid" w:color="000000" w:fill="000000"/>
                <w14:textFill>
                  <w14:solidFill>
                    <w14:srgbClr w14:val="000000">
                      <w14:alpha w14:val="100000"/>
                    </w14:srgbClr>
                  </w14:solidFill>
                </w14:textFill>
              </w:rPr>
              <w:t>|</w:t>
            </w:r>
            <w:r w:rsidR="00DB6FCC">
              <w:rPr>
                <w:vertAlign w:val="superscript"/>
              </w:rPr>
              <w:t>6</w:t>
            </w:r>
          </w:p>
        </w:tc>
      </w:tr>
      <w:tr w:rsidR="004931A4" w:rsidRPr="00B07FB9" w14:paraId="50428D9F" w14:textId="77777777" w:rsidTr="006D429D">
        <w:tc>
          <w:tcPr>
            <w:tcW w:w="1157" w:type="pct"/>
            <w:tcBorders>
              <w:bottom w:val="single" w:sz="4" w:space="0" w:color="auto"/>
            </w:tcBorders>
            <w:shd w:val="clear" w:color="auto" w:fill="auto"/>
            <w:vAlign w:val="center"/>
          </w:tcPr>
          <w:p w14:paraId="5127DFE7" w14:textId="39BE4F9E" w:rsidR="004931A4" w:rsidRPr="00B07FB9" w:rsidRDefault="004931A4" w:rsidP="004931A4">
            <w:pPr>
              <w:pStyle w:val="TableText0"/>
              <w:keepLines/>
              <w:widowControl w:val="0"/>
              <w:rPr>
                <w:sz w:val="19"/>
                <w:szCs w:val="19"/>
              </w:rPr>
            </w:pPr>
            <w:r w:rsidRPr="00B07FB9">
              <w:rPr>
                <w:szCs w:val="20"/>
              </w:rPr>
              <w:t>Changed listing</w:t>
            </w:r>
            <w:r w:rsidR="00C652B2">
              <w:rPr>
                <w:sz w:val="19"/>
                <w:szCs w:val="19"/>
              </w:rPr>
              <w:t xml:space="preserve"> ($)</w:t>
            </w:r>
          </w:p>
        </w:tc>
        <w:tc>
          <w:tcPr>
            <w:tcW w:w="635" w:type="pct"/>
            <w:tcBorders>
              <w:bottom w:val="single" w:sz="4" w:space="0" w:color="auto"/>
            </w:tcBorders>
            <w:shd w:val="clear" w:color="auto" w:fill="auto"/>
          </w:tcPr>
          <w:p w14:paraId="01C57810" w14:textId="41122FEB" w:rsidR="004931A4" w:rsidRPr="00B07FB9" w:rsidRDefault="004931A4" w:rsidP="004931A4">
            <w:pPr>
              <w:pStyle w:val="TableText0"/>
              <w:keepLines/>
              <w:widowControl w:val="0"/>
              <w:jc w:val="center"/>
            </w:pPr>
            <w:r w:rsidRPr="00B07FB9">
              <w:rPr>
                <w:szCs w:val="20"/>
              </w:rPr>
              <w:t>-</w:t>
            </w:r>
            <w:r w:rsidR="007A0897" w:rsidRPr="007A0897">
              <w:rPr>
                <w:rFonts w:hint="eastAsia"/>
                <w:color w:val="000000"/>
                <w:w w:val="15"/>
                <w:szCs w:val="20"/>
                <w:shd w:val="solid" w:color="000000" w:fill="000000"/>
                <w:fitText w:val="60" w:id="-1500823549"/>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49"/>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49"/>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tcPr>
          <w:p w14:paraId="0F9BBACF" w14:textId="7AD67662" w:rsidR="004931A4" w:rsidRPr="00B07FB9" w:rsidRDefault="004931A4" w:rsidP="004931A4">
            <w:pPr>
              <w:pStyle w:val="TableText0"/>
              <w:keepLines/>
              <w:widowControl w:val="0"/>
              <w:jc w:val="center"/>
            </w:pPr>
            <w:r w:rsidRPr="00B07FB9">
              <w:rPr>
                <w:szCs w:val="20"/>
              </w:rPr>
              <w:t>-</w:t>
            </w:r>
            <w:r w:rsidR="007A0897" w:rsidRPr="007A0897">
              <w:rPr>
                <w:rFonts w:hint="eastAsia"/>
                <w:color w:val="000000"/>
                <w:w w:val="15"/>
                <w:szCs w:val="20"/>
                <w:shd w:val="solid" w:color="000000" w:fill="000000"/>
                <w:fitText w:val="60" w:id="-1500823548"/>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48"/>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48"/>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tcPr>
          <w:p w14:paraId="645A4521" w14:textId="4F05E8D9" w:rsidR="004931A4" w:rsidRPr="00B07FB9" w:rsidRDefault="004931A4" w:rsidP="004931A4">
            <w:pPr>
              <w:pStyle w:val="TableText0"/>
              <w:keepLines/>
              <w:widowControl w:val="0"/>
              <w:jc w:val="center"/>
            </w:pPr>
            <w:r w:rsidRPr="00B07FB9">
              <w:rPr>
                <w:szCs w:val="20"/>
              </w:rPr>
              <w:t>-</w:t>
            </w:r>
            <w:r w:rsidR="007A0897" w:rsidRPr="007A0897">
              <w:rPr>
                <w:rFonts w:hint="eastAsia"/>
                <w:color w:val="000000"/>
                <w:w w:val="15"/>
                <w:szCs w:val="20"/>
                <w:shd w:val="solid" w:color="000000" w:fill="000000"/>
                <w:fitText w:val="60" w:id="-1500823547"/>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47"/>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47"/>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tcPr>
          <w:p w14:paraId="761B0117" w14:textId="1BB2EAA5" w:rsidR="004931A4" w:rsidRPr="00B07FB9" w:rsidRDefault="004931A4" w:rsidP="004931A4">
            <w:pPr>
              <w:pStyle w:val="TableText0"/>
              <w:keepLines/>
              <w:widowControl w:val="0"/>
              <w:jc w:val="center"/>
            </w:pPr>
            <w:r w:rsidRPr="00B07FB9">
              <w:rPr>
                <w:szCs w:val="20"/>
              </w:rPr>
              <w:t>-</w:t>
            </w:r>
            <w:r w:rsidR="007A0897" w:rsidRPr="007A0897">
              <w:rPr>
                <w:rFonts w:hint="eastAsia"/>
                <w:color w:val="000000"/>
                <w:w w:val="15"/>
                <w:szCs w:val="20"/>
                <w:shd w:val="solid" w:color="000000" w:fill="000000"/>
                <w:fitText w:val="60" w:id="-1500823546"/>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46"/>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46"/>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tcPr>
          <w:p w14:paraId="0505C419" w14:textId="3C695B18" w:rsidR="004931A4" w:rsidRPr="00B07FB9" w:rsidRDefault="004931A4" w:rsidP="004931A4">
            <w:pPr>
              <w:pStyle w:val="TableText0"/>
              <w:keepLines/>
              <w:widowControl w:val="0"/>
              <w:jc w:val="center"/>
            </w:pPr>
            <w:r w:rsidRPr="00B07FB9">
              <w:rPr>
                <w:szCs w:val="20"/>
              </w:rPr>
              <w:t>-</w:t>
            </w:r>
            <w:r w:rsidR="007A0897" w:rsidRPr="007A0897">
              <w:rPr>
                <w:rFonts w:hint="eastAsia"/>
                <w:color w:val="000000"/>
                <w:w w:val="15"/>
                <w:szCs w:val="20"/>
                <w:shd w:val="solid" w:color="000000" w:fill="000000"/>
                <w:fitText w:val="60" w:id="-1500823545"/>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45"/>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45"/>
                <w14:textFill>
                  <w14:solidFill>
                    <w14:srgbClr w14:val="000000">
                      <w14:alpha w14:val="100000"/>
                    </w14:srgbClr>
                  </w14:solidFill>
                </w14:textFill>
              </w:rPr>
              <w:t xml:space="preserve">　</w:t>
            </w:r>
            <w:r w:rsidR="00DB6FCC">
              <w:rPr>
                <w:vertAlign w:val="superscript"/>
              </w:rPr>
              <w:t>3</w:t>
            </w:r>
          </w:p>
        </w:tc>
        <w:tc>
          <w:tcPr>
            <w:tcW w:w="669" w:type="pct"/>
            <w:tcBorders>
              <w:bottom w:val="single" w:sz="4" w:space="0" w:color="auto"/>
            </w:tcBorders>
          </w:tcPr>
          <w:p w14:paraId="4940A68F" w14:textId="15AE126A" w:rsidR="004931A4" w:rsidRPr="00B07FB9" w:rsidRDefault="004931A4" w:rsidP="004931A4">
            <w:pPr>
              <w:pStyle w:val="TableText0"/>
              <w:keepLines/>
              <w:widowControl w:val="0"/>
              <w:jc w:val="center"/>
            </w:pPr>
            <w:r w:rsidRPr="00B07FB9">
              <w:rPr>
                <w:szCs w:val="20"/>
              </w:rPr>
              <w:t>-</w:t>
            </w:r>
            <w:r w:rsidR="007A0897" w:rsidRPr="007A0897">
              <w:rPr>
                <w:rFonts w:hint="eastAsia"/>
                <w:color w:val="000000"/>
                <w:w w:val="15"/>
                <w:szCs w:val="20"/>
                <w:shd w:val="solid" w:color="000000" w:fill="000000"/>
                <w:fitText w:val="30" w:id="-1500823544"/>
                <w14:textFill>
                  <w14:solidFill>
                    <w14:srgbClr w14:val="000000">
                      <w14:alpha w14:val="100000"/>
                    </w14:srgbClr>
                  </w14:solidFill>
                </w14:textFill>
              </w:rPr>
              <w:t xml:space="preserve">　</w:t>
            </w:r>
            <w:r w:rsidR="007A0897" w:rsidRPr="007A0897">
              <w:rPr>
                <w:color w:val="000000"/>
                <w:w w:val="15"/>
                <w:szCs w:val="20"/>
                <w:shd w:val="solid" w:color="000000" w:fill="000000"/>
                <w:fitText w:val="30" w:id="-1500823544"/>
                <w14:textFill>
                  <w14:solidFill>
                    <w14:srgbClr w14:val="000000">
                      <w14:alpha w14:val="100000"/>
                    </w14:srgbClr>
                  </w14:solidFill>
                </w14:textFill>
              </w:rPr>
              <w:t>|</w:t>
            </w:r>
            <w:r w:rsidR="007A0897" w:rsidRPr="007A0897">
              <w:rPr>
                <w:rFonts w:hint="eastAsia"/>
                <w:color w:val="000000"/>
                <w:spacing w:val="-35"/>
                <w:w w:val="15"/>
                <w:szCs w:val="20"/>
                <w:shd w:val="solid" w:color="000000" w:fill="000000"/>
                <w:fitText w:val="30" w:id="-1500823544"/>
                <w14:textFill>
                  <w14:solidFill>
                    <w14:srgbClr w14:val="000000">
                      <w14:alpha w14:val="100000"/>
                    </w14:srgbClr>
                  </w14:solidFill>
                </w14:textFill>
              </w:rPr>
              <w:t xml:space="preserve">　</w:t>
            </w:r>
            <w:r w:rsidR="00DB6FCC">
              <w:rPr>
                <w:vertAlign w:val="superscript"/>
              </w:rPr>
              <w:t>3</w:t>
            </w:r>
          </w:p>
        </w:tc>
      </w:tr>
      <w:tr w:rsidR="004931A4" w:rsidRPr="00B07FB9" w14:paraId="37A3E323" w14:textId="77777777" w:rsidTr="006D429D">
        <w:tc>
          <w:tcPr>
            <w:tcW w:w="1157" w:type="pct"/>
            <w:tcBorders>
              <w:bottom w:val="single" w:sz="4" w:space="0" w:color="auto"/>
            </w:tcBorders>
            <w:shd w:val="clear" w:color="auto" w:fill="auto"/>
            <w:vAlign w:val="center"/>
          </w:tcPr>
          <w:p w14:paraId="469230FB" w14:textId="287AC67C" w:rsidR="004931A4" w:rsidRPr="00B07FB9" w:rsidRDefault="004931A4" w:rsidP="004931A4">
            <w:pPr>
              <w:pStyle w:val="TableText0"/>
              <w:keepLines/>
              <w:widowControl w:val="0"/>
              <w:rPr>
                <w:sz w:val="19"/>
                <w:szCs w:val="19"/>
              </w:rPr>
            </w:pPr>
            <w:r w:rsidRPr="00B07FB9">
              <w:rPr>
                <w:szCs w:val="20"/>
              </w:rPr>
              <w:t>Net cost to PBS/RPBS</w:t>
            </w:r>
            <w:r w:rsidR="00C652B2">
              <w:rPr>
                <w:sz w:val="19"/>
                <w:szCs w:val="19"/>
              </w:rPr>
              <w:t xml:space="preserve"> ($)</w:t>
            </w:r>
          </w:p>
        </w:tc>
        <w:tc>
          <w:tcPr>
            <w:tcW w:w="635" w:type="pct"/>
            <w:tcBorders>
              <w:bottom w:val="single" w:sz="4" w:space="0" w:color="auto"/>
            </w:tcBorders>
            <w:shd w:val="clear" w:color="auto" w:fill="auto"/>
          </w:tcPr>
          <w:p w14:paraId="716DE718" w14:textId="3DAD9601"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43"/>
                <w14:textFill>
                  <w14:solidFill>
                    <w14:srgbClr w14:val="000000">
                      <w14:alpha w14:val="100000"/>
                    </w14:srgbClr>
                  </w14:solidFill>
                </w14:textFill>
              </w:rPr>
              <w:t xml:space="preserve">　</w:t>
            </w:r>
            <w:r w:rsidRPr="00385E8C">
              <w:rPr>
                <w:color w:val="000000"/>
                <w:w w:val="15"/>
                <w:szCs w:val="20"/>
                <w:shd w:val="solid" w:color="000000" w:fill="000000"/>
                <w:fitText w:val="20" w:id="-1500823543"/>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43"/>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tcPr>
          <w:p w14:paraId="204782B9" w14:textId="388BB038"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42"/>
                <w14:textFill>
                  <w14:solidFill>
                    <w14:srgbClr w14:val="000000">
                      <w14:alpha w14:val="100000"/>
                    </w14:srgbClr>
                  </w14:solidFill>
                </w14:textFill>
              </w:rPr>
              <w:t xml:space="preserve">　</w:t>
            </w:r>
            <w:r w:rsidRPr="00385E8C">
              <w:rPr>
                <w:color w:val="000000"/>
                <w:w w:val="15"/>
                <w:szCs w:val="20"/>
                <w:shd w:val="solid" w:color="000000" w:fill="000000"/>
                <w:fitText w:val="20" w:id="-1500823542"/>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42"/>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tcPr>
          <w:p w14:paraId="726EC88C" w14:textId="2433C2B2"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41"/>
                <w14:textFill>
                  <w14:solidFill>
                    <w14:srgbClr w14:val="000000">
                      <w14:alpha w14:val="100000"/>
                    </w14:srgbClr>
                  </w14:solidFill>
                </w14:textFill>
              </w:rPr>
              <w:t xml:space="preserve">　</w:t>
            </w:r>
            <w:r w:rsidRPr="00385E8C">
              <w:rPr>
                <w:color w:val="000000"/>
                <w:w w:val="15"/>
                <w:szCs w:val="20"/>
                <w:shd w:val="solid" w:color="000000" w:fill="000000"/>
                <w:fitText w:val="20" w:id="-1500823541"/>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41"/>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tcPr>
          <w:p w14:paraId="1F109ECB" w14:textId="5894180A"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40"/>
                <w14:textFill>
                  <w14:solidFill>
                    <w14:srgbClr w14:val="000000">
                      <w14:alpha w14:val="100000"/>
                    </w14:srgbClr>
                  </w14:solidFill>
                </w14:textFill>
              </w:rPr>
              <w:t xml:space="preserve">　</w:t>
            </w:r>
            <w:r w:rsidRPr="00385E8C">
              <w:rPr>
                <w:color w:val="000000"/>
                <w:w w:val="15"/>
                <w:szCs w:val="20"/>
                <w:shd w:val="solid" w:color="000000" w:fill="000000"/>
                <w:fitText w:val="20" w:id="-1500823540"/>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40"/>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tcPr>
          <w:p w14:paraId="5BA89601" w14:textId="4AB2821C" w:rsidR="004931A4" w:rsidRPr="00C652B2" w:rsidRDefault="007A0897" w:rsidP="004931A4">
            <w:pPr>
              <w:pStyle w:val="TableText0"/>
              <w:keepLines/>
              <w:widowControl w:val="0"/>
              <w:jc w:val="center"/>
              <w:rPr>
                <w:highlight w:val="yellow"/>
              </w:rPr>
            </w:pPr>
            <w:r w:rsidRPr="00385E8C">
              <w:rPr>
                <w:rFonts w:hint="eastAsia"/>
                <w:color w:val="000000"/>
                <w:w w:val="15"/>
                <w:szCs w:val="20"/>
                <w:shd w:val="solid" w:color="000000" w:fill="000000"/>
                <w:fitText w:val="20" w:id="-1500823539"/>
                <w14:textFill>
                  <w14:solidFill>
                    <w14:srgbClr w14:val="000000">
                      <w14:alpha w14:val="100000"/>
                    </w14:srgbClr>
                  </w14:solidFill>
                </w14:textFill>
              </w:rPr>
              <w:t xml:space="preserve">　</w:t>
            </w:r>
            <w:r w:rsidRPr="00385E8C">
              <w:rPr>
                <w:color w:val="000000"/>
                <w:w w:val="15"/>
                <w:szCs w:val="20"/>
                <w:shd w:val="solid" w:color="000000" w:fill="000000"/>
                <w:fitText w:val="20" w:id="-1500823539"/>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39"/>
                <w14:textFill>
                  <w14:solidFill>
                    <w14:srgbClr w14:val="000000">
                      <w14:alpha w14:val="100000"/>
                    </w14:srgbClr>
                  </w14:solidFill>
                </w14:textFill>
              </w:rPr>
              <w:t xml:space="preserve">　</w:t>
            </w:r>
            <w:r w:rsidR="00DB6FCC">
              <w:rPr>
                <w:vertAlign w:val="superscript"/>
              </w:rPr>
              <w:t>3</w:t>
            </w:r>
          </w:p>
        </w:tc>
        <w:tc>
          <w:tcPr>
            <w:tcW w:w="669" w:type="pct"/>
            <w:tcBorders>
              <w:bottom w:val="single" w:sz="4" w:space="0" w:color="auto"/>
            </w:tcBorders>
          </w:tcPr>
          <w:p w14:paraId="6D8F9068" w14:textId="4373285C" w:rsidR="004931A4" w:rsidRPr="00C652B2" w:rsidRDefault="007A0897" w:rsidP="004931A4">
            <w:pPr>
              <w:pStyle w:val="TableText0"/>
              <w:keepLines/>
              <w:widowControl w:val="0"/>
              <w:jc w:val="center"/>
              <w:rPr>
                <w:highlight w:val="yellow"/>
              </w:rPr>
            </w:pPr>
            <w:r w:rsidRPr="007A0897">
              <w:rPr>
                <w:color w:val="000000"/>
                <w:szCs w:val="20"/>
                <w:shd w:val="solid" w:color="000000" w:fill="000000"/>
                <w14:textFill>
                  <w14:solidFill>
                    <w14:srgbClr w14:val="000000">
                      <w14:alpha w14:val="100000"/>
                    </w14:srgbClr>
                  </w14:solidFill>
                </w14:textFill>
              </w:rPr>
              <w:t>|</w:t>
            </w:r>
            <w:r w:rsidR="00DB6FCC">
              <w:rPr>
                <w:vertAlign w:val="superscript"/>
              </w:rPr>
              <w:t>3</w:t>
            </w:r>
          </w:p>
        </w:tc>
      </w:tr>
      <w:tr w:rsidR="006D429D" w:rsidRPr="00B07FB9" w14:paraId="3BD5C6CC" w14:textId="77777777" w:rsidTr="006D429D">
        <w:tc>
          <w:tcPr>
            <w:tcW w:w="5000" w:type="pct"/>
            <w:gridSpan w:val="7"/>
            <w:tcBorders>
              <w:bottom w:val="single" w:sz="4" w:space="0" w:color="auto"/>
            </w:tcBorders>
            <w:shd w:val="clear" w:color="auto" w:fill="auto"/>
            <w:vAlign w:val="center"/>
          </w:tcPr>
          <w:p w14:paraId="0746A287" w14:textId="194B0CA9" w:rsidR="006D429D" w:rsidRPr="00B07FB9" w:rsidRDefault="006D429D" w:rsidP="006D429D">
            <w:pPr>
              <w:pStyle w:val="TableText0"/>
              <w:keepLines/>
              <w:widowControl w:val="0"/>
              <w:rPr>
                <w:b/>
                <w:bCs w:val="0"/>
                <w:szCs w:val="20"/>
              </w:rPr>
            </w:pPr>
            <w:r w:rsidRPr="00B07FB9">
              <w:rPr>
                <w:b/>
                <w:bCs w:val="0"/>
                <w:szCs w:val="20"/>
              </w:rPr>
              <w:t xml:space="preserve">Net financial implications – revised pre-PBAC </w:t>
            </w:r>
            <w:r w:rsidR="00C34D05" w:rsidRPr="00B07FB9">
              <w:rPr>
                <w:b/>
                <w:bCs w:val="0"/>
                <w:szCs w:val="20"/>
              </w:rPr>
              <w:t>response</w:t>
            </w:r>
          </w:p>
        </w:tc>
      </w:tr>
      <w:tr w:rsidR="006D429D" w:rsidRPr="00B07FB9" w14:paraId="6377F6D4" w14:textId="77777777" w:rsidTr="003015B9">
        <w:tc>
          <w:tcPr>
            <w:tcW w:w="1157" w:type="pct"/>
            <w:tcBorders>
              <w:bottom w:val="single" w:sz="4" w:space="0" w:color="auto"/>
            </w:tcBorders>
            <w:shd w:val="clear" w:color="auto" w:fill="auto"/>
            <w:vAlign w:val="center"/>
          </w:tcPr>
          <w:p w14:paraId="0E324B78" w14:textId="091D47AF" w:rsidR="006D429D" w:rsidRPr="00B07FB9" w:rsidRDefault="006D429D" w:rsidP="006D429D">
            <w:pPr>
              <w:pStyle w:val="TableText0"/>
              <w:keepLines/>
              <w:widowControl w:val="0"/>
              <w:rPr>
                <w:szCs w:val="20"/>
              </w:rPr>
            </w:pPr>
            <w:r w:rsidRPr="00B07FB9">
              <w:rPr>
                <w:szCs w:val="20"/>
              </w:rPr>
              <w:t>New listing</w:t>
            </w:r>
            <w:r w:rsidR="00C652B2">
              <w:rPr>
                <w:sz w:val="19"/>
                <w:szCs w:val="19"/>
              </w:rPr>
              <w:t xml:space="preserve"> ($)</w:t>
            </w:r>
          </w:p>
        </w:tc>
        <w:tc>
          <w:tcPr>
            <w:tcW w:w="635" w:type="pct"/>
            <w:tcBorders>
              <w:bottom w:val="single" w:sz="4" w:space="0" w:color="auto"/>
            </w:tcBorders>
            <w:shd w:val="clear" w:color="auto" w:fill="auto"/>
            <w:vAlign w:val="center"/>
          </w:tcPr>
          <w:p w14:paraId="3A85F543" w14:textId="26172015"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38"/>
                <w14:textFill>
                  <w14:solidFill>
                    <w14:srgbClr w14:val="000000">
                      <w14:alpha w14:val="100000"/>
                    </w14:srgbClr>
                  </w14:solidFill>
                </w14:textFill>
              </w:rPr>
              <w:t xml:space="preserve">　</w:t>
            </w:r>
            <w:r w:rsidRPr="00385E8C">
              <w:rPr>
                <w:color w:val="000000"/>
                <w:w w:val="15"/>
                <w:szCs w:val="20"/>
                <w:shd w:val="solid" w:color="000000" w:fill="000000"/>
                <w:fitText w:val="20" w:id="-1500823538"/>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38"/>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vAlign w:val="center"/>
          </w:tcPr>
          <w:p w14:paraId="401EEDCC" w14:textId="13D1F2E7"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37"/>
                <w14:textFill>
                  <w14:solidFill>
                    <w14:srgbClr w14:val="000000">
                      <w14:alpha w14:val="100000"/>
                    </w14:srgbClr>
                  </w14:solidFill>
                </w14:textFill>
              </w:rPr>
              <w:t xml:space="preserve">　</w:t>
            </w:r>
            <w:r w:rsidRPr="00385E8C">
              <w:rPr>
                <w:color w:val="000000"/>
                <w:w w:val="15"/>
                <w:szCs w:val="20"/>
                <w:shd w:val="solid" w:color="000000" w:fill="000000"/>
                <w:fitText w:val="20" w:id="-1500823537"/>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37"/>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vAlign w:val="center"/>
          </w:tcPr>
          <w:p w14:paraId="7D957882" w14:textId="1348E3D5"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36"/>
                <w14:textFill>
                  <w14:solidFill>
                    <w14:srgbClr w14:val="000000">
                      <w14:alpha w14:val="100000"/>
                    </w14:srgbClr>
                  </w14:solidFill>
                </w14:textFill>
              </w:rPr>
              <w:t xml:space="preserve">　</w:t>
            </w:r>
            <w:r w:rsidRPr="00385E8C">
              <w:rPr>
                <w:color w:val="000000"/>
                <w:w w:val="15"/>
                <w:szCs w:val="20"/>
                <w:shd w:val="solid" w:color="000000" w:fill="000000"/>
                <w:fitText w:val="20" w:id="-1500823536"/>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36"/>
                <w14:textFill>
                  <w14:solidFill>
                    <w14:srgbClr w14:val="000000">
                      <w14:alpha w14:val="100000"/>
                    </w14:srgbClr>
                  </w14:solidFill>
                </w14:textFill>
              </w:rPr>
              <w:t xml:space="preserve">　</w:t>
            </w:r>
            <w:r w:rsidR="00DB6FCC">
              <w:rPr>
                <w:vertAlign w:val="superscript"/>
              </w:rPr>
              <w:t>6</w:t>
            </w:r>
          </w:p>
        </w:tc>
        <w:tc>
          <w:tcPr>
            <w:tcW w:w="635" w:type="pct"/>
            <w:tcBorders>
              <w:bottom w:val="single" w:sz="4" w:space="0" w:color="auto"/>
            </w:tcBorders>
            <w:shd w:val="clear" w:color="auto" w:fill="auto"/>
            <w:vAlign w:val="center"/>
          </w:tcPr>
          <w:p w14:paraId="6A3D056A" w14:textId="7CA7EE41"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52"/>
                <w14:textFill>
                  <w14:solidFill>
                    <w14:srgbClr w14:val="000000">
                      <w14:alpha w14:val="100000"/>
                    </w14:srgbClr>
                  </w14:solidFill>
                </w14:textFill>
              </w:rPr>
              <w:t xml:space="preserve">　</w:t>
            </w:r>
            <w:r w:rsidRPr="00385E8C">
              <w:rPr>
                <w:color w:val="000000"/>
                <w:w w:val="15"/>
                <w:szCs w:val="20"/>
                <w:shd w:val="solid" w:color="000000" w:fill="000000"/>
                <w:fitText w:val="20" w:id="-1500823552"/>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52"/>
                <w14:textFill>
                  <w14:solidFill>
                    <w14:srgbClr w14:val="000000">
                      <w14:alpha w14:val="100000"/>
                    </w14:srgbClr>
                  </w14:solidFill>
                </w14:textFill>
              </w:rPr>
              <w:t xml:space="preserve">　</w:t>
            </w:r>
            <w:r w:rsidR="00DB6FCC">
              <w:rPr>
                <w:vertAlign w:val="superscript"/>
              </w:rPr>
              <w:t>6</w:t>
            </w:r>
          </w:p>
        </w:tc>
        <w:tc>
          <w:tcPr>
            <w:tcW w:w="635" w:type="pct"/>
            <w:tcBorders>
              <w:bottom w:val="single" w:sz="4" w:space="0" w:color="auto"/>
            </w:tcBorders>
            <w:shd w:val="clear" w:color="auto" w:fill="auto"/>
            <w:vAlign w:val="center"/>
          </w:tcPr>
          <w:p w14:paraId="4205ACD1" w14:textId="1438F067"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51"/>
                <w14:textFill>
                  <w14:solidFill>
                    <w14:srgbClr w14:val="000000">
                      <w14:alpha w14:val="100000"/>
                    </w14:srgbClr>
                  </w14:solidFill>
                </w14:textFill>
              </w:rPr>
              <w:t xml:space="preserve">　</w:t>
            </w:r>
            <w:r w:rsidRPr="00385E8C">
              <w:rPr>
                <w:color w:val="000000"/>
                <w:w w:val="15"/>
                <w:szCs w:val="20"/>
                <w:shd w:val="solid" w:color="000000" w:fill="000000"/>
                <w:fitText w:val="20" w:id="-1500823551"/>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51"/>
                <w14:textFill>
                  <w14:solidFill>
                    <w14:srgbClr w14:val="000000">
                      <w14:alpha w14:val="100000"/>
                    </w14:srgbClr>
                  </w14:solidFill>
                </w14:textFill>
              </w:rPr>
              <w:t xml:space="preserve">　</w:t>
            </w:r>
            <w:r w:rsidR="00DB6FCC">
              <w:rPr>
                <w:vertAlign w:val="superscript"/>
              </w:rPr>
              <w:t>6</w:t>
            </w:r>
          </w:p>
        </w:tc>
        <w:tc>
          <w:tcPr>
            <w:tcW w:w="669" w:type="pct"/>
            <w:tcBorders>
              <w:bottom w:val="single" w:sz="4" w:space="0" w:color="auto"/>
            </w:tcBorders>
            <w:vAlign w:val="center"/>
          </w:tcPr>
          <w:p w14:paraId="6EC3AAAF" w14:textId="32600480" w:rsidR="006D429D" w:rsidRPr="00C652B2" w:rsidRDefault="007A0897" w:rsidP="006D429D">
            <w:pPr>
              <w:pStyle w:val="TableText0"/>
              <w:keepLines/>
              <w:widowControl w:val="0"/>
              <w:jc w:val="center"/>
              <w:rPr>
                <w:szCs w:val="20"/>
                <w:highlight w:val="yellow"/>
              </w:rPr>
            </w:pPr>
            <w:r w:rsidRPr="007A0897">
              <w:rPr>
                <w:color w:val="000000"/>
                <w:szCs w:val="20"/>
                <w:shd w:val="solid" w:color="000000" w:fill="000000"/>
                <w14:textFill>
                  <w14:solidFill>
                    <w14:srgbClr w14:val="000000">
                      <w14:alpha w14:val="100000"/>
                    </w14:srgbClr>
                  </w14:solidFill>
                </w14:textFill>
              </w:rPr>
              <w:t>|</w:t>
            </w:r>
            <w:r w:rsidR="00DB6FCC">
              <w:rPr>
                <w:vertAlign w:val="superscript"/>
              </w:rPr>
              <w:t>6</w:t>
            </w:r>
          </w:p>
        </w:tc>
      </w:tr>
      <w:tr w:rsidR="006D429D" w:rsidRPr="00B07FB9" w14:paraId="5E996E50" w14:textId="77777777" w:rsidTr="003015B9">
        <w:tc>
          <w:tcPr>
            <w:tcW w:w="1157" w:type="pct"/>
            <w:tcBorders>
              <w:bottom w:val="single" w:sz="4" w:space="0" w:color="auto"/>
            </w:tcBorders>
            <w:shd w:val="clear" w:color="auto" w:fill="auto"/>
            <w:vAlign w:val="center"/>
          </w:tcPr>
          <w:p w14:paraId="4A7D9289" w14:textId="5501287A" w:rsidR="006D429D" w:rsidRPr="00B07FB9" w:rsidRDefault="006D429D" w:rsidP="006D429D">
            <w:pPr>
              <w:pStyle w:val="TableText0"/>
              <w:keepLines/>
              <w:widowControl w:val="0"/>
              <w:rPr>
                <w:szCs w:val="20"/>
              </w:rPr>
            </w:pPr>
            <w:r w:rsidRPr="00B07FB9">
              <w:rPr>
                <w:szCs w:val="20"/>
              </w:rPr>
              <w:t>Changed listing</w:t>
            </w:r>
            <w:r w:rsidR="00C652B2">
              <w:rPr>
                <w:sz w:val="19"/>
                <w:szCs w:val="19"/>
              </w:rPr>
              <w:t xml:space="preserve"> ($)</w:t>
            </w:r>
          </w:p>
        </w:tc>
        <w:tc>
          <w:tcPr>
            <w:tcW w:w="635" w:type="pct"/>
            <w:tcBorders>
              <w:bottom w:val="single" w:sz="4" w:space="0" w:color="auto"/>
            </w:tcBorders>
            <w:shd w:val="clear" w:color="auto" w:fill="auto"/>
            <w:vAlign w:val="center"/>
          </w:tcPr>
          <w:p w14:paraId="4E6B7CFE" w14:textId="1756BF16" w:rsidR="006D429D" w:rsidRPr="00B07FB9" w:rsidRDefault="006D429D" w:rsidP="006D429D">
            <w:pPr>
              <w:pStyle w:val="TableText0"/>
              <w:keepLines/>
              <w:widowControl w:val="0"/>
              <w:jc w:val="center"/>
              <w:rPr>
                <w:szCs w:val="20"/>
              </w:rPr>
            </w:pPr>
            <w:r w:rsidRPr="00B07FB9">
              <w:rPr>
                <w:szCs w:val="20"/>
              </w:rPr>
              <w:t>-</w:t>
            </w:r>
            <w:r w:rsidR="007A0897" w:rsidRPr="007A0897">
              <w:rPr>
                <w:rFonts w:hint="eastAsia"/>
                <w:color w:val="000000"/>
                <w:w w:val="15"/>
                <w:szCs w:val="20"/>
                <w:shd w:val="solid" w:color="000000" w:fill="000000"/>
                <w:fitText w:val="60" w:id="-1500823550"/>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50"/>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50"/>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vAlign w:val="center"/>
          </w:tcPr>
          <w:p w14:paraId="0CA6F358" w14:textId="61C7BB97" w:rsidR="006D429D" w:rsidRPr="00B07FB9" w:rsidRDefault="006D429D" w:rsidP="006D429D">
            <w:pPr>
              <w:pStyle w:val="TableText0"/>
              <w:keepLines/>
              <w:widowControl w:val="0"/>
              <w:jc w:val="center"/>
              <w:rPr>
                <w:szCs w:val="20"/>
              </w:rPr>
            </w:pPr>
            <w:r w:rsidRPr="00B07FB9">
              <w:rPr>
                <w:szCs w:val="20"/>
              </w:rPr>
              <w:t>-</w:t>
            </w:r>
            <w:r w:rsidR="007A0897" w:rsidRPr="007A0897">
              <w:rPr>
                <w:rFonts w:hint="eastAsia"/>
                <w:color w:val="000000"/>
                <w:w w:val="15"/>
                <w:szCs w:val="20"/>
                <w:shd w:val="solid" w:color="000000" w:fill="000000"/>
                <w:fitText w:val="60" w:id="-1500823549"/>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49"/>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49"/>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vAlign w:val="center"/>
          </w:tcPr>
          <w:p w14:paraId="7BD22CFD" w14:textId="36C0BAEC" w:rsidR="006D429D" w:rsidRPr="00B07FB9" w:rsidRDefault="006D429D" w:rsidP="006D429D">
            <w:pPr>
              <w:pStyle w:val="TableText0"/>
              <w:keepLines/>
              <w:widowControl w:val="0"/>
              <w:jc w:val="center"/>
              <w:rPr>
                <w:szCs w:val="20"/>
              </w:rPr>
            </w:pPr>
            <w:r w:rsidRPr="00B07FB9">
              <w:rPr>
                <w:szCs w:val="20"/>
              </w:rPr>
              <w:t>-</w:t>
            </w:r>
            <w:r w:rsidR="007A0897" w:rsidRPr="007A0897">
              <w:rPr>
                <w:rFonts w:hint="eastAsia"/>
                <w:color w:val="000000"/>
                <w:w w:val="15"/>
                <w:szCs w:val="20"/>
                <w:shd w:val="solid" w:color="000000" w:fill="000000"/>
                <w:fitText w:val="60" w:id="-1500823548"/>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48"/>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48"/>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vAlign w:val="center"/>
          </w:tcPr>
          <w:p w14:paraId="4914E4B0" w14:textId="52D55F84" w:rsidR="006D429D" w:rsidRPr="00B07FB9" w:rsidRDefault="006D429D" w:rsidP="006D429D">
            <w:pPr>
              <w:pStyle w:val="TableText0"/>
              <w:keepLines/>
              <w:widowControl w:val="0"/>
              <w:jc w:val="center"/>
              <w:rPr>
                <w:szCs w:val="20"/>
              </w:rPr>
            </w:pPr>
            <w:r w:rsidRPr="00B07FB9">
              <w:rPr>
                <w:szCs w:val="20"/>
              </w:rPr>
              <w:t>-</w:t>
            </w:r>
            <w:r w:rsidR="007A0897" w:rsidRPr="007A0897">
              <w:rPr>
                <w:rFonts w:hint="eastAsia"/>
                <w:color w:val="000000"/>
                <w:w w:val="15"/>
                <w:szCs w:val="20"/>
                <w:shd w:val="solid" w:color="000000" w:fill="000000"/>
                <w:fitText w:val="60" w:id="-1500823547"/>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47"/>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47"/>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vAlign w:val="center"/>
          </w:tcPr>
          <w:p w14:paraId="41961AAA" w14:textId="632FB84A" w:rsidR="006D429D" w:rsidRPr="00B07FB9" w:rsidRDefault="006D429D" w:rsidP="006D429D">
            <w:pPr>
              <w:pStyle w:val="TableText0"/>
              <w:keepLines/>
              <w:widowControl w:val="0"/>
              <w:jc w:val="center"/>
              <w:rPr>
                <w:szCs w:val="20"/>
              </w:rPr>
            </w:pPr>
            <w:r w:rsidRPr="00B07FB9">
              <w:rPr>
                <w:szCs w:val="20"/>
              </w:rPr>
              <w:t>-</w:t>
            </w:r>
            <w:r w:rsidR="007A0897" w:rsidRPr="007A0897">
              <w:rPr>
                <w:rFonts w:hint="eastAsia"/>
                <w:color w:val="000000"/>
                <w:w w:val="15"/>
                <w:szCs w:val="20"/>
                <w:shd w:val="solid" w:color="000000" w:fill="000000"/>
                <w:fitText w:val="60" w:id="-1500823546"/>
                <w14:textFill>
                  <w14:solidFill>
                    <w14:srgbClr w14:val="000000">
                      <w14:alpha w14:val="100000"/>
                    </w14:srgbClr>
                  </w14:solidFill>
                </w14:textFill>
              </w:rPr>
              <w:t xml:space="preserve">　</w:t>
            </w:r>
            <w:r w:rsidR="007A0897" w:rsidRPr="007A0897">
              <w:rPr>
                <w:color w:val="000000"/>
                <w:w w:val="15"/>
                <w:szCs w:val="20"/>
                <w:shd w:val="solid" w:color="000000" w:fill="000000"/>
                <w:fitText w:val="60" w:id="-1500823546"/>
                <w14:textFill>
                  <w14:solidFill>
                    <w14:srgbClr w14:val="000000">
                      <w14:alpha w14:val="100000"/>
                    </w14:srgbClr>
                  </w14:solidFill>
                </w14:textFill>
              </w:rPr>
              <w:t>|</w:t>
            </w:r>
            <w:r w:rsidR="007A0897" w:rsidRPr="007A0897">
              <w:rPr>
                <w:rFonts w:hint="eastAsia"/>
                <w:color w:val="000000"/>
                <w:spacing w:val="-5"/>
                <w:w w:val="15"/>
                <w:szCs w:val="20"/>
                <w:shd w:val="solid" w:color="000000" w:fill="000000"/>
                <w:fitText w:val="60" w:id="-1500823546"/>
                <w14:textFill>
                  <w14:solidFill>
                    <w14:srgbClr w14:val="000000">
                      <w14:alpha w14:val="100000"/>
                    </w14:srgbClr>
                  </w14:solidFill>
                </w14:textFill>
              </w:rPr>
              <w:t xml:space="preserve">　</w:t>
            </w:r>
            <w:r w:rsidR="00DB6FCC">
              <w:rPr>
                <w:vertAlign w:val="superscript"/>
              </w:rPr>
              <w:t>3</w:t>
            </w:r>
          </w:p>
        </w:tc>
        <w:tc>
          <w:tcPr>
            <w:tcW w:w="669" w:type="pct"/>
            <w:tcBorders>
              <w:bottom w:val="single" w:sz="4" w:space="0" w:color="auto"/>
            </w:tcBorders>
            <w:vAlign w:val="center"/>
          </w:tcPr>
          <w:p w14:paraId="3689C6B9" w14:textId="1E127A5C" w:rsidR="006D429D" w:rsidRPr="00B07FB9" w:rsidRDefault="006D429D" w:rsidP="006D429D">
            <w:pPr>
              <w:pStyle w:val="TableText0"/>
              <w:keepLines/>
              <w:widowControl w:val="0"/>
              <w:jc w:val="center"/>
              <w:rPr>
                <w:szCs w:val="20"/>
              </w:rPr>
            </w:pPr>
            <w:r w:rsidRPr="00B07FB9">
              <w:rPr>
                <w:szCs w:val="20"/>
              </w:rPr>
              <w:t>-</w:t>
            </w:r>
            <w:r w:rsidR="007A0897" w:rsidRPr="007A0897">
              <w:rPr>
                <w:rFonts w:hint="eastAsia"/>
                <w:color w:val="000000"/>
                <w:w w:val="15"/>
                <w:szCs w:val="20"/>
                <w:shd w:val="solid" w:color="000000" w:fill="000000"/>
                <w:fitText w:val="30" w:id="-1500823545"/>
                <w14:textFill>
                  <w14:solidFill>
                    <w14:srgbClr w14:val="000000">
                      <w14:alpha w14:val="100000"/>
                    </w14:srgbClr>
                  </w14:solidFill>
                </w14:textFill>
              </w:rPr>
              <w:t xml:space="preserve">　</w:t>
            </w:r>
            <w:r w:rsidR="007A0897" w:rsidRPr="007A0897">
              <w:rPr>
                <w:color w:val="000000"/>
                <w:w w:val="15"/>
                <w:szCs w:val="20"/>
                <w:shd w:val="solid" w:color="000000" w:fill="000000"/>
                <w:fitText w:val="30" w:id="-1500823545"/>
                <w14:textFill>
                  <w14:solidFill>
                    <w14:srgbClr w14:val="000000">
                      <w14:alpha w14:val="100000"/>
                    </w14:srgbClr>
                  </w14:solidFill>
                </w14:textFill>
              </w:rPr>
              <w:t>|</w:t>
            </w:r>
            <w:r w:rsidR="007A0897" w:rsidRPr="007A0897">
              <w:rPr>
                <w:rFonts w:hint="eastAsia"/>
                <w:color w:val="000000"/>
                <w:spacing w:val="-35"/>
                <w:w w:val="15"/>
                <w:szCs w:val="20"/>
                <w:shd w:val="solid" w:color="000000" w:fill="000000"/>
                <w:fitText w:val="30" w:id="-1500823545"/>
                <w14:textFill>
                  <w14:solidFill>
                    <w14:srgbClr w14:val="000000">
                      <w14:alpha w14:val="100000"/>
                    </w14:srgbClr>
                  </w14:solidFill>
                </w14:textFill>
              </w:rPr>
              <w:t xml:space="preserve">　</w:t>
            </w:r>
            <w:r w:rsidR="00DB6FCC">
              <w:rPr>
                <w:vertAlign w:val="superscript"/>
              </w:rPr>
              <w:t>3</w:t>
            </w:r>
          </w:p>
        </w:tc>
      </w:tr>
      <w:tr w:rsidR="006D429D" w:rsidRPr="00B07FB9" w14:paraId="7157AE9D" w14:textId="77777777" w:rsidTr="003015B9">
        <w:tc>
          <w:tcPr>
            <w:tcW w:w="1157" w:type="pct"/>
            <w:tcBorders>
              <w:bottom w:val="single" w:sz="4" w:space="0" w:color="auto"/>
            </w:tcBorders>
            <w:shd w:val="clear" w:color="auto" w:fill="auto"/>
            <w:vAlign w:val="center"/>
          </w:tcPr>
          <w:p w14:paraId="2CE63FE1" w14:textId="4237CD86" w:rsidR="006D429D" w:rsidRPr="00B07FB9" w:rsidRDefault="006D429D" w:rsidP="006D429D">
            <w:pPr>
              <w:pStyle w:val="TableText0"/>
              <w:keepLines/>
              <w:widowControl w:val="0"/>
              <w:rPr>
                <w:szCs w:val="20"/>
              </w:rPr>
            </w:pPr>
            <w:r w:rsidRPr="00B07FB9">
              <w:rPr>
                <w:szCs w:val="20"/>
              </w:rPr>
              <w:t>Net cost to PBS/RPBS</w:t>
            </w:r>
          </w:p>
        </w:tc>
        <w:tc>
          <w:tcPr>
            <w:tcW w:w="635" w:type="pct"/>
            <w:tcBorders>
              <w:bottom w:val="single" w:sz="4" w:space="0" w:color="auto"/>
            </w:tcBorders>
            <w:shd w:val="clear" w:color="auto" w:fill="auto"/>
            <w:vAlign w:val="center"/>
          </w:tcPr>
          <w:p w14:paraId="182D576F" w14:textId="51FCD046"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44"/>
                <w14:textFill>
                  <w14:solidFill>
                    <w14:srgbClr w14:val="000000">
                      <w14:alpha w14:val="100000"/>
                    </w14:srgbClr>
                  </w14:solidFill>
                </w14:textFill>
              </w:rPr>
              <w:t xml:space="preserve">　</w:t>
            </w:r>
            <w:r w:rsidRPr="00385E8C">
              <w:rPr>
                <w:color w:val="000000"/>
                <w:w w:val="15"/>
                <w:szCs w:val="20"/>
                <w:shd w:val="solid" w:color="000000" w:fill="000000"/>
                <w:fitText w:val="20" w:id="-1500823544"/>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44"/>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vAlign w:val="center"/>
          </w:tcPr>
          <w:p w14:paraId="1E7FF5BF" w14:textId="64E1FEAF"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43"/>
                <w14:textFill>
                  <w14:solidFill>
                    <w14:srgbClr w14:val="000000">
                      <w14:alpha w14:val="100000"/>
                    </w14:srgbClr>
                  </w14:solidFill>
                </w14:textFill>
              </w:rPr>
              <w:t xml:space="preserve">　</w:t>
            </w:r>
            <w:r w:rsidRPr="00385E8C">
              <w:rPr>
                <w:color w:val="000000"/>
                <w:w w:val="15"/>
                <w:szCs w:val="20"/>
                <w:shd w:val="solid" w:color="000000" w:fill="000000"/>
                <w:fitText w:val="20" w:id="-1500823543"/>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43"/>
                <w14:textFill>
                  <w14:solidFill>
                    <w14:srgbClr w14:val="000000">
                      <w14:alpha w14:val="100000"/>
                    </w14:srgbClr>
                  </w14:solidFill>
                </w14:textFill>
              </w:rPr>
              <w:t xml:space="preserve">　</w:t>
            </w:r>
            <w:r w:rsidR="00B85BA5">
              <w:rPr>
                <w:vertAlign w:val="superscript"/>
              </w:rPr>
              <w:t>4</w:t>
            </w:r>
          </w:p>
        </w:tc>
        <w:tc>
          <w:tcPr>
            <w:tcW w:w="635" w:type="pct"/>
            <w:tcBorders>
              <w:bottom w:val="single" w:sz="4" w:space="0" w:color="auto"/>
            </w:tcBorders>
            <w:shd w:val="clear" w:color="auto" w:fill="auto"/>
            <w:vAlign w:val="center"/>
          </w:tcPr>
          <w:p w14:paraId="2E03719C" w14:textId="185899AB"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42"/>
                <w14:textFill>
                  <w14:solidFill>
                    <w14:srgbClr w14:val="000000">
                      <w14:alpha w14:val="100000"/>
                    </w14:srgbClr>
                  </w14:solidFill>
                </w14:textFill>
              </w:rPr>
              <w:t xml:space="preserve">　</w:t>
            </w:r>
            <w:r w:rsidRPr="00385E8C">
              <w:rPr>
                <w:color w:val="000000"/>
                <w:w w:val="15"/>
                <w:szCs w:val="20"/>
                <w:shd w:val="solid" w:color="000000" w:fill="000000"/>
                <w:fitText w:val="20" w:id="-1500823542"/>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42"/>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vAlign w:val="center"/>
          </w:tcPr>
          <w:p w14:paraId="552A439D" w14:textId="1B709194"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41"/>
                <w14:textFill>
                  <w14:solidFill>
                    <w14:srgbClr w14:val="000000">
                      <w14:alpha w14:val="100000"/>
                    </w14:srgbClr>
                  </w14:solidFill>
                </w14:textFill>
              </w:rPr>
              <w:t xml:space="preserve">　</w:t>
            </w:r>
            <w:r w:rsidRPr="00385E8C">
              <w:rPr>
                <w:color w:val="000000"/>
                <w:w w:val="15"/>
                <w:szCs w:val="20"/>
                <w:shd w:val="solid" w:color="000000" w:fill="000000"/>
                <w:fitText w:val="20" w:id="-1500823541"/>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41"/>
                <w14:textFill>
                  <w14:solidFill>
                    <w14:srgbClr w14:val="000000">
                      <w14:alpha w14:val="100000"/>
                    </w14:srgbClr>
                  </w14:solidFill>
                </w14:textFill>
              </w:rPr>
              <w:t xml:space="preserve">　</w:t>
            </w:r>
            <w:r w:rsidR="00DB6FCC">
              <w:rPr>
                <w:vertAlign w:val="superscript"/>
              </w:rPr>
              <w:t>3</w:t>
            </w:r>
          </w:p>
        </w:tc>
        <w:tc>
          <w:tcPr>
            <w:tcW w:w="635" w:type="pct"/>
            <w:tcBorders>
              <w:bottom w:val="single" w:sz="4" w:space="0" w:color="auto"/>
            </w:tcBorders>
            <w:shd w:val="clear" w:color="auto" w:fill="auto"/>
            <w:vAlign w:val="center"/>
          </w:tcPr>
          <w:p w14:paraId="5170C4FC" w14:textId="5BDD5361" w:rsidR="006D429D" w:rsidRPr="00C652B2" w:rsidRDefault="007A0897" w:rsidP="006D429D">
            <w:pPr>
              <w:pStyle w:val="TableText0"/>
              <w:keepLines/>
              <w:widowControl w:val="0"/>
              <w:jc w:val="center"/>
              <w:rPr>
                <w:szCs w:val="20"/>
                <w:highlight w:val="yellow"/>
              </w:rPr>
            </w:pPr>
            <w:r w:rsidRPr="00385E8C">
              <w:rPr>
                <w:rFonts w:hint="eastAsia"/>
                <w:color w:val="000000"/>
                <w:w w:val="15"/>
                <w:szCs w:val="20"/>
                <w:shd w:val="solid" w:color="000000" w:fill="000000"/>
                <w:fitText w:val="20" w:id="-1500823540"/>
                <w14:textFill>
                  <w14:solidFill>
                    <w14:srgbClr w14:val="000000">
                      <w14:alpha w14:val="100000"/>
                    </w14:srgbClr>
                  </w14:solidFill>
                </w14:textFill>
              </w:rPr>
              <w:t xml:space="preserve">　</w:t>
            </w:r>
            <w:r w:rsidRPr="00385E8C">
              <w:rPr>
                <w:color w:val="000000"/>
                <w:w w:val="15"/>
                <w:szCs w:val="20"/>
                <w:shd w:val="solid" w:color="000000" w:fill="000000"/>
                <w:fitText w:val="20" w:id="-1500823540"/>
                <w14:textFill>
                  <w14:solidFill>
                    <w14:srgbClr w14:val="000000">
                      <w14:alpha w14:val="100000"/>
                    </w14:srgbClr>
                  </w14:solidFill>
                </w14:textFill>
              </w:rPr>
              <w:t>|</w:t>
            </w:r>
            <w:r w:rsidRPr="00385E8C">
              <w:rPr>
                <w:rFonts w:hint="eastAsia"/>
                <w:color w:val="000000"/>
                <w:spacing w:val="-45"/>
                <w:w w:val="15"/>
                <w:szCs w:val="20"/>
                <w:shd w:val="solid" w:color="000000" w:fill="000000"/>
                <w:fitText w:val="20" w:id="-1500823540"/>
                <w14:textFill>
                  <w14:solidFill>
                    <w14:srgbClr w14:val="000000">
                      <w14:alpha w14:val="100000"/>
                    </w14:srgbClr>
                  </w14:solidFill>
                </w14:textFill>
              </w:rPr>
              <w:t xml:space="preserve">　</w:t>
            </w:r>
            <w:r w:rsidR="00DB6FCC">
              <w:rPr>
                <w:vertAlign w:val="superscript"/>
              </w:rPr>
              <w:t>3</w:t>
            </w:r>
          </w:p>
        </w:tc>
        <w:tc>
          <w:tcPr>
            <w:tcW w:w="669" w:type="pct"/>
            <w:tcBorders>
              <w:bottom w:val="single" w:sz="4" w:space="0" w:color="auto"/>
            </w:tcBorders>
            <w:vAlign w:val="center"/>
          </w:tcPr>
          <w:p w14:paraId="6E41E76A" w14:textId="6F0E87C2" w:rsidR="006D429D" w:rsidRPr="00C652B2" w:rsidRDefault="007A0897" w:rsidP="006D429D">
            <w:pPr>
              <w:pStyle w:val="TableText0"/>
              <w:keepLines/>
              <w:widowControl w:val="0"/>
              <w:jc w:val="center"/>
              <w:rPr>
                <w:szCs w:val="20"/>
                <w:highlight w:val="yellow"/>
              </w:rPr>
            </w:pPr>
            <w:r w:rsidRPr="007A0897">
              <w:rPr>
                <w:color w:val="000000"/>
                <w:szCs w:val="20"/>
                <w:shd w:val="solid" w:color="000000" w:fill="000000"/>
                <w14:textFill>
                  <w14:solidFill>
                    <w14:srgbClr w14:val="000000">
                      <w14:alpha w14:val="100000"/>
                    </w14:srgbClr>
                  </w14:solidFill>
                </w14:textFill>
              </w:rPr>
              <w:t>|</w:t>
            </w:r>
            <w:r w:rsidR="00DB6FCC">
              <w:rPr>
                <w:vertAlign w:val="superscript"/>
              </w:rPr>
              <w:t>3</w:t>
            </w:r>
          </w:p>
        </w:tc>
      </w:tr>
      <w:tr w:rsidR="000902D9" w:rsidRPr="00B07FB9" w14:paraId="6A99A43D" w14:textId="77777777" w:rsidTr="004931A4">
        <w:tc>
          <w:tcPr>
            <w:tcW w:w="5000" w:type="pct"/>
            <w:gridSpan w:val="7"/>
            <w:shd w:val="clear" w:color="auto" w:fill="CCECFF"/>
            <w:vAlign w:val="center"/>
          </w:tcPr>
          <w:p w14:paraId="3DC5DC1A" w14:textId="3A92E094" w:rsidR="000902D9" w:rsidRPr="00B07FB9" w:rsidRDefault="000902D9" w:rsidP="00A4339A">
            <w:pPr>
              <w:pStyle w:val="In-tableHeading"/>
              <w:keepLines/>
              <w:widowControl w:val="0"/>
              <w:rPr>
                <w:lang w:val="en-AU"/>
              </w:rPr>
            </w:pPr>
            <w:r w:rsidRPr="00B07FB9">
              <w:rPr>
                <w:lang w:val="en-AU"/>
              </w:rPr>
              <w:t xml:space="preserve">Previous submission </w:t>
            </w:r>
            <w:r w:rsidR="00B7015C" w:rsidRPr="00B07FB9">
              <w:rPr>
                <w:lang w:val="en-AU"/>
              </w:rPr>
              <w:t>July 2021</w:t>
            </w:r>
          </w:p>
        </w:tc>
      </w:tr>
      <w:tr w:rsidR="00B7015C" w:rsidRPr="00B07FB9" w14:paraId="746CCDBE" w14:textId="77777777" w:rsidTr="006D429D">
        <w:tc>
          <w:tcPr>
            <w:tcW w:w="1157" w:type="pct"/>
            <w:shd w:val="clear" w:color="auto" w:fill="CCECFF"/>
            <w:vAlign w:val="center"/>
          </w:tcPr>
          <w:p w14:paraId="03B4C2BB" w14:textId="6DBAFF81" w:rsidR="00B7015C" w:rsidRPr="00B07FB9" w:rsidRDefault="00B7015C" w:rsidP="00A4339A">
            <w:pPr>
              <w:pStyle w:val="TableText0"/>
              <w:keepLines/>
              <w:widowControl w:val="0"/>
              <w:rPr>
                <w:sz w:val="19"/>
                <w:szCs w:val="19"/>
              </w:rPr>
            </w:pPr>
            <w:r w:rsidRPr="00B07FB9">
              <w:rPr>
                <w:sz w:val="19"/>
                <w:szCs w:val="19"/>
              </w:rPr>
              <w:t>Net cost to PBS/RPBS</w:t>
            </w:r>
            <w:r w:rsidR="00C652B2">
              <w:rPr>
                <w:sz w:val="19"/>
                <w:szCs w:val="19"/>
              </w:rPr>
              <w:t xml:space="preserve"> ($)</w:t>
            </w:r>
          </w:p>
        </w:tc>
        <w:tc>
          <w:tcPr>
            <w:tcW w:w="635" w:type="pct"/>
            <w:shd w:val="clear" w:color="auto" w:fill="CCECFF"/>
          </w:tcPr>
          <w:p w14:paraId="489F2BC4" w14:textId="1E300BE1" w:rsidR="00B7015C"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39"/>
                <w14:textFill>
                  <w14:solidFill>
                    <w14:srgbClr w14:val="000000">
                      <w14:alpha w14:val="100000"/>
                    </w14:srgbClr>
                  </w14:solidFill>
                </w14:textFill>
              </w:rPr>
              <w:t xml:space="preserve">　</w:t>
            </w:r>
            <w:r w:rsidRPr="00385E8C">
              <w:rPr>
                <w:color w:val="000000"/>
                <w:w w:val="15"/>
                <w:shd w:val="solid" w:color="000000" w:fill="000000"/>
                <w:fitText w:val="20" w:id="-1500823539"/>
                <w14:textFill>
                  <w14:solidFill>
                    <w14:srgbClr w14:val="000000">
                      <w14:alpha w14:val="100000"/>
                    </w14:srgbClr>
                  </w14:solidFill>
                </w14:textFill>
              </w:rPr>
              <w:t>|</w:t>
            </w:r>
            <w:r w:rsidRPr="00385E8C">
              <w:rPr>
                <w:rFonts w:hint="eastAsia"/>
                <w:color w:val="000000"/>
                <w:spacing w:val="-45"/>
                <w:w w:val="15"/>
                <w:shd w:val="solid" w:color="000000" w:fill="000000"/>
                <w:fitText w:val="20" w:id="-1500823539"/>
                <w14:textFill>
                  <w14:solidFill>
                    <w14:srgbClr w14:val="000000">
                      <w14:alpha w14:val="100000"/>
                    </w14:srgbClr>
                  </w14:solidFill>
                </w14:textFill>
              </w:rPr>
              <w:t xml:space="preserve">　</w:t>
            </w:r>
            <w:r w:rsidR="00B85BA5">
              <w:rPr>
                <w:vertAlign w:val="superscript"/>
              </w:rPr>
              <w:t>4</w:t>
            </w:r>
          </w:p>
        </w:tc>
        <w:tc>
          <w:tcPr>
            <w:tcW w:w="635" w:type="pct"/>
            <w:shd w:val="clear" w:color="auto" w:fill="CCECFF"/>
          </w:tcPr>
          <w:p w14:paraId="1D5EE203" w14:textId="0261889F" w:rsidR="00B7015C"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38"/>
                <w14:textFill>
                  <w14:solidFill>
                    <w14:srgbClr w14:val="000000">
                      <w14:alpha w14:val="100000"/>
                    </w14:srgbClr>
                  </w14:solidFill>
                </w14:textFill>
              </w:rPr>
              <w:t xml:space="preserve">　</w:t>
            </w:r>
            <w:r w:rsidRPr="00385E8C">
              <w:rPr>
                <w:color w:val="000000"/>
                <w:w w:val="15"/>
                <w:shd w:val="solid" w:color="000000" w:fill="000000"/>
                <w:fitText w:val="20" w:id="-1500823538"/>
                <w14:textFill>
                  <w14:solidFill>
                    <w14:srgbClr w14:val="000000">
                      <w14:alpha w14:val="100000"/>
                    </w14:srgbClr>
                  </w14:solidFill>
                </w14:textFill>
              </w:rPr>
              <w:t>|</w:t>
            </w:r>
            <w:r w:rsidRPr="00385E8C">
              <w:rPr>
                <w:rFonts w:hint="eastAsia"/>
                <w:color w:val="000000"/>
                <w:spacing w:val="-45"/>
                <w:w w:val="15"/>
                <w:shd w:val="solid" w:color="000000" w:fill="000000"/>
                <w:fitText w:val="20" w:id="-1500823538"/>
                <w14:textFill>
                  <w14:solidFill>
                    <w14:srgbClr w14:val="000000">
                      <w14:alpha w14:val="100000"/>
                    </w14:srgbClr>
                  </w14:solidFill>
                </w14:textFill>
              </w:rPr>
              <w:t xml:space="preserve">　</w:t>
            </w:r>
            <w:r w:rsidR="00B85BA5">
              <w:rPr>
                <w:vertAlign w:val="superscript"/>
              </w:rPr>
              <w:t>4</w:t>
            </w:r>
          </w:p>
        </w:tc>
        <w:tc>
          <w:tcPr>
            <w:tcW w:w="635" w:type="pct"/>
            <w:shd w:val="clear" w:color="auto" w:fill="CCECFF"/>
          </w:tcPr>
          <w:p w14:paraId="5C113E77" w14:textId="2437A113" w:rsidR="00B7015C"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37"/>
                <w14:textFill>
                  <w14:solidFill>
                    <w14:srgbClr w14:val="000000">
                      <w14:alpha w14:val="100000"/>
                    </w14:srgbClr>
                  </w14:solidFill>
                </w14:textFill>
              </w:rPr>
              <w:t xml:space="preserve">　</w:t>
            </w:r>
            <w:r w:rsidRPr="00385E8C">
              <w:rPr>
                <w:color w:val="000000"/>
                <w:w w:val="15"/>
                <w:shd w:val="solid" w:color="000000" w:fill="000000"/>
                <w:fitText w:val="20" w:id="-1500823537"/>
                <w14:textFill>
                  <w14:solidFill>
                    <w14:srgbClr w14:val="000000">
                      <w14:alpha w14:val="100000"/>
                    </w14:srgbClr>
                  </w14:solidFill>
                </w14:textFill>
              </w:rPr>
              <w:t>|</w:t>
            </w:r>
            <w:r w:rsidRPr="00385E8C">
              <w:rPr>
                <w:rFonts w:hint="eastAsia"/>
                <w:color w:val="000000"/>
                <w:spacing w:val="-45"/>
                <w:w w:val="15"/>
                <w:shd w:val="solid" w:color="000000" w:fill="000000"/>
                <w:fitText w:val="20" w:id="-1500823537"/>
                <w14:textFill>
                  <w14:solidFill>
                    <w14:srgbClr w14:val="000000">
                      <w14:alpha w14:val="100000"/>
                    </w14:srgbClr>
                  </w14:solidFill>
                </w14:textFill>
              </w:rPr>
              <w:t xml:space="preserve">　</w:t>
            </w:r>
            <w:r w:rsidR="00DB6FCC">
              <w:rPr>
                <w:vertAlign w:val="superscript"/>
              </w:rPr>
              <w:t>3</w:t>
            </w:r>
          </w:p>
        </w:tc>
        <w:tc>
          <w:tcPr>
            <w:tcW w:w="635" w:type="pct"/>
            <w:shd w:val="clear" w:color="auto" w:fill="CCECFF"/>
          </w:tcPr>
          <w:p w14:paraId="1C964FF9" w14:textId="1D16C8C1" w:rsidR="00B7015C"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36"/>
                <w14:textFill>
                  <w14:solidFill>
                    <w14:srgbClr w14:val="000000">
                      <w14:alpha w14:val="100000"/>
                    </w14:srgbClr>
                  </w14:solidFill>
                </w14:textFill>
              </w:rPr>
              <w:t xml:space="preserve">　</w:t>
            </w:r>
            <w:r w:rsidRPr="00385E8C">
              <w:rPr>
                <w:color w:val="000000"/>
                <w:w w:val="15"/>
                <w:shd w:val="solid" w:color="000000" w:fill="000000"/>
                <w:fitText w:val="20" w:id="-1500823536"/>
                <w14:textFill>
                  <w14:solidFill>
                    <w14:srgbClr w14:val="000000">
                      <w14:alpha w14:val="100000"/>
                    </w14:srgbClr>
                  </w14:solidFill>
                </w14:textFill>
              </w:rPr>
              <w:t>|</w:t>
            </w:r>
            <w:r w:rsidRPr="00385E8C">
              <w:rPr>
                <w:rFonts w:hint="eastAsia"/>
                <w:color w:val="000000"/>
                <w:spacing w:val="-45"/>
                <w:w w:val="15"/>
                <w:shd w:val="solid" w:color="000000" w:fill="000000"/>
                <w:fitText w:val="20" w:id="-1500823536"/>
                <w14:textFill>
                  <w14:solidFill>
                    <w14:srgbClr w14:val="000000">
                      <w14:alpha w14:val="100000"/>
                    </w14:srgbClr>
                  </w14:solidFill>
                </w14:textFill>
              </w:rPr>
              <w:t xml:space="preserve">　</w:t>
            </w:r>
            <w:r w:rsidR="00DB6FCC">
              <w:rPr>
                <w:vertAlign w:val="superscript"/>
              </w:rPr>
              <w:t>3</w:t>
            </w:r>
          </w:p>
        </w:tc>
        <w:tc>
          <w:tcPr>
            <w:tcW w:w="635" w:type="pct"/>
            <w:shd w:val="clear" w:color="auto" w:fill="CCECFF"/>
          </w:tcPr>
          <w:p w14:paraId="4D86B6C8" w14:textId="6CA6A5CD" w:rsidR="00B7015C" w:rsidRPr="00C652B2" w:rsidRDefault="007A0897" w:rsidP="00A4339A">
            <w:pPr>
              <w:pStyle w:val="TableText0"/>
              <w:keepLines/>
              <w:widowControl w:val="0"/>
              <w:jc w:val="center"/>
              <w:rPr>
                <w:highlight w:val="yellow"/>
              </w:rPr>
            </w:pPr>
            <w:r w:rsidRPr="00385E8C">
              <w:rPr>
                <w:rFonts w:hint="eastAsia"/>
                <w:color w:val="000000"/>
                <w:w w:val="15"/>
                <w:shd w:val="solid" w:color="000000" w:fill="000000"/>
                <w:fitText w:val="20" w:id="-1500823552"/>
                <w14:textFill>
                  <w14:solidFill>
                    <w14:srgbClr w14:val="000000">
                      <w14:alpha w14:val="100000"/>
                    </w14:srgbClr>
                  </w14:solidFill>
                </w14:textFill>
              </w:rPr>
              <w:t xml:space="preserve">　</w:t>
            </w:r>
            <w:r w:rsidRPr="00385E8C">
              <w:rPr>
                <w:color w:val="000000"/>
                <w:w w:val="15"/>
                <w:shd w:val="solid" w:color="000000" w:fill="000000"/>
                <w:fitText w:val="20" w:id="-1500823552"/>
                <w14:textFill>
                  <w14:solidFill>
                    <w14:srgbClr w14:val="000000">
                      <w14:alpha w14:val="100000"/>
                    </w14:srgbClr>
                  </w14:solidFill>
                </w14:textFill>
              </w:rPr>
              <w:t>|</w:t>
            </w:r>
            <w:r w:rsidRPr="00385E8C">
              <w:rPr>
                <w:rFonts w:hint="eastAsia"/>
                <w:color w:val="000000"/>
                <w:spacing w:val="-45"/>
                <w:w w:val="15"/>
                <w:shd w:val="solid" w:color="000000" w:fill="000000"/>
                <w:fitText w:val="20" w:id="-1500823552"/>
                <w14:textFill>
                  <w14:solidFill>
                    <w14:srgbClr w14:val="000000">
                      <w14:alpha w14:val="100000"/>
                    </w14:srgbClr>
                  </w14:solidFill>
                </w14:textFill>
              </w:rPr>
              <w:t xml:space="preserve">　</w:t>
            </w:r>
            <w:r w:rsidR="00DB6FCC">
              <w:rPr>
                <w:vertAlign w:val="superscript"/>
              </w:rPr>
              <w:t>3</w:t>
            </w:r>
          </w:p>
        </w:tc>
        <w:tc>
          <w:tcPr>
            <w:tcW w:w="669" w:type="pct"/>
            <w:shd w:val="clear" w:color="auto" w:fill="CCECFF"/>
          </w:tcPr>
          <w:p w14:paraId="441F00C1" w14:textId="584D13A0" w:rsidR="00B7015C" w:rsidRPr="00C652B2" w:rsidRDefault="007A0897" w:rsidP="00A4339A">
            <w:pPr>
              <w:pStyle w:val="TableText0"/>
              <w:keepLines/>
              <w:widowControl w:val="0"/>
              <w:jc w:val="center"/>
              <w:rPr>
                <w:highlight w:val="yellow"/>
              </w:rPr>
            </w:pPr>
            <w:r w:rsidRPr="007A0897">
              <w:rPr>
                <w:color w:val="000000"/>
                <w:shd w:val="solid" w:color="000000" w:fill="000000"/>
                <w14:textFill>
                  <w14:solidFill>
                    <w14:srgbClr w14:val="000000">
                      <w14:alpha w14:val="100000"/>
                    </w14:srgbClr>
                  </w14:solidFill>
                </w14:textFill>
              </w:rPr>
              <w:t>|</w:t>
            </w:r>
            <w:r w:rsidR="00DB6FCC">
              <w:rPr>
                <w:vertAlign w:val="superscript"/>
              </w:rPr>
              <w:t>3</w:t>
            </w:r>
          </w:p>
        </w:tc>
      </w:tr>
    </w:tbl>
    <w:p w14:paraId="484CF5B6" w14:textId="4F503BE1" w:rsidR="00620C25" w:rsidRPr="00B07FB9" w:rsidRDefault="00620C25" w:rsidP="000C6F49">
      <w:pPr>
        <w:pStyle w:val="TableFigureFooter"/>
        <w:widowControl w:val="0"/>
        <w:rPr>
          <w:rStyle w:val="CommentReference"/>
        </w:rPr>
      </w:pPr>
      <w:r w:rsidRPr="00B07FB9">
        <w:t xml:space="preserve">Source: </w:t>
      </w:r>
      <w:r w:rsidR="001D0969" w:rsidRPr="00B07FB9">
        <w:t>Table 134, p194, Table 141, p200, Table 145, pp201-202, Table 157, p208, Table 158, p209, Table 170, p214 of the resubmission</w:t>
      </w:r>
      <w:r w:rsidRPr="00B07FB9">
        <w:t>.</w:t>
      </w:r>
    </w:p>
    <w:p w14:paraId="1A7D4DA5" w14:textId="3A15E63F" w:rsidR="00B7015C" w:rsidRPr="00B07FB9" w:rsidRDefault="00B7015C" w:rsidP="000C6F49">
      <w:pPr>
        <w:pStyle w:val="TableFigureFooter"/>
        <w:widowControl w:val="0"/>
      </w:pPr>
      <w:r w:rsidRPr="00B07FB9">
        <w:t xml:space="preserve">Note: </w:t>
      </w:r>
      <w:r w:rsidRPr="00B07FB9">
        <w:rPr>
          <w:shd w:val="clear" w:color="auto" w:fill="CCECFF"/>
        </w:rPr>
        <w:t>Blue shading</w:t>
      </w:r>
      <w:r w:rsidRPr="00B07FB9">
        <w:t xml:space="preserve"> indicates data previously seen by the PBAC.</w:t>
      </w:r>
    </w:p>
    <w:p w14:paraId="21D8ADE5" w14:textId="0A684239" w:rsidR="003F271B" w:rsidRPr="00B07FB9" w:rsidRDefault="003F271B" w:rsidP="000C6F49">
      <w:pPr>
        <w:pStyle w:val="TableFigureFooter"/>
        <w:widowControl w:val="0"/>
        <w:rPr>
          <w:color w:val="000000" w:themeColor="text1"/>
        </w:rPr>
      </w:pPr>
      <w:proofErr w:type="spellStart"/>
      <w:r w:rsidRPr="00B07FB9">
        <w:rPr>
          <w:color w:val="000000" w:themeColor="text1"/>
          <w:vertAlign w:val="superscript"/>
        </w:rPr>
        <w:t>a</w:t>
      </w:r>
      <w:proofErr w:type="spellEnd"/>
      <w:r w:rsidRPr="00B07FB9">
        <w:rPr>
          <w:color w:val="000000" w:themeColor="text1"/>
          <w:vertAlign w:val="superscript"/>
        </w:rPr>
        <w:t xml:space="preserve"> </w:t>
      </w:r>
      <w:r w:rsidRPr="00B07FB9">
        <w:rPr>
          <w:color w:val="000000" w:themeColor="text1"/>
        </w:rPr>
        <w:t xml:space="preserve">Only including patients who initiate niraparib therapy in each listing year. </w:t>
      </w:r>
    </w:p>
    <w:p w14:paraId="752EE3AA" w14:textId="2C60701E" w:rsidR="00AC4EE3" w:rsidRDefault="00AC4EE3" w:rsidP="00DB6FCC">
      <w:pPr>
        <w:pStyle w:val="TableFigureFooter"/>
        <w:widowControl w:val="0"/>
        <w:spacing w:after="0"/>
        <w:rPr>
          <w:color w:val="000000" w:themeColor="text1"/>
        </w:rPr>
      </w:pPr>
      <w:r w:rsidRPr="00B07FB9">
        <w:rPr>
          <w:color w:val="000000" w:themeColor="text1"/>
          <w:vertAlign w:val="superscript"/>
        </w:rPr>
        <w:t xml:space="preserve">b </w:t>
      </w:r>
      <w:r w:rsidRPr="00B07FB9">
        <w:rPr>
          <w:color w:val="000000" w:themeColor="text1"/>
        </w:rPr>
        <w:t xml:space="preserve">The </w:t>
      </w:r>
      <w:r w:rsidR="00701090" w:rsidRPr="00B07FB9">
        <w:rPr>
          <w:color w:val="000000" w:themeColor="text1"/>
        </w:rPr>
        <w:t>average treatment duration in subsequent treatment years was estimated separately for non-</w:t>
      </w:r>
      <w:proofErr w:type="spellStart"/>
      <w:r w:rsidR="00701090" w:rsidRPr="00B07FB9">
        <w:rPr>
          <w:color w:val="000000" w:themeColor="text1"/>
        </w:rPr>
        <w:t>BRCAm</w:t>
      </w:r>
      <w:proofErr w:type="spellEnd"/>
      <w:r w:rsidR="00701090" w:rsidRPr="00B07FB9">
        <w:rPr>
          <w:color w:val="000000" w:themeColor="text1"/>
        </w:rPr>
        <w:t xml:space="preserve"> patients (based on modelled time to treatment discontinuation in the cost-utility analysis) and for </w:t>
      </w:r>
      <w:proofErr w:type="spellStart"/>
      <w:r w:rsidR="00701090" w:rsidRPr="00B07FB9">
        <w:rPr>
          <w:color w:val="000000" w:themeColor="text1"/>
        </w:rPr>
        <w:t>BRCAm</w:t>
      </w:r>
      <w:proofErr w:type="spellEnd"/>
      <w:r w:rsidR="00701090" w:rsidRPr="00B07FB9">
        <w:rPr>
          <w:color w:val="000000" w:themeColor="text1"/>
        </w:rPr>
        <w:t xml:space="preserve"> patients (based on the assumed treatment duration in the cost-minimisation analysis). The </w:t>
      </w:r>
      <w:r w:rsidRPr="00B07FB9">
        <w:rPr>
          <w:color w:val="000000" w:themeColor="text1"/>
        </w:rPr>
        <w:t>number of niraparib scripts was estimated on the basis of the distribution of doses and compliance rates from the individualised starting dose cohort of the PRIMA trial. Dose volumes and compliance rates were translated into an estimated number of niraparib scripts per cycle, by assuming all patients on 300 mg daily receive 84-capsule packs and all patients on 200 mg and 100 mg daily receive 56-capsule packs.</w:t>
      </w:r>
    </w:p>
    <w:p w14:paraId="7C61244D" w14:textId="77777777" w:rsidR="00DB6FCC" w:rsidRDefault="00DB6FCC" w:rsidP="00DB6FCC">
      <w:pPr>
        <w:rPr>
          <w:rFonts w:ascii="Arial Narrow" w:hAnsi="Arial Narrow"/>
          <w:i/>
          <w:sz w:val="18"/>
          <w:szCs w:val="18"/>
        </w:rPr>
      </w:pPr>
      <w:r>
        <w:rPr>
          <w:rFonts w:ascii="Arial Narrow" w:hAnsi="Arial Narrow"/>
          <w:i/>
          <w:sz w:val="18"/>
          <w:szCs w:val="18"/>
        </w:rPr>
        <w:t xml:space="preserve">The redacted values correspond to the following ranges: </w:t>
      </w:r>
    </w:p>
    <w:p w14:paraId="35BA9988" w14:textId="789E31DA" w:rsidR="00DB6FCC" w:rsidRDefault="00DB6FCC" w:rsidP="00DB6FCC">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DB6FCC">
        <w:rPr>
          <w:rFonts w:ascii="Arial Narrow" w:hAnsi="Arial Narrow"/>
          <w:i/>
          <w:sz w:val="18"/>
          <w:szCs w:val="18"/>
        </w:rPr>
        <w:t>&lt; 500</w:t>
      </w:r>
    </w:p>
    <w:p w14:paraId="52A0BE1D" w14:textId="11A88C89" w:rsidR="00DB6FCC" w:rsidRDefault="00DB6FCC" w:rsidP="00DB6FCC">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DB6FCC">
        <w:rPr>
          <w:rFonts w:ascii="Arial Narrow" w:hAnsi="Arial Narrow"/>
          <w:i/>
          <w:sz w:val="18"/>
          <w:szCs w:val="18"/>
        </w:rPr>
        <w:t>500 to &lt; 5,000</w:t>
      </w:r>
    </w:p>
    <w:p w14:paraId="7BAA31DA" w14:textId="31B06598" w:rsidR="00DB6FCC" w:rsidRDefault="00DB6FCC" w:rsidP="00DB6FCC">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DB6FCC">
        <w:rPr>
          <w:rFonts w:ascii="Arial Narrow" w:hAnsi="Arial Narrow"/>
          <w:i/>
          <w:sz w:val="18"/>
          <w:szCs w:val="18"/>
        </w:rPr>
        <w:t>$10 million to &lt; $20 million</w:t>
      </w:r>
    </w:p>
    <w:p w14:paraId="4B4777CC" w14:textId="0EAC26A0" w:rsidR="00DB6FCC" w:rsidRDefault="00DB6FCC" w:rsidP="00DB6FCC">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DB6FCC">
        <w:rPr>
          <w:rFonts w:ascii="Arial Narrow" w:hAnsi="Arial Narrow"/>
          <w:i/>
          <w:sz w:val="18"/>
          <w:szCs w:val="18"/>
        </w:rPr>
        <w:t>$0 to &lt; $10 million</w:t>
      </w:r>
    </w:p>
    <w:p w14:paraId="0FCBB3D7" w14:textId="099DA941" w:rsidR="00DB6FCC" w:rsidRDefault="00DB6FCC" w:rsidP="00DB6FCC">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DB6FCC">
        <w:rPr>
          <w:rFonts w:ascii="Arial Narrow" w:hAnsi="Arial Narrow"/>
          <w:i/>
          <w:sz w:val="18"/>
          <w:szCs w:val="18"/>
        </w:rPr>
        <w:t>5,000 to &lt; 10,000</w:t>
      </w:r>
    </w:p>
    <w:p w14:paraId="0AB9F5A2" w14:textId="0A5EE28D" w:rsidR="00DB6FCC" w:rsidRPr="00B07FB9" w:rsidRDefault="00DB6FCC" w:rsidP="00DB6FCC">
      <w:pPr>
        <w:spacing w:after="240"/>
        <w:rPr>
          <w:color w:val="000000" w:themeColor="text1"/>
        </w:rPr>
      </w:pPr>
      <w:r>
        <w:rPr>
          <w:rFonts w:ascii="Arial Narrow" w:hAnsi="Arial Narrow"/>
          <w:i/>
          <w:sz w:val="18"/>
          <w:szCs w:val="18"/>
          <w:vertAlign w:val="superscript"/>
        </w:rPr>
        <w:t>6</w:t>
      </w:r>
      <w:r>
        <w:rPr>
          <w:rFonts w:ascii="Arial Narrow" w:hAnsi="Arial Narrow"/>
          <w:i/>
          <w:sz w:val="18"/>
          <w:szCs w:val="18"/>
        </w:rPr>
        <w:t xml:space="preserve"> </w:t>
      </w:r>
      <w:r w:rsidRPr="00DB6FCC">
        <w:rPr>
          <w:rFonts w:ascii="Arial Narrow" w:hAnsi="Arial Narrow"/>
          <w:i/>
          <w:sz w:val="18"/>
          <w:szCs w:val="18"/>
        </w:rPr>
        <w:t>$20 million to &lt; $30 million</w:t>
      </w:r>
    </w:p>
    <w:p w14:paraId="75586731" w14:textId="2EF69737" w:rsidR="000902D9" w:rsidRPr="00B07FB9" w:rsidRDefault="000902D9" w:rsidP="000C6F49">
      <w:pPr>
        <w:pStyle w:val="3-BodyText"/>
        <w:widowControl w:val="0"/>
      </w:pPr>
      <w:r w:rsidRPr="00B07FB9">
        <w:t xml:space="preserve">The total cost to the PBS/RPBS of listing </w:t>
      </w:r>
      <w:r w:rsidR="001A369F" w:rsidRPr="00B07FB9">
        <w:t xml:space="preserve">niraparib </w:t>
      </w:r>
      <w:r w:rsidRPr="00B07FB9">
        <w:t xml:space="preserve">was estimated </w:t>
      </w:r>
      <w:r w:rsidR="00A05C32" w:rsidRPr="00B07FB9">
        <w:t>to be</w:t>
      </w:r>
      <w:r w:rsidRPr="00B07FB9">
        <w:t xml:space="preserve"> </w:t>
      </w:r>
      <w:r w:rsidR="00DB6FCC" w:rsidRPr="00DB6FCC">
        <w:t>$10 million to &lt; $20 million</w:t>
      </w:r>
      <w:r w:rsidR="00DB6FCC">
        <w:t xml:space="preserve"> per year</w:t>
      </w:r>
      <w:r w:rsidR="00FE5943" w:rsidRPr="00B07FB9">
        <w:t xml:space="preserve"> </w:t>
      </w:r>
      <w:r w:rsidRPr="00B07FB9">
        <w:t xml:space="preserve">in Year 6, and a total of </w:t>
      </w:r>
      <w:r w:rsidR="00DB6FCC" w:rsidRPr="00DB6FCC">
        <w:t>$60 million to</w:t>
      </w:r>
      <w:r w:rsidR="00DB6FCC">
        <w:t xml:space="preserve"> </w:t>
      </w:r>
      <w:r w:rsidR="00DB6FCC" w:rsidRPr="00DB6FCC">
        <w:t>&lt; $70 million</w:t>
      </w:r>
      <w:r w:rsidR="00DB6FCC">
        <w:t xml:space="preserve"> </w:t>
      </w:r>
      <w:r w:rsidRPr="00B07FB9">
        <w:t>in the first 6 years of listing</w:t>
      </w:r>
      <w:r w:rsidR="004931A4" w:rsidRPr="00B07FB9">
        <w:rPr>
          <w:i/>
          <w:iCs/>
        </w:rPr>
        <w:t xml:space="preserve">, </w:t>
      </w:r>
      <w:r w:rsidR="004931A4" w:rsidRPr="00B07FB9">
        <w:t xml:space="preserve">revised to </w:t>
      </w:r>
      <w:r w:rsidR="00DB6FCC" w:rsidRPr="00DB6FCC">
        <w:t>$50 million to &lt; $60 million</w:t>
      </w:r>
      <w:r w:rsidR="004931A4" w:rsidRPr="00B07FB9">
        <w:t xml:space="preserve"> in the PSCR </w:t>
      </w:r>
      <w:r w:rsidR="006247CE" w:rsidRPr="00B07FB9">
        <w:t xml:space="preserve">and </w:t>
      </w:r>
      <w:r w:rsidR="00DB6FCC" w:rsidRPr="00DB6FCC">
        <w:t>$50 million to &lt; $60 million</w:t>
      </w:r>
      <w:r w:rsidR="006247CE" w:rsidRPr="00B07FB9">
        <w:t xml:space="preserve"> in the pre-PBAC response</w:t>
      </w:r>
      <w:r w:rsidRPr="00B07FB9">
        <w:t>.</w:t>
      </w:r>
    </w:p>
    <w:p w14:paraId="224EAB82" w14:textId="20761141" w:rsidR="00706C1D" w:rsidRPr="00B07FB9" w:rsidRDefault="00706C1D" w:rsidP="000C6F49">
      <w:pPr>
        <w:pStyle w:val="3-BodyText"/>
        <w:widowControl w:val="0"/>
      </w:pPr>
      <w:r w:rsidRPr="00B07FB9">
        <w:t>The main areas of uncertainty in the financial analysis are:</w:t>
      </w:r>
    </w:p>
    <w:p w14:paraId="6DE55B85" w14:textId="1E24C8D6" w:rsidR="00706C1D" w:rsidRPr="00B07FB9" w:rsidRDefault="00706C1D" w:rsidP="003C6ACF">
      <w:pPr>
        <w:pStyle w:val="3-BodyText"/>
        <w:widowControl w:val="0"/>
        <w:numPr>
          <w:ilvl w:val="1"/>
          <w:numId w:val="8"/>
        </w:numPr>
        <w:ind w:left="1276" w:hanging="426"/>
      </w:pPr>
      <w:r w:rsidRPr="00B07FB9">
        <w:t xml:space="preserve">The prevalence of </w:t>
      </w:r>
      <w:proofErr w:type="spellStart"/>
      <w:r w:rsidRPr="00B07FB9">
        <w:t>BRCAm</w:t>
      </w:r>
      <w:proofErr w:type="spellEnd"/>
      <w:r w:rsidRPr="00B07FB9">
        <w:t xml:space="preserve">. </w:t>
      </w:r>
      <w:r w:rsidR="004931A4" w:rsidRPr="00B07FB9">
        <w:t xml:space="preserve">Revised from </w:t>
      </w:r>
      <w:r w:rsidRPr="00B07FB9">
        <w:t xml:space="preserve">28.9 </w:t>
      </w:r>
      <w:r w:rsidR="004931A4" w:rsidRPr="00B07FB9">
        <w:t xml:space="preserve">to </w:t>
      </w:r>
      <w:r w:rsidRPr="00B07FB9">
        <w:t>25.3%</w:t>
      </w:r>
      <w:r w:rsidR="004931A4" w:rsidRPr="00B07FB9">
        <w:t xml:space="preserve"> in line with the value previously accepted by the PBAC</w:t>
      </w:r>
      <w:r w:rsidRPr="00B07FB9">
        <w:t xml:space="preserve">. </w:t>
      </w:r>
      <w:proofErr w:type="spellStart"/>
      <w:r w:rsidRPr="00B07FB9">
        <w:t>BRCAm</w:t>
      </w:r>
      <w:proofErr w:type="spellEnd"/>
      <w:r w:rsidRPr="00B07FB9">
        <w:t xml:space="preserve"> prevalence varied across clinical studies. There is a lack of recent, large-scale, Australian studies of the relevant ovarian cancer population for a reliable estimation of </w:t>
      </w:r>
      <w:proofErr w:type="spellStart"/>
      <w:r w:rsidRPr="00B07FB9">
        <w:t>BRCAm</w:t>
      </w:r>
      <w:proofErr w:type="spellEnd"/>
      <w:r w:rsidRPr="00B07FB9">
        <w:t xml:space="preserve"> prevalence in the </w:t>
      </w:r>
      <w:r w:rsidRPr="00B07FB9">
        <w:lastRenderedPageBreak/>
        <w:t xml:space="preserve">proposed NDA HGEOC patients in the current Australian setting. A high estimate of the </w:t>
      </w:r>
      <w:proofErr w:type="spellStart"/>
      <w:r w:rsidRPr="00B07FB9">
        <w:t>BRCAm</w:t>
      </w:r>
      <w:proofErr w:type="spellEnd"/>
      <w:r w:rsidRPr="00B07FB9">
        <w:t xml:space="preserve"> prevalence would favour niraparib, as it </w:t>
      </w:r>
      <w:r w:rsidR="00DE3D82" w:rsidRPr="00B07FB9">
        <w:t xml:space="preserve">would </w:t>
      </w:r>
      <w:r w:rsidRPr="00B07FB9">
        <w:t xml:space="preserve">result in greater cost offsets (associated with increased substitution of </w:t>
      </w:r>
      <w:proofErr w:type="spellStart"/>
      <w:r w:rsidRPr="00B07FB9">
        <w:t>olaparib</w:t>
      </w:r>
      <w:proofErr w:type="spellEnd"/>
      <w:r w:rsidRPr="00B07FB9">
        <w:t xml:space="preserve"> with niraparib) in the </w:t>
      </w:r>
      <w:proofErr w:type="spellStart"/>
      <w:r w:rsidRPr="00B07FB9">
        <w:t>BRCAm</w:t>
      </w:r>
      <w:proofErr w:type="spellEnd"/>
      <w:r w:rsidRPr="00B07FB9">
        <w:t xml:space="preserve"> cohort and lower incremental costs (due to the decreased substitution of no active treatment with niraparib) in the non-</w:t>
      </w:r>
      <w:proofErr w:type="spellStart"/>
      <w:r w:rsidRPr="00B07FB9">
        <w:t>BRCAm</w:t>
      </w:r>
      <w:proofErr w:type="spellEnd"/>
      <w:r w:rsidRPr="00B07FB9">
        <w:t xml:space="preserve"> cohort. The application of 25.3% in the financial analysis would increase the net PBS/RPBS cost by 16% over the first 6 years of listing.</w:t>
      </w:r>
    </w:p>
    <w:p w14:paraId="69D4903E" w14:textId="4513D42D" w:rsidR="00706C1D" w:rsidRPr="00B07FB9" w:rsidRDefault="00706C1D" w:rsidP="003C6ACF">
      <w:pPr>
        <w:pStyle w:val="3-BodyText"/>
        <w:numPr>
          <w:ilvl w:val="1"/>
          <w:numId w:val="8"/>
        </w:numPr>
        <w:ind w:left="1276" w:hanging="425"/>
      </w:pPr>
      <w:r w:rsidRPr="00B07FB9">
        <w:t xml:space="preserve">The uptake of niraparib. Although the extent of use of </w:t>
      </w:r>
      <w:proofErr w:type="spellStart"/>
      <w:r w:rsidRPr="00B07FB9">
        <w:t>olaparib</w:t>
      </w:r>
      <w:proofErr w:type="spellEnd"/>
      <w:r w:rsidRPr="00B07FB9">
        <w:t xml:space="preserve"> in </w:t>
      </w:r>
      <w:proofErr w:type="spellStart"/>
      <w:r w:rsidRPr="00B07FB9">
        <w:t>BRCAm</w:t>
      </w:r>
      <w:proofErr w:type="spellEnd"/>
      <w:r w:rsidRPr="00B07FB9">
        <w:t xml:space="preserve"> patients and in patients discontinuing </w:t>
      </w:r>
      <w:proofErr w:type="spellStart"/>
      <w:r w:rsidRPr="00B07FB9">
        <w:t>olaparib</w:t>
      </w:r>
      <w:proofErr w:type="spellEnd"/>
      <w:r w:rsidRPr="00B07FB9">
        <w:t xml:space="preserve"> due to AEs has been </w:t>
      </w:r>
      <w:r w:rsidR="003678F9" w:rsidRPr="00B07FB9">
        <w:t>revise</w:t>
      </w:r>
      <w:r w:rsidRPr="00B07FB9">
        <w:t xml:space="preserve">d as per </w:t>
      </w:r>
      <w:r w:rsidR="00DE3D82" w:rsidRPr="00B07FB9">
        <w:t xml:space="preserve">advice in the </w:t>
      </w:r>
      <w:r w:rsidRPr="00B07FB9">
        <w:t xml:space="preserve">previous evaluation, </w:t>
      </w:r>
      <w:r w:rsidR="003678F9" w:rsidRPr="00B07FB9">
        <w:t xml:space="preserve">the uptake of </w:t>
      </w:r>
      <w:r w:rsidR="00EB095C" w:rsidRPr="00B07FB9">
        <w:t xml:space="preserve">various first-line </w:t>
      </w:r>
      <w:r w:rsidR="00A27679" w:rsidRPr="00B07FB9">
        <w:t>maintenance therapies with and without the availability of the niraparib</w:t>
      </w:r>
      <w:r w:rsidR="003678F9" w:rsidRPr="00B07FB9">
        <w:t xml:space="preserve"> </w:t>
      </w:r>
      <w:r w:rsidRPr="00B07FB9">
        <w:t xml:space="preserve">was </w:t>
      </w:r>
      <w:r w:rsidR="003678F9" w:rsidRPr="00B07FB9">
        <w:t>mainly</w:t>
      </w:r>
      <w:r w:rsidRPr="00B07FB9">
        <w:t xml:space="preserve"> based </w:t>
      </w:r>
      <w:r w:rsidR="003678F9" w:rsidRPr="00B07FB9">
        <w:t xml:space="preserve">on the </w:t>
      </w:r>
      <w:r w:rsidR="00A27679" w:rsidRPr="00B07FB9">
        <w:t>re</w:t>
      </w:r>
      <w:r w:rsidR="003678F9" w:rsidRPr="00B07FB9">
        <w:t>submission’s assumptions</w:t>
      </w:r>
      <w:r w:rsidRPr="00B07FB9">
        <w:t xml:space="preserve">. </w:t>
      </w:r>
      <w:r w:rsidR="003678F9" w:rsidRPr="00B07FB9">
        <w:t xml:space="preserve">Sensitivity analyses indicated the </w:t>
      </w:r>
      <w:r w:rsidRPr="00B07FB9">
        <w:t xml:space="preserve">changes in these uptake variables </w:t>
      </w:r>
      <w:r w:rsidR="003678F9" w:rsidRPr="00B07FB9">
        <w:t xml:space="preserve">would </w:t>
      </w:r>
      <w:r w:rsidR="005F3597" w:rsidRPr="00B07FB9">
        <w:t xml:space="preserve">moderately affect the </w:t>
      </w:r>
      <w:r w:rsidRPr="00B07FB9">
        <w:t>financial implications to the PBS/RPBS</w:t>
      </w:r>
      <w:r w:rsidR="003678F9" w:rsidRPr="00B07FB9">
        <w:t xml:space="preserve"> associated with the proposed PBS listing of niraparib. </w:t>
      </w:r>
      <w:r w:rsidR="004931A4" w:rsidRPr="00B07FB9">
        <w:t xml:space="preserve">The ESC considered that the uptake estimates remained uncertain and appeared </w:t>
      </w:r>
      <w:r w:rsidR="00FE3A68" w:rsidRPr="00B07FB9">
        <w:t xml:space="preserve">substantially overestimated in the </w:t>
      </w:r>
      <w:proofErr w:type="spellStart"/>
      <w:r w:rsidR="00FE3A68" w:rsidRPr="00B07FB9">
        <w:t>BRCAm</w:t>
      </w:r>
      <w:proofErr w:type="spellEnd"/>
      <w:r w:rsidR="00FE3A68" w:rsidRPr="00B07FB9">
        <w:t xml:space="preserve"> population. The ESC also considered that uptake in the non-BRCA population was uncertain as it may be somewhat dependent on HRD testing (where available)</w:t>
      </w:r>
      <w:r w:rsidR="00AD6479" w:rsidRPr="00B07FB9">
        <w:t>. The ESC considered that uncertainty was further increased by the</w:t>
      </w:r>
      <w:r w:rsidR="00267FCB" w:rsidRPr="00B07FB9">
        <w:t xml:space="preserve"> </w:t>
      </w:r>
      <w:r w:rsidR="00FE3A68" w:rsidRPr="00B07FB9">
        <w:t xml:space="preserve">lack of clinical consensus on the use of </w:t>
      </w:r>
      <w:proofErr w:type="spellStart"/>
      <w:r w:rsidR="00FE3A68" w:rsidRPr="00B07FB9">
        <w:t>PARPi</w:t>
      </w:r>
      <w:proofErr w:type="spellEnd"/>
      <w:r w:rsidR="00FE3A68" w:rsidRPr="00B07FB9">
        <w:t xml:space="preserve"> in patients without evidence of HRD. </w:t>
      </w:r>
    </w:p>
    <w:p w14:paraId="553AD1C2" w14:textId="5455F4B2" w:rsidR="006D429D" w:rsidRPr="00B07FB9" w:rsidRDefault="006D429D" w:rsidP="006D429D">
      <w:pPr>
        <w:pStyle w:val="3-BodyText"/>
        <w:widowControl w:val="0"/>
      </w:pPr>
      <w:r w:rsidRPr="00B07FB9">
        <w:t xml:space="preserve">The PBAC noted that the financial impact from listing of niraparib in the </w:t>
      </w:r>
      <w:proofErr w:type="spellStart"/>
      <w:r w:rsidRPr="00B07FB9">
        <w:t>BRCAm</w:t>
      </w:r>
      <w:proofErr w:type="spellEnd"/>
      <w:r w:rsidRPr="00B07FB9">
        <w:t xml:space="preserve"> population would be expected to be cost-neutral</w:t>
      </w:r>
      <w:r w:rsidR="00BE5B65" w:rsidRPr="00B07FB9">
        <w:t xml:space="preserve"> overall</w:t>
      </w:r>
      <w:r w:rsidRPr="00B07FB9">
        <w:t>, with a small reduction in the cost to the PBS</w:t>
      </w:r>
      <w:r w:rsidR="00BE5B65" w:rsidRPr="00B07FB9">
        <w:t>/RPBS</w:t>
      </w:r>
      <w:r w:rsidRPr="00B07FB9">
        <w:t xml:space="preserve"> due to cost offsets from AEs and monitoring included in the CMA. </w:t>
      </w:r>
      <w:r w:rsidR="00BE5B65" w:rsidRPr="00B07FB9">
        <w:t>The PBAC noted that financial est</w:t>
      </w:r>
      <w:r w:rsidR="00E01F33" w:rsidRPr="00B07FB9">
        <w:t>i</w:t>
      </w:r>
      <w:r w:rsidR="00BE5B65" w:rsidRPr="00B07FB9">
        <w:t>mates would need to be revised to reflect the population recommended for listing.</w:t>
      </w:r>
    </w:p>
    <w:p w14:paraId="2238DEE9" w14:textId="3E6A228B" w:rsidR="00576972" w:rsidRPr="00B07FB9" w:rsidRDefault="00576972" w:rsidP="000C6F49">
      <w:pPr>
        <w:pStyle w:val="4-SubsectionHeading"/>
        <w:keepNext w:val="0"/>
        <w:widowControl w:val="0"/>
      </w:pPr>
      <w:bookmarkStart w:id="65" w:name="_Toc22897648"/>
      <w:bookmarkStart w:id="66" w:name="_Toc93404202"/>
      <w:r w:rsidRPr="00B07FB9">
        <w:t>Quality Use of Medicines</w:t>
      </w:r>
      <w:bookmarkEnd w:id="65"/>
      <w:bookmarkEnd w:id="66"/>
    </w:p>
    <w:p w14:paraId="7947457D" w14:textId="7E4190C7" w:rsidR="003678F9" w:rsidRPr="00B07FB9" w:rsidRDefault="003678F9" w:rsidP="000C6F49">
      <w:pPr>
        <w:pStyle w:val="3-BodyText"/>
        <w:widowControl w:val="0"/>
      </w:pPr>
      <w:r w:rsidRPr="00B07FB9">
        <w:t>The resubmission outlined a number of activities to promote the safe and effective use of niraparib in clinical practice, including additional pharmacovigilance activities outlined in the regulatory dossier</w:t>
      </w:r>
      <w:r w:rsidR="003B5B80" w:rsidRPr="00B07FB9">
        <w:t xml:space="preserve">, </w:t>
      </w:r>
      <w:r w:rsidR="00DE3D82" w:rsidRPr="00B07FB9">
        <w:t xml:space="preserve">a </w:t>
      </w:r>
      <w:r w:rsidR="003B5B80" w:rsidRPr="00B07FB9">
        <w:t>niraparib patient access program, webinars, collaborative medical education, advisory boards, and health care provider and patient brochures</w:t>
      </w:r>
      <w:r w:rsidRPr="00B07FB9">
        <w:t>.</w:t>
      </w:r>
      <w:r w:rsidR="003B5B80" w:rsidRPr="00B07FB9">
        <w:t xml:space="preserve"> </w:t>
      </w:r>
    </w:p>
    <w:p w14:paraId="6015A395" w14:textId="2EDB6A4E" w:rsidR="00576972" w:rsidRPr="00B07FB9" w:rsidRDefault="00576972" w:rsidP="000C6F49">
      <w:pPr>
        <w:pStyle w:val="4-SubsectionHeading"/>
        <w:keepNext w:val="0"/>
        <w:widowControl w:val="0"/>
      </w:pPr>
      <w:bookmarkStart w:id="67" w:name="_Toc22897649"/>
      <w:bookmarkStart w:id="68" w:name="_Toc93404203"/>
      <w:r w:rsidRPr="00B07FB9">
        <w:t>Financial Management – Risk Sharing Arrangements</w:t>
      </w:r>
      <w:bookmarkEnd w:id="67"/>
      <w:bookmarkEnd w:id="68"/>
    </w:p>
    <w:p w14:paraId="4FCE45A3" w14:textId="4C6C478F" w:rsidR="003B5B80" w:rsidRPr="00B07FB9" w:rsidRDefault="003B5B80" w:rsidP="000C6F49">
      <w:pPr>
        <w:pStyle w:val="3-BodyText"/>
        <w:widowControl w:val="0"/>
      </w:pPr>
      <w:bookmarkStart w:id="69" w:name="_Toc22897650"/>
      <w:r w:rsidRPr="00B07FB9">
        <w:t>The resubmission indicated that the sponsor recognised that a Risk Sharing Arrangement (RSA) would be required fo</w:t>
      </w:r>
      <w:r w:rsidR="00156EF1" w:rsidRPr="00B07FB9">
        <w:t>r the PBS listing of niraparib.</w:t>
      </w:r>
    </w:p>
    <w:bookmarkEnd w:id="69"/>
    <w:p w14:paraId="720354D8" w14:textId="5CA0B9B0" w:rsidR="00C726A3" w:rsidRDefault="00C726A3" w:rsidP="00C726A3">
      <w:pPr>
        <w:ind w:firstLine="709"/>
        <w:rPr>
          <w:rFonts w:asciiTheme="minorHAnsi" w:hAnsiTheme="minorHAnsi"/>
          <w:i/>
        </w:rPr>
      </w:pPr>
      <w:r w:rsidRPr="00B07FB9">
        <w:rPr>
          <w:rFonts w:asciiTheme="minorHAnsi" w:hAnsiTheme="minorHAnsi"/>
          <w:i/>
        </w:rPr>
        <w:t>For more detail on PBAC’s view, see section 7 PBAC outcome.</w:t>
      </w:r>
    </w:p>
    <w:p w14:paraId="1D008110" w14:textId="3B2E830D" w:rsidR="00DC3492" w:rsidRDefault="00DC3492">
      <w:pPr>
        <w:jc w:val="left"/>
        <w:rPr>
          <w:rFonts w:asciiTheme="minorHAnsi" w:hAnsiTheme="minorHAnsi"/>
          <w:i/>
        </w:rPr>
      </w:pPr>
      <w:r>
        <w:rPr>
          <w:rFonts w:asciiTheme="minorHAnsi" w:hAnsiTheme="minorHAnsi"/>
          <w:i/>
        </w:rPr>
        <w:br w:type="page"/>
      </w:r>
    </w:p>
    <w:p w14:paraId="778C50ED" w14:textId="77777777" w:rsidR="00F47D63" w:rsidRPr="00B07FB9" w:rsidRDefault="00F47D63" w:rsidP="002B664C">
      <w:pPr>
        <w:pStyle w:val="2-SectionHeading"/>
        <w:keepNext w:val="0"/>
        <w:widowControl w:val="0"/>
        <w:numPr>
          <w:ilvl w:val="0"/>
          <w:numId w:val="1"/>
        </w:numPr>
      </w:pPr>
      <w:bookmarkStart w:id="70" w:name="_Hlk76381249"/>
      <w:bookmarkStart w:id="71" w:name="_Hlk76377955"/>
      <w:r w:rsidRPr="00B07FB9">
        <w:lastRenderedPageBreak/>
        <w:t>PBAC Outcome</w:t>
      </w:r>
    </w:p>
    <w:p w14:paraId="5C153CE9" w14:textId="29E08263" w:rsidR="00F80072" w:rsidRPr="00B07FB9" w:rsidRDefault="00F80072" w:rsidP="00F80072">
      <w:pPr>
        <w:pStyle w:val="3-BodyText"/>
        <w:widowControl w:val="0"/>
      </w:pPr>
      <w:r w:rsidRPr="00B07FB9">
        <w:t>The PBAC recommended niraparib for the treatment of high-grade epithelial ovarian, fallopian tube, or primary peritoneal cancer in patients with BRCA1/2 pathogenic gene variants, who are in response (complete response or partial response) to 1L platinum-based chemotherapy.</w:t>
      </w:r>
      <w:r w:rsidR="005373D0" w:rsidRPr="00B07FB9">
        <w:t xml:space="preserve"> The PBAC’s recommendation for listing was based on, among other matters, it’s assessment that the cost-effectiveness of niraparib would be acceptable if it were cost-minimised to </w:t>
      </w:r>
      <w:proofErr w:type="spellStart"/>
      <w:r w:rsidR="005373D0" w:rsidRPr="00B07FB9">
        <w:t>olaparib</w:t>
      </w:r>
      <w:proofErr w:type="spellEnd"/>
      <w:r w:rsidRPr="00B07FB9">
        <w:t xml:space="preserve">. The PBAC did not recommend niraparib for patients without evidence of a BRCA1/2 pathogenic gene variant. The PBAC considered that in this population the PFS benefit from treatment with niraparib was relatively small (3.5 months) and may not result in </w:t>
      </w:r>
      <w:r w:rsidR="001A4D8A" w:rsidRPr="00B07FB9">
        <w:t xml:space="preserve">an </w:t>
      </w:r>
      <w:r w:rsidRPr="00B07FB9">
        <w:t>overall survival benefit. The PBAC considered that for a number of patients in this population there may be no clinical benefit from treatment with niraparib</w:t>
      </w:r>
      <w:r w:rsidR="008934A8" w:rsidRPr="00B07FB9">
        <w:t>, with added toxicity compared to no active treatment</w:t>
      </w:r>
      <w:r w:rsidRPr="00B07FB9">
        <w:t>. The PBAC considered that the cost-effectiveness of niraparib was uncertain because the economic model relied on gains in overall survival that were not supported by the immature trial data.</w:t>
      </w:r>
    </w:p>
    <w:p w14:paraId="04D252A0" w14:textId="775881B8" w:rsidR="003F3E86" w:rsidRPr="00B07FB9" w:rsidRDefault="00133AE9" w:rsidP="003F3E86">
      <w:pPr>
        <w:pStyle w:val="3-BodyText"/>
        <w:rPr>
          <w:rFonts w:cstheme="minorHAnsi"/>
          <w:b/>
        </w:rPr>
      </w:pPr>
      <w:r w:rsidRPr="00B07FB9">
        <w:t>The PBAC noted that consumer comments reflected a clinical need for</w:t>
      </w:r>
      <w:r w:rsidR="00273F81" w:rsidRPr="00B07FB9">
        <w:t xml:space="preserve"> </w:t>
      </w:r>
      <w:r w:rsidRPr="00B07FB9">
        <w:t xml:space="preserve">effective alternatives to chemotherapy </w:t>
      </w:r>
      <w:r w:rsidR="003F3E86" w:rsidRPr="00B07FB9">
        <w:t xml:space="preserve">and bevacizumab </w:t>
      </w:r>
      <w:r w:rsidRPr="00B07FB9">
        <w:t>for the patients without a confirmed BRCA1/2 pathological variant</w:t>
      </w:r>
      <w:r w:rsidR="003F3E86" w:rsidRPr="00B07FB9">
        <w:t>,</w:t>
      </w:r>
      <w:r w:rsidRPr="00B07FB9">
        <w:t xml:space="preserve"> </w:t>
      </w:r>
      <w:r w:rsidR="003F3E86" w:rsidRPr="00B07FB9">
        <w:rPr>
          <w:rFonts w:cstheme="minorHAnsi"/>
        </w:rPr>
        <w:t>noting that no PARP inhibitors are PBS listed for this population.</w:t>
      </w:r>
      <w:r w:rsidR="003F3E86" w:rsidRPr="00B07FB9">
        <w:t xml:space="preserve"> </w:t>
      </w:r>
      <w:r w:rsidR="00273F81" w:rsidRPr="00B07FB9">
        <w:t xml:space="preserve">Consumers noted that patients with ovarian cancer value improved PFS and QoL and felt that access to PBS subsidised treatment would reduce the fear of progression and reduce the financial burden for patients who were funding treatment with PARP </w:t>
      </w:r>
      <w:r w:rsidR="00DB111D" w:rsidRPr="00B07FB9">
        <w:t>inhibitors</w:t>
      </w:r>
      <w:r w:rsidR="00273F81" w:rsidRPr="00B07FB9">
        <w:t xml:space="preserve"> outside the PBS.</w:t>
      </w:r>
      <w:r w:rsidR="003F3E86" w:rsidRPr="00B07FB9">
        <w:t xml:space="preserve"> </w:t>
      </w:r>
    </w:p>
    <w:p w14:paraId="178B2FEB" w14:textId="45BF9BBE" w:rsidR="00133AE9" w:rsidRPr="00B07FB9" w:rsidRDefault="00F14FEA" w:rsidP="009430A7">
      <w:pPr>
        <w:widowControl w:val="0"/>
        <w:numPr>
          <w:ilvl w:val="1"/>
          <w:numId w:val="1"/>
        </w:numPr>
        <w:spacing w:after="120"/>
        <w:rPr>
          <w:rFonts w:asciiTheme="minorHAnsi" w:hAnsiTheme="minorHAnsi" w:cstheme="minorHAnsi"/>
          <w:b/>
          <w:snapToGrid w:val="0"/>
        </w:rPr>
      </w:pPr>
      <w:r w:rsidRPr="00B07FB9">
        <w:rPr>
          <w:rFonts w:asciiTheme="minorHAnsi" w:hAnsiTheme="minorHAnsi"/>
          <w:snapToGrid w:val="0"/>
        </w:rPr>
        <w:t xml:space="preserve">The PBAC considered that the clinical place for PARP inhibitors in patients without </w:t>
      </w:r>
      <w:proofErr w:type="spellStart"/>
      <w:r w:rsidRPr="00B07FB9">
        <w:rPr>
          <w:rFonts w:asciiTheme="minorHAnsi" w:hAnsiTheme="minorHAnsi"/>
          <w:snapToGrid w:val="0"/>
        </w:rPr>
        <w:t>BRCAm</w:t>
      </w:r>
      <w:proofErr w:type="spellEnd"/>
      <w:r w:rsidRPr="00B07FB9">
        <w:rPr>
          <w:rFonts w:asciiTheme="minorHAnsi" w:hAnsiTheme="minorHAnsi"/>
          <w:snapToGrid w:val="0"/>
        </w:rPr>
        <w:t xml:space="preserve"> remained somewhat uncertain</w:t>
      </w:r>
      <w:r w:rsidR="00DE6EE3" w:rsidRPr="00B07FB9">
        <w:rPr>
          <w:rFonts w:asciiTheme="minorHAnsi" w:hAnsiTheme="minorHAnsi"/>
          <w:snapToGrid w:val="0"/>
        </w:rPr>
        <w:t xml:space="preserve"> and is likely to become clearer as additional survival data becomes available</w:t>
      </w:r>
      <w:r w:rsidRPr="00B07FB9">
        <w:rPr>
          <w:rFonts w:asciiTheme="minorHAnsi" w:hAnsiTheme="minorHAnsi"/>
          <w:snapToGrid w:val="0"/>
        </w:rPr>
        <w:t xml:space="preserve">. </w:t>
      </w:r>
      <w:r w:rsidR="003F3E86" w:rsidRPr="00B07FB9">
        <w:t>The PBAC noted that the NCCN guidelines</w:t>
      </w:r>
      <w:r w:rsidR="003F3E86" w:rsidRPr="00B07FB9">
        <w:rPr>
          <w:vertAlign w:val="superscript"/>
        </w:rPr>
        <w:t xml:space="preserve"> </w:t>
      </w:r>
      <w:r w:rsidR="003F3E86" w:rsidRPr="00B07FB9">
        <w:t xml:space="preserve">include niraparib as an alternative to </w:t>
      </w:r>
      <w:proofErr w:type="spellStart"/>
      <w:r w:rsidR="003F3E86" w:rsidRPr="00B07FB9">
        <w:t>olaparib</w:t>
      </w:r>
      <w:proofErr w:type="spellEnd"/>
      <w:r w:rsidR="003F3E86" w:rsidRPr="00B07FB9">
        <w:t xml:space="preserve"> in </w:t>
      </w:r>
      <w:proofErr w:type="spellStart"/>
      <w:r w:rsidR="003F3E86" w:rsidRPr="00B07FB9">
        <w:t>BRCAm</w:t>
      </w:r>
      <w:proofErr w:type="spellEnd"/>
      <w:r w:rsidR="003F3E86" w:rsidRPr="00B07FB9">
        <w:t xml:space="preserve"> patients, and as an alternative to observation (SMM) in non</w:t>
      </w:r>
      <w:r w:rsidR="003F3E86" w:rsidRPr="00B07FB9">
        <w:noBreakHyphen/>
      </w:r>
      <w:proofErr w:type="spellStart"/>
      <w:r w:rsidR="003F3E86" w:rsidRPr="00B07FB9">
        <w:t>BRC</w:t>
      </w:r>
      <w:r w:rsidR="00DB111D" w:rsidRPr="00B07FB9">
        <w:t>A</w:t>
      </w:r>
      <w:r w:rsidR="003F3E86" w:rsidRPr="00B07FB9">
        <w:t>m</w:t>
      </w:r>
      <w:proofErr w:type="spellEnd"/>
      <w:r w:rsidR="003F3E86" w:rsidRPr="00B07FB9">
        <w:t xml:space="preserve"> patients, especially those patients whose tumours are HRD-positive. The PBAC also noted that NCCN guidelines state that in the absence of </w:t>
      </w:r>
      <w:proofErr w:type="spellStart"/>
      <w:r w:rsidR="003F3E86" w:rsidRPr="00B07FB9">
        <w:t>BRCAm</w:t>
      </w:r>
      <w:proofErr w:type="spellEnd"/>
      <w:r w:rsidR="003F3E86" w:rsidRPr="00B07FB9">
        <w:t xml:space="preserve">, homologous recombination status may provide information on the magnitude of benefit of </w:t>
      </w:r>
      <w:proofErr w:type="spellStart"/>
      <w:r w:rsidR="003F3E86" w:rsidRPr="00B07FB9">
        <w:t>PARPi</w:t>
      </w:r>
      <w:proofErr w:type="spellEnd"/>
      <w:r w:rsidR="003F3E86" w:rsidRPr="00B07FB9">
        <w:t xml:space="preserve"> therapy. The PBAC noted that HRD testing is not currently part of the standard clinical management of HGEOC in Australia but considered that the appropriate clinical place for PARP inhibitors </w:t>
      </w:r>
      <w:r w:rsidR="00CE591E" w:rsidRPr="00B07FB9">
        <w:t>may</w:t>
      </w:r>
      <w:r w:rsidRPr="00B07FB9">
        <w:t xml:space="preserve"> move toward a more targeted population identified through biomarkers such as HRD testing</w:t>
      </w:r>
      <w:r w:rsidR="003F3E86" w:rsidRPr="00B07FB9">
        <w:t xml:space="preserve">. </w:t>
      </w:r>
      <w:r w:rsidRPr="00B07FB9">
        <w:t>The PBAC considered that this would help to identify patients most likely to benefit from treatment.</w:t>
      </w:r>
    </w:p>
    <w:p w14:paraId="157EEAE3" w14:textId="29C44B26" w:rsidR="0065196F" w:rsidRPr="00B07FB9" w:rsidRDefault="00F14FEA" w:rsidP="0065196F">
      <w:pPr>
        <w:widowControl w:val="0"/>
        <w:numPr>
          <w:ilvl w:val="1"/>
          <w:numId w:val="1"/>
        </w:numPr>
        <w:spacing w:after="120"/>
        <w:rPr>
          <w:rFonts w:asciiTheme="minorHAnsi" w:hAnsiTheme="minorHAnsi"/>
          <w:snapToGrid w:val="0"/>
        </w:rPr>
      </w:pPr>
      <w:bookmarkStart w:id="72" w:name="_Ref99097523"/>
      <w:r w:rsidRPr="00B07FB9">
        <w:rPr>
          <w:rFonts w:asciiTheme="minorHAnsi" w:hAnsiTheme="minorHAnsi"/>
          <w:snapToGrid w:val="0"/>
        </w:rPr>
        <w:t xml:space="preserve">The PBAC considered that for the </w:t>
      </w:r>
      <w:proofErr w:type="spellStart"/>
      <w:r w:rsidRPr="00B07FB9">
        <w:rPr>
          <w:rFonts w:asciiTheme="minorHAnsi" w:hAnsiTheme="minorHAnsi"/>
          <w:snapToGrid w:val="0"/>
        </w:rPr>
        <w:t>BRCAm</w:t>
      </w:r>
      <w:proofErr w:type="spellEnd"/>
      <w:r w:rsidRPr="00B07FB9">
        <w:rPr>
          <w:rFonts w:asciiTheme="minorHAnsi" w:hAnsiTheme="minorHAnsi"/>
          <w:snapToGrid w:val="0"/>
        </w:rPr>
        <w:t xml:space="preserve"> population the restriction</w:t>
      </w:r>
      <w:r w:rsidR="00D055F0" w:rsidRPr="00B07FB9">
        <w:rPr>
          <w:rFonts w:asciiTheme="minorHAnsi" w:hAnsiTheme="minorHAnsi"/>
          <w:snapToGrid w:val="0"/>
        </w:rPr>
        <w:t xml:space="preserve"> for niraparib should allow up to 3 years of treatment for patients with a complete response, in line with the circumstances of use in the PRIMA trial. The restriction</w:t>
      </w:r>
      <w:r w:rsidRPr="00B07FB9">
        <w:rPr>
          <w:rFonts w:asciiTheme="minorHAnsi" w:hAnsiTheme="minorHAnsi"/>
          <w:snapToGrid w:val="0"/>
        </w:rPr>
        <w:t xml:space="preserve"> should </w:t>
      </w:r>
      <w:r w:rsidR="00D055F0" w:rsidRPr="00B07FB9">
        <w:rPr>
          <w:rFonts w:asciiTheme="minorHAnsi" w:hAnsiTheme="minorHAnsi"/>
          <w:snapToGrid w:val="0"/>
        </w:rPr>
        <w:t xml:space="preserve">otherwise </w:t>
      </w:r>
      <w:r w:rsidRPr="00B07FB9">
        <w:rPr>
          <w:rFonts w:asciiTheme="minorHAnsi" w:hAnsiTheme="minorHAnsi"/>
          <w:snapToGrid w:val="0"/>
        </w:rPr>
        <w:t xml:space="preserve">be aligned with the current </w:t>
      </w:r>
      <w:r w:rsidR="00E377A1" w:rsidRPr="00B07FB9">
        <w:rPr>
          <w:rFonts w:asciiTheme="minorHAnsi" w:hAnsiTheme="minorHAnsi"/>
          <w:snapToGrid w:val="0"/>
        </w:rPr>
        <w:t xml:space="preserve">first </w:t>
      </w:r>
      <w:r w:rsidRPr="00B07FB9">
        <w:rPr>
          <w:rFonts w:asciiTheme="minorHAnsi" w:hAnsiTheme="minorHAnsi"/>
          <w:snapToGrid w:val="0"/>
        </w:rPr>
        <w:t>listing</w:t>
      </w:r>
      <w:r w:rsidR="00E377A1" w:rsidRPr="00B07FB9">
        <w:rPr>
          <w:rFonts w:asciiTheme="minorHAnsi" w:hAnsiTheme="minorHAnsi"/>
          <w:snapToGrid w:val="0"/>
        </w:rPr>
        <w:t>s</w:t>
      </w:r>
      <w:r w:rsidRPr="00B07FB9">
        <w:rPr>
          <w:rFonts w:asciiTheme="minorHAnsi" w:hAnsiTheme="minorHAnsi"/>
          <w:snapToGrid w:val="0"/>
        </w:rPr>
        <w:t xml:space="preserve"> for </w:t>
      </w:r>
      <w:proofErr w:type="spellStart"/>
      <w:r w:rsidRPr="00B07FB9">
        <w:rPr>
          <w:rFonts w:asciiTheme="minorHAnsi" w:hAnsiTheme="minorHAnsi"/>
          <w:snapToGrid w:val="0"/>
        </w:rPr>
        <w:t>olaparib</w:t>
      </w:r>
      <w:proofErr w:type="spellEnd"/>
      <w:r w:rsidRPr="00B07FB9">
        <w:rPr>
          <w:rFonts w:asciiTheme="minorHAnsi" w:hAnsiTheme="minorHAnsi"/>
          <w:snapToGrid w:val="0"/>
        </w:rPr>
        <w:t xml:space="preserve"> in terms of</w:t>
      </w:r>
      <w:r w:rsidR="00E377A1" w:rsidRPr="00B07FB9">
        <w:rPr>
          <w:rFonts w:asciiTheme="minorHAnsi" w:hAnsiTheme="minorHAnsi"/>
          <w:snapToGrid w:val="0"/>
        </w:rPr>
        <w:t>:</w:t>
      </w:r>
      <w:r w:rsidR="007174C5" w:rsidRPr="00B07FB9">
        <w:rPr>
          <w:rFonts w:asciiTheme="minorHAnsi" w:hAnsiTheme="minorHAnsi"/>
          <w:snapToGrid w:val="0"/>
        </w:rPr>
        <w:t xml:space="preserve"> PBS indication, authority level, ECOG status</w:t>
      </w:r>
      <w:r w:rsidR="0065196F" w:rsidRPr="00B07FB9">
        <w:rPr>
          <w:rFonts w:asciiTheme="minorHAnsi" w:hAnsiTheme="minorHAnsi"/>
          <w:snapToGrid w:val="0"/>
        </w:rPr>
        <w:t xml:space="preserve"> and other</w:t>
      </w:r>
      <w:r w:rsidRPr="00B07FB9">
        <w:rPr>
          <w:rFonts w:asciiTheme="minorHAnsi" w:hAnsiTheme="minorHAnsi"/>
          <w:snapToGrid w:val="0"/>
        </w:rPr>
        <w:t xml:space="preserve"> </w:t>
      </w:r>
      <w:r w:rsidR="00BA103A" w:rsidRPr="00B07FB9">
        <w:rPr>
          <w:rFonts w:asciiTheme="minorHAnsi" w:hAnsiTheme="minorHAnsi"/>
          <w:snapToGrid w:val="0"/>
        </w:rPr>
        <w:t>clinical criteria</w:t>
      </w:r>
      <w:r w:rsidR="0065196F" w:rsidRPr="00B07FB9">
        <w:rPr>
          <w:rFonts w:asciiTheme="minorHAnsi" w:hAnsiTheme="minorHAnsi"/>
          <w:snapToGrid w:val="0"/>
        </w:rPr>
        <w:t xml:space="preserve">. In addition, the PBAC considered it would be appropriate to include a treatment criterion </w:t>
      </w:r>
      <w:r w:rsidR="0065196F" w:rsidRPr="00B07FB9">
        <w:rPr>
          <w:iCs/>
          <w:lang w:eastAsia="en-US"/>
        </w:rPr>
        <w:t xml:space="preserve">to enable patients who have </w:t>
      </w:r>
      <w:r w:rsidR="0065196F" w:rsidRPr="00B07FB9">
        <w:rPr>
          <w:iCs/>
          <w:lang w:eastAsia="en-US"/>
        </w:rPr>
        <w:lastRenderedPageBreak/>
        <w:t xml:space="preserve">developed intolerance to </w:t>
      </w:r>
      <w:proofErr w:type="spellStart"/>
      <w:r w:rsidR="0065196F" w:rsidRPr="00B07FB9">
        <w:rPr>
          <w:iCs/>
          <w:lang w:eastAsia="en-US"/>
        </w:rPr>
        <w:t>olaparib</w:t>
      </w:r>
      <w:proofErr w:type="spellEnd"/>
      <w:r w:rsidR="0065196F" w:rsidRPr="00B07FB9">
        <w:rPr>
          <w:iCs/>
          <w:lang w:eastAsia="en-US"/>
        </w:rPr>
        <w:t xml:space="preserve"> of a severity necessitating permanent treatment withdrawal to receive PBS-subsidised niraparib and a flow-on to the </w:t>
      </w:r>
      <w:proofErr w:type="spellStart"/>
      <w:r w:rsidR="0065196F" w:rsidRPr="00B07FB9">
        <w:rPr>
          <w:iCs/>
          <w:lang w:eastAsia="en-US"/>
        </w:rPr>
        <w:t>olaparib</w:t>
      </w:r>
      <w:proofErr w:type="spellEnd"/>
      <w:r w:rsidR="0065196F" w:rsidRPr="00B07FB9">
        <w:rPr>
          <w:iCs/>
          <w:lang w:eastAsia="en-US"/>
        </w:rPr>
        <w:t xml:space="preserve"> listing that would allow patients with</w:t>
      </w:r>
      <w:r w:rsidR="00E377A1" w:rsidRPr="00B07FB9">
        <w:rPr>
          <w:iCs/>
          <w:lang w:eastAsia="en-US"/>
        </w:rPr>
        <w:t xml:space="preserve"> </w:t>
      </w:r>
      <w:r w:rsidR="0065196F" w:rsidRPr="00B07FB9">
        <w:rPr>
          <w:iCs/>
          <w:lang w:eastAsia="en-US"/>
        </w:rPr>
        <w:t xml:space="preserve">intolerance to niraparib to switch to </w:t>
      </w:r>
      <w:proofErr w:type="spellStart"/>
      <w:r w:rsidR="0065196F" w:rsidRPr="00B07FB9">
        <w:rPr>
          <w:iCs/>
          <w:lang w:eastAsia="en-US"/>
        </w:rPr>
        <w:t>olaparib</w:t>
      </w:r>
      <w:proofErr w:type="spellEnd"/>
      <w:r w:rsidR="0065196F" w:rsidRPr="00B07FB9">
        <w:rPr>
          <w:iCs/>
          <w:lang w:eastAsia="en-US"/>
        </w:rPr>
        <w:t xml:space="preserve">. </w:t>
      </w:r>
      <w:r w:rsidR="0065196F" w:rsidRPr="00B07FB9">
        <w:rPr>
          <w:rFonts w:asciiTheme="minorHAnsi" w:hAnsiTheme="minorHAnsi"/>
          <w:snapToGrid w:val="0"/>
        </w:rPr>
        <w:t xml:space="preserve">The PBAC also noted that flow on changes to the first and second line </w:t>
      </w:r>
      <w:proofErr w:type="spellStart"/>
      <w:r w:rsidR="0065196F" w:rsidRPr="00B07FB9">
        <w:rPr>
          <w:rFonts w:asciiTheme="minorHAnsi" w:hAnsiTheme="minorHAnsi"/>
          <w:snapToGrid w:val="0"/>
        </w:rPr>
        <w:t>olaparib</w:t>
      </w:r>
      <w:proofErr w:type="spellEnd"/>
      <w:r w:rsidR="0065196F" w:rsidRPr="00B07FB9">
        <w:rPr>
          <w:rFonts w:asciiTheme="minorHAnsi" w:hAnsiTheme="minorHAnsi"/>
          <w:snapToGrid w:val="0"/>
        </w:rPr>
        <w:t xml:space="preserve"> listings would be required </w:t>
      </w:r>
      <w:r w:rsidR="0065196F" w:rsidRPr="00B07FB9">
        <w:rPr>
          <w:iCs/>
          <w:lang w:eastAsia="en-US"/>
        </w:rPr>
        <w:t xml:space="preserve">to prevent sequential subsidy of </w:t>
      </w:r>
      <w:proofErr w:type="spellStart"/>
      <w:r w:rsidR="0065196F" w:rsidRPr="00B07FB9">
        <w:rPr>
          <w:iCs/>
          <w:lang w:eastAsia="en-US"/>
        </w:rPr>
        <w:t>olaparib</w:t>
      </w:r>
      <w:proofErr w:type="spellEnd"/>
      <w:r w:rsidR="0065196F" w:rsidRPr="00B07FB9">
        <w:rPr>
          <w:iCs/>
          <w:lang w:eastAsia="en-US"/>
        </w:rPr>
        <w:t xml:space="preserve"> after disease progression following treatment with niraparib.</w:t>
      </w:r>
      <w:bookmarkEnd w:id="72"/>
      <w:r w:rsidR="0065196F" w:rsidRPr="00B07FB9">
        <w:rPr>
          <w:iCs/>
          <w:lang w:eastAsia="en-US"/>
        </w:rPr>
        <w:t xml:space="preserve"> </w:t>
      </w:r>
    </w:p>
    <w:p w14:paraId="3E92AC0D" w14:textId="7F2BB7E8" w:rsidR="00B164C8" w:rsidRPr="00B07FB9" w:rsidRDefault="00B164C8" w:rsidP="00B164C8">
      <w:pPr>
        <w:pStyle w:val="3-BodyText"/>
        <w:rPr>
          <w:rFonts w:cstheme="minorHAnsi"/>
        </w:rPr>
      </w:pPr>
      <w:r w:rsidRPr="00B07FB9">
        <w:rPr>
          <w:bCs/>
        </w:rPr>
        <w:t>The PBAC previously noted that for patients with</w:t>
      </w:r>
      <w:r w:rsidRPr="00B07FB9">
        <w:t xml:space="preserve"> </w:t>
      </w:r>
      <w:proofErr w:type="spellStart"/>
      <w:r w:rsidRPr="00B07FB9">
        <w:t>BRCAm</w:t>
      </w:r>
      <w:proofErr w:type="spellEnd"/>
      <w:r w:rsidR="008934A8" w:rsidRPr="00B07FB9">
        <w:t>,</w:t>
      </w:r>
      <w:r w:rsidRPr="00B07FB9">
        <w:t xml:space="preserve"> </w:t>
      </w:r>
      <w:proofErr w:type="spellStart"/>
      <w:r w:rsidRPr="00B07FB9">
        <w:t>olaparib</w:t>
      </w:r>
      <w:proofErr w:type="spellEnd"/>
      <w:r w:rsidRPr="00B07FB9">
        <w:t xml:space="preserve"> is the appropriate comparator, while for patients without </w:t>
      </w:r>
      <w:proofErr w:type="spellStart"/>
      <w:r w:rsidRPr="00B07FB9">
        <w:t>BRCAm</w:t>
      </w:r>
      <w:proofErr w:type="spellEnd"/>
      <w:r w:rsidRPr="00B07FB9">
        <w:t xml:space="preserve"> the appropriate comparator is either bevacizumab or SMM, noting that not all eligible patients would be treated with bevacizumab due to its </w:t>
      </w:r>
      <w:proofErr w:type="spellStart"/>
      <w:r w:rsidRPr="00B07FB9">
        <w:t>benefit:risk</w:t>
      </w:r>
      <w:proofErr w:type="spellEnd"/>
      <w:r w:rsidRPr="00B07FB9">
        <w:t xml:space="preserve"> profile (paragraph 7.4, niraparib PSD, July 2021 PBAC meeting). The PBAC noted that this was appropriately addressed in the resubmission which presented</w:t>
      </w:r>
      <w:r w:rsidRPr="00B07FB9">
        <w:rPr>
          <w:bCs/>
        </w:rPr>
        <w:t xml:space="preserve"> economic models that included </w:t>
      </w:r>
      <w:proofErr w:type="spellStart"/>
      <w:r w:rsidRPr="00B07FB9">
        <w:rPr>
          <w:bCs/>
        </w:rPr>
        <w:t>olaparib</w:t>
      </w:r>
      <w:proofErr w:type="spellEnd"/>
      <w:r w:rsidRPr="00B07FB9">
        <w:rPr>
          <w:bCs/>
        </w:rPr>
        <w:t xml:space="preserve"> as the comparator for patients with </w:t>
      </w:r>
      <w:proofErr w:type="spellStart"/>
      <w:r w:rsidRPr="00B07FB9">
        <w:rPr>
          <w:bCs/>
        </w:rPr>
        <w:t>BRCAm</w:t>
      </w:r>
      <w:proofErr w:type="spellEnd"/>
      <w:r w:rsidRPr="00B07FB9">
        <w:rPr>
          <w:bCs/>
        </w:rPr>
        <w:t xml:space="preserve"> and SMM as the comparator for patients without </w:t>
      </w:r>
      <w:proofErr w:type="spellStart"/>
      <w:r w:rsidRPr="00B07FB9">
        <w:rPr>
          <w:bCs/>
        </w:rPr>
        <w:t>BRCAm</w:t>
      </w:r>
      <w:proofErr w:type="spellEnd"/>
      <w:r w:rsidR="00823FDF" w:rsidRPr="00B07FB9">
        <w:rPr>
          <w:bCs/>
        </w:rPr>
        <w:t xml:space="preserve"> and a qualitative comparison with bevacizumab</w:t>
      </w:r>
      <w:r w:rsidRPr="00B07FB9">
        <w:rPr>
          <w:rFonts w:cstheme="minorHAnsi"/>
        </w:rPr>
        <w:t xml:space="preserve">. </w:t>
      </w:r>
    </w:p>
    <w:p w14:paraId="48D0CEBE" w14:textId="6455D3CC" w:rsidR="00823FDF" w:rsidRPr="00B07FB9" w:rsidRDefault="00823FDF" w:rsidP="004835A3">
      <w:pPr>
        <w:pStyle w:val="3-BodyText"/>
        <w:rPr>
          <w:bCs/>
        </w:rPr>
      </w:pPr>
      <w:r w:rsidRPr="00B07FB9">
        <w:rPr>
          <w:bCs/>
        </w:rPr>
        <w:t>The PBAC noted that in the resubmission</w:t>
      </w:r>
      <w:r w:rsidR="00BB1A47" w:rsidRPr="00B07FB9">
        <w:rPr>
          <w:bCs/>
        </w:rPr>
        <w:t>,</w:t>
      </w:r>
      <w:r w:rsidRPr="00B07FB9">
        <w:rPr>
          <w:bCs/>
        </w:rPr>
        <w:t xml:space="preserve"> the clinical evidence for niraparib in non</w:t>
      </w:r>
      <w:r w:rsidR="006A0C25" w:rsidRPr="00B07FB9">
        <w:rPr>
          <w:bCs/>
        </w:rPr>
        <w:noBreakHyphen/>
      </w:r>
      <w:proofErr w:type="spellStart"/>
      <w:r w:rsidRPr="00B07FB9">
        <w:rPr>
          <w:bCs/>
        </w:rPr>
        <w:t>BRCAm</w:t>
      </w:r>
      <w:proofErr w:type="spellEnd"/>
      <w:r w:rsidRPr="00B07FB9">
        <w:rPr>
          <w:bCs/>
        </w:rPr>
        <w:t xml:space="preserve"> patients was based on the subgroup analysis of non-</w:t>
      </w:r>
      <w:proofErr w:type="spellStart"/>
      <w:r w:rsidRPr="00B07FB9">
        <w:rPr>
          <w:bCs/>
        </w:rPr>
        <w:t>BRCAm</w:t>
      </w:r>
      <w:proofErr w:type="spellEnd"/>
      <w:r w:rsidRPr="00B07FB9">
        <w:rPr>
          <w:bCs/>
        </w:rPr>
        <w:t xml:space="preserve"> patients in the PRIMA trial (niraparib vs. no active treatment (placebo)). In </w:t>
      </w:r>
      <w:proofErr w:type="spellStart"/>
      <w:r w:rsidRPr="00B07FB9">
        <w:rPr>
          <w:bCs/>
        </w:rPr>
        <w:t>BRCAm</w:t>
      </w:r>
      <w:proofErr w:type="spellEnd"/>
      <w:r w:rsidRPr="00B07FB9">
        <w:rPr>
          <w:bCs/>
        </w:rPr>
        <w:t xml:space="preserve"> patients the clinical evidence was based on an indirect treatment comparison of the </w:t>
      </w:r>
      <w:proofErr w:type="spellStart"/>
      <w:r w:rsidRPr="00B07FB9">
        <w:rPr>
          <w:bCs/>
        </w:rPr>
        <w:t>BRCAm</w:t>
      </w:r>
      <w:proofErr w:type="spellEnd"/>
      <w:r w:rsidRPr="00B07FB9">
        <w:rPr>
          <w:bCs/>
        </w:rPr>
        <w:t xml:space="preserve"> subgroup from the niraparib trial (PRIMA, niraparib vs. placebo) with one </w:t>
      </w:r>
      <w:proofErr w:type="spellStart"/>
      <w:r w:rsidRPr="00B07FB9">
        <w:rPr>
          <w:bCs/>
        </w:rPr>
        <w:t>olaparib</w:t>
      </w:r>
      <w:proofErr w:type="spellEnd"/>
      <w:r w:rsidRPr="00B07FB9">
        <w:rPr>
          <w:bCs/>
        </w:rPr>
        <w:t xml:space="preserve"> trial (SOLO-1, </w:t>
      </w:r>
      <w:proofErr w:type="spellStart"/>
      <w:r w:rsidRPr="00B07FB9">
        <w:rPr>
          <w:bCs/>
        </w:rPr>
        <w:t>olaparib</w:t>
      </w:r>
      <w:proofErr w:type="spellEnd"/>
      <w:r w:rsidRPr="00B07FB9">
        <w:rPr>
          <w:bCs/>
        </w:rPr>
        <w:t xml:space="preserve"> vs. placebo)</w:t>
      </w:r>
      <w:r w:rsidR="006A0C25" w:rsidRPr="00B07FB9">
        <w:rPr>
          <w:bCs/>
        </w:rPr>
        <w:t xml:space="preserve"> with</w:t>
      </w:r>
      <w:r w:rsidRPr="00B07FB9">
        <w:rPr>
          <w:bCs/>
        </w:rPr>
        <w:t xml:space="preserve"> placebo as the common reference.</w:t>
      </w:r>
      <w:r w:rsidR="006A0C25" w:rsidRPr="00B07FB9">
        <w:rPr>
          <w:bCs/>
        </w:rPr>
        <w:t xml:space="preserve"> </w:t>
      </w:r>
      <w:r w:rsidR="006A0C25" w:rsidRPr="00B07FB9">
        <w:rPr>
          <w:szCs w:val="18"/>
        </w:rPr>
        <w:t>The resubmission noted that patients with Stage III R0 PDS were excluded from PRIMA, while these patients were included in SOLO</w:t>
      </w:r>
      <w:r w:rsidR="006A0C25" w:rsidRPr="00B07FB9">
        <w:rPr>
          <w:szCs w:val="18"/>
        </w:rPr>
        <w:noBreakHyphen/>
        <w:t>1 and therefore</w:t>
      </w:r>
      <w:r w:rsidR="006A0C25" w:rsidRPr="00B07FB9">
        <w:rPr>
          <w:bCs/>
        </w:rPr>
        <w:t xml:space="preserve"> presented an indirect comparison using data from the subgroup of SOLO-1 excluding Stage III R0 post PDS. The PBAC noted that there w</w:t>
      </w:r>
      <w:r w:rsidR="00156EF1" w:rsidRPr="00B07FB9">
        <w:rPr>
          <w:bCs/>
        </w:rPr>
        <w:t>ere</w:t>
      </w:r>
      <w:r w:rsidR="006A0C25" w:rsidRPr="00B07FB9">
        <w:rPr>
          <w:bCs/>
        </w:rPr>
        <w:t xml:space="preserve"> s</w:t>
      </w:r>
      <w:r w:rsidR="006A0C25" w:rsidRPr="00B07FB9">
        <w:t xml:space="preserve">ome </w:t>
      </w:r>
      <w:r w:rsidR="002828B8" w:rsidRPr="00B07FB9">
        <w:t xml:space="preserve">concerns around the assumption of transitivity </w:t>
      </w:r>
      <w:r w:rsidR="006A0C25" w:rsidRPr="00B07FB9">
        <w:t>in this indirect comparison</w:t>
      </w:r>
      <w:r w:rsidR="00C528EF" w:rsidRPr="00B07FB9">
        <w:t>,</w:t>
      </w:r>
      <w:r w:rsidR="006A0C25" w:rsidRPr="00B07FB9">
        <w:t xml:space="preserve"> including </w:t>
      </w:r>
      <w:r w:rsidR="002828B8" w:rsidRPr="00B07FB9">
        <w:t xml:space="preserve">differences in </w:t>
      </w:r>
      <w:r w:rsidR="006A0C25" w:rsidRPr="00B07FB9">
        <w:t>the proportion with stage IV disease</w:t>
      </w:r>
      <w:r w:rsidR="00156EF1" w:rsidRPr="00B07FB9">
        <w:t>.</w:t>
      </w:r>
    </w:p>
    <w:p w14:paraId="2D5BE8EC" w14:textId="5992661C" w:rsidR="00B4319A" w:rsidRPr="00B07FB9" w:rsidRDefault="004835A3" w:rsidP="00B4319A">
      <w:pPr>
        <w:widowControl w:val="0"/>
        <w:numPr>
          <w:ilvl w:val="1"/>
          <w:numId w:val="1"/>
        </w:numPr>
        <w:spacing w:after="120"/>
        <w:rPr>
          <w:rFonts w:asciiTheme="minorHAnsi" w:hAnsiTheme="minorHAnsi"/>
          <w:snapToGrid w:val="0"/>
        </w:rPr>
      </w:pPr>
      <w:r w:rsidRPr="00B07FB9">
        <w:rPr>
          <w:rFonts w:asciiTheme="minorHAnsi" w:hAnsiTheme="minorHAnsi"/>
          <w:snapToGrid w:val="0"/>
        </w:rPr>
        <w:t xml:space="preserve">The PBAC noted that there was a </w:t>
      </w:r>
      <w:r w:rsidRPr="00B07FB9">
        <w:t>statistically significant improvement in PFS associated with niraparib versus no active treatment in non-</w:t>
      </w:r>
      <w:proofErr w:type="spellStart"/>
      <w:r w:rsidRPr="00B07FB9">
        <w:t>BRCAm</w:t>
      </w:r>
      <w:proofErr w:type="spellEnd"/>
      <w:r w:rsidRPr="00B07FB9">
        <w:t xml:space="preserve"> patients from PRIMA (HR for PFS: 0.69 [0.54, 0.88]). However, the PBAC considered that the clinical importance of a PFS gain of 3.5 months was uncertain</w:t>
      </w:r>
      <w:r w:rsidR="00566DD2" w:rsidRPr="00B07FB9">
        <w:t xml:space="preserve"> and </w:t>
      </w:r>
      <w:r w:rsidR="00B4319A" w:rsidRPr="00B07FB9">
        <w:t xml:space="preserve">this gain </w:t>
      </w:r>
      <w:r w:rsidR="00566DD2" w:rsidRPr="00B07FB9">
        <w:t>may not translate to overall survival benefit</w:t>
      </w:r>
      <w:r w:rsidRPr="00B07FB9">
        <w:t xml:space="preserve">. </w:t>
      </w:r>
      <w:r w:rsidR="00B4319A" w:rsidRPr="00B07FB9">
        <w:t xml:space="preserve">The PBAC noted that overall survival data was immature and although there was a trend toward overall survival benefit, it remained uncertain whether a survival benefit would be realised, especially given the small additional </w:t>
      </w:r>
      <w:r w:rsidR="00B4319A" w:rsidRPr="00B07FB9">
        <w:rPr>
          <w:bCs/>
        </w:rPr>
        <w:t xml:space="preserve">PFS benefit. </w:t>
      </w:r>
      <w:r w:rsidRPr="00B07FB9">
        <w:rPr>
          <w:bCs/>
        </w:rPr>
        <w:t xml:space="preserve">The PBAC noted the PFS benefit was greater for patients with </w:t>
      </w:r>
      <w:r w:rsidR="00566DD2" w:rsidRPr="00B07FB9">
        <w:rPr>
          <w:bCs/>
        </w:rPr>
        <w:t>non-</w:t>
      </w:r>
      <w:proofErr w:type="spellStart"/>
      <w:r w:rsidR="00566DD2" w:rsidRPr="00B07FB9">
        <w:rPr>
          <w:bCs/>
        </w:rPr>
        <w:t>BRCAm</w:t>
      </w:r>
      <w:proofErr w:type="spellEnd"/>
      <w:r w:rsidR="00566DD2" w:rsidRPr="00B07FB9">
        <w:rPr>
          <w:bCs/>
        </w:rPr>
        <w:t xml:space="preserve"> </w:t>
      </w:r>
      <w:r w:rsidRPr="00B07FB9">
        <w:rPr>
          <w:bCs/>
        </w:rPr>
        <w:t>HRD positive tumours (HR= 0.</w:t>
      </w:r>
      <w:r w:rsidR="00566DD2" w:rsidRPr="00B07FB9">
        <w:rPr>
          <w:bCs/>
        </w:rPr>
        <w:t>50</w:t>
      </w:r>
      <w:r w:rsidRPr="00B07FB9">
        <w:rPr>
          <w:bCs/>
        </w:rPr>
        <w:t>, 95% CI: 0.31, 0.</w:t>
      </w:r>
      <w:r w:rsidR="00566DD2" w:rsidRPr="00B07FB9">
        <w:rPr>
          <w:bCs/>
        </w:rPr>
        <w:t>83</w:t>
      </w:r>
      <w:r w:rsidR="002828B8" w:rsidRPr="00B07FB9">
        <w:rPr>
          <w:bCs/>
        </w:rPr>
        <w:t>; medians: 19.6 months versus 8.2 months</w:t>
      </w:r>
      <w:r w:rsidRPr="00B07FB9">
        <w:rPr>
          <w:bCs/>
        </w:rPr>
        <w:t>) compared to patients in the HRD negative subgroup (HR= 0.68, 95% CI: 0.49, 0.94</w:t>
      </w:r>
      <w:r w:rsidR="002828B8" w:rsidRPr="00B07FB9">
        <w:rPr>
          <w:bCs/>
        </w:rPr>
        <w:t>; medians: 8.1 months versus 5.4 months</w:t>
      </w:r>
      <w:r w:rsidRPr="00B07FB9">
        <w:rPr>
          <w:bCs/>
        </w:rPr>
        <w:t>)</w:t>
      </w:r>
      <w:r w:rsidR="00566DD2" w:rsidRPr="00B07FB9">
        <w:rPr>
          <w:bCs/>
        </w:rPr>
        <w:t xml:space="preserve">. </w:t>
      </w:r>
      <w:r w:rsidR="00B4319A" w:rsidRPr="00B07FB9">
        <w:rPr>
          <w:bCs/>
        </w:rPr>
        <w:t>The PBAC considered that in the non-</w:t>
      </w:r>
      <w:proofErr w:type="spellStart"/>
      <w:r w:rsidR="00B4319A" w:rsidRPr="00B07FB9">
        <w:rPr>
          <w:bCs/>
        </w:rPr>
        <w:t>BRCAm</w:t>
      </w:r>
      <w:proofErr w:type="spellEnd"/>
      <w:r w:rsidR="00B4319A" w:rsidRPr="00B07FB9">
        <w:rPr>
          <w:bCs/>
        </w:rPr>
        <w:t xml:space="preserve"> population there may be patients who do not receive any clinically </w:t>
      </w:r>
      <w:r w:rsidR="008F21D7" w:rsidRPr="00B07FB9">
        <w:rPr>
          <w:bCs/>
        </w:rPr>
        <w:t xml:space="preserve">meaningful </w:t>
      </w:r>
      <w:r w:rsidR="00B4319A" w:rsidRPr="00B07FB9">
        <w:rPr>
          <w:bCs/>
        </w:rPr>
        <w:t>benefit from treatment with niraparib.</w:t>
      </w:r>
    </w:p>
    <w:p w14:paraId="26406608" w14:textId="4F7945B7" w:rsidR="00566DD2" w:rsidRPr="00B07FB9" w:rsidRDefault="00566DD2" w:rsidP="007732F5">
      <w:pPr>
        <w:widowControl w:val="0"/>
        <w:numPr>
          <w:ilvl w:val="1"/>
          <w:numId w:val="1"/>
        </w:numPr>
        <w:spacing w:after="120"/>
        <w:rPr>
          <w:rFonts w:asciiTheme="minorHAnsi" w:hAnsiTheme="minorHAnsi"/>
          <w:snapToGrid w:val="0"/>
        </w:rPr>
      </w:pPr>
      <w:r w:rsidRPr="00B07FB9">
        <w:rPr>
          <w:bCs/>
        </w:rPr>
        <w:t xml:space="preserve">The PBAC noted that </w:t>
      </w:r>
      <w:r w:rsidR="008F21D7" w:rsidRPr="00B07FB9">
        <w:rPr>
          <w:bCs/>
        </w:rPr>
        <w:t xml:space="preserve">in the </w:t>
      </w:r>
      <w:r w:rsidRPr="00B07FB9">
        <w:rPr>
          <w:bCs/>
        </w:rPr>
        <w:t>indirect comparison</w:t>
      </w:r>
      <w:r w:rsidR="00FB02C9" w:rsidRPr="00B07FB9">
        <w:rPr>
          <w:bCs/>
        </w:rPr>
        <w:t>,</w:t>
      </w:r>
      <w:r w:rsidR="008F21D7" w:rsidRPr="00B07FB9">
        <w:rPr>
          <w:bCs/>
        </w:rPr>
        <w:t xml:space="preserve"> in patients with </w:t>
      </w:r>
      <w:proofErr w:type="spellStart"/>
      <w:r w:rsidR="008F21D7" w:rsidRPr="00B07FB9">
        <w:rPr>
          <w:bCs/>
        </w:rPr>
        <w:t>BRCAm</w:t>
      </w:r>
      <w:proofErr w:type="spellEnd"/>
      <w:r w:rsidR="00FB02C9" w:rsidRPr="00B07FB9">
        <w:rPr>
          <w:bCs/>
        </w:rPr>
        <w:t>,</w:t>
      </w:r>
      <w:r w:rsidR="00AC28BD" w:rsidRPr="00B07FB9">
        <w:rPr>
          <w:bCs/>
        </w:rPr>
        <w:t xml:space="preserve"> </w:t>
      </w:r>
      <w:r w:rsidR="008F21D7" w:rsidRPr="00B07FB9">
        <w:rPr>
          <w:bCs/>
        </w:rPr>
        <w:t>t</w:t>
      </w:r>
      <w:r w:rsidR="008F21D7" w:rsidRPr="00B07FB9">
        <w:t xml:space="preserve">he HR numerically favoured </w:t>
      </w:r>
      <w:proofErr w:type="spellStart"/>
      <w:r w:rsidR="008F21D7" w:rsidRPr="00B07FB9">
        <w:t>olaparib</w:t>
      </w:r>
      <w:proofErr w:type="spellEnd"/>
      <w:r w:rsidR="008F21D7" w:rsidRPr="00B07FB9">
        <w:t xml:space="preserve"> over niraparib for both </w:t>
      </w:r>
      <w:r w:rsidR="00FB02C9" w:rsidRPr="00B07FB9">
        <w:t>for the full SOLO-1 trial population (</w:t>
      </w:r>
      <w:r w:rsidR="008F21D7" w:rsidRPr="00B07FB9">
        <w:t>PFS per BICR</w:t>
      </w:r>
      <w:r w:rsidR="00FB02C9" w:rsidRPr="00B07FB9">
        <w:t xml:space="preserve">: </w:t>
      </w:r>
      <w:r w:rsidR="00156EF1" w:rsidRPr="00B07FB9">
        <w:t>1</w:t>
      </w:r>
      <w:r w:rsidR="008F21D7" w:rsidRPr="00B07FB9">
        <w:t>.43 [0.83, 2.45])</w:t>
      </w:r>
      <w:r w:rsidR="00FB02C9" w:rsidRPr="00B07FB9">
        <w:t xml:space="preserve"> and excluding Stage III R0 post PDS </w:t>
      </w:r>
      <w:r w:rsidR="00FB02C9" w:rsidRPr="00B07FB9">
        <w:lastRenderedPageBreak/>
        <w:t>patients from the SOLO-1 trial (PFS per BICR: 1.25 [0.71, 2.21])</w:t>
      </w:r>
      <w:r w:rsidR="00956607">
        <w:rPr>
          <w:rStyle w:val="FootnoteReference"/>
        </w:rPr>
        <w:footnoteReference w:id="16"/>
      </w:r>
      <w:r w:rsidR="00FB02C9" w:rsidRPr="00B07FB9">
        <w:t>, though the results of the comparisons were not statistically significant</w:t>
      </w:r>
      <w:r w:rsidR="0025380A" w:rsidRPr="00B07FB9">
        <w:t xml:space="preserve"> and the confidence intervals were wide </w:t>
      </w:r>
      <w:r w:rsidR="0025380A" w:rsidRPr="00B07FB9">
        <w:rPr>
          <w:bCs/>
        </w:rPr>
        <w:t>reflecting the relatively small sample sizes for</w:t>
      </w:r>
      <w:r w:rsidR="00D349A3" w:rsidRPr="00B07FB9">
        <w:rPr>
          <w:bCs/>
        </w:rPr>
        <w:t xml:space="preserve"> </w:t>
      </w:r>
      <w:r w:rsidR="0025380A" w:rsidRPr="00B07FB9">
        <w:rPr>
          <w:bCs/>
        </w:rPr>
        <w:t>the comparison between a subgroup of the PRIMA trial (</w:t>
      </w:r>
      <w:proofErr w:type="spellStart"/>
      <w:r w:rsidR="0025380A" w:rsidRPr="00B07FB9">
        <w:rPr>
          <w:bCs/>
        </w:rPr>
        <w:t>BRCAm</w:t>
      </w:r>
      <w:proofErr w:type="spellEnd"/>
      <w:r w:rsidR="0025380A" w:rsidRPr="00B07FB9">
        <w:rPr>
          <w:bCs/>
        </w:rPr>
        <w:t>) and in the SOLO-1 trial (</w:t>
      </w:r>
      <w:r w:rsidR="0025380A" w:rsidRPr="00B07FB9">
        <w:t>excluding Stage III R0 post PDS).</w:t>
      </w:r>
      <w:r w:rsidR="00FB02C9" w:rsidRPr="00B07FB9">
        <w:t xml:space="preserve"> </w:t>
      </w:r>
      <w:r w:rsidR="0028538D" w:rsidRPr="00B07FB9">
        <w:t xml:space="preserve">The PBAC </w:t>
      </w:r>
      <w:r w:rsidR="00C528EF" w:rsidRPr="00B07FB9">
        <w:t>considered</w:t>
      </w:r>
      <w:r w:rsidR="0028538D" w:rsidRPr="00B07FB9">
        <w:t xml:space="preserve"> tha</w:t>
      </w:r>
      <w:r w:rsidR="0006211B" w:rsidRPr="00B07FB9">
        <w:t xml:space="preserve">t </w:t>
      </w:r>
      <w:r w:rsidR="0028538D" w:rsidRPr="00B07FB9">
        <w:rPr>
          <w:bCs/>
        </w:rPr>
        <w:t xml:space="preserve">there </w:t>
      </w:r>
      <w:r w:rsidR="0025380A" w:rsidRPr="00B07FB9">
        <w:rPr>
          <w:bCs/>
        </w:rPr>
        <w:t xml:space="preserve">were likely transitivity issues with </w:t>
      </w:r>
      <w:r w:rsidR="0028538D" w:rsidRPr="00B07FB9">
        <w:rPr>
          <w:bCs/>
        </w:rPr>
        <w:t xml:space="preserve">the indirect comparison due </w:t>
      </w:r>
      <w:r w:rsidR="00C528EF" w:rsidRPr="00B07FB9">
        <w:t xml:space="preserve">the differences in trial populations between PRIMA and SOLO-1, some of which remained even after exclusion of </w:t>
      </w:r>
      <w:r w:rsidR="00C528EF" w:rsidRPr="00B07FB9">
        <w:rPr>
          <w:bCs/>
        </w:rPr>
        <w:t>Stage III R0 post PDS patients from SOLO-1</w:t>
      </w:r>
      <w:r w:rsidR="00C528EF" w:rsidRPr="00B07FB9">
        <w:t xml:space="preserve">. </w:t>
      </w:r>
      <w:r w:rsidR="0006211B" w:rsidRPr="00B07FB9">
        <w:t xml:space="preserve">However, the PBAC </w:t>
      </w:r>
      <w:r w:rsidR="008C7B6B" w:rsidRPr="00B07FB9">
        <w:t>accepted</w:t>
      </w:r>
      <w:r w:rsidR="0006211B" w:rsidRPr="00B07FB9">
        <w:t xml:space="preserve"> that</w:t>
      </w:r>
      <w:r w:rsidR="00E343AD" w:rsidRPr="00B07FB9">
        <w:t xml:space="preserve"> based on the available evidence, and noting that niraparib </w:t>
      </w:r>
      <w:r w:rsidR="008C7B6B" w:rsidRPr="00B07FB9">
        <w:t xml:space="preserve">has a similar mechanism of action to </w:t>
      </w:r>
      <w:proofErr w:type="spellStart"/>
      <w:r w:rsidR="008C7B6B" w:rsidRPr="00B07FB9">
        <w:t>olaparib</w:t>
      </w:r>
      <w:proofErr w:type="spellEnd"/>
      <w:r w:rsidR="008C7B6B" w:rsidRPr="00B07FB9">
        <w:t xml:space="preserve">, that the efficacy of niraparib is overall likely to be similar to that for </w:t>
      </w:r>
      <w:proofErr w:type="spellStart"/>
      <w:r w:rsidR="008C7B6B" w:rsidRPr="00B07FB9">
        <w:t>olaparib</w:t>
      </w:r>
      <w:proofErr w:type="spellEnd"/>
      <w:r w:rsidR="00CE591E" w:rsidRPr="00B07FB9">
        <w:t xml:space="preserve"> </w:t>
      </w:r>
      <w:r w:rsidR="008C7B6B" w:rsidRPr="00B07FB9">
        <w:t>and therefore considered, o</w:t>
      </w:r>
      <w:r w:rsidR="00C528EF" w:rsidRPr="00B07FB9">
        <w:t xml:space="preserve">n balance, that the claim that niraparib is non-inferior to </w:t>
      </w:r>
      <w:proofErr w:type="spellStart"/>
      <w:r w:rsidR="00C528EF" w:rsidRPr="00B07FB9">
        <w:t>olaparib</w:t>
      </w:r>
      <w:proofErr w:type="spellEnd"/>
      <w:r w:rsidR="00C528EF" w:rsidRPr="00B07FB9">
        <w:t xml:space="preserve"> in terms of efficacy</w:t>
      </w:r>
      <w:r w:rsidR="008C7B6B" w:rsidRPr="00B07FB9">
        <w:t xml:space="preserve"> was sufficiently supported</w:t>
      </w:r>
      <w:r w:rsidR="00C528EF" w:rsidRPr="00B07FB9">
        <w:t>.</w:t>
      </w:r>
    </w:p>
    <w:p w14:paraId="3637E330" w14:textId="220A0F32" w:rsidR="00472DB3" w:rsidRPr="00B07FB9" w:rsidRDefault="003A53A0" w:rsidP="00F47D63">
      <w:pPr>
        <w:widowControl w:val="0"/>
        <w:numPr>
          <w:ilvl w:val="1"/>
          <w:numId w:val="1"/>
        </w:numPr>
        <w:spacing w:after="120"/>
      </w:pPr>
      <w:r w:rsidRPr="00B07FB9">
        <w:t xml:space="preserve">The PBAC noted </w:t>
      </w:r>
      <w:r w:rsidR="00E328A5" w:rsidRPr="00B07FB9">
        <w:t>that for non-</w:t>
      </w:r>
      <w:proofErr w:type="spellStart"/>
      <w:r w:rsidR="00E328A5" w:rsidRPr="00B07FB9">
        <w:t>BRCAm</w:t>
      </w:r>
      <w:proofErr w:type="spellEnd"/>
      <w:r w:rsidR="00E328A5" w:rsidRPr="00B07FB9">
        <w:t xml:space="preserve"> patients in the PRIMA trial </w:t>
      </w:r>
      <w:r w:rsidRPr="00B07FB9">
        <w:t>the incidence of TEAEs, ≥ Grade 3 TEAEs, serious TEAEs, and TEAEs leading to drug interruption, dose reduction and drug withdrawal were statistically significantly higher in</w:t>
      </w:r>
      <w:r w:rsidR="00E328A5" w:rsidRPr="00B07FB9">
        <w:t xml:space="preserve"> patients</w:t>
      </w:r>
      <w:r w:rsidRPr="00B07FB9">
        <w:t xml:space="preserve"> receiving niraparib than in the placebo arm</w:t>
      </w:r>
      <w:r w:rsidR="00FA5425" w:rsidRPr="00B07FB9">
        <w:t xml:space="preserve"> and considered</w:t>
      </w:r>
      <w:r w:rsidRPr="00B07FB9">
        <w:t xml:space="preserve"> the claim of inferior safety</w:t>
      </w:r>
      <w:r w:rsidR="00E328A5" w:rsidRPr="00B07FB9">
        <w:t xml:space="preserve"> was supported</w:t>
      </w:r>
      <w:r w:rsidRPr="00B07FB9">
        <w:t xml:space="preserve">. The PBAC noted that </w:t>
      </w:r>
      <w:r w:rsidR="00E328A5" w:rsidRPr="00B07FB9">
        <w:t>for</w:t>
      </w:r>
      <w:r w:rsidRPr="00B07FB9">
        <w:t xml:space="preserve"> </w:t>
      </w:r>
      <w:proofErr w:type="spellStart"/>
      <w:r w:rsidRPr="00B07FB9">
        <w:t>BRCAm</w:t>
      </w:r>
      <w:proofErr w:type="spellEnd"/>
      <w:r w:rsidRPr="00B07FB9">
        <w:t xml:space="preserve"> patients the submission made a claim of comparable safety </w:t>
      </w:r>
      <w:r w:rsidR="001C6B23" w:rsidRPr="00B07FB9">
        <w:t xml:space="preserve">for niraparib (ISD) </w:t>
      </w:r>
      <w:r w:rsidRPr="00B07FB9">
        <w:t xml:space="preserve">in comparison with </w:t>
      </w:r>
      <w:proofErr w:type="spellStart"/>
      <w:r w:rsidRPr="00B07FB9">
        <w:t>olaparib</w:t>
      </w:r>
      <w:proofErr w:type="spellEnd"/>
      <w:r w:rsidR="00E328A5" w:rsidRPr="00B07FB9">
        <w:t>,</w:t>
      </w:r>
      <w:r w:rsidRPr="00B07FB9">
        <w:t xml:space="preserve"> based on </w:t>
      </w:r>
      <w:r w:rsidR="001C6B23" w:rsidRPr="00B07FB9">
        <w:t xml:space="preserve">an </w:t>
      </w:r>
      <w:r w:rsidRPr="00B07FB9">
        <w:t xml:space="preserve">indirect comparison between the </w:t>
      </w:r>
      <w:r w:rsidR="001C6B23" w:rsidRPr="00B07FB9">
        <w:t>PRIMA and SOLO-1 trials</w:t>
      </w:r>
      <w:r w:rsidRPr="00B07FB9">
        <w:t>.</w:t>
      </w:r>
      <w:r w:rsidR="001C6B23" w:rsidRPr="00B07FB9">
        <w:t xml:space="preserve"> The PBAC noted that there appeared to be significantly worse safety for niraparib compared with </w:t>
      </w:r>
      <w:proofErr w:type="spellStart"/>
      <w:r w:rsidR="001C6B23" w:rsidRPr="00B07FB9">
        <w:t>olaparib</w:t>
      </w:r>
      <w:proofErr w:type="spellEnd"/>
      <w:r w:rsidR="001C6B23" w:rsidRPr="00B07FB9">
        <w:t xml:space="preserve"> with regard to Grade 3-5 TEAEs</w:t>
      </w:r>
      <w:r w:rsidR="0009001B" w:rsidRPr="00B07FB9">
        <w:t xml:space="preserve"> including differences in the incidence of</w:t>
      </w:r>
      <w:r w:rsidR="0009001B" w:rsidRPr="00B07FB9">
        <w:rPr>
          <w:bCs/>
        </w:rPr>
        <w:t xml:space="preserve"> thrombocytopenia and anaemia. </w:t>
      </w:r>
      <w:r w:rsidR="0009001B" w:rsidRPr="00B07FB9">
        <w:t>H</w:t>
      </w:r>
      <w:r w:rsidR="001C6B23" w:rsidRPr="00B07FB9">
        <w:t>owever</w:t>
      </w:r>
      <w:r w:rsidR="0009001B" w:rsidRPr="00B07FB9">
        <w:t>,</w:t>
      </w:r>
      <w:r w:rsidR="001C6B23" w:rsidRPr="00B07FB9">
        <w:t xml:space="preserve"> the PBAC noted that treatment discontinuations due to TEAEs were similar between PRIMA (ISD): 13.6% and SOLO-1: 11.5%. The PBAC noted that the indirect comparison of safety was limited due to differences in the patient population</w:t>
      </w:r>
      <w:r w:rsidR="00EF209C" w:rsidRPr="00B07FB9">
        <w:t>s</w:t>
      </w:r>
      <w:r w:rsidR="001C6B23" w:rsidRPr="00B07FB9">
        <w:t xml:space="preserve"> and duration of follow-up. On balance, the PBAC considered that </w:t>
      </w:r>
      <w:r w:rsidR="00E328A5" w:rsidRPr="00B07FB9">
        <w:t xml:space="preserve">TEAEs </w:t>
      </w:r>
      <w:r w:rsidR="00B76750" w:rsidRPr="00B07FB9">
        <w:t xml:space="preserve">for niraparib </w:t>
      </w:r>
      <w:r w:rsidR="00E328A5" w:rsidRPr="00B07FB9">
        <w:t xml:space="preserve">appeared to be generally manageable with dose interruptions and likely to be sufficiently similar for niraparib and </w:t>
      </w:r>
      <w:proofErr w:type="spellStart"/>
      <w:r w:rsidR="00E328A5" w:rsidRPr="00B07FB9">
        <w:t>olaparib</w:t>
      </w:r>
      <w:proofErr w:type="spellEnd"/>
      <w:r w:rsidR="00A03159" w:rsidRPr="00B07FB9">
        <w:t xml:space="preserve">, and that reduced likelihood of drug interactions compared to </w:t>
      </w:r>
      <w:proofErr w:type="spellStart"/>
      <w:r w:rsidR="00A03159" w:rsidRPr="00B07FB9">
        <w:t>olaparib</w:t>
      </w:r>
      <w:proofErr w:type="spellEnd"/>
      <w:r w:rsidR="00A03159" w:rsidRPr="00B07FB9">
        <w:t xml:space="preserve"> may improve its safety profile</w:t>
      </w:r>
      <w:r w:rsidR="00E328A5" w:rsidRPr="00B07FB9">
        <w:t>.</w:t>
      </w:r>
      <w:r w:rsidRPr="00B07FB9">
        <w:t xml:space="preserve"> </w:t>
      </w:r>
      <w:r w:rsidR="008A0ADE" w:rsidRPr="00B07FB9">
        <w:t>The PBAC noted that hospitalisation costs for thrombocytopenia and anaemia were included in the CMA (see paragraphs 6.34 and 6.65).</w:t>
      </w:r>
    </w:p>
    <w:p w14:paraId="61E9718D" w14:textId="0C2343FE" w:rsidR="00B76750" w:rsidRPr="00B07FB9" w:rsidRDefault="00B76750" w:rsidP="00B76750">
      <w:pPr>
        <w:widowControl w:val="0"/>
        <w:numPr>
          <w:ilvl w:val="1"/>
          <w:numId w:val="1"/>
        </w:numPr>
        <w:spacing w:after="120"/>
      </w:pPr>
      <w:r w:rsidRPr="00B07FB9">
        <w:t xml:space="preserve">The PBAC noted that the resubmission addressed its previous concerns regarding the approach to </w:t>
      </w:r>
      <w:r w:rsidR="00DE6EE3" w:rsidRPr="00B07FB9">
        <w:t>comparators for the</w:t>
      </w:r>
      <w:r w:rsidRPr="00B07FB9">
        <w:t xml:space="preserve"> economic evaluation (paragraph 7.17, niraparib PSD, July 2021 PBAC meeting) by presenting two economic evaluations: a cost-utility analysis comparing niraparib with SMM for the maintenance treatment of non-</w:t>
      </w:r>
      <w:proofErr w:type="spellStart"/>
      <w:r w:rsidRPr="00B07FB9">
        <w:t>BRCAm</w:t>
      </w:r>
      <w:proofErr w:type="spellEnd"/>
      <w:r w:rsidRPr="00B07FB9">
        <w:t xml:space="preserve"> NDA HGEOC; and a cost-minimisation analysis comparing niraparib with </w:t>
      </w:r>
      <w:proofErr w:type="spellStart"/>
      <w:r w:rsidRPr="00B07FB9">
        <w:t>olaparib</w:t>
      </w:r>
      <w:proofErr w:type="spellEnd"/>
      <w:r w:rsidRPr="00B07FB9">
        <w:t xml:space="preserve"> for the maintenance treatment of </w:t>
      </w:r>
      <w:proofErr w:type="spellStart"/>
      <w:r w:rsidRPr="00B07FB9">
        <w:t>BRCAm</w:t>
      </w:r>
      <w:proofErr w:type="spellEnd"/>
      <w:r w:rsidRPr="00B07FB9">
        <w:t xml:space="preserve"> NDA HGEOC. The PBAC noted that the resubmission did not present separate analyses for the HRD-negative, HRD-positive and HRD not determined populations, which would have required a co-dependent </w:t>
      </w:r>
      <w:r w:rsidRPr="00B07FB9">
        <w:lastRenderedPageBreak/>
        <w:t xml:space="preserve">submission. </w:t>
      </w:r>
      <w:r w:rsidR="00DE6EE3" w:rsidRPr="00B07FB9">
        <w:t>The PBAC also noted that the economic evaluation did not include bevacizumab as a comparator but considered that this appeared reasonable as few HGEOC patients (</w:t>
      </w:r>
      <w:proofErr w:type="spellStart"/>
      <w:r w:rsidR="00DE6EE3" w:rsidRPr="00B07FB9">
        <w:t>BRCAm</w:t>
      </w:r>
      <w:proofErr w:type="spellEnd"/>
      <w:r w:rsidR="00DE6EE3" w:rsidRPr="00B07FB9">
        <w:t xml:space="preserve"> or non-</w:t>
      </w:r>
      <w:proofErr w:type="spellStart"/>
      <w:r w:rsidR="00DE6EE3" w:rsidRPr="00B07FB9">
        <w:t>BRCAm</w:t>
      </w:r>
      <w:proofErr w:type="spellEnd"/>
      <w:r w:rsidR="00DE6EE3" w:rsidRPr="00B07FB9">
        <w:t>) are currently treated with bevacizumab as maintenance therapy.</w:t>
      </w:r>
    </w:p>
    <w:p w14:paraId="30885DA9" w14:textId="24BF88DB" w:rsidR="00B76750" w:rsidRPr="00B07FB9" w:rsidRDefault="00D56A92" w:rsidP="007732F5">
      <w:pPr>
        <w:widowControl w:val="0"/>
        <w:numPr>
          <w:ilvl w:val="1"/>
          <w:numId w:val="1"/>
        </w:numPr>
        <w:spacing w:after="120"/>
      </w:pPr>
      <w:r w:rsidRPr="00B07FB9">
        <w:t xml:space="preserve">The PBAC noted that for the non-BRCA population the structure of the economic evaluation was similar to </w:t>
      </w:r>
      <w:r w:rsidR="00216520" w:rsidRPr="00B07FB9">
        <w:t xml:space="preserve">that for </w:t>
      </w:r>
      <w:r w:rsidRPr="00B07FB9">
        <w:t>the</w:t>
      </w:r>
      <w:r w:rsidR="007670AE" w:rsidRPr="00B07FB9">
        <w:t xml:space="preserve"> original</w:t>
      </w:r>
      <w:r w:rsidRPr="00B07FB9">
        <w:t xml:space="preserve"> submission. The PBAC noted that the time horizon </w:t>
      </w:r>
      <w:r w:rsidR="00216520" w:rsidRPr="00B07FB9">
        <w:t>was</w:t>
      </w:r>
      <w:r w:rsidRPr="00B07FB9">
        <w:t xml:space="preserve"> reduced to 15 years and subsequent </w:t>
      </w:r>
      <w:proofErr w:type="spellStart"/>
      <w:r w:rsidRPr="00B07FB9">
        <w:t>PARPi</w:t>
      </w:r>
      <w:proofErr w:type="spellEnd"/>
      <w:r w:rsidRPr="00B07FB9">
        <w:t xml:space="preserve"> use in the second line setting in the SMM arm removed, in line with the PBAC’s previous advice (paragraph 7.15, niraparib PSD, July 2021 PBAC meeting). In addition</w:t>
      </w:r>
      <w:r w:rsidR="00216520" w:rsidRPr="00B07FB9">
        <w:t>,</w:t>
      </w:r>
      <w:r w:rsidRPr="00B07FB9">
        <w:t xml:space="preserve"> the extrapolation methods were updated by applying independent parametric functions for the extrapolations of PFS, OS and TTD</w:t>
      </w:r>
      <w:r w:rsidR="00216520" w:rsidRPr="00B07FB9">
        <w:t>,</w:t>
      </w:r>
      <w:r w:rsidRPr="00B07FB9">
        <w:t xml:space="preserve"> and costs for treatments, monitoring and AEs were updated. T</w:t>
      </w:r>
      <w:r w:rsidR="00B76750" w:rsidRPr="00B07FB9">
        <w:t xml:space="preserve">he PBAC noted that </w:t>
      </w:r>
      <w:r w:rsidRPr="00B07FB9">
        <w:t>the</w:t>
      </w:r>
      <w:r w:rsidR="00B76750" w:rsidRPr="00B07FB9">
        <w:t xml:space="preserve"> economic evaluations that were presented </w:t>
      </w:r>
      <w:r w:rsidR="007670AE" w:rsidRPr="00B07FB9">
        <w:t>were</w:t>
      </w:r>
      <w:r w:rsidR="00B76750" w:rsidRPr="00B07FB9">
        <w:t xml:space="preserve"> inherently uncertain because the OS data from PRIMA </w:t>
      </w:r>
      <w:r w:rsidR="007670AE" w:rsidRPr="00B07FB9">
        <w:t>were</w:t>
      </w:r>
      <w:r w:rsidR="00B76750" w:rsidRPr="00B07FB9">
        <w:t xml:space="preserve"> immature</w:t>
      </w:r>
      <w:r w:rsidR="008A0ADE" w:rsidRPr="00B07FB9">
        <w:t xml:space="preserve"> and that 97% of the incremental benefit occurred in the extrapolated modelling. The PBAC </w:t>
      </w:r>
      <w:r w:rsidRPr="00B07FB9">
        <w:t>considered that the ICER was uncertain as it relied on gains in overall survival that were not supported by the immature trial data.</w:t>
      </w:r>
    </w:p>
    <w:p w14:paraId="0B5910D0" w14:textId="2B34B0FA" w:rsidR="00F47D63" w:rsidRPr="00B07FB9" w:rsidRDefault="00D56A92" w:rsidP="00E377A1">
      <w:pPr>
        <w:pStyle w:val="3-BodyText"/>
        <w:rPr>
          <w:bCs/>
        </w:rPr>
      </w:pPr>
      <w:r w:rsidRPr="00B07FB9">
        <w:t xml:space="preserve">The PBAC noted that the cost-minimisation analysis with </w:t>
      </w:r>
      <w:proofErr w:type="spellStart"/>
      <w:r w:rsidRPr="00B07FB9">
        <w:t>olaparib</w:t>
      </w:r>
      <w:proofErr w:type="spellEnd"/>
      <w:r w:rsidRPr="00B07FB9">
        <w:t xml:space="preserve"> in the </w:t>
      </w:r>
      <w:proofErr w:type="spellStart"/>
      <w:r w:rsidRPr="00B07FB9">
        <w:t>BRCAm</w:t>
      </w:r>
      <w:proofErr w:type="spellEnd"/>
      <w:r w:rsidRPr="00B07FB9">
        <w:t xml:space="preserve"> population presented in the resubmission assumed the same average treatment duration per year for niraparib as previously considered by PBAC for </w:t>
      </w:r>
      <w:proofErr w:type="spellStart"/>
      <w:r w:rsidRPr="00B07FB9">
        <w:t>olaparib</w:t>
      </w:r>
      <w:proofErr w:type="spellEnd"/>
      <w:r w:rsidRPr="00B07FB9">
        <w:t xml:space="preserve">, except for Year 3, which was estimated to be 5.4 months, higher than treatment duration with </w:t>
      </w:r>
      <w:proofErr w:type="spellStart"/>
      <w:r w:rsidRPr="00B07FB9">
        <w:t>olaparib</w:t>
      </w:r>
      <w:proofErr w:type="spellEnd"/>
      <w:r w:rsidRPr="00B07FB9">
        <w:t xml:space="preserve"> in Year 3</w:t>
      </w:r>
      <w:r w:rsidR="00ED3318" w:rsidRPr="00B07FB9">
        <w:t xml:space="preserve"> (1.4 months)</w:t>
      </w:r>
      <w:r w:rsidRPr="00B07FB9">
        <w:t xml:space="preserve"> due to the stopping rule at 36 months for </w:t>
      </w:r>
      <w:r w:rsidR="00596457" w:rsidRPr="00B07FB9">
        <w:t xml:space="preserve">patients who are in complete response with </w:t>
      </w:r>
      <w:r w:rsidRPr="00B07FB9">
        <w:t xml:space="preserve">niraparib compared with 24 months for </w:t>
      </w:r>
      <w:proofErr w:type="spellStart"/>
      <w:r w:rsidRPr="00B07FB9">
        <w:t>olaparib</w:t>
      </w:r>
      <w:proofErr w:type="spellEnd"/>
      <w:r w:rsidRPr="00B07FB9">
        <w:t xml:space="preserve">. The PBAC noted that </w:t>
      </w:r>
      <w:r w:rsidRPr="00B07FB9">
        <w:rPr>
          <w:bCs/>
        </w:rPr>
        <w:t>trial-based treatment durations are unlikely to be comparable due to the difference in follow-up between the PRIMA and SOLO-1 trials (approximately 15 months and 41 months, respectively). The PBAC considered that the resubmission’s approach to the treatment durations appeared reasonable</w:t>
      </w:r>
      <w:r w:rsidR="00603B77" w:rsidRPr="00B07FB9">
        <w:rPr>
          <w:bCs/>
        </w:rPr>
        <w:t>.</w:t>
      </w:r>
      <w:r w:rsidRPr="00B07FB9">
        <w:rPr>
          <w:bCs/>
        </w:rPr>
        <w:t xml:space="preserve"> The PBAC also noted that in addition to the costs of niraparib and </w:t>
      </w:r>
      <w:proofErr w:type="spellStart"/>
      <w:r w:rsidRPr="00B07FB9">
        <w:rPr>
          <w:bCs/>
        </w:rPr>
        <w:t>olaparib</w:t>
      </w:r>
      <w:proofErr w:type="spellEnd"/>
      <w:r w:rsidRPr="00B07FB9">
        <w:rPr>
          <w:bCs/>
        </w:rPr>
        <w:t xml:space="preserve">, the resubmission included in the CMA the costs of managing and monitoring AEs. The PBAC considered this was appropriate. The PBAC noted that the PSCR </w:t>
      </w:r>
      <w:r w:rsidRPr="00B07FB9">
        <w:t xml:space="preserve">presented a revised base case CMA accounting for 97% compliance for </w:t>
      </w:r>
      <w:proofErr w:type="spellStart"/>
      <w:r w:rsidRPr="00B07FB9">
        <w:t>olaparib</w:t>
      </w:r>
      <w:proofErr w:type="spellEnd"/>
      <w:r w:rsidRPr="00B07FB9">
        <w:t xml:space="preserve"> which the PBAC considered was reasonable.</w:t>
      </w:r>
    </w:p>
    <w:p w14:paraId="06490147" w14:textId="759665BA" w:rsidR="00CE591E" w:rsidRPr="00B07FB9" w:rsidRDefault="00CE591E" w:rsidP="00CE591E">
      <w:pPr>
        <w:widowControl w:val="0"/>
        <w:numPr>
          <w:ilvl w:val="1"/>
          <w:numId w:val="1"/>
        </w:numPr>
        <w:spacing w:after="120"/>
        <w:rPr>
          <w:rFonts w:asciiTheme="minorHAnsi" w:hAnsiTheme="minorHAnsi"/>
          <w:snapToGrid w:val="0"/>
        </w:rPr>
      </w:pPr>
      <w:r w:rsidRPr="00B07FB9">
        <w:t xml:space="preserve">The PBAC recommended niraparib for use in the </w:t>
      </w:r>
      <w:proofErr w:type="spellStart"/>
      <w:r w:rsidRPr="00B07FB9">
        <w:t>BRCAm</w:t>
      </w:r>
      <w:proofErr w:type="spellEnd"/>
      <w:r w:rsidRPr="00B07FB9">
        <w:t xml:space="preserve"> population on a cost</w:t>
      </w:r>
      <w:r w:rsidRPr="00B07FB9">
        <w:noBreakHyphen/>
        <w:t xml:space="preserve">minimisation basis to </w:t>
      </w:r>
      <w:proofErr w:type="spellStart"/>
      <w:r w:rsidRPr="00B07FB9">
        <w:t>olaparib</w:t>
      </w:r>
      <w:proofErr w:type="spellEnd"/>
      <w:r w:rsidRPr="00B07FB9">
        <w:t xml:space="preserve">, with cost offsets for hospitalisations due to thrombocytopenia and anaemia and monitoring of CBC and BP. The </w:t>
      </w:r>
      <w:proofErr w:type="spellStart"/>
      <w:r w:rsidRPr="00B07FB9">
        <w:t>equi</w:t>
      </w:r>
      <w:proofErr w:type="spellEnd"/>
      <w:r w:rsidRPr="00B07FB9">
        <w:t xml:space="preserve">-effective doses were estimated as niraparib 162.1 mg/day for 25 months and a fixed daily cost of any </w:t>
      </w:r>
      <w:proofErr w:type="spellStart"/>
      <w:r w:rsidRPr="00B07FB9">
        <w:t>olaparib</w:t>
      </w:r>
      <w:proofErr w:type="spellEnd"/>
      <w:r w:rsidRPr="00B07FB9">
        <w:t xml:space="preserve"> daily dose (600 mg/day, 500 mg/day or 400 mg/day) for 20.9 months at 97% compliance (see paragraph </w:t>
      </w:r>
      <w:r w:rsidRPr="00B07FB9">
        <w:fldChar w:fldCharType="begin"/>
      </w:r>
      <w:r w:rsidRPr="00B07FB9">
        <w:instrText xml:space="preserve"> REF _Ref95749201 \r \h  \* MERGEFORMAT </w:instrText>
      </w:r>
      <w:r w:rsidRPr="00B07FB9">
        <w:fldChar w:fldCharType="separate"/>
      </w:r>
      <w:r w:rsidR="00385E8C">
        <w:t>6.70</w:t>
      </w:r>
      <w:r w:rsidRPr="00B07FB9">
        <w:fldChar w:fldCharType="end"/>
      </w:r>
      <w:r w:rsidRPr="00B07FB9">
        <w:t xml:space="preserve">). </w:t>
      </w:r>
    </w:p>
    <w:p w14:paraId="1A6ED1E9" w14:textId="12B1A8B2" w:rsidR="00D56A92" w:rsidRPr="00B07FB9" w:rsidRDefault="00D56A92" w:rsidP="00F47D63">
      <w:pPr>
        <w:widowControl w:val="0"/>
        <w:numPr>
          <w:ilvl w:val="1"/>
          <w:numId w:val="1"/>
        </w:numPr>
        <w:spacing w:after="120"/>
      </w:pPr>
      <w:r w:rsidRPr="00B07FB9">
        <w:rPr>
          <w:rFonts w:asciiTheme="minorHAnsi" w:hAnsiTheme="minorHAnsi"/>
          <w:snapToGrid w:val="0"/>
        </w:rPr>
        <w:t xml:space="preserve">The PBAC noted that the resubmission calculated a weighted price </w:t>
      </w:r>
      <w:r w:rsidRPr="00B07FB9">
        <w:t xml:space="preserve">based on </w:t>
      </w:r>
      <w:r w:rsidRPr="00B07FB9">
        <w:rPr>
          <w:lang w:bidi="en-US"/>
        </w:rPr>
        <w:t>the estimated proportion of drug utilisation for each indication (</w:t>
      </w:r>
      <w:proofErr w:type="spellStart"/>
      <w:r w:rsidRPr="00B07FB9">
        <w:rPr>
          <w:lang w:bidi="en-US"/>
        </w:rPr>
        <w:t>BRCAm</w:t>
      </w:r>
      <w:proofErr w:type="spellEnd"/>
      <w:r w:rsidRPr="00B07FB9">
        <w:rPr>
          <w:lang w:bidi="en-US"/>
        </w:rPr>
        <w:t xml:space="preserve"> and non-</w:t>
      </w:r>
      <w:proofErr w:type="spellStart"/>
      <w:r w:rsidRPr="00B07FB9">
        <w:rPr>
          <w:lang w:bidi="en-US"/>
        </w:rPr>
        <w:t>BRCAm</w:t>
      </w:r>
      <w:proofErr w:type="spellEnd"/>
      <w:r w:rsidRPr="00B07FB9">
        <w:rPr>
          <w:lang w:bidi="en-US"/>
        </w:rPr>
        <w:t xml:space="preserve">), however as the PBAC recommended listing of niraparib in the </w:t>
      </w:r>
      <w:proofErr w:type="spellStart"/>
      <w:r w:rsidRPr="00B07FB9">
        <w:rPr>
          <w:lang w:bidi="en-US"/>
        </w:rPr>
        <w:t>BRCAm</w:t>
      </w:r>
      <w:proofErr w:type="spellEnd"/>
      <w:r w:rsidRPr="00B07FB9">
        <w:rPr>
          <w:lang w:bidi="en-US"/>
        </w:rPr>
        <w:t xml:space="preserve"> population only, calculation of the weighted price is not required. </w:t>
      </w:r>
    </w:p>
    <w:p w14:paraId="62922051" w14:textId="7FFD1A72" w:rsidR="00CF5325" w:rsidRPr="00B07FB9" w:rsidRDefault="00CF5325" w:rsidP="00CF5325">
      <w:pPr>
        <w:pStyle w:val="3-BodyText"/>
        <w:widowControl w:val="0"/>
      </w:pPr>
      <w:r w:rsidRPr="00B07FB9">
        <w:lastRenderedPageBreak/>
        <w:t xml:space="preserve">The PBAC noted that the financial impact from listing niraparib in the </w:t>
      </w:r>
      <w:proofErr w:type="spellStart"/>
      <w:r w:rsidRPr="00B07FB9">
        <w:t>BRCAm</w:t>
      </w:r>
      <w:proofErr w:type="spellEnd"/>
      <w:r w:rsidRPr="00B07FB9">
        <w:t xml:space="preserve"> population </w:t>
      </w:r>
      <w:r w:rsidR="007670AE" w:rsidRPr="00B07FB9">
        <w:t>was</w:t>
      </w:r>
      <w:r w:rsidRPr="00B07FB9">
        <w:t xml:space="preserve"> expected to be cost-neutral overall, with a small reduction in the cost to the PBS/RPBS due </w:t>
      </w:r>
      <w:r w:rsidR="007670AE" w:rsidRPr="00B07FB9">
        <w:t xml:space="preserve">to inclusion of </w:t>
      </w:r>
      <w:r w:rsidRPr="00B07FB9">
        <w:t>AE and monitoring costs in the CMA. The PBAC noted that financial est</w:t>
      </w:r>
      <w:r w:rsidR="007670AE" w:rsidRPr="00B07FB9">
        <w:t>i</w:t>
      </w:r>
      <w:r w:rsidRPr="00B07FB9">
        <w:t>mates would need to be revised to reflect the population recommended for listing.</w:t>
      </w:r>
    </w:p>
    <w:p w14:paraId="1E193EB9" w14:textId="0B573BA1" w:rsidR="00CF5325" w:rsidRPr="00B07FB9" w:rsidRDefault="00CF5325" w:rsidP="00CF5325">
      <w:pPr>
        <w:pStyle w:val="3-BodyText"/>
        <w:widowControl w:val="0"/>
      </w:pPr>
      <w:r w:rsidRPr="00B07FB9">
        <w:t xml:space="preserve">The resubmission indicated that the sponsor recognised that an RSA would be required for the PBS listing of niraparib. The PBAC considered it would be appropriate for niraparib to join the existing arrangements for </w:t>
      </w:r>
      <w:proofErr w:type="spellStart"/>
      <w:r w:rsidRPr="00B07FB9">
        <w:t>olapa</w:t>
      </w:r>
      <w:r w:rsidR="00DB111D" w:rsidRPr="00B07FB9">
        <w:t>r</w:t>
      </w:r>
      <w:r w:rsidRPr="00B07FB9">
        <w:t>ib</w:t>
      </w:r>
      <w:proofErr w:type="spellEnd"/>
      <w:r w:rsidR="004934E7" w:rsidRPr="00B07FB9">
        <w:t>. The PBAC considered that no increase to the caps was justified as the listing of nirapa</w:t>
      </w:r>
      <w:r w:rsidR="00DB111D" w:rsidRPr="00B07FB9">
        <w:t>r</w:t>
      </w:r>
      <w:r w:rsidR="004934E7" w:rsidRPr="00B07FB9">
        <w:t xml:space="preserve">ib for the </w:t>
      </w:r>
      <w:proofErr w:type="spellStart"/>
      <w:r w:rsidR="004934E7" w:rsidRPr="00B07FB9">
        <w:t>BRCAm</w:t>
      </w:r>
      <w:proofErr w:type="spellEnd"/>
      <w:r w:rsidR="004934E7" w:rsidRPr="00B07FB9">
        <w:t xml:space="preserve"> population is not expected to grow the market.</w:t>
      </w:r>
    </w:p>
    <w:p w14:paraId="2514B829" w14:textId="318CEE87" w:rsidR="00F47D63" w:rsidRPr="00B07FB9" w:rsidRDefault="004934E7" w:rsidP="00F47D63">
      <w:pPr>
        <w:widowControl w:val="0"/>
        <w:numPr>
          <w:ilvl w:val="1"/>
          <w:numId w:val="1"/>
        </w:numPr>
        <w:spacing w:after="120"/>
        <w:rPr>
          <w:rFonts w:asciiTheme="minorHAnsi" w:hAnsiTheme="minorHAnsi"/>
          <w:snapToGrid w:val="0"/>
        </w:rPr>
      </w:pPr>
      <w:bookmarkStart w:id="73" w:name="_Ref98942879"/>
      <w:r w:rsidRPr="00B07FB9">
        <w:rPr>
          <w:rFonts w:asciiTheme="minorHAnsi" w:hAnsiTheme="minorHAnsi"/>
          <w:snapToGrid w:val="0"/>
        </w:rPr>
        <w:t>The PBAC considered that any resubmission for the non-</w:t>
      </w:r>
      <w:proofErr w:type="spellStart"/>
      <w:r w:rsidRPr="00B07FB9">
        <w:rPr>
          <w:rFonts w:asciiTheme="minorHAnsi" w:hAnsiTheme="minorHAnsi"/>
          <w:snapToGrid w:val="0"/>
        </w:rPr>
        <w:t>BRCAm</w:t>
      </w:r>
      <w:proofErr w:type="spellEnd"/>
      <w:r w:rsidRPr="00B07FB9">
        <w:rPr>
          <w:rFonts w:asciiTheme="minorHAnsi" w:hAnsiTheme="minorHAnsi"/>
          <w:snapToGrid w:val="0"/>
        </w:rPr>
        <w:t xml:space="preserve"> population should be supported with additional overall survival data to support a clinically meaningful benefit. The PBAC considered that it may be reasonable for a resubmission to include a more targeted population to identify patients most likely to benefit from treatment</w:t>
      </w:r>
      <w:r w:rsidR="00D56D79" w:rsidRPr="00B07FB9">
        <w:rPr>
          <w:rFonts w:asciiTheme="minorHAnsi" w:hAnsiTheme="minorHAnsi"/>
          <w:snapToGrid w:val="0"/>
        </w:rPr>
        <w:t xml:space="preserve">, noting that this is likely to require a </w:t>
      </w:r>
      <w:proofErr w:type="spellStart"/>
      <w:r w:rsidR="00D56D79" w:rsidRPr="00B07FB9">
        <w:rPr>
          <w:rFonts w:asciiTheme="minorHAnsi" w:hAnsiTheme="minorHAnsi"/>
          <w:snapToGrid w:val="0"/>
        </w:rPr>
        <w:t>codependent</w:t>
      </w:r>
      <w:proofErr w:type="spellEnd"/>
      <w:r w:rsidR="00D56D79" w:rsidRPr="00B07FB9">
        <w:rPr>
          <w:rFonts w:asciiTheme="minorHAnsi" w:hAnsiTheme="minorHAnsi"/>
          <w:snapToGrid w:val="0"/>
        </w:rPr>
        <w:t xml:space="preserve"> submission.</w:t>
      </w:r>
      <w:bookmarkEnd w:id="73"/>
    </w:p>
    <w:p w14:paraId="7BBF04BB" w14:textId="4FA7F208" w:rsidR="00F47D63" w:rsidRPr="00B07FB9" w:rsidRDefault="00F47D63" w:rsidP="00D56D79">
      <w:pPr>
        <w:widowControl w:val="0"/>
        <w:numPr>
          <w:ilvl w:val="1"/>
          <w:numId w:val="1"/>
        </w:numPr>
        <w:spacing w:after="120"/>
        <w:rPr>
          <w:lang w:eastAsia="en-US"/>
        </w:rPr>
      </w:pPr>
      <w:r w:rsidRPr="00B07FB9">
        <w:rPr>
          <w:lang w:eastAsia="en-US"/>
        </w:rPr>
        <w:t xml:space="preserve">The PBAC recommended that </w:t>
      </w:r>
      <w:r w:rsidR="00D56D79" w:rsidRPr="00B07FB9">
        <w:rPr>
          <w:lang w:eastAsia="en-US"/>
        </w:rPr>
        <w:t>niraparib</w:t>
      </w:r>
      <w:r w:rsidRPr="00B07FB9">
        <w:rPr>
          <w:lang w:eastAsia="en-US"/>
        </w:rPr>
        <w:t xml:space="preserve"> should </w:t>
      </w:r>
      <w:r w:rsidR="00EC5249" w:rsidRPr="00B07FB9">
        <w:rPr>
          <w:lang w:eastAsia="en-US"/>
        </w:rPr>
        <w:t xml:space="preserve">not </w:t>
      </w:r>
      <w:r w:rsidRPr="00B07FB9">
        <w:rPr>
          <w:lang w:eastAsia="en-US"/>
        </w:rPr>
        <w:t xml:space="preserve">be treated as interchangeable </w:t>
      </w:r>
      <w:r w:rsidR="00F80545" w:rsidRPr="00B07FB9">
        <w:rPr>
          <w:lang w:eastAsia="en-US"/>
        </w:rPr>
        <w:t>with any other drugs</w:t>
      </w:r>
      <w:r w:rsidRPr="00B07FB9">
        <w:rPr>
          <w:lang w:eastAsia="en-US"/>
        </w:rPr>
        <w:t xml:space="preserve">. </w:t>
      </w:r>
    </w:p>
    <w:p w14:paraId="302423A1" w14:textId="6139C834" w:rsidR="00F47D63" w:rsidRPr="00B07FB9" w:rsidRDefault="00F47D63" w:rsidP="00F47D63">
      <w:pPr>
        <w:widowControl w:val="0"/>
        <w:numPr>
          <w:ilvl w:val="1"/>
          <w:numId w:val="1"/>
        </w:numPr>
        <w:spacing w:after="120"/>
        <w:rPr>
          <w:rFonts w:asciiTheme="minorHAnsi" w:hAnsiTheme="minorHAnsi"/>
          <w:bCs/>
          <w:snapToGrid w:val="0"/>
        </w:rPr>
      </w:pPr>
      <w:r w:rsidRPr="00B07FB9">
        <w:rPr>
          <w:rFonts w:asciiTheme="minorHAnsi" w:hAnsiTheme="minorHAnsi"/>
          <w:bCs/>
          <w:snapToGrid w:val="0"/>
        </w:rPr>
        <w:t xml:space="preserve">The PBAC advised that </w:t>
      </w:r>
      <w:r w:rsidR="00D56D79" w:rsidRPr="00B07FB9">
        <w:rPr>
          <w:rFonts w:asciiTheme="minorHAnsi" w:hAnsiTheme="minorHAnsi"/>
          <w:bCs/>
          <w:snapToGrid w:val="0"/>
        </w:rPr>
        <w:t>niraparib</w:t>
      </w:r>
      <w:r w:rsidRPr="00B07FB9">
        <w:rPr>
          <w:rFonts w:asciiTheme="minorHAnsi" w:hAnsiTheme="minorHAnsi"/>
          <w:bCs/>
          <w:snapToGrid w:val="0"/>
        </w:rPr>
        <w:t xml:space="preserve"> is not suitable for prescribing by nurse practitioners. </w:t>
      </w:r>
    </w:p>
    <w:p w14:paraId="75779D2B" w14:textId="4290350C" w:rsidR="00F47D63" w:rsidRPr="00B07FB9" w:rsidRDefault="00F47D63" w:rsidP="00F47D63">
      <w:pPr>
        <w:widowControl w:val="0"/>
        <w:numPr>
          <w:ilvl w:val="1"/>
          <w:numId w:val="1"/>
        </w:numPr>
        <w:spacing w:after="120"/>
        <w:rPr>
          <w:rFonts w:asciiTheme="minorHAnsi" w:hAnsiTheme="minorHAnsi"/>
          <w:bCs/>
          <w:snapToGrid w:val="0"/>
        </w:rPr>
      </w:pPr>
      <w:r w:rsidRPr="00B07FB9">
        <w:rPr>
          <w:rFonts w:asciiTheme="minorHAnsi" w:hAnsiTheme="minorHAnsi"/>
          <w:bCs/>
          <w:snapToGrid w:val="0"/>
        </w:rPr>
        <w:t xml:space="preserve">The PBAC recommended that the Early Supply Rule should apply. </w:t>
      </w:r>
    </w:p>
    <w:p w14:paraId="08D577FB" w14:textId="3D7C7371" w:rsidR="00F47D63" w:rsidRPr="00B07FB9" w:rsidRDefault="00F47D63" w:rsidP="00F47D63">
      <w:pPr>
        <w:widowControl w:val="0"/>
        <w:numPr>
          <w:ilvl w:val="1"/>
          <w:numId w:val="1"/>
        </w:numPr>
        <w:spacing w:after="120"/>
        <w:rPr>
          <w:rFonts w:asciiTheme="minorHAnsi" w:hAnsiTheme="minorHAnsi"/>
          <w:bCs/>
          <w:snapToGrid w:val="0"/>
        </w:rPr>
      </w:pPr>
      <w:r w:rsidRPr="00B07FB9">
        <w:rPr>
          <w:rFonts w:asciiTheme="minorHAnsi" w:hAnsiTheme="minorHAnsi"/>
          <w:bCs/>
          <w:snapToGrid w:val="0"/>
        </w:rPr>
        <w:t xml:space="preserve">The PBAC noted the flow-on restriction changes </w:t>
      </w:r>
      <w:r w:rsidR="00E377A1" w:rsidRPr="00B07FB9">
        <w:rPr>
          <w:rFonts w:asciiTheme="minorHAnsi" w:hAnsiTheme="minorHAnsi"/>
          <w:bCs/>
          <w:snapToGrid w:val="0"/>
        </w:rPr>
        <w:t xml:space="preserve">as described in paragraph </w:t>
      </w:r>
      <w:r w:rsidR="00405729" w:rsidRPr="00B07FB9">
        <w:rPr>
          <w:rFonts w:asciiTheme="minorHAnsi" w:hAnsiTheme="minorHAnsi"/>
          <w:bCs/>
          <w:snapToGrid w:val="0"/>
        </w:rPr>
        <w:fldChar w:fldCharType="begin"/>
      </w:r>
      <w:r w:rsidR="00405729" w:rsidRPr="00B07FB9">
        <w:rPr>
          <w:rFonts w:asciiTheme="minorHAnsi" w:hAnsiTheme="minorHAnsi"/>
          <w:bCs/>
          <w:snapToGrid w:val="0"/>
        </w:rPr>
        <w:instrText xml:space="preserve"> REF _Ref99097523 \r \h </w:instrText>
      </w:r>
      <w:r w:rsidR="00405729" w:rsidRPr="00B07FB9">
        <w:rPr>
          <w:rFonts w:asciiTheme="minorHAnsi" w:hAnsiTheme="minorHAnsi"/>
          <w:bCs/>
          <w:snapToGrid w:val="0"/>
        </w:rPr>
      </w:r>
      <w:r w:rsidR="00405729" w:rsidRPr="00B07FB9">
        <w:rPr>
          <w:rFonts w:asciiTheme="minorHAnsi" w:hAnsiTheme="minorHAnsi"/>
          <w:bCs/>
          <w:snapToGrid w:val="0"/>
        </w:rPr>
        <w:fldChar w:fldCharType="separate"/>
      </w:r>
      <w:r w:rsidR="00385E8C">
        <w:rPr>
          <w:rFonts w:asciiTheme="minorHAnsi" w:hAnsiTheme="minorHAnsi"/>
          <w:bCs/>
          <w:snapToGrid w:val="0"/>
        </w:rPr>
        <w:t>7.4</w:t>
      </w:r>
      <w:r w:rsidR="00405729" w:rsidRPr="00B07FB9">
        <w:rPr>
          <w:rFonts w:asciiTheme="minorHAnsi" w:hAnsiTheme="minorHAnsi"/>
          <w:bCs/>
          <w:snapToGrid w:val="0"/>
        </w:rPr>
        <w:fldChar w:fldCharType="end"/>
      </w:r>
      <w:r w:rsidR="00405729" w:rsidRPr="00B07FB9">
        <w:rPr>
          <w:rFonts w:asciiTheme="minorHAnsi" w:hAnsiTheme="minorHAnsi"/>
          <w:bCs/>
          <w:snapToGrid w:val="0"/>
        </w:rPr>
        <w:t>.</w:t>
      </w:r>
    </w:p>
    <w:p w14:paraId="26ED6156" w14:textId="184AF755" w:rsidR="00F47D63" w:rsidRPr="00B07FB9" w:rsidRDefault="00F47D63" w:rsidP="00E377A1">
      <w:pPr>
        <w:widowControl w:val="0"/>
        <w:numPr>
          <w:ilvl w:val="1"/>
          <w:numId w:val="1"/>
        </w:numPr>
        <w:spacing w:after="120"/>
        <w:rPr>
          <w:rFonts w:asciiTheme="minorHAnsi" w:hAnsiTheme="minorHAnsi"/>
          <w:bCs/>
          <w:snapToGrid w:val="0"/>
        </w:rPr>
      </w:pPr>
      <w:r w:rsidRPr="00B07FB9">
        <w:rPr>
          <w:rFonts w:asciiTheme="minorHAnsi" w:hAnsiTheme="minorHAnsi"/>
          <w:bCs/>
          <w:snapToGrid w:val="0"/>
        </w:rPr>
        <w:t xml:space="preserve">The PBAC noted that its recommendation was on a cost-minimisation basis and advised that, because </w:t>
      </w:r>
      <w:r w:rsidR="00E377A1" w:rsidRPr="00B07FB9">
        <w:rPr>
          <w:rFonts w:asciiTheme="minorHAnsi" w:hAnsiTheme="minorHAnsi"/>
          <w:bCs/>
          <w:snapToGrid w:val="0"/>
        </w:rPr>
        <w:t>niraparib</w:t>
      </w:r>
      <w:r w:rsidRPr="00B07FB9">
        <w:rPr>
          <w:rFonts w:asciiTheme="minorHAnsi" w:hAnsiTheme="minorHAnsi"/>
          <w:bCs/>
          <w:snapToGrid w:val="0"/>
        </w:rPr>
        <w:t xml:space="preserve"> is not expected to provide a substantial and clinically relevant improvement in efficacy, or reduction of toxicity, over </w:t>
      </w:r>
      <w:proofErr w:type="spellStart"/>
      <w:r w:rsidR="00E377A1" w:rsidRPr="00B07FB9">
        <w:rPr>
          <w:rFonts w:asciiTheme="minorHAnsi" w:hAnsiTheme="minorHAnsi"/>
          <w:bCs/>
          <w:snapToGrid w:val="0"/>
        </w:rPr>
        <w:t>olaparib</w:t>
      </w:r>
      <w:proofErr w:type="spellEnd"/>
      <w:r w:rsidRPr="00B07FB9">
        <w:rPr>
          <w:rFonts w:asciiTheme="minorHAnsi" w:hAnsiTheme="minorHAnsi"/>
          <w:bCs/>
          <w:snapToGrid w:val="0"/>
        </w:rPr>
        <w:t xml:space="preserve">, or not expected to address a high and urgent unmet clinical need given the presence of an alternative therapy, the criteria prescribed by the </w:t>
      </w:r>
      <w:r w:rsidRPr="00BC7197">
        <w:rPr>
          <w:rFonts w:asciiTheme="minorHAnsi" w:hAnsiTheme="minorHAnsi"/>
          <w:bCs/>
          <w:i/>
          <w:iCs/>
          <w:snapToGrid w:val="0"/>
        </w:rPr>
        <w:t>National Health (Pharmaceuticals and Vaccines – Cost Recovery) Regulations 2009</w:t>
      </w:r>
      <w:r w:rsidRPr="00B07FB9">
        <w:rPr>
          <w:rFonts w:asciiTheme="minorHAnsi" w:hAnsiTheme="minorHAnsi"/>
          <w:bCs/>
          <w:snapToGrid w:val="0"/>
        </w:rPr>
        <w:t xml:space="preserve"> for Pricing Pathway A were not met.</w:t>
      </w:r>
    </w:p>
    <w:p w14:paraId="45841B1E" w14:textId="29D2972B" w:rsidR="00F47D63" w:rsidRPr="00B07FB9" w:rsidRDefault="00F47D63" w:rsidP="00E377A1">
      <w:pPr>
        <w:widowControl w:val="0"/>
        <w:numPr>
          <w:ilvl w:val="1"/>
          <w:numId w:val="1"/>
        </w:numPr>
        <w:spacing w:after="120"/>
        <w:rPr>
          <w:rFonts w:asciiTheme="minorHAnsi" w:hAnsiTheme="minorHAnsi"/>
          <w:bCs/>
          <w:i/>
          <w:snapToGrid w:val="0"/>
        </w:rPr>
      </w:pPr>
      <w:r w:rsidRPr="00B07FB9">
        <w:rPr>
          <w:rFonts w:asciiTheme="minorHAnsi" w:hAnsiTheme="minorHAnsi"/>
          <w:bCs/>
          <w:snapToGrid w:val="0"/>
        </w:rPr>
        <w:t>The PBAC noted that this submission is not eligible for an Independent Review</w:t>
      </w:r>
      <w:r w:rsidR="00E377A1" w:rsidRPr="00B07FB9">
        <w:rPr>
          <w:rFonts w:asciiTheme="minorHAnsi" w:hAnsiTheme="minorHAnsi"/>
          <w:bCs/>
          <w:snapToGrid w:val="0"/>
        </w:rPr>
        <w:t xml:space="preserve"> as it </w:t>
      </w:r>
      <w:r w:rsidR="007670AE" w:rsidRPr="00B07FB9">
        <w:rPr>
          <w:rFonts w:asciiTheme="minorHAnsi" w:hAnsiTheme="minorHAnsi"/>
          <w:bCs/>
          <w:snapToGrid w:val="0"/>
        </w:rPr>
        <w:t>was</w:t>
      </w:r>
      <w:r w:rsidR="00E377A1" w:rsidRPr="00B07FB9">
        <w:rPr>
          <w:rFonts w:asciiTheme="minorHAnsi" w:hAnsiTheme="minorHAnsi"/>
          <w:bCs/>
          <w:snapToGrid w:val="0"/>
        </w:rPr>
        <w:t xml:space="preserve"> a positive recommendation</w:t>
      </w:r>
      <w:r w:rsidRPr="00B07FB9">
        <w:rPr>
          <w:rFonts w:asciiTheme="minorHAnsi" w:hAnsiTheme="minorHAnsi"/>
          <w:bCs/>
          <w:snapToGrid w:val="0"/>
        </w:rPr>
        <w:t xml:space="preserve">. </w:t>
      </w:r>
    </w:p>
    <w:p w14:paraId="42BBC287" w14:textId="77777777" w:rsidR="00F47D63" w:rsidRPr="00B07FB9" w:rsidRDefault="00F47D63" w:rsidP="00F47D63">
      <w:pPr>
        <w:spacing w:before="240"/>
        <w:rPr>
          <w:rFonts w:asciiTheme="minorHAnsi" w:hAnsiTheme="minorHAnsi"/>
          <w:b/>
          <w:bCs/>
          <w:snapToGrid w:val="0"/>
        </w:rPr>
      </w:pPr>
      <w:r w:rsidRPr="00B07FB9">
        <w:rPr>
          <w:rFonts w:asciiTheme="minorHAnsi" w:hAnsiTheme="minorHAnsi"/>
          <w:b/>
          <w:bCs/>
          <w:snapToGrid w:val="0"/>
        </w:rPr>
        <w:t>Outcome:</w:t>
      </w:r>
    </w:p>
    <w:p w14:paraId="497A249F" w14:textId="67E01285" w:rsidR="001A4D8A" w:rsidRPr="001D62C2" w:rsidRDefault="00F47D63" w:rsidP="001D62C2">
      <w:pPr>
        <w:rPr>
          <w:rFonts w:asciiTheme="minorHAnsi" w:hAnsiTheme="minorHAnsi"/>
          <w:bCs/>
          <w:snapToGrid w:val="0"/>
        </w:rPr>
      </w:pPr>
      <w:r w:rsidRPr="00B07FB9">
        <w:rPr>
          <w:rFonts w:asciiTheme="minorHAnsi" w:hAnsiTheme="minorHAnsi"/>
          <w:bCs/>
          <w:snapToGrid w:val="0"/>
        </w:rPr>
        <w:t>Recommended</w:t>
      </w:r>
    </w:p>
    <w:bookmarkEnd w:id="70"/>
    <w:p w14:paraId="02EBBC73" w14:textId="77777777" w:rsidR="00F47D63" w:rsidRPr="00B07FB9" w:rsidRDefault="00F47D63" w:rsidP="00CA10F4">
      <w:pPr>
        <w:pStyle w:val="2-SectionHeading"/>
        <w:widowControl w:val="0"/>
        <w:numPr>
          <w:ilvl w:val="0"/>
          <w:numId w:val="1"/>
        </w:numPr>
      </w:pPr>
      <w:r w:rsidRPr="00B07FB9">
        <w:t>Recommended listing</w:t>
      </w:r>
    </w:p>
    <w:bookmarkEnd w:id="71"/>
    <w:p w14:paraId="4600A9D0" w14:textId="62BEDB2D" w:rsidR="003844ED" w:rsidRPr="00B07FB9" w:rsidRDefault="003844ED" w:rsidP="00EC5249">
      <w:pPr>
        <w:widowControl w:val="0"/>
        <w:numPr>
          <w:ilvl w:val="1"/>
          <w:numId w:val="1"/>
        </w:numPr>
        <w:spacing w:after="120"/>
        <w:rPr>
          <w:rFonts w:asciiTheme="minorHAnsi" w:hAnsiTheme="minorHAnsi"/>
          <w:bCs/>
          <w:snapToGrid w:val="0"/>
        </w:rPr>
      </w:pPr>
      <w:r w:rsidRPr="00B07FB9">
        <w:rPr>
          <w:rFonts w:asciiTheme="minorHAnsi" w:hAnsiTheme="minorHAnsi"/>
          <w:bCs/>
          <w:snapToGrid w:val="0"/>
        </w:rPr>
        <w:t>Add new medicinal product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838"/>
        <w:gridCol w:w="1410"/>
        <w:gridCol w:w="986"/>
        <w:gridCol w:w="986"/>
        <w:gridCol w:w="1270"/>
        <w:gridCol w:w="1549"/>
      </w:tblGrid>
      <w:tr w:rsidR="003844ED" w:rsidRPr="00B07FB9" w14:paraId="48AEB4E1" w14:textId="77777777" w:rsidTr="00E377A1">
        <w:trPr>
          <w:cantSplit/>
          <w:trHeight w:val="471"/>
        </w:trPr>
        <w:tc>
          <w:tcPr>
            <w:tcW w:w="1561" w:type="pct"/>
            <w:gridSpan w:val="2"/>
          </w:tcPr>
          <w:p w14:paraId="227F7DE3" w14:textId="77777777" w:rsidR="003844ED" w:rsidRPr="00B07FB9" w:rsidRDefault="003844ED" w:rsidP="00012EFA">
            <w:pPr>
              <w:keepNext/>
              <w:ind w:left="22"/>
              <w:rPr>
                <w:rFonts w:ascii="Arial Narrow" w:hAnsi="Arial Narrow"/>
                <w:b/>
                <w:bCs/>
                <w:sz w:val="20"/>
                <w:szCs w:val="20"/>
              </w:rPr>
            </w:pPr>
            <w:r w:rsidRPr="00B07FB9">
              <w:rPr>
                <w:rFonts w:ascii="Arial Narrow" w:hAnsi="Arial Narrow"/>
                <w:b/>
                <w:bCs/>
                <w:sz w:val="20"/>
                <w:szCs w:val="20"/>
              </w:rPr>
              <w:t>MEDICINAL PRODUCT</w:t>
            </w:r>
          </w:p>
          <w:p w14:paraId="100D2178" w14:textId="77777777" w:rsidR="003844ED" w:rsidRPr="00B07FB9" w:rsidRDefault="003844ED" w:rsidP="00012EFA">
            <w:pPr>
              <w:keepNext/>
              <w:ind w:left="22"/>
              <w:rPr>
                <w:rFonts w:ascii="Arial Narrow" w:hAnsi="Arial Narrow"/>
                <w:b/>
                <w:sz w:val="20"/>
                <w:szCs w:val="20"/>
              </w:rPr>
            </w:pPr>
            <w:r w:rsidRPr="00B07FB9">
              <w:rPr>
                <w:rFonts w:ascii="Arial Narrow" w:hAnsi="Arial Narrow"/>
                <w:b/>
                <w:bCs/>
                <w:sz w:val="20"/>
                <w:szCs w:val="20"/>
              </w:rPr>
              <w:t>medicinal product pack</w:t>
            </w:r>
          </w:p>
        </w:tc>
        <w:tc>
          <w:tcPr>
            <w:tcW w:w="782" w:type="pct"/>
          </w:tcPr>
          <w:p w14:paraId="62C9AE51" w14:textId="77777777" w:rsidR="003844ED" w:rsidRPr="00B07FB9" w:rsidRDefault="003844ED" w:rsidP="00012EFA">
            <w:pPr>
              <w:keepNext/>
              <w:ind w:left="-108"/>
              <w:jc w:val="center"/>
              <w:rPr>
                <w:rFonts w:ascii="Arial Narrow" w:hAnsi="Arial Narrow"/>
                <w:b/>
                <w:sz w:val="20"/>
                <w:szCs w:val="20"/>
              </w:rPr>
            </w:pPr>
            <w:r w:rsidRPr="00B07FB9">
              <w:rPr>
                <w:rFonts w:ascii="Arial Narrow" w:hAnsi="Arial Narrow"/>
                <w:b/>
                <w:sz w:val="20"/>
                <w:szCs w:val="20"/>
              </w:rPr>
              <w:t>PBS item code</w:t>
            </w:r>
          </w:p>
        </w:tc>
        <w:tc>
          <w:tcPr>
            <w:tcW w:w="547" w:type="pct"/>
          </w:tcPr>
          <w:p w14:paraId="6E313C54" w14:textId="77777777" w:rsidR="003844ED" w:rsidRPr="00B07FB9" w:rsidRDefault="003844ED" w:rsidP="00012EFA">
            <w:pPr>
              <w:keepNext/>
              <w:ind w:left="-108"/>
              <w:jc w:val="center"/>
              <w:rPr>
                <w:rFonts w:ascii="Arial Narrow" w:hAnsi="Arial Narrow"/>
                <w:b/>
                <w:sz w:val="20"/>
                <w:szCs w:val="20"/>
              </w:rPr>
            </w:pPr>
            <w:r w:rsidRPr="00B07FB9">
              <w:rPr>
                <w:rFonts w:ascii="Arial Narrow" w:hAnsi="Arial Narrow"/>
                <w:b/>
                <w:sz w:val="20"/>
                <w:szCs w:val="20"/>
              </w:rPr>
              <w:t>Max. qty packs</w:t>
            </w:r>
          </w:p>
        </w:tc>
        <w:tc>
          <w:tcPr>
            <w:tcW w:w="547" w:type="pct"/>
          </w:tcPr>
          <w:p w14:paraId="71E459B9" w14:textId="77777777" w:rsidR="003844ED" w:rsidRPr="00B07FB9" w:rsidRDefault="003844ED" w:rsidP="00012EFA">
            <w:pPr>
              <w:keepNext/>
              <w:ind w:left="-108"/>
              <w:jc w:val="center"/>
              <w:rPr>
                <w:rFonts w:ascii="Arial Narrow" w:hAnsi="Arial Narrow"/>
                <w:b/>
                <w:sz w:val="20"/>
                <w:szCs w:val="20"/>
              </w:rPr>
            </w:pPr>
            <w:r w:rsidRPr="00B07FB9">
              <w:rPr>
                <w:rFonts w:ascii="Arial Narrow" w:hAnsi="Arial Narrow"/>
                <w:b/>
                <w:sz w:val="20"/>
                <w:szCs w:val="20"/>
              </w:rPr>
              <w:t>Max. qty units</w:t>
            </w:r>
          </w:p>
        </w:tc>
        <w:tc>
          <w:tcPr>
            <w:tcW w:w="704" w:type="pct"/>
          </w:tcPr>
          <w:p w14:paraId="60530E1C" w14:textId="77777777" w:rsidR="003844ED" w:rsidRPr="00B07FB9" w:rsidRDefault="003844ED" w:rsidP="00012EFA">
            <w:pPr>
              <w:keepNext/>
              <w:ind w:left="-108"/>
              <w:jc w:val="center"/>
              <w:rPr>
                <w:rFonts w:ascii="Arial Narrow" w:hAnsi="Arial Narrow"/>
                <w:b/>
                <w:sz w:val="20"/>
                <w:szCs w:val="20"/>
              </w:rPr>
            </w:pPr>
            <w:r w:rsidRPr="00B07FB9">
              <w:rPr>
                <w:rFonts w:ascii="Arial Narrow" w:hAnsi="Arial Narrow"/>
                <w:b/>
                <w:sz w:val="20"/>
                <w:szCs w:val="20"/>
              </w:rPr>
              <w:t>№.of</w:t>
            </w:r>
          </w:p>
          <w:p w14:paraId="6D512468" w14:textId="77777777" w:rsidR="003844ED" w:rsidRPr="00B07FB9" w:rsidRDefault="003844ED" w:rsidP="00012EFA">
            <w:pPr>
              <w:keepNext/>
              <w:ind w:left="-108"/>
              <w:jc w:val="center"/>
              <w:rPr>
                <w:rFonts w:ascii="Arial Narrow" w:hAnsi="Arial Narrow"/>
                <w:b/>
                <w:sz w:val="20"/>
                <w:szCs w:val="20"/>
              </w:rPr>
            </w:pPr>
            <w:proofErr w:type="spellStart"/>
            <w:r w:rsidRPr="00B07FB9">
              <w:rPr>
                <w:rFonts w:ascii="Arial Narrow" w:hAnsi="Arial Narrow"/>
                <w:b/>
                <w:sz w:val="20"/>
                <w:szCs w:val="20"/>
              </w:rPr>
              <w:t>Rpts</w:t>
            </w:r>
            <w:proofErr w:type="spellEnd"/>
          </w:p>
        </w:tc>
        <w:tc>
          <w:tcPr>
            <w:tcW w:w="859" w:type="pct"/>
          </w:tcPr>
          <w:p w14:paraId="5CEE9A9F" w14:textId="77777777" w:rsidR="003844ED" w:rsidRPr="00B07FB9" w:rsidRDefault="003844ED" w:rsidP="00012EFA">
            <w:pPr>
              <w:keepNext/>
              <w:rPr>
                <w:rFonts w:ascii="Arial Narrow" w:hAnsi="Arial Narrow"/>
                <w:b/>
                <w:sz w:val="20"/>
                <w:szCs w:val="20"/>
              </w:rPr>
            </w:pPr>
            <w:r w:rsidRPr="00B07FB9">
              <w:rPr>
                <w:rFonts w:ascii="Arial Narrow" w:hAnsi="Arial Narrow"/>
                <w:b/>
                <w:sz w:val="20"/>
                <w:szCs w:val="20"/>
              </w:rPr>
              <w:t>Available brands</w:t>
            </w:r>
          </w:p>
        </w:tc>
      </w:tr>
      <w:tr w:rsidR="003844ED" w:rsidRPr="00B07FB9" w14:paraId="3EC807BD" w14:textId="77777777" w:rsidTr="002122F4">
        <w:trPr>
          <w:cantSplit/>
          <w:trHeight w:val="224"/>
        </w:trPr>
        <w:tc>
          <w:tcPr>
            <w:tcW w:w="5000" w:type="pct"/>
            <w:gridSpan w:val="7"/>
          </w:tcPr>
          <w:p w14:paraId="715E03E3" w14:textId="77777777" w:rsidR="003844ED" w:rsidRPr="00B07FB9" w:rsidRDefault="003844ED" w:rsidP="00012EFA">
            <w:pPr>
              <w:keepNext/>
              <w:ind w:left="22"/>
              <w:rPr>
                <w:rFonts w:ascii="Arial Narrow" w:hAnsi="Arial Narrow"/>
                <w:sz w:val="20"/>
                <w:szCs w:val="20"/>
              </w:rPr>
            </w:pPr>
            <w:r w:rsidRPr="00B07FB9">
              <w:rPr>
                <w:rFonts w:ascii="Arial Narrow" w:hAnsi="Arial Narrow"/>
                <w:sz w:val="20"/>
                <w:szCs w:val="20"/>
              </w:rPr>
              <w:t>NIRAPARIB</w:t>
            </w:r>
          </w:p>
        </w:tc>
      </w:tr>
      <w:tr w:rsidR="003844ED" w:rsidRPr="00B07FB9" w14:paraId="762F4A0A" w14:textId="77777777" w:rsidTr="00E377A1">
        <w:trPr>
          <w:cantSplit/>
          <w:trHeight w:val="367"/>
        </w:trPr>
        <w:tc>
          <w:tcPr>
            <w:tcW w:w="1561" w:type="pct"/>
            <w:gridSpan w:val="2"/>
          </w:tcPr>
          <w:p w14:paraId="1ADDA345" w14:textId="77777777" w:rsidR="003844ED" w:rsidRPr="00B07FB9" w:rsidRDefault="003844ED" w:rsidP="00012EFA">
            <w:pPr>
              <w:keepNext/>
              <w:ind w:left="22"/>
              <w:rPr>
                <w:rFonts w:ascii="Arial Narrow" w:hAnsi="Arial Narrow"/>
                <w:sz w:val="20"/>
                <w:szCs w:val="20"/>
              </w:rPr>
            </w:pPr>
            <w:r w:rsidRPr="00B07FB9">
              <w:rPr>
                <w:rFonts w:ascii="Arial Narrow" w:hAnsi="Arial Narrow"/>
                <w:sz w:val="20"/>
                <w:szCs w:val="20"/>
              </w:rPr>
              <w:t>niraparib 100 mg capsule</w:t>
            </w:r>
            <w:r w:rsidRPr="00B07FB9">
              <w:rPr>
                <w:rFonts w:ascii="Arial Narrow" w:hAnsi="Arial Narrow"/>
                <w:i/>
                <w:sz w:val="20"/>
                <w:szCs w:val="20"/>
              </w:rPr>
              <w:t>,</w:t>
            </w:r>
            <w:r w:rsidRPr="00B07FB9">
              <w:rPr>
                <w:rFonts w:ascii="Arial Narrow" w:hAnsi="Arial Narrow"/>
                <w:iCs/>
                <w:sz w:val="20"/>
                <w:szCs w:val="20"/>
              </w:rPr>
              <w:t xml:space="preserve"> 84</w:t>
            </w:r>
          </w:p>
        </w:tc>
        <w:tc>
          <w:tcPr>
            <w:tcW w:w="782" w:type="pct"/>
          </w:tcPr>
          <w:p w14:paraId="43CD5E17" w14:textId="77777777" w:rsidR="003844ED" w:rsidRPr="00B07FB9" w:rsidRDefault="003844ED" w:rsidP="00012EFA">
            <w:pPr>
              <w:keepNext/>
              <w:jc w:val="center"/>
              <w:rPr>
                <w:rFonts w:ascii="Arial Narrow" w:hAnsi="Arial Narrow"/>
                <w:sz w:val="20"/>
                <w:szCs w:val="20"/>
              </w:rPr>
            </w:pPr>
            <w:r w:rsidRPr="00B07FB9">
              <w:rPr>
                <w:rFonts w:ascii="Arial Narrow" w:hAnsi="Arial Narrow"/>
                <w:sz w:val="20"/>
                <w:szCs w:val="20"/>
              </w:rPr>
              <w:t>NEW</w:t>
            </w:r>
          </w:p>
        </w:tc>
        <w:tc>
          <w:tcPr>
            <w:tcW w:w="547" w:type="pct"/>
          </w:tcPr>
          <w:p w14:paraId="389F71E5" w14:textId="77777777" w:rsidR="003844ED" w:rsidRPr="00B07FB9" w:rsidRDefault="003844ED" w:rsidP="00012EFA">
            <w:pPr>
              <w:keepNext/>
              <w:jc w:val="center"/>
              <w:rPr>
                <w:rFonts w:ascii="Arial Narrow" w:hAnsi="Arial Narrow"/>
                <w:sz w:val="20"/>
                <w:szCs w:val="20"/>
              </w:rPr>
            </w:pPr>
            <w:r w:rsidRPr="00B07FB9">
              <w:rPr>
                <w:rFonts w:ascii="Arial Narrow" w:hAnsi="Arial Narrow"/>
                <w:sz w:val="20"/>
                <w:szCs w:val="20"/>
              </w:rPr>
              <w:t>1</w:t>
            </w:r>
          </w:p>
        </w:tc>
        <w:tc>
          <w:tcPr>
            <w:tcW w:w="547" w:type="pct"/>
          </w:tcPr>
          <w:p w14:paraId="57E13A5A" w14:textId="77777777" w:rsidR="003844ED" w:rsidRPr="00B07FB9" w:rsidRDefault="003844ED" w:rsidP="00012EFA">
            <w:pPr>
              <w:keepNext/>
              <w:jc w:val="center"/>
              <w:rPr>
                <w:rFonts w:ascii="Arial Narrow" w:hAnsi="Arial Narrow"/>
                <w:sz w:val="20"/>
                <w:szCs w:val="20"/>
              </w:rPr>
            </w:pPr>
            <w:r w:rsidRPr="00B07FB9">
              <w:rPr>
                <w:rFonts w:ascii="Arial Narrow" w:hAnsi="Arial Narrow"/>
                <w:sz w:val="20"/>
                <w:szCs w:val="20"/>
              </w:rPr>
              <w:t>84</w:t>
            </w:r>
          </w:p>
        </w:tc>
        <w:tc>
          <w:tcPr>
            <w:tcW w:w="704" w:type="pct"/>
          </w:tcPr>
          <w:p w14:paraId="76887891" w14:textId="77777777" w:rsidR="003844ED" w:rsidRPr="00B07FB9" w:rsidRDefault="003844ED" w:rsidP="00012EFA">
            <w:pPr>
              <w:keepNext/>
              <w:ind w:left="-10"/>
              <w:jc w:val="center"/>
              <w:rPr>
                <w:rFonts w:ascii="Arial Narrow" w:hAnsi="Arial Narrow"/>
                <w:sz w:val="20"/>
                <w:szCs w:val="20"/>
              </w:rPr>
            </w:pPr>
            <w:r w:rsidRPr="00B07FB9">
              <w:rPr>
                <w:rFonts w:ascii="Arial Narrow" w:hAnsi="Arial Narrow"/>
                <w:sz w:val="20"/>
                <w:szCs w:val="20"/>
              </w:rPr>
              <w:t xml:space="preserve">2 </w:t>
            </w:r>
          </w:p>
        </w:tc>
        <w:tc>
          <w:tcPr>
            <w:tcW w:w="859" w:type="pct"/>
          </w:tcPr>
          <w:p w14:paraId="6C8645C3" w14:textId="77777777" w:rsidR="003844ED" w:rsidRPr="00B07FB9" w:rsidRDefault="003844ED" w:rsidP="00012EFA">
            <w:pPr>
              <w:keepNext/>
              <w:rPr>
                <w:rFonts w:ascii="Arial Narrow" w:hAnsi="Arial Narrow"/>
                <w:sz w:val="20"/>
                <w:szCs w:val="20"/>
              </w:rPr>
            </w:pPr>
            <w:proofErr w:type="spellStart"/>
            <w:r w:rsidRPr="00B07FB9">
              <w:rPr>
                <w:rFonts w:ascii="Arial Narrow" w:hAnsi="Arial Narrow"/>
                <w:sz w:val="20"/>
                <w:szCs w:val="20"/>
              </w:rPr>
              <w:t>Zejula</w:t>
            </w:r>
            <w:proofErr w:type="spellEnd"/>
          </w:p>
        </w:tc>
      </w:tr>
      <w:tr w:rsidR="003844ED" w:rsidRPr="00B07FB9" w14:paraId="7FD7AE74" w14:textId="77777777" w:rsidTr="002122F4">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F3859BF" w14:textId="77777777" w:rsidR="003844ED" w:rsidRPr="00B07FB9" w:rsidRDefault="003844ED" w:rsidP="00012EFA">
            <w:pPr>
              <w:rPr>
                <w:rFonts w:ascii="Arial Narrow" w:hAnsi="Arial Narrow"/>
                <w:b/>
                <w:sz w:val="20"/>
                <w:szCs w:val="20"/>
              </w:rPr>
            </w:pPr>
          </w:p>
        </w:tc>
      </w:tr>
      <w:tr w:rsidR="003844ED" w:rsidRPr="00B07FB9" w14:paraId="642CE8EB" w14:textId="77777777" w:rsidTr="002122F4">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04C8F94" w14:textId="77777777" w:rsidR="003844ED" w:rsidRPr="00B07FB9" w:rsidRDefault="003844ED" w:rsidP="00012EFA">
            <w:pPr>
              <w:ind w:left="57"/>
              <w:rPr>
                <w:rFonts w:ascii="Arial Narrow" w:hAnsi="Arial Narrow"/>
                <w:b/>
                <w:sz w:val="20"/>
                <w:szCs w:val="20"/>
              </w:rPr>
            </w:pPr>
            <w:r w:rsidRPr="00B07FB9">
              <w:rPr>
                <w:rFonts w:ascii="Arial Narrow" w:hAnsi="Arial Narrow"/>
                <w:b/>
                <w:sz w:val="20"/>
                <w:szCs w:val="20"/>
              </w:rPr>
              <w:lastRenderedPageBreak/>
              <w:t>Restriction Summary [NEW 1]</w:t>
            </w:r>
          </w:p>
        </w:tc>
      </w:tr>
      <w:tr w:rsidR="003844ED" w:rsidRPr="00B07FB9" w14:paraId="151E1C95" w14:textId="77777777" w:rsidTr="00E377A1">
        <w:tblPrEx>
          <w:tblCellMar>
            <w:top w:w="15" w:type="dxa"/>
            <w:left w:w="15" w:type="dxa"/>
            <w:bottom w:w="15" w:type="dxa"/>
            <w:right w:w="15" w:type="dxa"/>
          </w:tblCellMar>
          <w:tblLook w:val="04A0" w:firstRow="1" w:lastRow="0" w:firstColumn="1" w:lastColumn="0" w:noHBand="0" w:noVBand="1"/>
        </w:tblPrEx>
        <w:tc>
          <w:tcPr>
            <w:tcW w:w="542" w:type="pct"/>
            <w:vMerge w:val="restart"/>
            <w:tcBorders>
              <w:top w:val="single" w:sz="4" w:space="0" w:color="auto"/>
              <w:left w:val="single" w:sz="4" w:space="0" w:color="auto"/>
              <w:right w:val="single" w:sz="4" w:space="0" w:color="auto"/>
            </w:tcBorders>
          </w:tcPr>
          <w:p w14:paraId="29F07C81" w14:textId="77777777" w:rsidR="003844ED" w:rsidRPr="00B07FB9" w:rsidRDefault="003844ED" w:rsidP="00012EFA">
            <w:pPr>
              <w:jc w:val="center"/>
              <w:rPr>
                <w:rFonts w:ascii="Arial Narrow" w:hAnsi="Arial Narrow"/>
                <w:b/>
                <w:sz w:val="20"/>
                <w:szCs w:val="20"/>
              </w:rPr>
            </w:pPr>
            <w:r w:rsidRPr="00B07FB9">
              <w:rPr>
                <w:rFonts w:ascii="Arial Narrow" w:hAnsi="Arial Narrow"/>
                <w:b/>
                <w:sz w:val="20"/>
                <w:szCs w:val="20"/>
              </w:rPr>
              <w:t>Concept ID</w:t>
            </w:r>
          </w:p>
          <w:p w14:paraId="09E52161" w14:textId="77777777" w:rsidR="003844ED" w:rsidRPr="00B07FB9" w:rsidRDefault="003844ED" w:rsidP="00012EFA">
            <w:pPr>
              <w:rPr>
                <w:rFonts w:ascii="Arial Narrow" w:hAnsi="Arial Narrow"/>
                <w:i/>
                <w:sz w:val="20"/>
                <w:szCs w:val="20"/>
              </w:rPr>
            </w:pPr>
          </w:p>
          <w:p w14:paraId="363E48C7"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(for internal Dept. use)</w:t>
            </w:r>
          </w:p>
        </w:tc>
        <w:tc>
          <w:tcPr>
            <w:tcW w:w="4458" w:type="pct"/>
            <w:gridSpan w:val="6"/>
            <w:tcBorders>
              <w:top w:val="single" w:sz="4" w:space="0" w:color="auto"/>
              <w:left w:val="single" w:sz="4" w:space="0" w:color="auto"/>
              <w:bottom w:val="single" w:sz="4" w:space="0" w:color="auto"/>
              <w:right w:val="single" w:sz="4" w:space="0" w:color="auto"/>
            </w:tcBorders>
          </w:tcPr>
          <w:p w14:paraId="0E7AB929" w14:textId="77777777" w:rsidR="003844ED" w:rsidRPr="00B07FB9" w:rsidRDefault="003844ED" w:rsidP="00012EFA">
            <w:pPr>
              <w:rPr>
                <w:rFonts w:ascii="Arial Narrow" w:hAnsi="Arial Narrow"/>
                <w:sz w:val="20"/>
                <w:szCs w:val="20"/>
              </w:rPr>
            </w:pPr>
            <w:r w:rsidRPr="00B07FB9">
              <w:rPr>
                <w:rFonts w:ascii="Arial Narrow" w:hAnsi="Arial Narrow"/>
                <w:b/>
                <w:sz w:val="20"/>
                <w:szCs w:val="20"/>
              </w:rPr>
              <w:t xml:space="preserve">Category / Program:   </w:t>
            </w:r>
            <w:r w:rsidRPr="00B07FB9">
              <w:rPr>
                <w:rFonts w:ascii="Arial Narrow" w:hAnsi="Arial Narrow"/>
                <w:sz w:val="20"/>
                <w:szCs w:val="20"/>
              </w:rPr>
              <w:t xml:space="preserve">GENERAL – General Schedule (Code GE) </w:t>
            </w:r>
          </w:p>
        </w:tc>
      </w:tr>
      <w:tr w:rsidR="003844ED" w:rsidRPr="00B07FB9" w14:paraId="51064F9E" w14:textId="77777777" w:rsidTr="00E377A1">
        <w:tblPrEx>
          <w:tblCellMar>
            <w:top w:w="15" w:type="dxa"/>
            <w:left w:w="15" w:type="dxa"/>
            <w:bottom w:w="15" w:type="dxa"/>
            <w:right w:w="15" w:type="dxa"/>
          </w:tblCellMar>
          <w:tblLook w:val="04A0" w:firstRow="1" w:lastRow="0" w:firstColumn="1" w:lastColumn="0" w:noHBand="0" w:noVBand="1"/>
        </w:tblPrEx>
        <w:trPr>
          <w:trHeight w:val="240"/>
        </w:trPr>
        <w:tc>
          <w:tcPr>
            <w:tcW w:w="542" w:type="pct"/>
            <w:vMerge/>
            <w:tcBorders>
              <w:left w:val="single" w:sz="4" w:space="0" w:color="auto"/>
              <w:right w:val="single" w:sz="4" w:space="0" w:color="auto"/>
            </w:tcBorders>
          </w:tcPr>
          <w:p w14:paraId="3F3B4CEE" w14:textId="77777777" w:rsidR="003844ED" w:rsidRPr="00B07FB9" w:rsidRDefault="003844ED" w:rsidP="00012EFA">
            <w:pPr>
              <w:rPr>
                <w:rFonts w:ascii="Arial Narrow" w:hAnsi="Arial Narrow"/>
                <w:sz w:val="20"/>
                <w:szCs w:val="20"/>
              </w:rPr>
            </w:pPr>
          </w:p>
        </w:tc>
        <w:tc>
          <w:tcPr>
            <w:tcW w:w="4458" w:type="pct"/>
            <w:gridSpan w:val="6"/>
            <w:tcBorders>
              <w:top w:val="single" w:sz="4" w:space="0" w:color="auto"/>
              <w:left w:val="single" w:sz="4" w:space="0" w:color="auto"/>
              <w:bottom w:val="single" w:sz="4" w:space="0" w:color="auto"/>
              <w:right w:val="single" w:sz="4" w:space="0" w:color="auto"/>
            </w:tcBorders>
          </w:tcPr>
          <w:p w14:paraId="61032744" w14:textId="77777777" w:rsidR="003844ED" w:rsidRPr="00B07FB9" w:rsidRDefault="003844ED" w:rsidP="00012EFA">
            <w:pPr>
              <w:rPr>
                <w:rFonts w:ascii="Arial Narrow" w:hAnsi="Arial Narrow"/>
                <w:b/>
                <w:sz w:val="20"/>
                <w:szCs w:val="20"/>
              </w:rPr>
            </w:pPr>
            <w:r w:rsidRPr="00B07FB9">
              <w:rPr>
                <w:rFonts w:ascii="Arial Narrow" w:hAnsi="Arial Narrow"/>
                <w:b/>
                <w:sz w:val="20"/>
                <w:szCs w:val="20"/>
              </w:rPr>
              <w:t xml:space="preserve">Prescriber type: </w:t>
            </w:r>
            <w:r w:rsidRPr="00B07FB9">
              <w:rPr>
                <w:rFonts w:ascii="Arial Narrow" w:hAnsi="Arial Narrow"/>
                <w:sz w:val="20"/>
                <w:szCs w:val="20"/>
              </w:rPr>
              <w:t xml:space="preserve">  </w:t>
            </w:r>
            <w:r w:rsidRPr="00B07FB9">
              <w:rPr>
                <w:rFonts w:ascii="Arial Narrow" w:hAnsi="Arial Narrow"/>
                <w:sz w:val="20"/>
                <w:szCs w:val="20"/>
              </w:rPr>
              <w:fldChar w:fldCharType="begin">
                <w:ffData>
                  <w:name w:val=""/>
                  <w:enabled/>
                  <w:calcOnExit w:val="0"/>
                  <w:checkBox>
                    <w:sizeAuto/>
                    <w:default w:val="1"/>
                  </w:checkBox>
                </w:ffData>
              </w:fldChar>
            </w:r>
            <w:r w:rsidRPr="00B07FB9">
              <w:rPr>
                <w:rFonts w:ascii="Arial Narrow" w:hAnsi="Arial Narrow"/>
                <w:sz w:val="20"/>
                <w:szCs w:val="20"/>
              </w:rPr>
              <w:instrText xml:space="preserve"> FORMCHECKBOX </w:instrText>
            </w:r>
            <w:r w:rsidR="00385E8C">
              <w:rPr>
                <w:rFonts w:ascii="Arial Narrow" w:hAnsi="Arial Narrow"/>
                <w:sz w:val="20"/>
                <w:szCs w:val="20"/>
              </w:rPr>
            </w:r>
            <w:r w:rsidR="00385E8C">
              <w:rPr>
                <w:rFonts w:ascii="Arial Narrow" w:hAnsi="Arial Narrow"/>
                <w:sz w:val="20"/>
                <w:szCs w:val="20"/>
              </w:rPr>
              <w:fldChar w:fldCharType="separate"/>
            </w:r>
            <w:r w:rsidRPr="00B07FB9">
              <w:rPr>
                <w:rFonts w:ascii="Arial Narrow" w:hAnsi="Arial Narrow"/>
                <w:sz w:val="20"/>
                <w:szCs w:val="20"/>
              </w:rPr>
              <w:fldChar w:fldCharType="end"/>
            </w:r>
            <w:r w:rsidRPr="00B07FB9">
              <w:rPr>
                <w:rFonts w:ascii="Arial Narrow" w:hAnsi="Arial Narrow"/>
                <w:sz w:val="20"/>
                <w:szCs w:val="20"/>
              </w:rPr>
              <w:t xml:space="preserve">Medical Practitioners </w:t>
            </w:r>
          </w:p>
        </w:tc>
      </w:tr>
      <w:tr w:rsidR="003844ED" w:rsidRPr="00B07FB9" w14:paraId="47789676" w14:textId="77777777" w:rsidTr="00E377A1">
        <w:tblPrEx>
          <w:tblCellMar>
            <w:top w:w="15" w:type="dxa"/>
            <w:left w:w="15" w:type="dxa"/>
            <w:bottom w:w="15" w:type="dxa"/>
            <w:right w:w="15" w:type="dxa"/>
          </w:tblCellMar>
          <w:tblLook w:val="04A0" w:firstRow="1" w:lastRow="0" w:firstColumn="1" w:lastColumn="0" w:noHBand="0" w:noVBand="1"/>
        </w:tblPrEx>
        <w:trPr>
          <w:trHeight w:val="194"/>
        </w:trPr>
        <w:tc>
          <w:tcPr>
            <w:tcW w:w="542" w:type="pct"/>
            <w:vMerge/>
            <w:tcBorders>
              <w:left w:val="single" w:sz="4" w:space="0" w:color="auto"/>
              <w:bottom w:val="single" w:sz="4" w:space="0" w:color="auto"/>
              <w:right w:val="single" w:sz="4" w:space="0" w:color="auto"/>
            </w:tcBorders>
          </w:tcPr>
          <w:p w14:paraId="7A293A29" w14:textId="77777777" w:rsidR="003844ED" w:rsidRPr="00B07FB9" w:rsidRDefault="003844ED" w:rsidP="00012EFA">
            <w:pPr>
              <w:rPr>
                <w:rFonts w:ascii="Arial Narrow" w:hAnsi="Arial Narrow"/>
                <w:sz w:val="20"/>
                <w:szCs w:val="20"/>
              </w:rPr>
            </w:pPr>
          </w:p>
        </w:tc>
        <w:tc>
          <w:tcPr>
            <w:tcW w:w="4458" w:type="pct"/>
            <w:gridSpan w:val="6"/>
            <w:tcBorders>
              <w:top w:val="single" w:sz="4" w:space="0" w:color="auto"/>
              <w:left w:val="single" w:sz="4" w:space="0" w:color="auto"/>
              <w:bottom w:val="single" w:sz="4" w:space="0" w:color="auto"/>
              <w:right w:val="single" w:sz="4" w:space="0" w:color="auto"/>
            </w:tcBorders>
          </w:tcPr>
          <w:p w14:paraId="666EE5F3" w14:textId="54AE5703" w:rsidR="003844ED" w:rsidRPr="00B07FB9" w:rsidRDefault="003844ED" w:rsidP="00E377A1">
            <w:pPr>
              <w:rPr>
                <w:rFonts w:ascii="Arial Narrow" w:eastAsia="Calibri" w:hAnsi="Arial Narrow"/>
                <w:sz w:val="20"/>
                <w:szCs w:val="20"/>
              </w:rPr>
            </w:pPr>
            <w:r w:rsidRPr="00B07FB9">
              <w:rPr>
                <w:rFonts w:ascii="Arial Narrow" w:hAnsi="Arial Narrow"/>
                <w:b/>
                <w:sz w:val="20"/>
                <w:szCs w:val="20"/>
              </w:rPr>
              <w:t xml:space="preserve">Restriction type: </w:t>
            </w:r>
            <w:r w:rsidRPr="00B07FB9">
              <w:rPr>
                <w:rFonts w:ascii="Arial Narrow" w:eastAsia="Calibri" w:hAnsi="Arial Narrow"/>
                <w:sz w:val="20"/>
                <w:szCs w:val="20"/>
              </w:rPr>
              <w:t xml:space="preserve"> </w:t>
            </w:r>
            <w:r w:rsidRPr="00B07FB9">
              <w:rPr>
                <w:rFonts w:ascii="Arial Narrow" w:eastAsia="Calibri" w:hAnsi="Arial Narrow"/>
                <w:sz w:val="20"/>
                <w:szCs w:val="20"/>
              </w:rPr>
              <w:fldChar w:fldCharType="begin">
                <w:ffData>
                  <w:name w:val="Check3"/>
                  <w:enabled/>
                  <w:calcOnExit w:val="0"/>
                  <w:checkBox>
                    <w:sizeAuto/>
                    <w:default w:val="1"/>
                  </w:checkBox>
                </w:ffData>
              </w:fldChar>
            </w:r>
            <w:r w:rsidRPr="00B07FB9">
              <w:rPr>
                <w:rFonts w:ascii="Arial Narrow" w:eastAsia="Calibri" w:hAnsi="Arial Narrow"/>
                <w:sz w:val="20"/>
                <w:szCs w:val="20"/>
              </w:rPr>
              <w:instrText xml:space="preserve"> FORMCHECKBOX </w:instrText>
            </w:r>
            <w:r w:rsidR="00385E8C">
              <w:rPr>
                <w:rFonts w:ascii="Arial Narrow" w:eastAsia="Calibri" w:hAnsi="Arial Narrow"/>
                <w:sz w:val="20"/>
                <w:szCs w:val="20"/>
              </w:rPr>
            </w:r>
            <w:r w:rsidR="00385E8C">
              <w:rPr>
                <w:rFonts w:ascii="Arial Narrow" w:eastAsia="Calibri" w:hAnsi="Arial Narrow"/>
                <w:sz w:val="20"/>
                <w:szCs w:val="20"/>
              </w:rPr>
              <w:fldChar w:fldCharType="separate"/>
            </w:r>
            <w:r w:rsidRPr="00B07FB9">
              <w:rPr>
                <w:rFonts w:ascii="Arial Narrow" w:eastAsia="Calibri" w:hAnsi="Arial Narrow"/>
                <w:sz w:val="20"/>
                <w:szCs w:val="20"/>
              </w:rPr>
              <w:fldChar w:fldCharType="end"/>
            </w:r>
            <w:r w:rsidRPr="00B07FB9">
              <w:rPr>
                <w:rFonts w:ascii="Arial Narrow" w:eastAsia="Calibri" w:hAnsi="Arial Narrow"/>
                <w:sz w:val="20"/>
                <w:szCs w:val="20"/>
              </w:rPr>
              <w:t>Authority Required (telephone/online PBS Authorities system)</w:t>
            </w:r>
          </w:p>
        </w:tc>
      </w:tr>
      <w:tr w:rsidR="003844ED" w:rsidRPr="00B07FB9" w14:paraId="02685F92" w14:textId="77777777" w:rsidTr="00E377A1">
        <w:tblPrEx>
          <w:tblCellMar>
            <w:top w:w="15" w:type="dxa"/>
            <w:left w:w="15" w:type="dxa"/>
            <w:bottom w:w="15" w:type="dxa"/>
            <w:right w:w="15" w:type="dxa"/>
          </w:tblCellMar>
          <w:tblLook w:val="04A0" w:firstRow="1" w:lastRow="0" w:firstColumn="1" w:lastColumn="0" w:noHBand="0" w:noVBand="1"/>
        </w:tblPrEx>
        <w:tc>
          <w:tcPr>
            <w:tcW w:w="542" w:type="pct"/>
            <w:vMerge w:val="restart"/>
            <w:vAlign w:val="center"/>
          </w:tcPr>
          <w:p w14:paraId="7830F804" w14:textId="77777777" w:rsidR="003844ED" w:rsidRPr="00B07FB9" w:rsidRDefault="003844ED" w:rsidP="00012EFA">
            <w:pPr>
              <w:jc w:val="center"/>
              <w:rPr>
                <w:rFonts w:ascii="Arial Narrow" w:hAnsi="Arial Narrow"/>
                <w:sz w:val="20"/>
                <w:szCs w:val="20"/>
              </w:rPr>
            </w:pPr>
          </w:p>
        </w:tc>
        <w:tc>
          <w:tcPr>
            <w:tcW w:w="4458" w:type="pct"/>
            <w:gridSpan w:val="6"/>
            <w:tcBorders>
              <w:bottom w:val="nil"/>
            </w:tcBorders>
            <w:vAlign w:val="center"/>
          </w:tcPr>
          <w:p w14:paraId="09A7B8C7" w14:textId="77777777" w:rsidR="003844ED" w:rsidRPr="00B07FB9" w:rsidRDefault="003844ED" w:rsidP="00012EFA">
            <w:pPr>
              <w:rPr>
                <w:rFonts w:ascii="Arial Narrow" w:hAnsi="Arial Narrow"/>
                <w:bCs/>
                <w:sz w:val="20"/>
                <w:szCs w:val="20"/>
              </w:rPr>
            </w:pPr>
            <w:proofErr w:type="spellStart"/>
            <w:r w:rsidRPr="00B07FB9">
              <w:rPr>
                <w:rFonts w:ascii="Arial Narrow" w:hAnsi="Arial Narrow"/>
                <w:b/>
                <w:bCs/>
                <w:sz w:val="20"/>
                <w:szCs w:val="20"/>
              </w:rPr>
              <w:t>Episodicity</w:t>
            </w:r>
            <w:proofErr w:type="spellEnd"/>
            <w:r w:rsidRPr="00B07FB9">
              <w:rPr>
                <w:rFonts w:ascii="Arial Narrow" w:hAnsi="Arial Narrow"/>
                <w:b/>
                <w:bCs/>
                <w:sz w:val="20"/>
                <w:szCs w:val="20"/>
              </w:rPr>
              <w:t xml:space="preserve">: </w:t>
            </w:r>
            <w:r w:rsidRPr="00B07FB9">
              <w:rPr>
                <w:rFonts w:ascii="Arial Narrow" w:hAnsi="Arial Narrow"/>
                <w:bCs/>
                <w:sz w:val="20"/>
                <w:szCs w:val="20"/>
              </w:rPr>
              <w:t>[blank]</w:t>
            </w:r>
          </w:p>
        </w:tc>
      </w:tr>
      <w:tr w:rsidR="003844ED" w:rsidRPr="00B07FB9" w14:paraId="3FFF9451" w14:textId="77777777" w:rsidTr="00E377A1">
        <w:tblPrEx>
          <w:tblCellMar>
            <w:top w:w="15" w:type="dxa"/>
            <w:left w:w="15" w:type="dxa"/>
            <w:bottom w:w="15" w:type="dxa"/>
            <w:right w:w="15" w:type="dxa"/>
          </w:tblCellMar>
        </w:tblPrEx>
        <w:trPr>
          <w:trHeight w:val="248"/>
        </w:trPr>
        <w:tc>
          <w:tcPr>
            <w:tcW w:w="542" w:type="pct"/>
            <w:vMerge/>
            <w:vAlign w:val="center"/>
          </w:tcPr>
          <w:p w14:paraId="79271D22" w14:textId="77777777" w:rsidR="003844ED" w:rsidRPr="00B07FB9" w:rsidRDefault="003844ED" w:rsidP="00012EFA">
            <w:pPr>
              <w:jc w:val="center"/>
              <w:rPr>
                <w:rFonts w:ascii="Arial Narrow" w:hAnsi="Arial Narrow"/>
                <w:sz w:val="20"/>
                <w:szCs w:val="20"/>
              </w:rPr>
            </w:pPr>
          </w:p>
        </w:tc>
        <w:tc>
          <w:tcPr>
            <w:tcW w:w="4458" w:type="pct"/>
            <w:gridSpan w:val="6"/>
            <w:tcBorders>
              <w:top w:val="nil"/>
              <w:bottom w:val="nil"/>
            </w:tcBorders>
            <w:vAlign w:val="center"/>
          </w:tcPr>
          <w:p w14:paraId="6C958AED"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 xml:space="preserve">Severity: </w:t>
            </w:r>
            <w:r w:rsidRPr="00B07FB9">
              <w:rPr>
                <w:rFonts w:ascii="Arial Narrow" w:hAnsi="Arial Narrow"/>
                <w:bCs/>
                <w:sz w:val="20"/>
                <w:szCs w:val="20"/>
              </w:rPr>
              <w:t>High grade stage III/IV</w:t>
            </w:r>
          </w:p>
        </w:tc>
      </w:tr>
      <w:tr w:rsidR="003844ED" w:rsidRPr="00B07FB9" w14:paraId="5449DC54" w14:textId="77777777" w:rsidTr="00E377A1">
        <w:tblPrEx>
          <w:tblCellMar>
            <w:top w:w="15" w:type="dxa"/>
            <w:left w:w="15" w:type="dxa"/>
            <w:bottom w:w="15" w:type="dxa"/>
            <w:right w:w="15" w:type="dxa"/>
          </w:tblCellMar>
          <w:tblLook w:val="04A0" w:firstRow="1" w:lastRow="0" w:firstColumn="1" w:lastColumn="0" w:noHBand="0" w:noVBand="1"/>
        </w:tblPrEx>
        <w:tc>
          <w:tcPr>
            <w:tcW w:w="542" w:type="pct"/>
            <w:vMerge/>
            <w:vAlign w:val="center"/>
          </w:tcPr>
          <w:p w14:paraId="4AE9C8C2" w14:textId="77777777" w:rsidR="003844ED" w:rsidRPr="00B07FB9" w:rsidRDefault="003844ED" w:rsidP="00012EFA">
            <w:pPr>
              <w:jc w:val="center"/>
              <w:rPr>
                <w:rFonts w:ascii="Arial Narrow" w:hAnsi="Arial Narrow"/>
                <w:sz w:val="20"/>
                <w:szCs w:val="20"/>
              </w:rPr>
            </w:pPr>
          </w:p>
        </w:tc>
        <w:tc>
          <w:tcPr>
            <w:tcW w:w="4458" w:type="pct"/>
            <w:gridSpan w:val="6"/>
            <w:tcBorders>
              <w:top w:val="nil"/>
            </w:tcBorders>
            <w:vAlign w:val="center"/>
          </w:tcPr>
          <w:p w14:paraId="05C79272"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 xml:space="preserve">Condition: </w:t>
            </w:r>
            <w:r w:rsidRPr="00B07FB9">
              <w:rPr>
                <w:rFonts w:ascii="Arial Narrow" w:hAnsi="Arial Narrow"/>
                <w:bCs/>
                <w:iCs/>
                <w:sz w:val="20"/>
                <w:szCs w:val="20"/>
              </w:rPr>
              <w:t>epithelial</w:t>
            </w:r>
            <w:r w:rsidRPr="00B07FB9">
              <w:rPr>
                <w:rFonts w:ascii="Arial Narrow" w:hAnsi="Arial Narrow"/>
                <w:bCs/>
                <w:sz w:val="20"/>
                <w:szCs w:val="20"/>
              </w:rPr>
              <w:t xml:space="preserve"> ovarian, fallopian tube, or primary peritoneal cancer</w:t>
            </w:r>
          </w:p>
        </w:tc>
      </w:tr>
      <w:tr w:rsidR="003844ED" w:rsidRPr="00B07FB9" w14:paraId="49DBF39A"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hideMark/>
          </w:tcPr>
          <w:p w14:paraId="30967635"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26510</w:t>
            </w:r>
          </w:p>
        </w:tc>
        <w:tc>
          <w:tcPr>
            <w:tcW w:w="4458" w:type="pct"/>
            <w:gridSpan w:val="6"/>
            <w:vAlign w:val="center"/>
            <w:hideMark/>
          </w:tcPr>
          <w:p w14:paraId="1741941E" w14:textId="77777777" w:rsidR="003844ED" w:rsidRPr="00B07FB9" w:rsidRDefault="003844ED" w:rsidP="00012EFA">
            <w:pPr>
              <w:rPr>
                <w:rFonts w:ascii="Arial Narrow" w:hAnsi="Arial Narrow"/>
                <w:sz w:val="20"/>
                <w:szCs w:val="20"/>
              </w:rPr>
            </w:pPr>
            <w:r w:rsidRPr="00B07FB9">
              <w:rPr>
                <w:rFonts w:ascii="Arial Narrow" w:hAnsi="Arial Narrow"/>
                <w:b/>
                <w:bCs/>
                <w:sz w:val="20"/>
                <w:szCs w:val="20"/>
              </w:rPr>
              <w:t>Indication:</w:t>
            </w:r>
            <w:r w:rsidRPr="00B07FB9">
              <w:rPr>
                <w:rFonts w:ascii="Arial Narrow" w:hAnsi="Arial Narrow"/>
                <w:sz w:val="20"/>
                <w:szCs w:val="20"/>
              </w:rPr>
              <w:t xml:space="preserve"> High grade stage III/IV </w:t>
            </w:r>
            <w:r w:rsidRPr="00B07FB9">
              <w:rPr>
                <w:rFonts w:ascii="Arial Narrow" w:hAnsi="Arial Narrow"/>
                <w:iCs/>
                <w:sz w:val="20"/>
                <w:szCs w:val="20"/>
              </w:rPr>
              <w:t>epithelial</w:t>
            </w:r>
            <w:r w:rsidRPr="00B07FB9">
              <w:rPr>
                <w:rFonts w:ascii="Arial Narrow" w:hAnsi="Arial Narrow"/>
                <w:sz w:val="20"/>
                <w:szCs w:val="20"/>
              </w:rPr>
              <w:t xml:space="preserve"> ovarian, fallopian tube, or primary peritoneal cancer</w:t>
            </w:r>
          </w:p>
        </w:tc>
      </w:tr>
      <w:tr w:rsidR="003844ED" w:rsidRPr="00B07FB9" w14:paraId="370C73F9"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hideMark/>
          </w:tcPr>
          <w:p w14:paraId="161D3756" w14:textId="77777777" w:rsidR="003844ED" w:rsidRPr="00B07FB9" w:rsidRDefault="003844ED" w:rsidP="00012EFA">
            <w:pPr>
              <w:jc w:val="center"/>
              <w:rPr>
                <w:rFonts w:ascii="Arial Narrow" w:hAnsi="Arial Narrow"/>
                <w:sz w:val="20"/>
                <w:szCs w:val="20"/>
              </w:rPr>
            </w:pPr>
          </w:p>
        </w:tc>
        <w:tc>
          <w:tcPr>
            <w:tcW w:w="4458" w:type="pct"/>
            <w:gridSpan w:val="6"/>
            <w:vAlign w:val="center"/>
            <w:hideMark/>
          </w:tcPr>
          <w:p w14:paraId="79E0904B" w14:textId="4FAB9DA7" w:rsidR="003844ED" w:rsidRPr="00B07FB9" w:rsidRDefault="003844ED" w:rsidP="00012EFA">
            <w:pPr>
              <w:rPr>
                <w:rFonts w:ascii="Arial Narrow" w:hAnsi="Arial Narrow"/>
                <w:sz w:val="20"/>
                <w:szCs w:val="20"/>
              </w:rPr>
            </w:pPr>
            <w:r w:rsidRPr="00B07FB9">
              <w:rPr>
                <w:rFonts w:ascii="Arial Narrow" w:hAnsi="Arial Narrow"/>
                <w:b/>
                <w:bCs/>
                <w:sz w:val="20"/>
                <w:szCs w:val="20"/>
              </w:rPr>
              <w:t>Treatment Phase:</w:t>
            </w:r>
            <w:r w:rsidRPr="00B07FB9">
              <w:rPr>
                <w:rFonts w:ascii="Arial Narrow" w:hAnsi="Arial Narrow"/>
                <w:sz w:val="20"/>
                <w:szCs w:val="20"/>
              </w:rPr>
              <w:t xml:space="preserve"> Initial treatment</w:t>
            </w:r>
            <w:r w:rsidR="00EC5249" w:rsidRPr="00B07FB9">
              <w:rPr>
                <w:rFonts w:ascii="Arial Narrow" w:hAnsi="Arial Narrow"/>
                <w:sz w:val="20"/>
                <w:szCs w:val="20"/>
              </w:rPr>
              <w:t xml:space="preserve"> – first line treatment</w:t>
            </w:r>
          </w:p>
        </w:tc>
      </w:tr>
      <w:tr w:rsidR="00E377A1" w:rsidRPr="00B07FB9" w14:paraId="179C9BE8"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74572AE8" w14:textId="47F6658F" w:rsidR="00E377A1" w:rsidRPr="00B07FB9" w:rsidRDefault="00E377A1" w:rsidP="00012EFA">
            <w:pPr>
              <w:jc w:val="center"/>
              <w:rPr>
                <w:rFonts w:ascii="Arial Narrow" w:hAnsi="Arial Narrow"/>
                <w:sz w:val="20"/>
                <w:szCs w:val="20"/>
              </w:rPr>
            </w:pPr>
            <w:r w:rsidRPr="00B07FB9">
              <w:rPr>
                <w:rFonts w:ascii="Arial Narrow" w:hAnsi="Arial Narrow"/>
                <w:sz w:val="20"/>
                <w:szCs w:val="20"/>
              </w:rPr>
              <w:t>26522</w:t>
            </w:r>
          </w:p>
        </w:tc>
        <w:tc>
          <w:tcPr>
            <w:tcW w:w="4458" w:type="pct"/>
            <w:gridSpan w:val="6"/>
            <w:vAlign w:val="center"/>
          </w:tcPr>
          <w:p w14:paraId="4F15EFC8" w14:textId="23227446" w:rsidR="00E377A1" w:rsidRPr="00B07FB9" w:rsidRDefault="00E377A1" w:rsidP="00012EFA">
            <w:pPr>
              <w:rPr>
                <w:rFonts w:ascii="Arial Narrow" w:hAnsi="Arial Narrow"/>
                <w:b/>
                <w:bCs/>
                <w:sz w:val="20"/>
                <w:szCs w:val="20"/>
              </w:rPr>
            </w:pPr>
            <w:r w:rsidRPr="00B07FB9">
              <w:rPr>
                <w:rFonts w:ascii="Arial Narrow" w:hAnsi="Arial Narrow"/>
                <w:b/>
                <w:bCs/>
                <w:sz w:val="20"/>
                <w:szCs w:val="20"/>
              </w:rPr>
              <w:t>Clinical criteria:</w:t>
            </w:r>
          </w:p>
        </w:tc>
      </w:tr>
      <w:tr w:rsidR="00E377A1" w:rsidRPr="00B07FB9" w14:paraId="362932E8"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39616572" w14:textId="26B8A7CA" w:rsidR="00E377A1" w:rsidRPr="00B07FB9" w:rsidRDefault="00E377A1" w:rsidP="00012EFA">
            <w:pPr>
              <w:jc w:val="center"/>
              <w:rPr>
                <w:rFonts w:ascii="Arial Narrow" w:hAnsi="Arial Narrow"/>
                <w:sz w:val="20"/>
                <w:szCs w:val="20"/>
              </w:rPr>
            </w:pPr>
            <w:r w:rsidRPr="00B07FB9">
              <w:rPr>
                <w:rFonts w:ascii="Arial Narrow" w:hAnsi="Arial Narrow"/>
                <w:sz w:val="20"/>
                <w:szCs w:val="20"/>
              </w:rPr>
              <w:t>26521</w:t>
            </w:r>
          </w:p>
        </w:tc>
        <w:tc>
          <w:tcPr>
            <w:tcW w:w="4458" w:type="pct"/>
            <w:gridSpan w:val="6"/>
            <w:vAlign w:val="center"/>
          </w:tcPr>
          <w:p w14:paraId="687D9E27" w14:textId="2A30E068" w:rsidR="00E377A1" w:rsidRPr="00B07FB9" w:rsidRDefault="00E377A1" w:rsidP="00012EFA">
            <w:pPr>
              <w:rPr>
                <w:rFonts w:ascii="Arial Narrow" w:hAnsi="Arial Narrow"/>
                <w:sz w:val="20"/>
                <w:szCs w:val="20"/>
              </w:rPr>
            </w:pPr>
            <w:r w:rsidRPr="00B07FB9">
              <w:rPr>
                <w:rFonts w:ascii="Arial Narrow" w:hAnsi="Arial Narrow"/>
                <w:sz w:val="20"/>
                <w:szCs w:val="20"/>
              </w:rPr>
              <w:t>The condition must be associated with a class 4 or 5 BRCA1 or BRCA2 gene mutation</w:t>
            </w:r>
          </w:p>
        </w:tc>
      </w:tr>
      <w:tr w:rsidR="003844ED" w:rsidRPr="00B07FB9" w14:paraId="3EA2BBF2"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hideMark/>
          </w:tcPr>
          <w:p w14:paraId="73C9F27E"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25620</w:t>
            </w:r>
          </w:p>
        </w:tc>
        <w:tc>
          <w:tcPr>
            <w:tcW w:w="4458" w:type="pct"/>
            <w:gridSpan w:val="6"/>
            <w:vAlign w:val="center"/>
            <w:hideMark/>
          </w:tcPr>
          <w:p w14:paraId="2568C037" w14:textId="77777777" w:rsidR="003844ED" w:rsidRPr="00B07FB9" w:rsidRDefault="003844ED" w:rsidP="00012EFA">
            <w:pPr>
              <w:rPr>
                <w:rFonts w:ascii="Arial Narrow" w:hAnsi="Arial Narrow"/>
                <w:sz w:val="20"/>
                <w:szCs w:val="20"/>
              </w:rPr>
            </w:pPr>
            <w:r w:rsidRPr="00B07FB9">
              <w:rPr>
                <w:rFonts w:ascii="Arial Narrow" w:hAnsi="Arial Narrow"/>
                <w:b/>
                <w:bCs/>
                <w:sz w:val="20"/>
                <w:szCs w:val="20"/>
              </w:rPr>
              <w:t xml:space="preserve">Clinical criteria: </w:t>
            </w:r>
          </w:p>
        </w:tc>
      </w:tr>
      <w:tr w:rsidR="003844ED" w:rsidRPr="00B07FB9" w14:paraId="3728F746"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04111513"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26519</w:t>
            </w:r>
          </w:p>
        </w:tc>
        <w:tc>
          <w:tcPr>
            <w:tcW w:w="4458" w:type="pct"/>
            <w:gridSpan w:val="6"/>
            <w:vAlign w:val="center"/>
            <w:hideMark/>
          </w:tcPr>
          <w:p w14:paraId="1E622B6F" w14:textId="0A1201FC" w:rsidR="003844ED" w:rsidRPr="00B07FB9" w:rsidRDefault="003844ED" w:rsidP="00012EFA">
            <w:pPr>
              <w:spacing w:before="20" w:after="20"/>
              <w:rPr>
                <w:rFonts w:ascii="Arial Narrow" w:hAnsi="Arial Narrow"/>
                <w:sz w:val="20"/>
                <w:szCs w:val="20"/>
              </w:rPr>
            </w:pPr>
            <w:r w:rsidRPr="00B07FB9">
              <w:rPr>
                <w:rFonts w:ascii="Arial Narrow" w:hAnsi="Arial Narrow"/>
                <w:sz w:val="20"/>
                <w:szCs w:val="20"/>
              </w:rPr>
              <w:t>Patient must be in partial or complete response to the immediately preceding platinum-based chemotherapy regimen prior to commencing treatment with this drug for this condition</w:t>
            </w:r>
            <w:r w:rsidR="001A180F" w:rsidRPr="00B07FB9">
              <w:rPr>
                <w:rFonts w:ascii="Arial Narrow" w:hAnsi="Arial Narrow"/>
                <w:sz w:val="20"/>
                <w:szCs w:val="20"/>
              </w:rPr>
              <w:t>.</w:t>
            </w:r>
          </w:p>
        </w:tc>
      </w:tr>
      <w:tr w:rsidR="003844ED" w:rsidRPr="00B07FB9" w14:paraId="3707824C"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39A309E1" w14:textId="77777777" w:rsidR="003844ED" w:rsidRPr="00B07FB9" w:rsidRDefault="003844ED" w:rsidP="00012EFA">
            <w:pPr>
              <w:jc w:val="center"/>
              <w:rPr>
                <w:rFonts w:ascii="Arial Narrow" w:hAnsi="Arial Narrow"/>
                <w:sz w:val="20"/>
                <w:szCs w:val="20"/>
              </w:rPr>
            </w:pPr>
          </w:p>
        </w:tc>
        <w:tc>
          <w:tcPr>
            <w:tcW w:w="4458" w:type="pct"/>
            <w:gridSpan w:val="6"/>
            <w:vAlign w:val="center"/>
            <w:hideMark/>
          </w:tcPr>
          <w:p w14:paraId="3EBEC139" w14:textId="77777777" w:rsidR="003844ED" w:rsidRPr="00B07FB9" w:rsidRDefault="003844ED" w:rsidP="00012EFA">
            <w:pPr>
              <w:rPr>
                <w:rFonts w:ascii="Arial Narrow" w:hAnsi="Arial Narrow"/>
                <w:sz w:val="20"/>
                <w:szCs w:val="20"/>
              </w:rPr>
            </w:pPr>
            <w:r w:rsidRPr="00B07FB9">
              <w:rPr>
                <w:rFonts w:ascii="Arial Narrow" w:hAnsi="Arial Narrow"/>
                <w:b/>
                <w:bCs/>
                <w:sz w:val="20"/>
                <w:szCs w:val="20"/>
              </w:rPr>
              <w:t>AND</w:t>
            </w:r>
          </w:p>
        </w:tc>
      </w:tr>
      <w:tr w:rsidR="003844ED" w:rsidRPr="00B07FB9" w14:paraId="3DE7455D"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361E683D"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7890</w:t>
            </w:r>
          </w:p>
        </w:tc>
        <w:tc>
          <w:tcPr>
            <w:tcW w:w="4458" w:type="pct"/>
            <w:gridSpan w:val="6"/>
            <w:vAlign w:val="center"/>
          </w:tcPr>
          <w:p w14:paraId="4791C2B4"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Clinical criteria:</w:t>
            </w:r>
          </w:p>
        </w:tc>
      </w:tr>
      <w:tr w:rsidR="003844ED" w:rsidRPr="00B07FB9" w14:paraId="515BF076"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6C5CCFAF"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7889</w:t>
            </w:r>
          </w:p>
        </w:tc>
        <w:tc>
          <w:tcPr>
            <w:tcW w:w="4458" w:type="pct"/>
            <w:gridSpan w:val="6"/>
            <w:vAlign w:val="center"/>
          </w:tcPr>
          <w:p w14:paraId="3F9850AE" w14:textId="77777777" w:rsidR="003844ED" w:rsidRPr="00B07FB9" w:rsidRDefault="003844ED" w:rsidP="00012EFA">
            <w:pPr>
              <w:spacing w:before="20" w:after="20"/>
              <w:rPr>
                <w:rFonts w:ascii="Arial Narrow" w:hAnsi="Arial Narrow"/>
                <w:sz w:val="20"/>
                <w:szCs w:val="20"/>
              </w:rPr>
            </w:pPr>
            <w:r w:rsidRPr="00B07FB9">
              <w:rPr>
                <w:rFonts w:ascii="Arial Narrow" w:hAnsi="Arial Narrow"/>
                <w:sz w:val="20"/>
                <w:szCs w:val="20"/>
              </w:rPr>
              <w:t xml:space="preserve">The treatment must be the sole PBS-subsidised therapy for this condition </w:t>
            </w:r>
          </w:p>
        </w:tc>
      </w:tr>
      <w:tr w:rsidR="003844ED" w:rsidRPr="00B07FB9" w14:paraId="4E4DB2CA"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4F24C31F" w14:textId="77777777" w:rsidR="003844ED" w:rsidRPr="00B07FB9" w:rsidRDefault="003844ED" w:rsidP="00012EFA">
            <w:pPr>
              <w:jc w:val="center"/>
              <w:rPr>
                <w:rFonts w:ascii="Arial Narrow" w:hAnsi="Arial Narrow"/>
                <w:sz w:val="20"/>
                <w:szCs w:val="20"/>
              </w:rPr>
            </w:pPr>
          </w:p>
        </w:tc>
        <w:tc>
          <w:tcPr>
            <w:tcW w:w="4458" w:type="pct"/>
            <w:gridSpan w:val="6"/>
            <w:vAlign w:val="center"/>
          </w:tcPr>
          <w:p w14:paraId="505E5773" w14:textId="77777777" w:rsidR="003844ED" w:rsidRPr="00B07FB9" w:rsidRDefault="003844ED" w:rsidP="00012EFA">
            <w:pPr>
              <w:spacing w:before="20" w:after="20"/>
              <w:rPr>
                <w:rFonts w:ascii="Arial Narrow" w:hAnsi="Arial Narrow"/>
                <w:sz w:val="20"/>
                <w:szCs w:val="20"/>
              </w:rPr>
            </w:pPr>
            <w:r w:rsidRPr="00B07FB9">
              <w:rPr>
                <w:rFonts w:ascii="Arial Narrow" w:hAnsi="Arial Narrow"/>
                <w:b/>
                <w:bCs/>
                <w:sz w:val="20"/>
                <w:szCs w:val="20"/>
              </w:rPr>
              <w:t>AND</w:t>
            </w:r>
          </w:p>
        </w:tc>
      </w:tr>
      <w:tr w:rsidR="003844ED" w:rsidRPr="00B07FB9" w14:paraId="698C3490"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15D0CB53"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14393</w:t>
            </w:r>
          </w:p>
        </w:tc>
        <w:tc>
          <w:tcPr>
            <w:tcW w:w="4458" w:type="pct"/>
            <w:gridSpan w:val="6"/>
            <w:vAlign w:val="center"/>
          </w:tcPr>
          <w:p w14:paraId="0614DDC3" w14:textId="77777777" w:rsidR="003844ED" w:rsidRPr="00B07FB9" w:rsidRDefault="003844ED" w:rsidP="00012EFA">
            <w:pPr>
              <w:spacing w:before="20" w:after="20"/>
              <w:rPr>
                <w:rFonts w:ascii="Arial Narrow" w:hAnsi="Arial Narrow"/>
                <w:b/>
                <w:bCs/>
                <w:sz w:val="20"/>
                <w:szCs w:val="20"/>
              </w:rPr>
            </w:pPr>
            <w:r w:rsidRPr="00B07FB9">
              <w:rPr>
                <w:rFonts w:ascii="Arial Narrow" w:hAnsi="Arial Narrow"/>
                <w:b/>
                <w:bCs/>
                <w:sz w:val="20"/>
                <w:szCs w:val="20"/>
              </w:rPr>
              <w:t>Clinical criteria:</w:t>
            </w:r>
          </w:p>
        </w:tc>
      </w:tr>
      <w:tr w:rsidR="003844ED" w:rsidRPr="00B07FB9" w14:paraId="0C596C28"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42C97764"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14392</w:t>
            </w:r>
          </w:p>
        </w:tc>
        <w:tc>
          <w:tcPr>
            <w:tcW w:w="4458" w:type="pct"/>
            <w:gridSpan w:val="6"/>
            <w:vAlign w:val="center"/>
          </w:tcPr>
          <w:p w14:paraId="45F61391" w14:textId="77777777" w:rsidR="003844ED" w:rsidRPr="00B07FB9" w:rsidRDefault="003844ED" w:rsidP="00012EFA">
            <w:pPr>
              <w:spacing w:before="20" w:after="20"/>
              <w:rPr>
                <w:rFonts w:ascii="Arial Narrow" w:hAnsi="Arial Narrow"/>
                <w:sz w:val="20"/>
                <w:szCs w:val="20"/>
              </w:rPr>
            </w:pPr>
            <w:r w:rsidRPr="00B07FB9">
              <w:rPr>
                <w:rFonts w:ascii="Arial Narrow" w:hAnsi="Arial Narrow"/>
                <w:sz w:val="20"/>
                <w:szCs w:val="20"/>
              </w:rPr>
              <w:t>Patient must not have previously received PBS-subsidised treatment with this drug for this condition.</w:t>
            </w:r>
          </w:p>
        </w:tc>
      </w:tr>
      <w:tr w:rsidR="003844ED" w:rsidRPr="00B07FB9" w14:paraId="561B8B9C"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5D970323" w14:textId="77777777" w:rsidR="003844ED" w:rsidRPr="00B07FB9" w:rsidRDefault="003844ED" w:rsidP="00012EFA">
            <w:pPr>
              <w:jc w:val="center"/>
              <w:rPr>
                <w:rFonts w:ascii="Arial Narrow" w:hAnsi="Arial Narrow"/>
                <w:sz w:val="20"/>
                <w:szCs w:val="20"/>
              </w:rPr>
            </w:pPr>
          </w:p>
        </w:tc>
        <w:tc>
          <w:tcPr>
            <w:tcW w:w="4458" w:type="pct"/>
            <w:gridSpan w:val="6"/>
            <w:vAlign w:val="center"/>
          </w:tcPr>
          <w:p w14:paraId="05602FEF" w14:textId="77777777" w:rsidR="003844ED" w:rsidRPr="00B07FB9" w:rsidRDefault="003844ED" w:rsidP="00012EFA">
            <w:pPr>
              <w:spacing w:before="20" w:after="20"/>
              <w:rPr>
                <w:rFonts w:ascii="Arial Narrow" w:hAnsi="Arial Narrow"/>
                <w:b/>
                <w:bCs/>
                <w:sz w:val="20"/>
                <w:szCs w:val="20"/>
              </w:rPr>
            </w:pPr>
            <w:r w:rsidRPr="00B07FB9">
              <w:rPr>
                <w:rFonts w:ascii="Arial Narrow" w:hAnsi="Arial Narrow"/>
                <w:b/>
                <w:bCs/>
                <w:sz w:val="20"/>
                <w:szCs w:val="20"/>
              </w:rPr>
              <w:t>Treatment criteria:</w:t>
            </w:r>
          </w:p>
        </w:tc>
      </w:tr>
      <w:tr w:rsidR="003844ED" w:rsidRPr="00B07FB9" w14:paraId="60E1788C"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79C7CAD1"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New TC1</w:t>
            </w:r>
          </w:p>
        </w:tc>
        <w:tc>
          <w:tcPr>
            <w:tcW w:w="4458" w:type="pct"/>
            <w:gridSpan w:val="6"/>
            <w:vAlign w:val="center"/>
          </w:tcPr>
          <w:p w14:paraId="00BCAA64" w14:textId="77777777" w:rsidR="003844ED" w:rsidRPr="00B07FB9" w:rsidRDefault="003844ED" w:rsidP="00012EFA">
            <w:pPr>
              <w:spacing w:before="20" w:after="20"/>
              <w:rPr>
                <w:rFonts w:ascii="Arial Narrow" w:hAnsi="Arial Narrow"/>
                <w:sz w:val="20"/>
                <w:szCs w:val="20"/>
              </w:rPr>
            </w:pPr>
            <w:r w:rsidRPr="00B07FB9">
              <w:rPr>
                <w:rFonts w:ascii="Arial Narrow" w:hAnsi="Arial Narrow"/>
                <w:sz w:val="20"/>
                <w:szCs w:val="20"/>
              </w:rPr>
              <w:t>Patient must be undergoing treatment with this drug class for the first time; or</w:t>
            </w:r>
          </w:p>
        </w:tc>
      </w:tr>
      <w:tr w:rsidR="003844ED" w:rsidRPr="00B07FB9" w14:paraId="7AD36315"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44DA71DF"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New TC2</w:t>
            </w:r>
          </w:p>
        </w:tc>
        <w:tc>
          <w:tcPr>
            <w:tcW w:w="4458" w:type="pct"/>
            <w:gridSpan w:val="6"/>
            <w:vAlign w:val="center"/>
          </w:tcPr>
          <w:p w14:paraId="0B4F433E" w14:textId="77777777" w:rsidR="003844ED" w:rsidRPr="00B07FB9" w:rsidRDefault="003844ED" w:rsidP="00012EFA">
            <w:pPr>
              <w:spacing w:before="20" w:after="20"/>
              <w:rPr>
                <w:rFonts w:ascii="Arial Narrow" w:hAnsi="Arial Narrow"/>
                <w:sz w:val="20"/>
                <w:szCs w:val="20"/>
              </w:rPr>
            </w:pPr>
            <w:r w:rsidRPr="00B07FB9">
              <w:rPr>
                <w:rFonts w:ascii="Arial Narrow" w:hAnsi="Arial Narrow"/>
                <w:sz w:val="20"/>
                <w:szCs w:val="20"/>
              </w:rPr>
              <w:t>Patient must be undergoing treatment with this drug class on a subsequent occasion, but only because there was an intolerance/contraindication to another drug in the same class that required permanent treatment withdrawal</w:t>
            </w:r>
          </w:p>
        </w:tc>
      </w:tr>
      <w:tr w:rsidR="003844ED" w:rsidRPr="00B07FB9" w14:paraId="48BAB0DA"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1A8D1A5C"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20142</w:t>
            </w:r>
          </w:p>
        </w:tc>
        <w:tc>
          <w:tcPr>
            <w:tcW w:w="4458" w:type="pct"/>
            <w:gridSpan w:val="6"/>
            <w:vAlign w:val="center"/>
          </w:tcPr>
          <w:p w14:paraId="32390D78"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 xml:space="preserve">Prescribing Instructions: </w:t>
            </w:r>
          </w:p>
          <w:p w14:paraId="51C68A76" w14:textId="77777777" w:rsidR="003844ED" w:rsidRPr="00B07FB9" w:rsidRDefault="003844ED" w:rsidP="00012EFA">
            <w:pPr>
              <w:rPr>
                <w:rFonts w:ascii="Arial Narrow" w:hAnsi="Arial Narrow"/>
                <w:b/>
                <w:bCs/>
                <w:sz w:val="20"/>
                <w:szCs w:val="20"/>
              </w:rPr>
            </w:pPr>
            <w:r w:rsidRPr="00B07FB9">
              <w:rPr>
                <w:rFonts w:ascii="Arial Narrow" w:hAnsi="Arial Narrow"/>
                <w:sz w:val="20"/>
                <w:szCs w:val="20"/>
              </w:rPr>
              <w:t xml:space="preserve">A response (complete or partial) to the platinum-based chemotherapy regimen is to be assessed using either Gynaecologic Cancer </w:t>
            </w:r>
            <w:proofErr w:type="spellStart"/>
            <w:r w:rsidRPr="00B07FB9">
              <w:rPr>
                <w:rFonts w:ascii="Arial Narrow" w:hAnsi="Arial Narrow"/>
                <w:sz w:val="20"/>
                <w:szCs w:val="20"/>
              </w:rPr>
              <w:t>InterGroup</w:t>
            </w:r>
            <w:proofErr w:type="spellEnd"/>
            <w:r w:rsidRPr="00B07FB9">
              <w:rPr>
                <w:rFonts w:ascii="Arial Narrow" w:hAnsi="Arial Narrow"/>
                <w:sz w:val="20"/>
                <w:szCs w:val="20"/>
              </w:rPr>
              <w:t xml:space="preserve"> (GCIG) or Response Evaluation Criteria in Solid Tumours (RECIST) guidelines.</w:t>
            </w:r>
          </w:p>
        </w:tc>
      </w:tr>
      <w:tr w:rsidR="00E377A1" w:rsidRPr="00B07FB9" w14:paraId="0510120C"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58DEF621" w14:textId="6F568E68" w:rsidR="00E377A1" w:rsidRPr="00B07FB9" w:rsidRDefault="00E377A1" w:rsidP="00012EFA">
            <w:pPr>
              <w:jc w:val="center"/>
              <w:rPr>
                <w:rFonts w:ascii="Arial Narrow" w:hAnsi="Arial Narrow"/>
                <w:sz w:val="20"/>
                <w:szCs w:val="20"/>
              </w:rPr>
            </w:pPr>
            <w:r w:rsidRPr="00B07FB9">
              <w:rPr>
                <w:rFonts w:ascii="Arial Narrow" w:hAnsi="Arial Narrow"/>
                <w:sz w:val="20"/>
                <w:szCs w:val="20"/>
              </w:rPr>
              <w:t>26232</w:t>
            </w:r>
          </w:p>
        </w:tc>
        <w:tc>
          <w:tcPr>
            <w:tcW w:w="4458" w:type="pct"/>
            <w:gridSpan w:val="6"/>
            <w:vAlign w:val="center"/>
          </w:tcPr>
          <w:p w14:paraId="211C7218" w14:textId="77777777" w:rsidR="00E377A1" w:rsidRPr="00B07FB9" w:rsidRDefault="00E377A1" w:rsidP="00E377A1">
            <w:pPr>
              <w:rPr>
                <w:rFonts w:ascii="Arial Narrow" w:hAnsi="Arial Narrow"/>
                <w:b/>
                <w:bCs/>
                <w:sz w:val="20"/>
                <w:szCs w:val="20"/>
              </w:rPr>
            </w:pPr>
            <w:r w:rsidRPr="00B07FB9">
              <w:rPr>
                <w:rFonts w:ascii="Arial Narrow" w:hAnsi="Arial Narrow"/>
                <w:b/>
                <w:bCs/>
                <w:sz w:val="20"/>
                <w:szCs w:val="20"/>
              </w:rPr>
              <w:t xml:space="preserve">Prescribing Instructions: </w:t>
            </w:r>
          </w:p>
          <w:p w14:paraId="7C9541F3" w14:textId="55E4B864" w:rsidR="00E377A1" w:rsidRPr="00B07FB9" w:rsidRDefault="00E377A1" w:rsidP="00012EFA">
            <w:pPr>
              <w:rPr>
                <w:rFonts w:ascii="Arial Narrow" w:hAnsi="Arial Narrow"/>
                <w:sz w:val="20"/>
                <w:szCs w:val="20"/>
              </w:rPr>
            </w:pPr>
            <w:r w:rsidRPr="00B07FB9">
              <w:rPr>
                <w:rFonts w:ascii="Arial Narrow" w:hAnsi="Arial Narrow"/>
                <w:sz w:val="20"/>
                <w:szCs w:val="20"/>
              </w:rPr>
              <w:t>Evidence of a BRCA1 or BRCA2 gene mutation must be derived through germline or somatic mutation testing.</w:t>
            </w:r>
          </w:p>
        </w:tc>
      </w:tr>
      <w:tr w:rsidR="003844ED" w:rsidRPr="00B07FB9" w14:paraId="640D7BDF" w14:textId="77777777" w:rsidTr="00E377A1">
        <w:tblPrEx>
          <w:tblCellMar>
            <w:top w:w="15" w:type="dxa"/>
            <w:left w:w="15" w:type="dxa"/>
            <w:bottom w:w="15" w:type="dxa"/>
            <w:right w:w="15" w:type="dxa"/>
          </w:tblCellMar>
          <w:tblLook w:val="04A0" w:firstRow="1" w:lastRow="0" w:firstColumn="1" w:lastColumn="0" w:noHBand="0" w:noVBand="1"/>
        </w:tblPrEx>
        <w:trPr>
          <w:cantSplit/>
        </w:trPr>
        <w:tc>
          <w:tcPr>
            <w:tcW w:w="542" w:type="pct"/>
            <w:vAlign w:val="center"/>
          </w:tcPr>
          <w:p w14:paraId="3D1F68D2"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25796</w:t>
            </w:r>
          </w:p>
        </w:tc>
        <w:tc>
          <w:tcPr>
            <w:tcW w:w="4458" w:type="pct"/>
            <w:gridSpan w:val="6"/>
            <w:vAlign w:val="center"/>
          </w:tcPr>
          <w:p w14:paraId="79052105"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 xml:space="preserve">Administrative Advice: </w:t>
            </w:r>
          </w:p>
          <w:p w14:paraId="54D0A9C3" w14:textId="77777777" w:rsidR="003844ED" w:rsidRPr="00B07FB9" w:rsidRDefault="003844ED" w:rsidP="00012EFA">
            <w:pPr>
              <w:rPr>
                <w:rFonts w:ascii="Arial Narrow" w:hAnsi="Arial Narrow"/>
                <w:b/>
                <w:bCs/>
                <w:i/>
                <w:iCs/>
                <w:sz w:val="20"/>
                <w:szCs w:val="20"/>
              </w:rPr>
            </w:pPr>
            <w:r w:rsidRPr="00B07FB9">
              <w:rPr>
                <w:rFonts w:ascii="Arial Narrow" w:hAnsi="Arial Narrow"/>
                <w:bCs/>
                <w:sz w:val="20"/>
                <w:szCs w:val="20"/>
              </w:rPr>
              <w:t xml:space="preserve">Applications for authorisation under this restriction may be made in real time using the Online PBS Authorities system (see www.servicesaustralia.gov.au/HPOS) or by telephone by contacting Services Australia on 1800 888 333 </w:t>
            </w:r>
          </w:p>
        </w:tc>
      </w:tr>
      <w:tr w:rsidR="003844ED" w:rsidRPr="00B07FB9" w14:paraId="4A6C0249"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745618A3"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New AA1</w:t>
            </w:r>
          </w:p>
        </w:tc>
        <w:tc>
          <w:tcPr>
            <w:tcW w:w="4458" w:type="pct"/>
            <w:gridSpan w:val="6"/>
            <w:vAlign w:val="center"/>
          </w:tcPr>
          <w:p w14:paraId="25FC245F"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 xml:space="preserve">Administrative Advice: </w:t>
            </w:r>
          </w:p>
          <w:p w14:paraId="550C0D6D" w14:textId="77777777" w:rsidR="003844ED" w:rsidRPr="00B07FB9" w:rsidRDefault="003844ED" w:rsidP="00012EFA">
            <w:pPr>
              <w:rPr>
                <w:rFonts w:ascii="Arial Narrow" w:hAnsi="Arial Narrow"/>
                <w:b/>
                <w:bCs/>
                <w:sz w:val="20"/>
                <w:szCs w:val="20"/>
              </w:rPr>
            </w:pPr>
            <w:r w:rsidRPr="00B07FB9">
              <w:rPr>
                <w:rFonts w:ascii="Arial Narrow" w:hAnsi="Arial Narrow"/>
                <w:bCs/>
                <w:sz w:val="20"/>
                <w:szCs w:val="20"/>
              </w:rPr>
              <w:t xml:space="preserve">This drug belongs to the poly ADP ribose polymerase (PARP) inhibitor drug class. The restriction refers to the following PARP inhibitors: </w:t>
            </w:r>
            <w:proofErr w:type="spellStart"/>
            <w:r w:rsidRPr="00B07FB9">
              <w:rPr>
                <w:rFonts w:ascii="Arial Narrow" w:hAnsi="Arial Narrow"/>
                <w:bCs/>
                <w:sz w:val="20"/>
                <w:szCs w:val="20"/>
              </w:rPr>
              <w:t>olaparib</w:t>
            </w:r>
            <w:proofErr w:type="spellEnd"/>
            <w:r w:rsidRPr="00B07FB9">
              <w:rPr>
                <w:rFonts w:ascii="Arial Narrow" w:hAnsi="Arial Narrow"/>
                <w:bCs/>
                <w:sz w:val="20"/>
                <w:szCs w:val="20"/>
              </w:rPr>
              <w:t>, niraparib</w:t>
            </w:r>
          </w:p>
        </w:tc>
      </w:tr>
      <w:tr w:rsidR="003844ED" w:rsidRPr="00B07FB9" w14:paraId="7E5EB078" w14:textId="77777777" w:rsidTr="00E377A1">
        <w:tblPrEx>
          <w:tblCellMar>
            <w:top w:w="15" w:type="dxa"/>
            <w:left w:w="15" w:type="dxa"/>
            <w:bottom w:w="15" w:type="dxa"/>
            <w:right w:w="15" w:type="dxa"/>
          </w:tblCellMar>
          <w:tblLook w:val="04A0" w:firstRow="1" w:lastRow="0" w:firstColumn="1" w:lastColumn="0" w:noHBand="0" w:noVBand="1"/>
        </w:tblPrEx>
        <w:tc>
          <w:tcPr>
            <w:tcW w:w="542" w:type="pct"/>
            <w:vAlign w:val="center"/>
          </w:tcPr>
          <w:p w14:paraId="01B46071"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7608</w:t>
            </w:r>
          </w:p>
        </w:tc>
        <w:tc>
          <w:tcPr>
            <w:tcW w:w="4458" w:type="pct"/>
            <w:gridSpan w:val="6"/>
            <w:vAlign w:val="center"/>
          </w:tcPr>
          <w:p w14:paraId="7FE48F69" w14:textId="77777777" w:rsidR="003844ED" w:rsidRPr="00B07FB9" w:rsidRDefault="003844ED" w:rsidP="00012EFA">
            <w:pPr>
              <w:rPr>
                <w:rFonts w:ascii="Arial Narrow" w:hAnsi="Arial Narrow"/>
                <w:b/>
                <w:bCs/>
                <w:i/>
                <w:iCs/>
                <w:sz w:val="20"/>
                <w:szCs w:val="20"/>
              </w:rPr>
            </w:pPr>
            <w:r w:rsidRPr="00B07FB9">
              <w:rPr>
                <w:rFonts w:ascii="Arial Narrow" w:hAnsi="Arial Narrow"/>
                <w:b/>
                <w:bCs/>
                <w:sz w:val="20"/>
                <w:szCs w:val="20"/>
              </w:rPr>
              <w:t>Administrative Advice:</w:t>
            </w:r>
            <w:r w:rsidRPr="00B07FB9">
              <w:rPr>
                <w:rFonts w:ascii="Arial Narrow" w:hAnsi="Arial Narrow"/>
                <w:sz w:val="20"/>
                <w:szCs w:val="20"/>
              </w:rPr>
              <w:t xml:space="preserve"> </w:t>
            </w:r>
            <w:r w:rsidRPr="00B07FB9">
              <w:rPr>
                <w:rFonts w:ascii="Arial Narrow" w:hAnsi="Arial Narrow"/>
                <w:iCs/>
                <w:sz w:val="20"/>
                <w:szCs w:val="20"/>
              </w:rPr>
              <w:t>Special Pricing Arrangements apply</w:t>
            </w:r>
          </w:p>
        </w:tc>
      </w:tr>
    </w:tbl>
    <w:p w14:paraId="11A4F025" w14:textId="77777777" w:rsidR="003844ED" w:rsidRPr="00B07FB9" w:rsidRDefault="003844ED" w:rsidP="003844ED">
      <w:pPr>
        <w:rPr>
          <w:b/>
          <w:snapToGrid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275"/>
        <w:gridCol w:w="1551"/>
        <w:gridCol w:w="1408"/>
        <w:gridCol w:w="1410"/>
        <w:gridCol w:w="846"/>
        <w:gridCol w:w="1551"/>
      </w:tblGrid>
      <w:tr w:rsidR="003844ED" w:rsidRPr="00B07FB9" w14:paraId="5693D0A8" w14:textId="77777777" w:rsidTr="002122F4">
        <w:trPr>
          <w:cantSplit/>
          <w:trHeight w:val="471"/>
        </w:trPr>
        <w:tc>
          <w:tcPr>
            <w:tcW w:w="1248" w:type="pct"/>
            <w:gridSpan w:val="2"/>
          </w:tcPr>
          <w:p w14:paraId="7F9D7B5A" w14:textId="77777777" w:rsidR="003844ED" w:rsidRPr="00B07FB9" w:rsidRDefault="003844ED" w:rsidP="00012EFA">
            <w:pPr>
              <w:keepNext/>
              <w:ind w:left="22"/>
              <w:rPr>
                <w:rFonts w:ascii="Arial Narrow" w:hAnsi="Arial Narrow"/>
                <w:b/>
                <w:bCs/>
                <w:sz w:val="20"/>
                <w:szCs w:val="20"/>
              </w:rPr>
            </w:pPr>
            <w:r w:rsidRPr="00B07FB9">
              <w:rPr>
                <w:rFonts w:ascii="Arial Narrow" w:hAnsi="Arial Narrow"/>
                <w:b/>
                <w:bCs/>
                <w:sz w:val="20"/>
                <w:szCs w:val="20"/>
              </w:rPr>
              <w:t>MEDICINAL PRODUCT</w:t>
            </w:r>
          </w:p>
          <w:p w14:paraId="57922993" w14:textId="77777777" w:rsidR="003844ED" w:rsidRPr="00B07FB9" w:rsidRDefault="003844ED" w:rsidP="00012EFA">
            <w:pPr>
              <w:keepNext/>
              <w:ind w:left="22"/>
              <w:rPr>
                <w:rFonts w:ascii="Arial Narrow" w:hAnsi="Arial Narrow"/>
                <w:b/>
                <w:sz w:val="20"/>
                <w:szCs w:val="20"/>
              </w:rPr>
            </w:pPr>
            <w:r w:rsidRPr="00B07FB9">
              <w:rPr>
                <w:rFonts w:ascii="Arial Narrow" w:hAnsi="Arial Narrow"/>
                <w:b/>
                <w:bCs/>
                <w:sz w:val="20"/>
                <w:szCs w:val="20"/>
              </w:rPr>
              <w:t>medicinal product pack</w:t>
            </w:r>
          </w:p>
        </w:tc>
        <w:tc>
          <w:tcPr>
            <w:tcW w:w="860" w:type="pct"/>
          </w:tcPr>
          <w:p w14:paraId="1D51CC3D" w14:textId="77777777" w:rsidR="003844ED" w:rsidRPr="00B07FB9" w:rsidRDefault="003844ED" w:rsidP="00012EFA">
            <w:pPr>
              <w:keepNext/>
              <w:ind w:left="-108"/>
              <w:jc w:val="center"/>
              <w:rPr>
                <w:rFonts w:ascii="Arial Narrow" w:hAnsi="Arial Narrow"/>
                <w:b/>
                <w:sz w:val="20"/>
                <w:szCs w:val="20"/>
              </w:rPr>
            </w:pPr>
            <w:r w:rsidRPr="00B07FB9">
              <w:rPr>
                <w:rFonts w:ascii="Arial Narrow" w:hAnsi="Arial Narrow"/>
                <w:b/>
                <w:sz w:val="20"/>
                <w:szCs w:val="20"/>
              </w:rPr>
              <w:t>PBS item code</w:t>
            </w:r>
          </w:p>
        </w:tc>
        <w:tc>
          <w:tcPr>
            <w:tcW w:w="781" w:type="pct"/>
          </w:tcPr>
          <w:p w14:paraId="6614FFD9" w14:textId="77777777" w:rsidR="003844ED" w:rsidRPr="00B07FB9" w:rsidRDefault="003844ED" w:rsidP="00012EFA">
            <w:pPr>
              <w:keepNext/>
              <w:ind w:left="-108"/>
              <w:jc w:val="center"/>
              <w:rPr>
                <w:rFonts w:ascii="Arial Narrow" w:hAnsi="Arial Narrow"/>
                <w:b/>
                <w:sz w:val="20"/>
                <w:szCs w:val="20"/>
              </w:rPr>
            </w:pPr>
            <w:r w:rsidRPr="00B07FB9">
              <w:rPr>
                <w:rFonts w:ascii="Arial Narrow" w:hAnsi="Arial Narrow"/>
                <w:b/>
                <w:sz w:val="20"/>
                <w:szCs w:val="20"/>
              </w:rPr>
              <w:t>Max. qty packs</w:t>
            </w:r>
          </w:p>
        </w:tc>
        <w:tc>
          <w:tcPr>
            <w:tcW w:w="782" w:type="pct"/>
          </w:tcPr>
          <w:p w14:paraId="4EA810CE" w14:textId="77777777" w:rsidR="003844ED" w:rsidRPr="00B07FB9" w:rsidRDefault="003844ED" w:rsidP="00012EFA">
            <w:pPr>
              <w:keepNext/>
              <w:ind w:left="-108"/>
              <w:jc w:val="center"/>
              <w:rPr>
                <w:rFonts w:ascii="Arial Narrow" w:hAnsi="Arial Narrow"/>
                <w:b/>
                <w:sz w:val="20"/>
                <w:szCs w:val="20"/>
              </w:rPr>
            </w:pPr>
            <w:r w:rsidRPr="00B07FB9">
              <w:rPr>
                <w:rFonts w:ascii="Arial Narrow" w:hAnsi="Arial Narrow"/>
                <w:b/>
                <w:sz w:val="20"/>
                <w:szCs w:val="20"/>
              </w:rPr>
              <w:t>Max. qty units</w:t>
            </w:r>
          </w:p>
        </w:tc>
        <w:tc>
          <w:tcPr>
            <w:tcW w:w="469" w:type="pct"/>
          </w:tcPr>
          <w:p w14:paraId="20999B09" w14:textId="77777777" w:rsidR="003844ED" w:rsidRPr="00B07FB9" w:rsidRDefault="003844ED" w:rsidP="00012EFA">
            <w:pPr>
              <w:keepNext/>
              <w:ind w:left="-108"/>
              <w:jc w:val="center"/>
              <w:rPr>
                <w:rFonts w:ascii="Arial Narrow" w:hAnsi="Arial Narrow"/>
                <w:b/>
                <w:sz w:val="20"/>
                <w:szCs w:val="20"/>
              </w:rPr>
            </w:pPr>
            <w:r w:rsidRPr="00B07FB9">
              <w:rPr>
                <w:rFonts w:ascii="Arial Narrow" w:hAnsi="Arial Narrow"/>
                <w:b/>
                <w:sz w:val="20"/>
                <w:szCs w:val="20"/>
              </w:rPr>
              <w:t>№.of</w:t>
            </w:r>
          </w:p>
          <w:p w14:paraId="3FDD66D6" w14:textId="77777777" w:rsidR="003844ED" w:rsidRPr="00B07FB9" w:rsidRDefault="003844ED" w:rsidP="00012EFA">
            <w:pPr>
              <w:keepNext/>
              <w:ind w:left="-108"/>
              <w:jc w:val="center"/>
              <w:rPr>
                <w:rFonts w:ascii="Arial Narrow" w:hAnsi="Arial Narrow"/>
                <w:b/>
                <w:sz w:val="20"/>
                <w:szCs w:val="20"/>
              </w:rPr>
            </w:pPr>
            <w:proofErr w:type="spellStart"/>
            <w:r w:rsidRPr="00B07FB9">
              <w:rPr>
                <w:rFonts w:ascii="Arial Narrow" w:hAnsi="Arial Narrow"/>
                <w:b/>
                <w:sz w:val="20"/>
                <w:szCs w:val="20"/>
              </w:rPr>
              <w:t>Rpts</w:t>
            </w:r>
            <w:proofErr w:type="spellEnd"/>
          </w:p>
        </w:tc>
        <w:tc>
          <w:tcPr>
            <w:tcW w:w="860" w:type="pct"/>
          </w:tcPr>
          <w:p w14:paraId="2BBEECEB" w14:textId="77777777" w:rsidR="003844ED" w:rsidRPr="00B07FB9" w:rsidRDefault="003844ED" w:rsidP="00012EFA">
            <w:pPr>
              <w:keepNext/>
              <w:rPr>
                <w:rFonts w:ascii="Arial Narrow" w:hAnsi="Arial Narrow"/>
                <w:b/>
                <w:sz w:val="20"/>
                <w:szCs w:val="20"/>
              </w:rPr>
            </w:pPr>
            <w:r w:rsidRPr="00B07FB9">
              <w:rPr>
                <w:rFonts w:ascii="Arial Narrow" w:hAnsi="Arial Narrow"/>
                <w:b/>
                <w:sz w:val="20"/>
                <w:szCs w:val="20"/>
              </w:rPr>
              <w:t>Available brands</w:t>
            </w:r>
          </w:p>
        </w:tc>
      </w:tr>
      <w:tr w:rsidR="003844ED" w:rsidRPr="00B07FB9" w14:paraId="6852913E" w14:textId="77777777" w:rsidTr="002122F4">
        <w:trPr>
          <w:cantSplit/>
          <w:trHeight w:val="224"/>
        </w:trPr>
        <w:tc>
          <w:tcPr>
            <w:tcW w:w="5000" w:type="pct"/>
            <w:gridSpan w:val="7"/>
          </w:tcPr>
          <w:p w14:paraId="7FB89C56" w14:textId="77777777" w:rsidR="003844ED" w:rsidRPr="00B07FB9" w:rsidRDefault="003844ED" w:rsidP="00012EFA">
            <w:pPr>
              <w:keepNext/>
              <w:ind w:left="22"/>
              <w:rPr>
                <w:rFonts w:ascii="Arial Narrow" w:hAnsi="Arial Narrow"/>
                <w:sz w:val="20"/>
                <w:szCs w:val="20"/>
              </w:rPr>
            </w:pPr>
            <w:r w:rsidRPr="00B07FB9">
              <w:rPr>
                <w:rFonts w:ascii="Arial Narrow" w:hAnsi="Arial Narrow"/>
                <w:sz w:val="20"/>
                <w:szCs w:val="20"/>
              </w:rPr>
              <w:t>NIRAPARIB</w:t>
            </w:r>
          </w:p>
        </w:tc>
      </w:tr>
      <w:tr w:rsidR="003844ED" w:rsidRPr="00B07FB9" w14:paraId="6289F5EF" w14:textId="77777777" w:rsidTr="002122F4">
        <w:trPr>
          <w:cantSplit/>
          <w:trHeight w:val="199"/>
        </w:trPr>
        <w:tc>
          <w:tcPr>
            <w:tcW w:w="1248" w:type="pct"/>
            <w:gridSpan w:val="2"/>
          </w:tcPr>
          <w:p w14:paraId="429AD70F" w14:textId="77777777" w:rsidR="003844ED" w:rsidRPr="00B07FB9" w:rsidRDefault="003844ED" w:rsidP="00012EFA">
            <w:pPr>
              <w:keepNext/>
              <w:ind w:left="22"/>
              <w:rPr>
                <w:rFonts w:ascii="Arial Narrow" w:hAnsi="Arial Narrow"/>
                <w:sz w:val="20"/>
                <w:szCs w:val="20"/>
              </w:rPr>
            </w:pPr>
            <w:r w:rsidRPr="00B07FB9">
              <w:rPr>
                <w:rFonts w:ascii="Arial Narrow" w:hAnsi="Arial Narrow"/>
                <w:sz w:val="20"/>
                <w:szCs w:val="20"/>
              </w:rPr>
              <w:t>niraparib 100 mg capsule</w:t>
            </w:r>
            <w:r w:rsidRPr="00B07FB9">
              <w:rPr>
                <w:rFonts w:ascii="Arial Narrow" w:hAnsi="Arial Narrow"/>
                <w:i/>
                <w:sz w:val="20"/>
                <w:szCs w:val="20"/>
              </w:rPr>
              <w:t>,</w:t>
            </w:r>
            <w:r w:rsidRPr="00B07FB9">
              <w:rPr>
                <w:rFonts w:ascii="Arial Narrow" w:hAnsi="Arial Narrow"/>
                <w:iCs/>
                <w:sz w:val="20"/>
                <w:szCs w:val="20"/>
              </w:rPr>
              <w:t xml:space="preserve"> 84</w:t>
            </w:r>
          </w:p>
        </w:tc>
        <w:tc>
          <w:tcPr>
            <w:tcW w:w="860" w:type="pct"/>
          </w:tcPr>
          <w:p w14:paraId="493924A1" w14:textId="77777777" w:rsidR="003844ED" w:rsidRPr="00B07FB9" w:rsidRDefault="003844ED" w:rsidP="00012EFA">
            <w:pPr>
              <w:keepNext/>
              <w:jc w:val="center"/>
              <w:rPr>
                <w:rFonts w:ascii="Arial Narrow" w:hAnsi="Arial Narrow"/>
                <w:sz w:val="20"/>
                <w:szCs w:val="20"/>
              </w:rPr>
            </w:pPr>
            <w:r w:rsidRPr="00B07FB9">
              <w:rPr>
                <w:rFonts w:ascii="Arial Narrow" w:hAnsi="Arial Narrow"/>
                <w:sz w:val="20"/>
                <w:szCs w:val="20"/>
              </w:rPr>
              <w:t>NEW</w:t>
            </w:r>
          </w:p>
        </w:tc>
        <w:tc>
          <w:tcPr>
            <w:tcW w:w="781" w:type="pct"/>
          </w:tcPr>
          <w:p w14:paraId="303F0796" w14:textId="77777777" w:rsidR="003844ED" w:rsidRPr="00B07FB9" w:rsidRDefault="003844ED" w:rsidP="00012EFA">
            <w:pPr>
              <w:keepNext/>
              <w:jc w:val="center"/>
              <w:rPr>
                <w:rFonts w:ascii="Arial Narrow" w:hAnsi="Arial Narrow"/>
                <w:sz w:val="20"/>
                <w:szCs w:val="20"/>
              </w:rPr>
            </w:pPr>
            <w:r w:rsidRPr="00B07FB9">
              <w:rPr>
                <w:rFonts w:ascii="Arial Narrow" w:hAnsi="Arial Narrow"/>
                <w:sz w:val="20"/>
                <w:szCs w:val="20"/>
              </w:rPr>
              <w:t>1</w:t>
            </w:r>
          </w:p>
        </w:tc>
        <w:tc>
          <w:tcPr>
            <w:tcW w:w="782" w:type="pct"/>
          </w:tcPr>
          <w:p w14:paraId="7D12C9D3" w14:textId="77777777" w:rsidR="003844ED" w:rsidRPr="00B07FB9" w:rsidRDefault="003844ED" w:rsidP="00012EFA">
            <w:pPr>
              <w:keepNext/>
              <w:jc w:val="center"/>
              <w:rPr>
                <w:rFonts w:ascii="Arial Narrow" w:hAnsi="Arial Narrow"/>
                <w:sz w:val="20"/>
                <w:szCs w:val="20"/>
              </w:rPr>
            </w:pPr>
            <w:r w:rsidRPr="00B07FB9">
              <w:rPr>
                <w:rFonts w:ascii="Arial Narrow" w:hAnsi="Arial Narrow"/>
                <w:sz w:val="20"/>
                <w:szCs w:val="20"/>
              </w:rPr>
              <w:t>84</w:t>
            </w:r>
          </w:p>
        </w:tc>
        <w:tc>
          <w:tcPr>
            <w:tcW w:w="469" w:type="pct"/>
          </w:tcPr>
          <w:p w14:paraId="54D596AB" w14:textId="77777777" w:rsidR="003844ED" w:rsidRPr="00B07FB9" w:rsidRDefault="003844ED" w:rsidP="00012EFA">
            <w:pPr>
              <w:keepNext/>
              <w:ind w:left="-10"/>
              <w:jc w:val="center"/>
              <w:rPr>
                <w:rFonts w:ascii="Arial Narrow" w:hAnsi="Arial Narrow"/>
                <w:sz w:val="20"/>
                <w:szCs w:val="20"/>
              </w:rPr>
            </w:pPr>
            <w:r w:rsidRPr="00B07FB9">
              <w:rPr>
                <w:rFonts w:ascii="Arial Narrow" w:hAnsi="Arial Narrow"/>
                <w:sz w:val="20"/>
                <w:szCs w:val="20"/>
              </w:rPr>
              <w:t>5</w:t>
            </w:r>
          </w:p>
        </w:tc>
        <w:tc>
          <w:tcPr>
            <w:tcW w:w="860" w:type="pct"/>
          </w:tcPr>
          <w:p w14:paraId="2101F112" w14:textId="77777777" w:rsidR="003844ED" w:rsidRPr="00B07FB9" w:rsidRDefault="003844ED" w:rsidP="00012EFA">
            <w:pPr>
              <w:keepNext/>
              <w:rPr>
                <w:rFonts w:ascii="Arial Narrow" w:hAnsi="Arial Narrow"/>
                <w:sz w:val="20"/>
                <w:szCs w:val="20"/>
              </w:rPr>
            </w:pPr>
            <w:proofErr w:type="spellStart"/>
            <w:r w:rsidRPr="00B07FB9">
              <w:rPr>
                <w:rFonts w:ascii="Arial Narrow" w:hAnsi="Arial Narrow"/>
                <w:sz w:val="20"/>
                <w:szCs w:val="20"/>
              </w:rPr>
              <w:t>Zejula</w:t>
            </w:r>
            <w:proofErr w:type="spellEnd"/>
          </w:p>
        </w:tc>
      </w:tr>
      <w:tr w:rsidR="003844ED" w:rsidRPr="00B07FB9" w14:paraId="3D4470C0" w14:textId="77777777" w:rsidTr="002122F4">
        <w:tblPrEx>
          <w:tblCellMar>
            <w:top w:w="15" w:type="dxa"/>
            <w:left w:w="15" w:type="dxa"/>
            <w:bottom w:w="15" w:type="dxa"/>
            <w:right w:w="15" w:type="dxa"/>
          </w:tblCellMar>
          <w:tblLook w:val="04A0" w:firstRow="1" w:lastRow="0" w:firstColumn="1" w:lastColumn="0" w:noHBand="0" w:noVBand="1"/>
        </w:tblPrEx>
        <w:trPr>
          <w:trHeight w:val="170"/>
        </w:trPr>
        <w:tc>
          <w:tcPr>
            <w:tcW w:w="5000" w:type="pct"/>
            <w:gridSpan w:val="7"/>
            <w:tcBorders>
              <w:top w:val="single" w:sz="4" w:space="0" w:color="auto"/>
              <w:left w:val="single" w:sz="4" w:space="0" w:color="auto"/>
              <w:right w:val="single" w:sz="4" w:space="0" w:color="auto"/>
            </w:tcBorders>
          </w:tcPr>
          <w:p w14:paraId="61ACCD14" w14:textId="77777777" w:rsidR="003844ED" w:rsidRPr="00B07FB9" w:rsidRDefault="003844ED" w:rsidP="00012EFA">
            <w:pPr>
              <w:jc w:val="left"/>
              <w:rPr>
                <w:rFonts w:ascii="Arial Narrow" w:hAnsi="Arial Narrow"/>
                <w:b/>
                <w:sz w:val="20"/>
                <w:szCs w:val="20"/>
              </w:rPr>
            </w:pPr>
          </w:p>
        </w:tc>
      </w:tr>
      <w:tr w:rsidR="003844ED" w:rsidRPr="00B07FB9" w14:paraId="58BB205A" w14:textId="77777777" w:rsidTr="002122F4">
        <w:tblPrEx>
          <w:tblCellMar>
            <w:top w:w="15" w:type="dxa"/>
            <w:left w:w="15" w:type="dxa"/>
            <w:bottom w:w="15" w:type="dxa"/>
            <w:right w:w="15" w:type="dxa"/>
          </w:tblCellMar>
          <w:tblLook w:val="04A0" w:firstRow="1" w:lastRow="0" w:firstColumn="1" w:lastColumn="0" w:noHBand="0" w:noVBand="1"/>
        </w:tblPrEx>
        <w:tc>
          <w:tcPr>
            <w:tcW w:w="5000" w:type="pct"/>
            <w:gridSpan w:val="7"/>
            <w:vAlign w:val="center"/>
          </w:tcPr>
          <w:p w14:paraId="05A65297"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Restriction Summary [NEW 2]</w:t>
            </w:r>
          </w:p>
        </w:tc>
      </w:tr>
      <w:tr w:rsidR="003844ED" w:rsidRPr="00B07FB9" w14:paraId="426C842C" w14:textId="77777777" w:rsidTr="002122F4">
        <w:tblPrEx>
          <w:tblCellMar>
            <w:top w:w="15" w:type="dxa"/>
            <w:left w:w="15" w:type="dxa"/>
            <w:bottom w:w="15" w:type="dxa"/>
            <w:right w:w="15" w:type="dxa"/>
          </w:tblCellMar>
          <w:tblLook w:val="04A0" w:firstRow="1" w:lastRow="0" w:firstColumn="1" w:lastColumn="0" w:noHBand="0" w:noVBand="1"/>
        </w:tblPrEx>
        <w:tc>
          <w:tcPr>
            <w:tcW w:w="541" w:type="pct"/>
            <w:vMerge w:val="restart"/>
            <w:vAlign w:val="center"/>
          </w:tcPr>
          <w:p w14:paraId="1DD51110" w14:textId="77777777" w:rsidR="003844ED" w:rsidRPr="00B07FB9" w:rsidRDefault="003844ED" w:rsidP="00012EFA">
            <w:pPr>
              <w:jc w:val="center"/>
              <w:rPr>
                <w:rFonts w:ascii="Arial Narrow" w:hAnsi="Arial Narrow"/>
                <w:b/>
                <w:sz w:val="20"/>
                <w:szCs w:val="20"/>
              </w:rPr>
            </w:pPr>
            <w:r w:rsidRPr="00B07FB9">
              <w:rPr>
                <w:rFonts w:ascii="Arial Narrow" w:hAnsi="Arial Narrow"/>
                <w:b/>
                <w:sz w:val="20"/>
                <w:szCs w:val="20"/>
              </w:rPr>
              <w:t>Concept ID</w:t>
            </w:r>
          </w:p>
          <w:p w14:paraId="11FC49AA" w14:textId="77777777" w:rsidR="003844ED" w:rsidRPr="00B07FB9" w:rsidRDefault="003844ED" w:rsidP="00012EFA">
            <w:pPr>
              <w:rPr>
                <w:rFonts w:ascii="Arial Narrow" w:hAnsi="Arial Narrow"/>
                <w:i/>
                <w:sz w:val="20"/>
                <w:szCs w:val="20"/>
              </w:rPr>
            </w:pPr>
          </w:p>
          <w:p w14:paraId="16A2B0BD"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(for internal Dept. use)</w:t>
            </w:r>
          </w:p>
        </w:tc>
        <w:tc>
          <w:tcPr>
            <w:tcW w:w="4459" w:type="pct"/>
            <w:gridSpan w:val="6"/>
            <w:tcBorders>
              <w:top w:val="single" w:sz="4" w:space="0" w:color="auto"/>
              <w:left w:val="single" w:sz="4" w:space="0" w:color="auto"/>
              <w:bottom w:val="single" w:sz="4" w:space="0" w:color="auto"/>
              <w:right w:val="single" w:sz="4" w:space="0" w:color="auto"/>
            </w:tcBorders>
          </w:tcPr>
          <w:p w14:paraId="7A62FC0D" w14:textId="77777777" w:rsidR="003844ED" w:rsidRPr="00B07FB9" w:rsidRDefault="003844ED" w:rsidP="00012EFA">
            <w:pPr>
              <w:rPr>
                <w:rFonts w:ascii="Arial Narrow" w:hAnsi="Arial Narrow"/>
                <w:b/>
                <w:bCs/>
                <w:sz w:val="20"/>
                <w:szCs w:val="20"/>
              </w:rPr>
            </w:pPr>
            <w:r w:rsidRPr="00B07FB9">
              <w:rPr>
                <w:rFonts w:ascii="Arial Narrow" w:hAnsi="Arial Narrow"/>
                <w:b/>
                <w:sz w:val="20"/>
                <w:szCs w:val="20"/>
              </w:rPr>
              <w:lastRenderedPageBreak/>
              <w:t xml:space="preserve">Category / Program:   </w:t>
            </w:r>
            <w:r w:rsidRPr="00B07FB9">
              <w:rPr>
                <w:rFonts w:ascii="Arial Narrow" w:hAnsi="Arial Narrow"/>
                <w:sz w:val="20"/>
                <w:szCs w:val="20"/>
              </w:rPr>
              <w:t xml:space="preserve">GENERAL – General Schedule (Code GE) </w:t>
            </w:r>
          </w:p>
        </w:tc>
      </w:tr>
      <w:tr w:rsidR="003844ED" w:rsidRPr="00B07FB9" w14:paraId="73F0364F" w14:textId="77777777" w:rsidTr="002122F4">
        <w:tblPrEx>
          <w:tblCellMar>
            <w:top w:w="15" w:type="dxa"/>
            <w:left w:w="15" w:type="dxa"/>
            <w:bottom w:w="15" w:type="dxa"/>
            <w:right w:w="15" w:type="dxa"/>
          </w:tblCellMar>
          <w:tblLook w:val="04A0" w:firstRow="1" w:lastRow="0" w:firstColumn="1" w:lastColumn="0" w:noHBand="0" w:noVBand="1"/>
        </w:tblPrEx>
        <w:tc>
          <w:tcPr>
            <w:tcW w:w="541" w:type="pct"/>
            <w:vMerge/>
            <w:vAlign w:val="center"/>
          </w:tcPr>
          <w:p w14:paraId="581752CA" w14:textId="77777777" w:rsidR="003844ED" w:rsidRPr="00B07FB9" w:rsidRDefault="003844ED" w:rsidP="00012EFA">
            <w:pPr>
              <w:jc w:val="cente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11D0022D" w14:textId="77777777" w:rsidR="003844ED" w:rsidRPr="00B07FB9" w:rsidRDefault="003844ED" w:rsidP="00012EFA">
            <w:pPr>
              <w:rPr>
                <w:rFonts w:ascii="Arial Narrow" w:hAnsi="Arial Narrow"/>
                <w:b/>
                <w:bCs/>
                <w:sz w:val="20"/>
                <w:szCs w:val="20"/>
              </w:rPr>
            </w:pPr>
            <w:r w:rsidRPr="00B07FB9">
              <w:rPr>
                <w:rFonts w:ascii="Arial Narrow" w:hAnsi="Arial Narrow"/>
                <w:b/>
                <w:sz w:val="20"/>
                <w:szCs w:val="20"/>
              </w:rPr>
              <w:t xml:space="preserve">Prescriber type: </w:t>
            </w:r>
            <w:r w:rsidRPr="00B07FB9">
              <w:rPr>
                <w:rFonts w:ascii="Arial Narrow" w:hAnsi="Arial Narrow"/>
                <w:sz w:val="20"/>
                <w:szCs w:val="20"/>
              </w:rPr>
              <w:t xml:space="preserve">  </w:t>
            </w:r>
            <w:r w:rsidRPr="00B07FB9">
              <w:rPr>
                <w:rFonts w:ascii="Arial Narrow" w:hAnsi="Arial Narrow"/>
                <w:sz w:val="20"/>
                <w:szCs w:val="20"/>
              </w:rPr>
              <w:fldChar w:fldCharType="begin">
                <w:ffData>
                  <w:name w:val=""/>
                  <w:enabled/>
                  <w:calcOnExit w:val="0"/>
                  <w:checkBox>
                    <w:sizeAuto/>
                    <w:default w:val="1"/>
                  </w:checkBox>
                </w:ffData>
              </w:fldChar>
            </w:r>
            <w:r w:rsidRPr="00B07FB9">
              <w:rPr>
                <w:rFonts w:ascii="Arial Narrow" w:hAnsi="Arial Narrow"/>
                <w:sz w:val="20"/>
                <w:szCs w:val="20"/>
              </w:rPr>
              <w:instrText xml:space="preserve"> FORMCHECKBOX </w:instrText>
            </w:r>
            <w:r w:rsidR="00385E8C">
              <w:rPr>
                <w:rFonts w:ascii="Arial Narrow" w:hAnsi="Arial Narrow"/>
                <w:sz w:val="20"/>
                <w:szCs w:val="20"/>
              </w:rPr>
            </w:r>
            <w:r w:rsidR="00385E8C">
              <w:rPr>
                <w:rFonts w:ascii="Arial Narrow" w:hAnsi="Arial Narrow"/>
                <w:sz w:val="20"/>
                <w:szCs w:val="20"/>
              </w:rPr>
              <w:fldChar w:fldCharType="separate"/>
            </w:r>
            <w:r w:rsidRPr="00B07FB9">
              <w:rPr>
                <w:rFonts w:ascii="Arial Narrow" w:hAnsi="Arial Narrow"/>
                <w:sz w:val="20"/>
                <w:szCs w:val="20"/>
              </w:rPr>
              <w:fldChar w:fldCharType="end"/>
            </w:r>
            <w:r w:rsidRPr="00B07FB9">
              <w:rPr>
                <w:rFonts w:ascii="Arial Narrow" w:hAnsi="Arial Narrow"/>
                <w:sz w:val="20"/>
                <w:szCs w:val="20"/>
              </w:rPr>
              <w:t xml:space="preserve">Medical Practitioners </w:t>
            </w:r>
          </w:p>
        </w:tc>
      </w:tr>
      <w:tr w:rsidR="003844ED" w:rsidRPr="00B07FB9" w14:paraId="116C9667" w14:textId="77777777" w:rsidTr="002122F4">
        <w:tblPrEx>
          <w:tblCellMar>
            <w:top w:w="15" w:type="dxa"/>
            <w:left w:w="15" w:type="dxa"/>
            <w:bottom w:w="15" w:type="dxa"/>
            <w:right w:w="15" w:type="dxa"/>
          </w:tblCellMar>
          <w:tblLook w:val="04A0" w:firstRow="1" w:lastRow="0" w:firstColumn="1" w:lastColumn="0" w:noHBand="0" w:noVBand="1"/>
        </w:tblPrEx>
        <w:tc>
          <w:tcPr>
            <w:tcW w:w="541" w:type="pct"/>
            <w:vMerge/>
            <w:vAlign w:val="center"/>
          </w:tcPr>
          <w:p w14:paraId="61607D38" w14:textId="77777777" w:rsidR="003844ED" w:rsidRPr="00B07FB9" w:rsidRDefault="003844ED" w:rsidP="00012EFA">
            <w:pPr>
              <w:jc w:val="center"/>
              <w:rPr>
                <w:rFonts w:ascii="Arial Narrow" w:hAnsi="Arial Narrow"/>
                <w:sz w:val="20"/>
                <w:szCs w:val="20"/>
              </w:rPr>
            </w:pPr>
          </w:p>
        </w:tc>
        <w:tc>
          <w:tcPr>
            <w:tcW w:w="4459" w:type="pct"/>
            <w:gridSpan w:val="6"/>
            <w:tcBorders>
              <w:top w:val="single" w:sz="4" w:space="0" w:color="auto"/>
              <w:left w:val="single" w:sz="4" w:space="0" w:color="auto"/>
              <w:bottom w:val="single" w:sz="4" w:space="0" w:color="auto"/>
              <w:right w:val="single" w:sz="4" w:space="0" w:color="auto"/>
            </w:tcBorders>
          </w:tcPr>
          <w:p w14:paraId="0CC58ADA" w14:textId="393EC9EC" w:rsidR="003844ED" w:rsidRPr="00B07FB9" w:rsidRDefault="003844ED" w:rsidP="001A180F">
            <w:pPr>
              <w:rPr>
                <w:rFonts w:ascii="Arial Narrow" w:hAnsi="Arial Narrow"/>
                <w:b/>
                <w:bCs/>
                <w:sz w:val="20"/>
                <w:szCs w:val="20"/>
              </w:rPr>
            </w:pPr>
            <w:r w:rsidRPr="00B07FB9">
              <w:rPr>
                <w:rFonts w:ascii="Arial Narrow" w:hAnsi="Arial Narrow"/>
                <w:b/>
                <w:sz w:val="20"/>
                <w:szCs w:val="20"/>
              </w:rPr>
              <w:t>Restriction type:</w:t>
            </w:r>
            <w:r w:rsidRPr="00B07FB9">
              <w:rPr>
                <w:rFonts w:ascii="Arial Narrow" w:eastAsia="Calibri" w:hAnsi="Arial Narrow"/>
                <w:sz w:val="20"/>
                <w:szCs w:val="20"/>
              </w:rPr>
              <w:t xml:space="preserve">  </w:t>
            </w:r>
            <w:r w:rsidRPr="00B07FB9">
              <w:rPr>
                <w:rFonts w:ascii="Arial Narrow" w:eastAsia="Calibri" w:hAnsi="Arial Narrow"/>
                <w:sz w:val="20"/>
                <w:szCs w:val="20"/>
              </w:rPr>
              <w:fldChar w:fldCharType="begin">
                <w:ffData>
                  <w:name w:val="Check3"/>
                  <w:enabled/>
                  <w:calcOnExit w:val="0"/>
                  <w:checkBox>
                    <w:sizeAuto/>
                    <w:default w:val="1"/>
                  </w:checkBox>
                </w:ffData>
              </w:fldChar>
            </w:r>
            <w:r w:rsidRPr="00B07FB9">
              <w:rPr>
                <w:rFonts w:ascii="Arial Narrow" w:eastAsia="Calibri" w:hAnsi="Arial Narrow"/>
                <w:sz w:val="20"/>
                <w:szCs w:val="20"/>
              </w:rPr>
              <w:instrText xml:space="preserve"> FORMCHECKBOX </w:instrText>
            </w:r>
            <w:r w:rsidR="00385E8C">
              <w:rPr>
                <w:rFonts w:ascii="Arial Narrow" w:eastAsia="Calibri" w:hAnsi="Arial Narrow"/>
                <w:sz w:val="20"/>
                <w:szCs w:val="20"/>
              </w:rPr>
            </w:r>
            <w:r w:rsidR="00385E8C">
              <w:rPr>
                <w:rFonts w:ascii="Arial Narrow" w:eastAsia="Calibri" w:hAnsi="Arial Narrow"/>
                <w:sz w:val="20"/>
                <w:szCs w:val="20"/>
              </w:rPr>
              <w:fldChar w:fldCharType="separate"/>
            </w:r>
            <w:r w:rsidRPr="00B07FB9">
              <w:rPr>
                <w:rFonts w:ascii="Arial Narrow" w:eastAsia="Calibri" w:hAnsi="Arial Narrow"/>
                <w:sz w:val="20"/>
                <w:szCs w:val="20"/>
              </w:rPr>
              <w:fldChar w:fldCharType="end"/>
            </w:r>
            <w:r w:rsidRPr="00B07FB9">
              <w:rPr>
                <w:rFonts w:ascii="Arial Narrow" w:eastAsia="Calibri" w:hAnsi="Arial Narrow"/>
                <w:sz w:val="20"/>
                <w:szCs w:val="20"/>
              </w:rPr>
              <w:t>Authority Required (telephone/online PBS Authorities system)</w:t>
            </w:r>
          </w:p>
        </w:tc>
      </w:tr>
      <w:tr w:rsidR="003844ED" w:rsidRPr="00B07FB9" w14:paraId="4C08F9C3"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0DD2B2A8"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26510</w:t>
            </w:r>
          </w:p>
        </w:tc>
        <w:tc>
          <w:tcPr>
            <w:tcW w:w="4459" w:type="pct"/>
            <w:gridSpan w:val="6"/>
            <w:vAlign w:val="center"/>
          </w:tcPr>
          <w:p w14:paraId="671C8436"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Indication:</w:t>
            </w:r>
            <w:r w:rsidRPr="00B07FB9">
              <w:rPr>
                <w:rFonts w:ascii="Arial Narrow" w:hAnsi="Arial Narrow"/>
                <w:sz w:val="20"/>
                <w:szCs w:val="20"/>
              </w:rPr>
              <w:t xml:space="preserve"> High grade stage III/IV </w:t>
            </w:r>
            <w:r w:rsidRPr="00B07FB9">
              <w:rPr>
                <w:rFonts w:ascii="Arial Narrow" w:hAnsi="Arial Narrow"/>
                <w:iCs/>
                <w:sz w:val="20"/>
                <w:szCs w:val="20"/>
              </w:rPr>
              <w:t>epithelial</w:t>
            </w:r>
            <w:r w:rsidRPr="00B07FB9">
              <w:rPr>
                <w:rFonts w:ascii="Arial Narrow" w:hAnsi="Arial Narrow"/>
                <w:sz w:val="20"/>
                <w:szCs w:val="20"/>
              </w:rPr>
              <w:t xml:space="preserve"> ovarian, fallopian tube, or primary peritoneal cancer</w:t>
            </w:r>
          </w:p>
        </w:tc>
      </w:tr>
      <w:tr w:rsidR="003844ED" w:rsidRPr="00B07FB9" w14:paraId="5ED505D5"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14:paraId="0F628822" w14:textId="77777777" w:rsidR="003844ED" w:rsidRPr="00B07FB9" w:rsidRDefault="003844ED" w:rsidP="00012EFA">
            <w:pPr>
              <w:jc w:val="center"/>
              <w:rPr>
                <w:rFonts w:ascii="Arial Narrow" w:hAnsi="Arial Narrow"/>
                <w:sz w:val="20"/>
                <w:szCs w:val="20"/>
              </w:rPr>
            </w:pPr>
          </w:p>
        </w:tc>
        <w:tc>
          <w:tcPr>
            <w:tcW w:w="4459" w:type="pct"/>
            <w:gridSpan w:val="6"/>
            <w:vAlign w:val="center"/>
            <w:hideMark/>
          </w:tcPr>
          <w:p w14:paraId="520D2F1B" w14:textId="5F495EA8" w:rsidR="003844ED" w:rsidRPr="00B07FB9" w:rsidRDefault="003844ED" w:rsidP="00012EFA">
            <w:pPr>
              <w:rPr>
                <w:rFonts w:ascii="Arial Narrow" w:hAnsi="Arial Narrow"/>
                <w:sz w:val="20"/>
                <w:szCs w:val="20"/>
              </w:rPr>
            </w:pPr>
            <w:r w:rsidRPr="00B07FB9">
              <w:rPr>
                <w:rFonts w:ascii="Arial Narrow" w:hAnsi="Arial Narrow"/>
                <w:b/>
                <w:bCs/>
                <w:sz w:val="20"/>
                <w:szCs w:val="20"/>
              </w:rPr>
              <w:t>Treatment Phase:</w:t>
            </w:r>
            <w:r w:rsidRPr="00B07FB9">
              <w:rPr>
                <w:rFonts w:ascii="Arial Narrow" w:hAnsi="Arial Narrow"/>
                <w:sz w:val="20"/>
                <w:szCs w:val="20"/>
              </w:rPr>
              <w:t xml:space="preserve"> Continuing treatment</w:t>
            </w:r>
            <w:r w:rsidR="00EC5249" w:rsidRPr="00B07FB9">
              <w:rPr>
                <w:rFonts w:ascii="Arial Narrow" w:hAnsi="Arial Narrow"/>
                <w:sz w:val="20"/>
                <w:szCs w:val="20"/>
              </w:rPr>
              <w:t xml:space="preserve"> – first line treatment</w:t>
            </w:r>
          </w:p>
        </w:tc>
      </w:tr>
      <w:tr w:rsidR="003844ED" w:rsidRPr="00B07FB9" w14:paraId="0FE0EA88"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2D4DB337"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26516</w:t>
            </w:r>
          </w:p>
        </w:tc>
        <w:tc>
          <w:tcPr>
            <w:tcW w:w="4459" w:type="pct"/>
            <w:gridSpan w:val="6"/>
            <w:vAlign w:val="center"/>
          </w:tcPr>
          <w:p w14:paraId="18E121F8"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Clinical criteria:</w:t>
            </w:r>
          </w:p>
        </w:tc>
      </w:tr>
      <w:tr w:rsidR="003844ED" w:rsidRPr="00B07FB9" w14:paraId="0D284BA5"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4292292A"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26515</w:t>
            </w:r>
          </w:p>
        </w:tc>
        <w:tc>
          <w:tcPr>
            <w:tcW w:w="4459" w:type="pct"/>
            <w:gridSpan w:val="6"/>
            <w:vAlign w:val="center"/>
          </w:tcPr>
          <w:p w14:paraId="7C420E37" w14:textId="77777777" w:rsidR="003844ED" w:rsidRPr="00B07FB9" w:rsidRDefault="003844ED" w:rsidP="00012EFA">
            <w:pPr>
              <w:rPr>
                <w:rFonts w:ascii="Arial Narrow" w:hAnsi="Arial Narrow"/>
                <w:b/>
                <w:bCs/>
                <w:sz w:val="20"/>
                <w:szCs w:val="20"/>
              </w:rPr>
            </w:pPr>
            <w:r w:rsidRPr="00B07FB9">
              <w:rPr>
                <w:rFonts w:ascii="Arial Narrow" w:hAnsi="Arial Narrow"/>
                <w:sz w:val="20"/>
                <w:szCs w:val="20"/>
              </w:rPr>
              <w:t>Patient must have previously received PBS-subsidised treatment with this drug as first line maintenance therapy for this condition</w:t>
            </w:r>
          </w:p>
        </w:tc>
      </w:tr>
      <w:tr w:rsidR="003844ED" w:rsidRPr="00B07FB9" w14:paraId="26C34B4C"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5DEAAF90" w14:textId="77777777" w:rsidR="003844ED" w:rsidRPr="00B07FB9" w:rsidRDefault="003844ED" w:rsidP="00012EFA">
            <w:pPr>
              <w:jc w:val="center"/>
              <w:rPr>
                <w:rFonts w:ascii="Arial Narrow" w:hAnsi="Arial Narrow"/>
                <w:sz w:val="20"/>
                <w:szCs w:val="20"/>
              </w:rPr>
            </w:pPr>
          </w:p>
        </w:tc>
        <w:tc>
          <w:tcPr>
            <w:tcW w:w="4459" w:type="pct"/>
            <w:gridSpan w:val="6"/>
            <w:vAlign w:val="center"/>
          </w:tcPr>
          <w:p w14:paraId="0F5E111D"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AND</w:t>
            </w:r>
          </w:p>
        </w:tc>
      </w:tr>
      <w:tr w:rsidR="003844ED" w:rsidRPr="00B07FB9" w14:paraId="62BD2222"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hideMark/>
          </w:tcPr>
          <w:p w14:paraId="2D2C5A35"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7890</w:t>
            </w:r>
          </w:p>
        </w:tc>
        <w:tc>
          <w:tcPr>
            <w:tcW w:w="4459" w:type="pct"/>
            <w:gridSpan w:val="6"/>
            <w:vAlign w:val="center"/>
            <w:hideMark/>
          </w:tcPr>
          <w:p w14:paraId="198D748E" w14:textId="77777777" w:rsidR="003844ED" w:rsidRPr="00B07FB9" w:rsidRDefault="003844ED" w:rsidP="00012EFA">
            <w:pPr>
              <w:rPr>
                <w:rFonts w:ascii="Arial Narrow" w:hAnsi="Arial Narrow"/>
                <w:sz w:val="20"/>
                <w:szCs w:val="20"/>
              </w:rPr>
            </w:pPr>
            <w:r w:rsidRPr="00B07FB9">
              <w:rPr>
                <w:rFonts w:ascii="Arial Narrow" w:hAnsi="Arial Narrow"/>
                <w:b/>
                <w:bCs/>
                <w:sz w:val="20"/>
                <w:szCs w:val="20"/>
              </w:rPr>
              <w:t xml:space="preserve">Clinical criteria: </w:t>
            </w:r>
          </w:p>
        </w:tc>
      </w:tr>
      <w:tr w:rsidR="003844ED" w:rsidRPr="00B07FB9" w14:paraId="658C2F39"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0CD3552F"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7889</w:t>
            </w:r>
          </w:p>
        </w:tc>
        <w:tc>
          <w:tcPr>
            <w:tcW w:w="4459" w:type="pct"/>
            <w:gridSpan w:val="6"/>
            <w:vAlign w:val="center"/>
          </w:tcPr>
          <w:p w14:paraId="2277B5F5" w14:textId="5BDE29E4" w:rsidR="003844ED" w:rsidRPr="00B07FB9" w:rsidRDefault="003844ED" w:rsidP="00A00788">
            <w:pPr>
              <w:spacing w:before="20" w:after="20"/>
              <w:rPr>
                <w:rFonts w:ascii="Arial Narrow" w:hAnsi="Arial Narrow"/>
                <w:sz w:val="20"/>
                <w:szCs w:val="20"/>
              </w:rPr>
            </w:pPr>
            <w:r w:rsidRPr="00B07FB9">
              <w:rPr>
                <w:rFonts w:ascii="Arial Narrow" w:hAnsi="Arial Narrow"/>
                <w:sz w:val="20"/>
                <w:szCs w:val="20"/>
              </w:rPr>
              <w:t>The treatment must be the sole PBS-subsidised therapy for this condition,</w:t>
            </w:r>
          </w:p>
        </w:tc>
      </w:tr>
      <w:tr w:rsidR="003844ED" w:rsidRPr="00B07FB9" w14:paraId="132AD725"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4DFC98E3" w14:textId="77777777" w:rsidR="003844ED" w:rsidRPr="00B07FB9" w:rsidRDefault="003844ED" w:rsidP="00012EFA">
            <w:pPr>
              <w:jc w:val="center"/>
              <w:rPr>
                <w:rFonts w:ascii="Arial Narrow" w:hAnsi="Arial Narrow"/>
                <w:sz w:val="20"/>
                <w:szCs w:val="20"/>
              </w:rPr>
            </w:pPr>
          </w:p>
        </w:tc>
        <w:tc>
          <w:tcPr>
            <w:tcW w:w="4459" w:type="pct"/>
            <w:gridSpan w:val="6"/>
            <w:vAlign w:val="center"/>
            <w:hideMark/>
          </w:tcPr>
          <w:p w14:paraId="6E822DFB" w14:textId="77777777" w:rsidR="003844ED" w:rsidRPr="00B07FB9" w:rsidRDefault="003844ED" w:rsidP="00012EFA">
            <w:pPr>
              <w:rPr>
                <w:rFonts w:ascii="Arial Narrow" w:hAnsi="Arial Narrow"/>
                <w:sz w:val="20"/>
                <w:szCs w:val="20"/>
              </w:rPr>
            </w:pPr>
            <w:r w:rsidRPr="00B07FB9">
              <w:rPr>
                <w:rFonts w:ascii="Arial Narrow" w:hAnsi="Arial Narrow"/>
                <w:b/>
                <w:bCs/>
                <w:sz w:val="20"/>
                <w:szCs w:val="20"/>
              </w:rPr>
              <w:t>AND</w:t>
            </w:r>
          </w:p>
        </w:tc>
      </w:tr>
      <w:tr w:rsidR="003844ED" w:rsidRPr="00B07FB9" w14:paraId="7B5892E8"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6D8C5BB7"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21513</w:t>
            </w:r>
          </w:p>
        </w:tc>
        <w:tc>
          <w:tcPr>
            <w:tcW w:w="4459" w:type="pct"/>
            <w:gridSpan w:val="6"/>
            <w:vAlign w:val="center"/>
          </w:tcPr>
          <w:p w14:paraId="3CA75AF1"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Clinical criteria:</w:t>
            </w:r>
          </w:p>
        </w:tc>
      </w:tr>
      <w:tr w:rsidR="003844ED" w:rsidRPr="00B07FB9" w14:paraId="73426D76"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1008D9CD"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21512</w:t>
            </w:r>
          </w:p>
        </w:tc>
        <w:tc>
          <w:tcPr>
            <w:tcW w:w="4459" w:type="pct"/>
            <w:gridSpan w:val="6"/>
            <w:vAlign w:val="center"/>
            <w:hideMark/>
          </w:tcPr>
          <w:p w14:paraId="3E984957" w14:textId="77777777" w:rsidR="003844ED" w:rsidRPr="00B07FB9" w:rsidRDefault="003844ED" w:rsidP="00012EFA">
            <w:pPr>
              <w:rPr>
                <w:rFonts w:ascii="Arial Narrow" w:hAnsi="Arial Narrow"/>
                <w:sz w:val="20"/>
                <w:szCs w:val="20"/>
              </w:rPr>
            </w:pPr>
            <w:r w:rsidRPr="00B07FB9">
              <w:rPr>
                <w:rFonts w:ascii="Arial Narrow" w:hAnsi="Arial Narrow"/>
                <w:sz w:val="20"/>
                <w:szCs w:val="20"/>
              </w:rPr>
              <w:t>Patient must not have developed disease progression while receiving treatment with this drug for this condition</w:t>
            </w:r>
          </w:p>
        </w:tc>
      </w:tr>
      <w:tr w:rsidR="003844ED" w:rsidRPr="00B07FB9" w14:paraId="43043348"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566E466C" w14:textId="77777777" w:rsidR="003844ED" w:rsidRPr="00B07FB9" w:rsidRDefault="003844ED" w:rsidP="00012EFA">
            <w:pPr>
              <w:jc w:val="center"/>
              <w:rPr>
                <w:rFonts w:ascii="Arial Narrow" w:hAnsi="Arial Narrow"/>
                <w:sz w:val="20"/>
                <w:szCs w:val="20"/>
              </w:rPr>
            </w:pPr>
          </w:p>
        </w:tc>
        <w:tc>
          <w:tcPr>
            <w:tcW w:w="4459" w:type="pct"/>
            <w:gridSpan w:val="6"/>
            <w:vAlign w:val="center"/>
          </w:tcPr>
          <w:p w14:paraId="5F906F21" w14:textId="77777777" w:rsidR="003844ED" w:rsidRPr="00B07FB9" w:rsidRDefault="003844ED" w:rsidP="00012EFA">
            <w:pPr>
              <w:rPr>
                <w:rFonts w:ascii="Arial Narrow" w:hAnsi="Arial Narrow"/>
                <w:sz w:val="20"/>
                <w:szCs w:val="20"/>
              </w:rPr>
            </w:pPr>
            <w:r w:rsidRPr="00B07FB9">
              <w:rPr>
                <w:rFonts w:ascii="Arial Narrow" w:hAnsi="Arial Narrow"/>
                <w:b/>
                <w:bCs/>
                <w:sz w:val="20"/>
                <w:szCs w:val="20"/>
              </w:rPr>
              <w:t>AND</w:t>
            </w:r>
          </w:p>
        </w:tc>
      </w:tr>
      <w:tr w:rsidR="003844ED" w:rsidRPr="00B07FB9" w14:paraId="3A74FD19"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13303962" w14:textId="77777777" w:rsidR="003844ED" w:rsidRPr="00B07FB9" w:rsidRDefault="003844ED" w:rsidP="00012EFA">
            <w:pPr>
              <w:jc w:val="center"/>
              <w:rPr>
                <w:rFonts w:ascii="Arial Narrow" w:hAnsi="Arial Narrow"/>
                <w:sz w:val="20"/>
                <w:szCs w:val="20"/>
              </w:rPr>
            </w:pPr>
          </w:p>
        </w:tc>
        <w:tc>
          <w:tcPr>
            <w:tcW w:w="4459" w:type="pct"/>
            <w:gridSpan w:val="6"/>
            <w:vAlign w:val="center"/>
          </w:tcPr>
          <w:p w14:paraId="3C16317B" w14:textId="77777777" w:rsidR="003844ED" w:rsidRPr="00B07FB9" w:rsidRDefault="003844ED" w:rsidP="00012EFA">
            <w:pPr>
              <w:rPr>
                <w:rFonts w:ascii="Arial Narrow" w:hAnsi="Arial Narrow"/>
                <w:sz w:val="20"/>
                <w:szCs w:val="20"/>
              </w:rPr>
            </w:pPr>
            <w:r w:rsidRPr="00B07FB9">
              <w:rPr>
                <w:rFonts w:ascii="Arial Narrow" w:hAnsi="Arial Narrow"/>
                <w:b/>
                <w:bCs/>
                <w:sz w:val="20"/>
                <w:szCs w:val="20"/>
              </w:rPr>
              <w:t>Clinical criteria:</w:t>
            </w:r>
          </w:p>
        </w:tc>
      </w:tr>
      <w:tr w:rsidR="003844ED" w:rsidRPr="00B07FB9" w14:paraId="458B351E" w14:textId="77777777" w:rsidTr="002122F4">
        <w:tblPrEx>
          <w:tblCellMar>
            <w:top w:w="15" w:type="dxa"/>
            <w:left w:w="15" w:type="dxa"/>
            <w:bottom w:w="15" w:type="dxa"/>
            <w:right w:w="15" w:type="dxa"/>
          </w:tblCellMar>
          <w:tblLook w:val="04A0" w:firstRow="1" w:lastRow="0" w:firstColumn="1" w:lastColumn="0" w:noHBand="0" w:noVBand="1"/>
        </w:tblPrEx>
        <w:tc>
          <w:tcPr>
            <w:tcW w:w="541" w:type="pct"/>
            <w:vAlign w:val="center"/>
          </w:tcPr>
          <w:p w14:paraId="351E7183"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NEW CC1</w:t>
            </w:r>
          </w:p>
        </w:tc>
        <w:tc>
          <w:tcPr>
            <w:tcW w:w="4459" w:type="pct"/>
            <w:gridSpan w:val="6"/>
            <w:vAlign w:val="center"/>
          </w:tcPr>
          <w:p w14:paraId="6BF588BA" w14:textId="77777777" w:rsidR="003844ED" w:rsidRPr="00B07FB9" w:rsidRDefault="003844ED" w:rsidP="00012EFA">
            <w:pPr>
              <w:rPr>
                <w:rFonts w:ascii="Arial Narrow" w:hAnsi="Arial Narrow"/>
                <w:sz w:val="20"/>
                <w:szCs w:val="20"/>
              </w:rPr>
            </w:pPr>
            <w:r w:rsidRPr="00B07FB9">
              <w:rPr>
                <w:rFonts w:ascii="Arial Narrow" w:eastAsia="Calibri" w:hAnsi="Arial Narrow"/>
                <w:iCs/>
                <w:sz w:val="20"/>
                <w:szCs w:val="20"/>
              </w:rPr>
              <w:t>The treatment must not exceed a total of 36 months of combined non-PBS-subsidised/PBS-subsidised treatment for patients who are in complete response</w:t>
            </w:r>
          </w:p>
        </w:tc>
      </w:tr>
      <w:tr w:rsidR="003844ED" w:rsidRPr="00B07FB9" w14:paraId="70D1B6F2" w14:textId="77777777" w:rsidTr="00EC5249">
        <w:tblPrEx>
          <w:tblCellMar>
            <w:top w:w="15" w:type="dxa"/>
            <w:left w:w="15" w:type="dxa"/>
            <w:bottom w:w="15" w:type="dxa"/>
            <w:right w:w="15" w:type="dxa"/>
          </w:tblCellMar>
          <w:tblLook w:val="04A0" w:firstRow="1" w:lastRow="0" w:firstColumn="1" w:lastColumn="0" w:noHBand="0" w:noVBand="1"/>
        </w:tblPrEx>
        <w:tc>
          <w:tcPr>
            <w:tcW w:w="541" w:type="pct"/>
            <w:tcBorders>
              <w:bottom w:val="single" w:sz="4" w:space="0" w:color="auto"/>
            </w:tcBorders>
            <w:vAlign w:val="center"/>
          </w:tcPr>
          <w:p w14:paraId="088188F5"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25796</w:t>
            </w:r>
          </w:p>
        </w:tc>
        <w:tc>
          <w:tcPr>
            <w:tcW w:w="4459" w:type="pct"/>
            <w:gridSpan w:val="6"/>
            <w:tcBorders>
              <w:bottom w:val="single" w:sz="4" w:space="0" w:color="auto"/>
            </w:tcBorders>
            <w:vAlign w:val="center"/>
          </w:tcPr>
          <w:p w14:paraId="6C6FD64C" w14:textId="77777777" w:rsidR="003844ED" w:rsidRPr="00B07FB9" w:rsidRDefault="003844ED" w:rsidP="00012EFA">
            <w:pPr>
              <w:rPr>
                <w:rFonts w:ascii="Arial Narrow" w:hAnsi="Arial Narrow"/>
                <w:b/>
                <w:bCs/>
                <w:sz w:val="20"/>
                <w:szCs w:val="20"/>
              </w:rPr>
            </w:pPr>
            <w:r w:rsidRPr="00B07FB9">
              <w:rPr>
                <w:rFonts w:ascii="Arial Narrow" w:hAnsi="Arial Narrow"/>
                <w:b/>
                <w:bCs/>
                <w:sz w:val="20"/>
                <w:szCs w:val="20"/>
              </w:rPr>
              <w:t xml:space="preserve">Administrative Advice: </w:t>
            </w:r>
          </w:p>
          <w:p w14:paraId="197D23C3" w14:textId="77777777" w:rsidR="003844ED" w:rsidRPr="00B07FB9" w:rsidRDefault="003844ED" w:rsidP="00012EFA">
            <w:pPr>
              <w:rPr>
                <w:rFonts w:ascii="Arial Narrow" w:eastAsia="Calibri" w:hAnsi="Arial Narrow"/>
                <w:i/>
                <w:sz w:val="20"/>
                <w:szCs w:val="20"/>
              </w:rPr>
            </w:pPr>
            <w:r w:rsidRPr="00B07FB9">
              <w:rPr>
                <w:rFonts w:ascii="Arial Narrow" w:eastAsia="Calibri"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3844ED" w:rsidRPr="00B07FB9" w14:paraId="46AC2C62" w14:textId="77777777" w:rsidTr="00EC5249">
        <w:tblPrEx>
          <w:tblCellMar>
            <w:top w:w="15" w:type="dxa"/>
            <w:left w:w="15" w:type="dxa"/>
            <w:bottom w:w="15" w:type="dxa"/>
            <w:right w:w="15" w:type="dxa"/>
          </w:tblCellMar>
          <w:tblLook w:val="04A0" w:firstRow="1" w:lastRow="0" w:firstColumn="1" w:lastColumn="0" w:noHBand="0" w:noVBand="1"/>
        </w:tblPrEx>
        <w:tc>
          <w:tcPr>
            <w:tcW w:w="541" w:type="pct"/>
            <w:tcBorders>
              <w:bottom w:val="single" w:sz="4" w:space="0" w:color="auto"/>
            </w:tcBorders>
            <w:vAlign w:val="center"/>
          </w:tcPr>
          <w:p w14:paraId="6E1BDC38" w14:textId="77777777" w:rsidR="003844ED" w:rsidRPr="00B07FB9" w:rsidRDefault="003844ED" w:rsidP="00012EFA">
            <w:pPr>
              <w:jc w:val="center"/>
              <w:rPr>
                <w:rFonts w:ascii="Arial Narrow" w:hAnsi="Arial Narrow"/>
                <w:sz w:val="20"/>
                <w:szCs w:val="20"/>
              </w:rPr>
            </w:pPr>
            <w:r w:rsidRPr="00B07FB9">
              <w:rPr>
                <w:rFonts w:ascii="Arial Narrow" w:hAnsi="Arial Narrow"/>
                <w:sz w:val="20"/>
                <w:szCs w:val="20"/>
              </w:rPr>
              <w:t>7608</w:t>
            </w:r>
          </w:p>
        </w:tc>
        <w:tc>
          <w:tcPr>
            <w:tcW w:w="4459" w:type="pct"/>
            <w:gridSpan w:val="6"/>
            <w:tcBorders>
              <w:bottom w:val="single" w:sz="4" w:space="0" w:color="auto"/>
            </w:tcBorders>
            <w:vAlign w:val="center"/>
          </w:tcPr>
          <w:p w14:paraId="3DDC4768" w14:textId="77777777" w:rsidR="003844ED" w:rsidRPr="00B07FB9" w:rsidRDefault="003844ED" w:rsidP="00012EFA">
            <w:pPr>
              <w:rPr>
                <w:rFonts w:ascii="Arial Narrow" w:eastAsia="Calibri" w:hAnsi="Arial Narrow"/>
                <w:sz w:val="20"/>
                <w:szCs w:val="20"/>
              </w:rPr>
            </w:pPr>
            <w:r w:rsidRPr="00B07FB9">
              <w:rPr>
                <w:rFonts w:ascii="Arial Narrow" w:hAnsi="Arial Narrow"/>
                <w:b/>
                <w:bCs/>
                <w:sz w:val="20"/>
                <w:szCs w:val="20"/>
              </w:rPr>
              <w:t>Administrative Advice:</w:t>
            </w:r>
            <w:r w:rsidRPr="00B07FB9">
              <w:rPr>
                <w:rFonts w:ascii="Arial Narrow" w:hAnsi="Arial Narrow"/>
                <w:sz w:val="20"/>
                <w:szCs w:val="20"/>
              </w:rPr>
              <w:t xml:space="preserve"> Special Pricing Arrangements apply</w:t>
            </w:r>
          </w:p>
        </w:tc>
      </w:tr>
    </w:tbl>
    <w:p w14:paraId="79B45F7C" w14:textId="64990622" w:rsidR="003844ED" w:rsidRPr="00B07FB9" w:rsidRDefault="003844ED" w:rsidP="003844ED">
      <w:pPr>
        <w:rPr>
          <w:b/>
          <w:snapToGrid w:val="0"/>
          <w:sz w:val="18"/>
          <w:szCs w:val="22"/>
        </w:rPr>
      </w:pPr>
    </w:p>
    <w:p w14:paraId="5D8D352B" w14:textId="01B95ED7" w:rsidR="001A180F" w:rsidRPr="00B07FB9" w:rsidRDefault="001A180F" w:rsidP="00EC5249">
      <w:pPr>
        <w:widowControl w:val="0"/>
        <w:numPr>
          <w:ilvl w:val="1"/>
          <w:numId w:val="1"/>
        </w:numPr>
        <w:spacing w:after="120"/>
        <w:rPr>
          <w:rFonts w:asciiTheme="minorHAnsi" w:hAnsiTheme="minorHAnsi"/>
          <w:bCs/>
          <w:snapToGrid w:val="0"/>
        </w:rPr>
      </w:pPr>
      <w:r w:rsidRPr="00B07FB9">
        <w:rPr>
          <w:rFonts w:asciiTheme="minorHAnsi" w:hAnsiTheme="minorHAnsi"/>
          <w:bCs/>
          <w:snapToGrid w:val="0"/>
        </w:rPr>
        <w:t xml:space="preserve">Flow-on changes to first line </w:t>
      </w:r>
      <w:proofErr w:type="spellStart"/>
      <w:r w:rsidRPr="00B07FB9">
        <w:rPr>
          <w:rFonts w:asciiTheme="minorHAnsi" w:hAnsiTheme="minorHAnsi"/>
          <w:bCs/>
          <w:snapToGrid w:val="0"/>
        </w:rPr>
        <w:t>olaparib</w:t>
      </w:r>
      <w:proofErr w:type="spellEnd"/>
      <w:r w:rsidRPr="00B07FB9">
        <w:rPr>
          <w:rFonts w:asciiTheme="minorHAnsi" w:hAnsiTheme="minorHAnsi"/>
          <w:bCs/>
          <w:snapToGrid w:val="0"/>
        </w:rPr>
        <w:t xml:space="preserve"> initial listings (item numbers 12157W</w:t>
      </w:r>
      <w:r w:rsidR="00EC5249" w:rsidRPr="00B07FB9">
        <w:rPr>
          <w:rFonts w:asciiTheme="minorHAnsi" w:hAnsiTheme="minorHAnsi"/>
          <w:bCs/>
          <w:snapToGrid w:val="0"/>
        </w:rPr>
        <w:t xml:space="preserve"> (</w:t>
      </w:r>
      <w:r w:rsidR="00BC7197" w:rsidRPr="00B07FB9">
        <w:rPr>
          <w:rFonts w:asciiTheme="minorHAnsi" w:hAnsiTheme="minorHAnsi"/>
          <w:bCs/>
          <w:snapToGrid w:val="0"/>
        </w:rPr>
        <w:t>150</w:t>
      </w:r>
      <w:r w:rsidR="00BC7197">
        <w:rPr>
          <w:rFonts w:asciiTheme="minorHAnsi" w:hAnsiTheme="minorHAnsi"/>
          <w:bCs/>
          <w:snapToGrid w:val="0"/>
        </w:rPr>
        <w:t> </w:t>
      </w:r>
      <w:r w:rsidR="00EC5249" w:rsidRPr="00B07FB9">
        <w:rPr>
          <w:rFonts w:asciiTheme="minorHAnsi" w:hAnsiTheme="minorHAnsi"/>
          <w:bCs/>
          <w:snapToGrid w:val="0"/>
        </w:rPr>
        <w:t>mg tablet)</w:t>
      </w:r>
      <w:r w:rsidRPr="00B07FB9">
        <w:rPr>
          <w:rFonts w:asciiTheme="minorHAnsi" w:hAnsiTheme="minorHAnsi"/>
          <w:bCs/>
          <w:snapToGrid w:val="0"/>
        </w:rPr>
        <w:t xml:space="preserve"> and 12170M</w:t>
      </w:r>
      <w:r w:rsidR="00EC5249" w:rsidRPr="00B07FB9">
        <w:rPr>
          <w:rFonts w:asciiTheme="minorHAnsi" w:hAnsiTheme="minorHAnsi"/>
          <w:bCs/>
          <w:snapToGrid w:val="0"/>
        </w:rPr>
        <w:t xml:space="preserve"> (</w:t>
      </w:r>
      <w:r w:rsidR="00BC7197" w:rsidRPr="00B07FB9">
        <w:rPr>
          <w:rFonts w:asciiTheme="minorHAnsi" w:hAnsiTheme="minorHAnsi"/>
          <w:bCs/>
          <w:snapToGrid w:val="0"/>
        </w:rPr>
        <w:t>100</w:t>
      </w:r>
      <w:r w:rsidR="00BC7197">
        <w:rPr>
          <w:rFonts w:asciiTheme="minorHAnsi" w:hAnsiTheme="minorHAnsi"/>
          <w:bCs/>
          <w:snapToGrid w:val="0"/>
        </w:rPr>
        <w:t> </w:t>
      </w:r>
      <w:r w:rsidR="00EC5249" w:rsidRPr="00B07FB9">
        <w:rPr>
          <w:rFonts w:asciiTheme="minorHAnsi" w:hAnsiTheme="minorHAnsi"/>
          <w:bCs/>
          <w:snapToGrid w:val="0"/>
        </w:rPr>
        <w:t>mg tablet)</w:t>
      </w:r>
      <w:r w:rsidRPr="00B07FB9">
        <w:rPr>
          <w:rFonts w:asciiTheme="minorHAnsi" w:hAnsiTheme="minorHAnsi"/>
          <w:bCs/>
          <w:snapToGrid w:val="0"/>
        </w:rPr>
        <w:t>) add</w:t>
      </w:r>
      <w:r w:rsidR="001F765E" w:rsidRPr="00B07FB9">
        <w:rPr>
          <w:rFonts w:asciiTheme="minorHAnsi" w:hAnsiTheme="minorHAnsi"/>
          <w:bCs/>
          <w:snapToGrid w:val="0"/>
        </w:rPr>
        <w:t xml:space="preserve"> new Treatment criteria and a NOTE to the existing text as follows</w:t>
      </w:r>
      <w:r w:rsidRPr="00B07FB9">
        <w:rPr>
          <w:rFonts w:asciiTheme="minorHAnsi" w:hAnsiTheme="minorHAnsi"/>
          <w:bCs/>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7"/>
        <w:gridCol w:w="8040"/>
      </w:tblGrid>
      <w:tr w:rsidR="001A180F" w:rsidRPr="00B07FB9" w14:paraId="356BB2ED" w14:textId="77777777" w:rsidTr="00BF07BF">
        <w:tc>
          <w:tcPr>
            <w:tcW w:w="542" w:type="pct"/>
            <w:vAlign w:val="center"/>
          </w:tcPr>
          <w:p w14:paraId="11ABB936" w14:textId="77777777" w:rsidR="001A180F" w:rsidRPr="00B07FB9" w:rsidRDefault="001A180F" w:rsidP="00BF07BF">
            <w:pPr>
              <w:jc w:val="center"/>
              <w:rPr>
                <w:rFonts w:ascii="Arial Narrow" w:hAnsi="Arial Narrow"/>
                <w:sz w:val="20"/>
                <w:szCs w:val="20"/>
              </w:rPr>
            </w:pPr>
          </w:p>
        </w:tc>
        <w:tc>
          <w:tcPr>
            <w:tcW w:w="4458" w:type="pct"/>
            <w:vAlign w:val="center"/>
          </w:tcPr>
          <w:p w14:paraId="03ECFB27" w14:textId="77777777" w:rsidR="001A180F" w:rsidRPr="00B07FB9" w:rsidRDefault="001A180F" w:rsidP="00BF07BF">
            <w:pPr>
              <w:spacing w:before="20" w:after="20"/>
              <w:rPr>
                <w:rFonts w:ascii="Arial Narrow" w:hAnsi="Arial Narrow"/>
                <w:b/>
                <w:bCs/>
                <w:sz w:val="20"/>
                <w:szCs w:val="20"/>
              </w:rPr>
            </w:pPr>
            <w:r w:rsidRPr="00B07FB9">
              <w:rPr>
                <w:rFonts w:ascii="Arial Narrow" w:hAnsi="Arial Narrow"/>
                <w:b/>
                <w:bCs/>
                <w:sz w:val="20"/>
                <w:szCs w:val="20"/>
              </w:rPr>
              <w:t>Treatment criteria:</w:t>
            </w:r>
          </w:p>
        </w:tc>
      </w:tr>
      <w:tr w:rsidR="001A180F" w:rsidRPr="00B07FB9" w14:paraId="49638416" w14:textId="77777777" w:rsidTr="00BF07BF">
        <w:tc>
          <w:tcPr>
            <w:tcW w:w="542" w:type="pct"/>
            <w:vAlign w:val="center"/>
          </w:tcPr>
          <w:p w14:paraId="7FBC0AEE" w14:textId="77777777" w:rsidR="001A180F" w:rsidRPr="00B07FB9" w:rsidRDefault="001A180F" w:rsidP="00BF07BF">
            <w:pPr>
              <w:jc w:val="center"/>
              <w:rPr>
                <w:rFonts w:ascii="Arial Narrow" w:hAnsi="Arial Narrow"/>
                <w:sz w:val="20"/>
                <w:szCs w:val="20"/>
              </w:rPr>
            </w:pPr>
            <w:r w:rsidRPr="00B07FB9">
              <w:rPr>
                <w:rFonts w:ascii="Arial Narrow" w:hAnsi="Arial Narrow"/>
                <w:sz w:val="20"/>
                <w:szCs w:val="20"/>
              </w:rPr>
              <w:t>New TC1</w:t>
            </w:r>
          </w:p>
        </w:tc>
        <w:tc>
          <w:tcPr>
            <w:tcW w:w="4458" w:type="pct"/>
            <w:vAlign w:val="center"/>
          </w:tcPr>
          <w:p w14:paraId="6BFC4EAF" w14:textId="77777777" w:rsidR="001A180F" w:rsidRPr="00B07FB9" w:rsidRDefault="001A180F" w:rsidP="00BF07BF">
            <w:pPr>
              <w:spacing w:before="20" w:after="20"/>
              <w:rPr>
                <w:rFonts w:ascii="Arial Narrow" w:hAnsi="Arial Narrow"/>
                <w:sz w:val="20"/>
                <w:szCs w:val="20"/>
              </w:rPr>
            </w:pPr>
            <w:r w:rsidRPr="00B07FB9">
              <w:rPr>
                <w:rFonts w:ascii="Arial Narrow" w:hAnsi="Arial Narrow"/>
                <w:sz w:val="20"/>
                <w:szCs w:val="20"/>
              </w:rPr>
              <w:t>Patient must be undergoing treatment with this drug class for the first time; or</w:t>
            </w:r>
          </w:p>
        </w:tc>
      </w:tr>
      <w:tr w:rsidR="001A180F" w:rsidRPr="00B07FB9" w14:paraId="4E3D0CBF" w14:textId="77777777" w:rsidTr="00BF07BF">
        <w:tc>
          <w:tcPr>
            <w:tcW w:w="542" w:type="pct"/>
            <w:vAlign w:val="center"/>
          </w:tcPr>
          <w:p w14:paraId="09CF2B38" w14:textId="77777777" w:rsidR="001A180F" w:rsidRPr="00B07FB9" w:rsidRDefault="001A180F" w:rsidP="00BF07BF">
            <w:pPr>
              <w:jc w:val="center"/>
              <w:rPr>
                <w:rFonts w:ascii="Arial Narrow" w:hAnsi="Arial Narrow"/>
                <w:sz w:val="20"/>
                <w:szCs w:val="20"/>
              </w:rPr>
            </w:pPr>
            <w:r w:rsidRPr="00B07FB9">
              <w:rPr>
                <w:rFonts w:ascii="Arial Narrow" w:hAnsi="Arial Narrow"/>
                <w:sz w:val="20"/>
                <w:szCs w:val="20"/>
              </w:rPr>
              <w:t>New TC2</w:t>
            </w:r>
          </w:p>
        </w:tc>
        <w:tc>
          <w:tcPr>
            <w:tcW w:w="4458" w:type="pct"/>
            <w:vAlign w:val="center"/>
          </w:tcPr>
          <w:p w14:paraId="6BB9B40B" w14:textId="77777777" w:rsidR="001A180F" w:rsidRPr="00B07FB9" w:rsidRDefault="001A180F" w:rsidP="00BF07BF">
            <w:pPr>
              <w:spacing w:before="20" w:after="20"/>
              <w:rPr>
                <w:rFonts w:ascii="Arial Narrow" w:hAnsi="Arial Narrow"/>
                <w:sz w:val="20"/>
                <w:szCs w:val="20"/>
              </w:rPr>
            </w:pPr>
            <w:r w:rsidRPr="00B07FB9">
              <w:rPr>
                <w:rFonts w:ascii="Arial Narrow" w:hAnsi="Arial Narrow"/>
                <w:sz w:val="20"/>
                <w:szCs w:val="20"/>
              </w:rPr>
              <w:t>Patient must be undergoing treatment with this drug class on a subsequent occasion, but only because there was an intolerance/contraindication to another drug in the same class that required permanent treatment withdrawal</w:t>
            </w:r>
          </w:p>
        </w:tc>
      </w:tr>
      <w:tr w:rsidR="00210522" w:rsidRPr="00B07FB9" w14:paraId="5A9FBD61" w14:textId="77777777" w:rsidTr="000474E7">
        <w:tc>
          <w:tcPr>
            <w:tcW w:w="542" w:type="pct"/>
            <w:vAlign w:val="center"/>
          </w:tcPr>
          <w:p w14:paraId="21A2F8A5" w14:textId="77777777" w:rsidR="00210522" w:rsidRPr="00B07FB9" w:rsidRDefault="00210522" w:rsidP="000474E7">
            <w:pPr>
              <w:jc w:val="center"/>
              <w:rPr>
                <w:rFonts w:ascii="Arial Narrow" w:hAnsi="Arial Narrow"/>
                <w:sz w:val="18"/>
                <w:szCs w:val="18"/>
              </w:rPr>
            </w:pPr>
            <w:r w:rsidRPr="00B07FB9">
              <w:rPr>
                <w:rFonts w:ascii="Arial Narrow" w:hAnsi="Arial Narrow"/>
                <w:sz w:val="18"/>
                <w:szCs w:val="18"/>
              </w:rPr>
              <w:t>Insert</w:t>
            </w:r>
          </w:p>
          <w:p w14:paraId="0429A86A" w14:textId="77777777" w:rsidR="00210522" w:rsidRPr="00B07FB9" w:rsidRDefault="00210522" w:rsidP="000474E7">
            <w:pPr>
              <w:jc w:val="center"/>
              <w:rPr>
                <w:rFonts w:ascii="Arial Narrow" w:hAnsi="Arial Narrow"/>
                <w:sz w:val="18"/>
                <w:szCs w:val="18"/>
              </w:rPr>
            </w:pPr>
            <w:r w:rsidRPr="00B07FB9">
              <w:rPr>
                <w:rFonts w:ascii="Arial Narrow" w:hAnsi="Arial Narrow"/>
                <w:sz w:val="18"/>
                <w:szCs w:val="18"/>
              </w:rPr>
              <w:t>New AA1</w:t>
            </w:r>
          </w:p>
        </w:tc>
        <w:tc>
          <w:tcPr>
            <w:tcW w:w="4458" w:type="pct"/>
            <w:vAlign w:val="center"/>
          </w:tcPr>
          <w:p w14:paraId="4D2E8F26" w14:textId="77777777" w:rsidR="00210522" w:rsidRPr="00B07FB9" w:rsidRDefault="00210522" w:rsidP="000474E7">
            <w:pPr>
              <w:rPr>
                <w:rFonts w:ascii="Arial Narrow" w:hAnsi="Arial Narrow"/>
                <w:b/>
                <w:bCs/>
                <w:sz w:val="18"/>
                <w:szCs w:val="18"/>
              </w:rPr>
            </w:pPr>
            <w:r w:rsidRPr="00B07FB9">
              <w:rPr>
                <w:rFonts w:ascii="Arial Narrow" w:hAnsi="Arial Narrow"/>
                <w:b/>
                <w:bCs/>
                <w:sz w:val="18"/>
                <w:szCs w:val="18"/>
              </w:rPr>
              <w:t xml:space="preserve">Administrative Advice: </w:t>
            </w:r>
          </w:p>
          <w:p w14:paraId="0E3677D4" w14:textId="77777777" w:rsidR="00210522" w:rsidRPr="00B07FB9" w:rsidRDefault="00210522" w:rsidP="000474E7">
            <w:pPr>
              <w:spacing w:before="20" w:after="20"/>
              <w:rPr>
                <w:rFonts w:ascii="Arial Narrow" w:hAnsi="Arial Narrow"/>
                <w:sz w:val="18"/>
                <w:szCs w:val="18"/>
              </w:rPr>
            </w:pPr>
            <w:r w:rsidRPr="00B07FB9">
              <w:rPr>
                <w:rFonts w:ascii="Arial Narrow" w:hAnsi="Arial Narrow"/>
                <w:bCs/>
                <w:sz w:val="18"/>
                <w:szCs w:val="18"/>
              </w:rPr>
              <w:t xml:space="preserve">This drug belongs to the poly ADP ribose polymerase (PARP) inhibitor drug class. The restriction refers to the following PARP inhibitors: </w:t>
            </w:r>
            <w:proofErr w:type="spellStart"/>
            <w:r w:rsidRPr="00B07FB9">
              <w:rPr>
                <w:rFonts w:ascii="Arial Narrow" w:hAnsi="Arial Narrow"/>
                <w:bCs/>
                <w:sz w:val="18"/>
                <w:szCs w:val="18"/>
              </w:rPr>
              <w:t>olaparib</w:t>
            </w:r>
            <w:proofErr w:type="spellEnd"/>
            <w:r w:rsidRPr="00B07FB9">
              <w:rPr>
                <w:rFonts w:ascii="Arial Narrow" w:hAnsi="Arial Narrow"/>
                <w:bCs/>
                <w:sz w:val="18"/>
                <w:szCs w:val="18"/>
              </w:rPr>
              <w:t>, niraparib</w:t>
            </w:r>
          </w:p>
        </w:tc>
      </w:tr>
    </w:tbl>
    <w:p w14:paraId="3D8CF6D1" w14:textId="7B035703" w:rsidR="001A180F" w:rsidRDefault="001A180F" w:rsidP="00704F93">
      <w:pPr>
        <w:rPr>
          <w:b/>
          <w:snapToGrid w:val="0"/>
          <w:sz w:val="20"/>
          <w:szCs w:val="22"/>
        </w:rPr>
      </w:pPr>
    </w:p>
    <w:p w14:paraId="4A2DF950" w14:textId="5B6FA01D" w:rsidR="001D62C2" w:rsidRDefault="001D62C2" w:rsidP="00704F93">
      <w:pPr>
        <w:rPr>
          <w:rFonts w:asciiTheme="minorHAnsi" w:hAnsiTheme="minorHAnsi"/>
          <w:szCs w:val="22"/>
        </w:rPr>
      </w:pPr>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p>
    <w:p w14:paraId="4AECB39A" w14:textId="75B30424" w:rsidR="00BC7197" w:rsidRDefault="00BC7197" w:rsidP="00704F93">
      <w:pPr>
        <w:rPr>
          <w:rFonts w:asciiTheme="minorHAnsi" w:hAnsiTheme="minorHAnsi"/>
          <w:szCs w:val="22"/>
        </w:rPr>
      </w:pPr>
    </w:p>
    <w:p w14:paraId="1AE6364C" w14:textId="2A89CA9B" w:rsidR="00BC7197" w:rsidRDefault="00BC7197" w:rsidP="00BC7197">
      <w:pPr>
        <w:pStyle w:val="2-SectionHeading"/>
        <w:rPr>
          <w:bCs/>
          <w:sz w:val="24"/>
          <w:szCs w:val="22"/>
          <w:lang w:val="en-GB"/>
        </w:rPr>
      </w:pPr>
      <w:r>
        <w:t>Context for Decision</w:t>
      </w:r>
    </w:p>
    <w:p w14:paraId="0CBDC8F2" w14:textId="77777777" w:rsidR="00BC7197" w:rsidRDefault="00BC7197" w:rsidP="00BC7197">
      <w:pPr>
        <w:rPr>
          <w:lang w:val="en-GB"/>
        </w:rPr>
      </w:pPr>
      <w:r>
        <w:rPr>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w:t>
      </w:r>
      <w:r>
        <w:rPr>
          <w:lang w:val="en-GB"/>
        </w:rPr>
        <w:lastRenderedPageBreak/>
        <w:t>in which it should be made available through the PBS. The PBAC welcomes applications containing new information at any time.</w:t>
      </w:r>
    </w:p>
    <w:p w14:paraId="67D29C64" w14:textId="1CC81446" w:rsidR="00BC7197" w:rsidRDefault="00BC7197" w:rsidP="00BC7197">
      <w:pPr>
        <w:pStyle w:val="2-SectionHeading"/>
        <w:rPr>
          <w:rFonts w:cstheme="minorBidi"/>
        </w:rPr>
      </w:pPr>
      <w:r>
        <w:t>Sponsor’s Comment</w:t>
      </w:r>
    </w:p>
    <w:p w14:paraId="1D166ACA" w14:textId="58B8C3B6" w:rsidR="00F70C27" w:rsidRPr="00BE5146" w:rsidRDefault="00F70C27" w:rsidP="00BC7197">
      <w:pPr>
        <w:rPr>
          <w:szCs w:val="22"/>
        </w:rPr>
      </w:pPr>
      <w:r w:rsidRPr="00BE5146">
        <w:t>GSK welcomes the recommendation of niraparib for the treatment of high-grade epithelial ovarian, fallopian tube, or primary peritoneal cancer in patients with BRCA1/2 pathogenic gene variants, who are in response (complete response or partial response) to 1L platinum-based chemotherapy.</w:t>
      </w:r>
      <w:r w:rsidR="00BE5146">
        <w:t xml:space="preserve"> </w:t>
      </w:r>
      <w:r w:rsidR="0081522F">
        <w:t xml:space="preserve"> </w:t>
      </w:r>
      <w:r w:rsidR="0081522F" w:rsidRPr="0081522F">
        <w:t xml:space="preserve">GSK thanks the organisations and many individuals who provided their experience and support for the submission for women regardless of their </w:t>
      </w:r>
      <w:r w:rsidR="00063EC6">
        <w:t>genetic</w:t>
      </w:r>
      <w:r w:rsidR="0081522F">
        <w:t xml:space="preserve"> </w:t>
      </w:r>
      <w:r w:rsidR="0081522F" w:rsidRPr="0081522F">
        <w:t>status. Your contributions are a key part of the PBAC process.</w:t>
      </w:r>
    </w:p>
    <w:p w14:paraId="6FB2DA2D" w14:textId="77777777" w:rsidR="00BC7197" w:rsidRPr="00B07FB9" w:rsidRDefault="00BC7197" w:rsidP="00704F93">
      <w:pPr>
        <w:rPr>
          <w:b/>
          <w:snapToGrid w:val="0"/>
          <w:sz w:val="20"/>
          <w:szCs w:val="22"/>
        </w:rPr>
      </w:pPr>
    </w:p>
    <w:sectPr w:rsidR="00BC7197" w:rsidRPr="00B07FB9" w:rsidSect="003844ED">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5AE52" w14:textId="77777777" w:rsidR="00841C44" w:rsidRDefault="00841C44" w:rsidP="00124A51">
      <w:r>
        <w:separator/>
      </w:r>
    </w:p>
    <w:p w14:paraId="1BBD5429" w14:textId="77777777" w:rsidR="00841C44" w:rsidRDefault="00841C44"/>
  </w:endnote>
  <w:endnote w:type="continuationSeparator" w:id="0">
    <w:p w14:paraId="7AB69743" w14:textId="77777777" w:rsidR="00841C44" w:rsidRDefault="00841C44" w:rsidP="00124A51">
      <w:r>
        <w:continuationSeparator/>
      </w:r>
    </w:p>
    <w:p w14:paraId="49D5E4F1" w14:textId="77777777" w:rsidR="00841C44" w:rsidRDefault="00841C44"/>
  </w:endnote>
  <w:endnote w:type="continuationNotice" w:id="1">
    <w:p w14:paraId="40C1F6C2" w14:textId="77777777" w:rsidR="00841C44" w:rsidRDefault="00841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Nova Cond">
    <w:charset w:val="00"/>
    <w:family w:val="swiss"/>
    <w:pitch w:val="variable"/>
    <w:sig w:usb0="80000287" w:usb1="00000002"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33CE" w14:textId="77777777" w:rsidR="00841C44" w:rsidRDefault="00841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910B" w14:textId="77777777" w:rsidR="00841C44" w:rsidRPr="00D13A3E" w:rsidRDefault="00841C44" w:rsidP="00015886">
    <w:pPr>
      <w:ind w:right="360"/>
      <w:jc w:val="center"/>
      <w:rPr>
        <w:b/>
        <w:sz w:val="20"/>
      </w:rPr>
    </w:pPr>
  </w:p>
  <w:p w14:paraId="770C1AC6" w14:textId="15651B7B" w:rsidR="00841C44" w:rsidRPr="00C726A3" w:rsidRDefault="00841C44" w:rsidP="00015886">
    <w:pPr>
      <w:ind w:right="360"/>
      <w:jc w:val="center"/>
      <w:rPr>
        <w:b/>
        <w:bCs/>
      </w:rPr>
    </w:pPr>
    <w:r w:rsidRPr="00C726A3">
      <w:rPr>
        <w:b/>
        <w:bCs/>
      </w:rPr>
      <w:fldChar w:fldCharType="begin"/>
    </w:r>
    <w:r w:rsidRPr="00C726A3">
      <w:rPr>
        <w:b/>
        <w:bCs/>
      </w:rPr>
      <w:instrText xml:space="preserve"> PAGE   \* MERGEFORMAT </w:instrText>
    </w:r>
    <w:r w:rsidRPr="00C726A3">
      <w:rPr>
        <w:b/>
        <w:bCs/>
      </w:rPr>
      <w:fldChar w:fldCharType="separate"/>
    </w:r>
    <w:r>
      <w:rPr>
        <w:b/>
        <w:bCs/>
        <w:noProof/>
      </w:rPr>
      <w:t>30</w:t>
    </w:r>
    <w:r w:rsidRPr="00C726A3">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26BC6" w14:textId="77777777" w:rsidR="00841C44" w:rsidRDefault="00841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C523C" w14:textId="77777777" w:rsidR="00841C44" w:rsidRDefault="00841C44">
      <w:r>
        <w:separator/>
      </w:r>
    </w:p>
  </w:footnote>
  <w:footnote w:type="continuationSeparator" w:id="0">
    <w:p w14:paraId="10560BAB" w14:textId="77777777" w:rsidR="00841C44" w:rsidRDefault="00841C44" w:rsidP="00124A51">
      <w:r>
        <w:continuationSeparator/>
      </w:r>
    </w:p>
    <w:p w14:paraId="500A5631" w14:textId="77777777" w:rsidR="00841C44" w:rsidRDefault="00841C44"/>
  </w:footnote>
  <w:footnote w:type="continuationNotice" w:id="1">
    <w:p w14:paraId="174536C2" w14:textId="77777777" w:rsidR="00841C44" w:rsidRDefault="00841C44"/>
  </w:footnote>
  <w:footnote w:id="2">
    <w:p w14:paraId="79BEDE22" w14:textId="77777777" w:rsidR="00841C44" w:rsidRDefault="00841C44" w:rsidP="001B4E9C">
      <w:pPr>
        <w:pStyle w:val="FootnoteText"/>
      </w:pPr>
      <w:r>
        <w:rPr>
          <w:rStyle w:val="FootnoteReference"/>
        </w:rPr>
        <w:footnoteRef/>
      </w:r>
      <w:r>
        <w:t xml:space="preserve"> PFS-2 is defined as the </w:t>
      </w:r>
      <w:r w:rsidRPr="00B4158D">
        <w:t>time from randomisation to objective tumour progression on next-line treatment or death from any cause.</w:t>
      </w:r>
    </w:p>
  </w:footnote>
  <w:footnote w:id="3">
    <w:p w14:paraId="4A4B740E" w14:textId="2BE624D2" w:rsidR="00841C44" w:rsidRDefault="00841C44">
      <w:pPr>
        <w:pStyle w:val="FootnoteText"/>
      </w:pPr>
      <w:r>
        <w:rPr>
          <w:rStyle w:val="FootnoteReference"/>
        </w:rPr>
        <w:footnoteRef/>
      </w:r>
      <w:r>
        <w:t xml:space="preserve"> </w:t>
      </w:r>
      <w:r w:rsidRPr="001B6BA7">
        <w:t>Cytoreduction outcome: R0: defined as no visible residual disease; R1: defined as macroscopic residual disease with a maximal diameter of ≤1 cm; R2: defined as macroscopic residual disease with a maximal diameter of &gt;1 cm.</w:t>
      </w:r>
    </w:p>
  </w:footnote>
  <w:footnote w:id="4">
    <w:p w14:paraId="5907F631" w14:textId="00085164" w:rsidR="00841C44" w:rsidRDefault="00841C44">
      <w:pPr>
        <w:pStyle w:val="FootnoteText"/>
      </w:pPr>
      <w:r>
        <w:rPr>
          <w:rStyle w:val="FootnoteReference"/>
        </w:rPr>
        <w:footnoteRef/>
      </w:r>
      <w:r>
        <w:t xml:space="preserve"> </w:t>
      </w:r>
      <w:proofErr w:type="spellStart"/>
      <w:r w:rsidRPr="00ED7AB6">
        <w:rPr>
          <w:bCs/>
          <w:snapToGrid w:val="0"/>
          <w:sz w:val="16"/>
        </w:rPr>
        <w:t>Cherny</w:t>
      </w:r>
      <w:proofErr w:type="spellEnd"/>
      <w:r w:rsidRPr="00ED7AB6">
        <w:rPr>
          <w:bCs/>
          <w:snapToGrid w:val="0"/>
          <w:sz w:val="16"/>
        </w:rPr>
        <w:t xml:space="preserve"> NI, Dafni U, Bogaerts J, et al: ESMO-Magnitude of Clinical Benefit Scale version 1.1. Annals of Oncology 28:2340-2366, 2017</w:t>
      </w:r>
    </w:p>
  </w:footnote>
  <w:footnote w:id="5">
    <w:p w14:paraId="761A7613" w14:textId="36977A6A" w:rsidR="00841C44" w:rsidRDefault="00841C44">
      <w:pPr>
        <w:pStyle w:val="FootnoteText"/>
      </w:pPr>
      <w:r>
        <w:rPr>
          <w:rStyle w:val="FootnoteReference"/>
        </w:rPr>
        <w:footnoteRef/>
      </w:r>
      <w:r>
        <w:t xml:space="preserve"> In PRIMA, a total of 37 (0.5%) patients had their BRCA status not determined. These patients were not included for assessment of the effectiveness and safety of </w:t>
      </w:r>
      <w:r w:rsidRPr="007C26C4">
        <w:t>niraparib in the non-</w:t>
      </w:r>
      <w:proofErr w:type="spellStart"/>
      <w:r w:rsidRPr="007C26C4">
        <w:t>BRCAm</w:t>
      </w:r>
      <w:proofErr w:type="spellEnd"/>
      <w:r w:rsidRPr="007C26C4">
        <w:t xml:space="preserve"> </w:t>
      </w:r>
      <w:r>
        <w:t>patients or</w:t>
      </w:r>
      <w:r w:rsidRPr="007C26C4">
        <w:t xml:space="preserve"> </w:t>
      </w:r>
      <w:r>
        <w:t xml:space="preserve">in the </w:t>
      </w:r>
      <w:proofErr w:type="spellStart"/>
      <w:r w:rsidRPr="007C26C4">
        <w:t>BRCAm</w:t>
      </w:r>
      <w:proofErr w:type="spellEnd"/>
      <w:r w:rsidRPr="007C26C4">
        <w:t xml:space="preserve"> </w:t>
      </w:r>
      <w:r>
        <w:t>patients.</w:t>
      </w:r>
    </w:p>
  </w:footnote>
  <w:footnote w:id="6">
    <w:p w14:paraId="5D7CAF63" w14:textId="14B2427F" w:rsidR="00841C44" w:rsidRDefault="00841C44">
      <w:pPr>
        <w:pStyle w:val="FootnoteText"/>
      </w:pPr>
      <w:r>
        <w:rPr>
          <w:rStyle w:val="FootnoteReference"/>
        </w:rPr>
        <w:footnoteRef/>
      </w:r>
      <w:r>
        <w:t xml:space="preserve"> </w:t>
      </w:r>
      <w:r w:rsidRPr="001A636A">
        <w:t xml:space="preserve">Bucher HC, </w:t>
      </w:r>
      <w:proofErr w:type="spellStart"/>
      <w:r w:rsidRPr="001A636A">
        <w:t>Guyatt</w:t>
      </w:r>
      <w:proofErr w:type="spellEnd"/>
      <w:r w:rsidRPr="001A636A">
        <w:t xml:space="preserve"> GH, Griffith LE, Walter SD. The results of direct and indirect treatment comparisons in meta-analysis of randomized controlled trials. </w:t>
      </w:r>
      <w:r w:rsidRPr="001B6BA7">
        <w:rPr>
          <w:i/>
        </w:rPr>
        <w:t>Journal of clinical epidemiology</w:t>
      </w:r>
      <w:r w:rsidRPr="001A636A">
        <w:t>. 1997;50(6):683-91.</w:t>
      </w:r>
    </w:p>
  </w:footnote>
  <w:footnote w:id="7">
    <w:p w14:paraId="297AA04B" w14:textId="01AB6E79" w:rsidR="00841C44" w:rsidRDefault="00841C44">
      <w:pPr>
        <w:pStyle w:val="FootnoteText"/>
      </w:pPr>
      <w:r>
        <w:rPr>
          <w:rStyle w:val="FootnoteReference"/>
        </w:rPr>
        <w:footnoteRef/>
      </w:r>
      <w:r>
        <w:t xml:space="preserve"> Note that the indirect comparisons of niraparib vs. </w:t>
      </w:r>
      <w:proofErr w:type="spellStart"/>
      <w:r>
        <w:t>olaparib</w:t>
      </w:r>
      <w:proofErr w:type="spellEnd"/>
      <w:r>
        <w:t xml:space="preserve"> in the </w:t>
      </w:r>
      <w:proofErr w:type="spellStart"/>
      <w:r>
        <w:t>BRCAm</w:t>
      </w:r>
      <w:proofErr w:type="spellEnd"/>
      <w:r>
        <w:t xml:space="preserve"> population were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footnote>
  <w:footnote w:id="8">
    <w:p w14:paraId="2A2C1B2C" w14:textId="77777777" w:rsidR="00841C44" w:rsidRDefault="00841C44" w:rsidP="00CD623C">
      <w:pPr>
        <w:pStyle w:val="FootnoteText"/>
      </w:pPr>
      <w:r>
        <w:rPr>
          <w:rStyle w:val="FootnoteReference"/>
        </w:rPr>
        <w:footnoteRef/>
      </w:r>
      <w:r>
        <w:t xml:space="preserve"> </w:t>
      </w:r>
      <w:proofErr w:type="spellStart"/>
      <w:r w:rsidRPr="006F16AE">
        <w:t>Braicu</w:t>
      </w:r>
      <w:proofErr w:type="spellEnd"/>
      <w:r w:rsidRPr="006F16AE">
        <w:t xml:space="preserve"> EI, </w:t>
      </w:r>
      <w:proofErr w:type="spellStart"/>
      <w:r w:rsidRPr="006F16AE">
        <w:t>Pothuri</w:t>
      </w:r>
      <w:proofErr w:type="spellEnd"/>
      <w:r w:rsidRPr="006F16AE">
        <w:t xml:space="preserve"> B, </w:t>
      </w:r>
      <w:r>
        <w:rPr>
          <w:i/>
        </w:rPr>
        <w:t>et al</w:t>
      </w:r>
      <w:r w:rsidRPr="006F16AE">
        <w:t xml:space="preserve">. Efficacy of niraparib therapy in patients with newly diagnosed advanced ovarian cancer by </w:t>
      </w:r>
      <w:proofErr w:type="spellStart"/>
      <w:r w:rsidRPr="006F16AE">
        <w:t>BRCAwt</w:t>
      </w:r>
      <w:proofErr w:type="spellEnd"/>
      <w:r w:rsidRPr="006F16AE">
        <w:t xml:space="preserve"> status: Prima/engot-OV26/GOG-3012 study (abstract). </w:t>
      </w:r>
      <w:r w:rsidRPr="006F16AE">
        <w:rPr>
          <w:i/>
        </w:rPr>
        <w:t xml:space="preserve">International Journal of </w:t>
      </w:r>
      <w:proofErr w:type="spellStart"/>
      <w:r w:rsidRPr="006F16AE">
        <w:rPr>
          <w:i/>
        </w:rPr>
        <w:t>Gynecologic</w:t>
      </w:r>
      <w:proofErr w:type="spellEnd"/>
      <w:r w:rsidRPr="006F16AE">
        <w:rPr>
          <w:i/>
        </w:rPr>
        <w:t xml:space="preserve"> Cancer</w:t>
      </w:r>
      <w:r w:rsidRPr="006F16AE">
        <w:t>. 2020;30(Suppl 4):A125-A6.</w:t>
      </w:r>
    </w:p>
  </w:footnote>
  <w:footnote w:id="9">
    <w:p w14:paraId="4E5A69A7" w14:textId="59081E27" w:rsidR="00841C44" w:rsidRDefault="00841C44">
      <w:pPr>
        <w:pStyle w:val="FootnoteText"/>
      </w:pPr>
      <w:r>
        <w:rPr>
          <w:rStyle w:val="FootnoteReference"/>
        </w:rPr>
        <w:footnoteRef/>
      </w:r>
      <w:r>
        <w:t xml:space="preserve"> Note that these results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footnote>
  <w:footnote w:id="10">
    <w:p w14:paraId="0369A11F" w14:textId="78A3C013" w:rsidR="00841C44" w:rsidRDefault="00841C44">
      <w:pPr>
        <w:pStyle w:val="FootnoteText"/>
      </w:pPr>
      <w:r>
        <w:rPr>
          <w:rStyle w:val="FootnoteReference"/>
        </w:rPr>
        <w:footnoteRef/>
      </w:r>
      <w:r>
        <w:t xml:space="preserve"> Note that the indirect comparisons of niraparib vs. </w:t>
      </w:r>
      <w:proofErr w:type="spellStart"/>
      <w:r>
        <w:t>olaparib</w:t>
      </w:r>
      <w:proofErr w:type="spellEnd"/>
      <w:r>
        <w:t xml:space="preserve"> in the </w:t>
      </w:r>
      <w:proofErr w:type="spellStart"/>
      <w:r>
        <w:t>BRCAm</w:t>
      </w:r>
      <w:proofErr w:type="spellEnd"/>
      <w:r>
        <w:t xml:space="preserve"> population were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footnote>
  <w:footnote w:id="11">
    <w:p w14:paraId="51798EEF" w14:textId="0C80E3C8" w:rsidR="00841C44" w:rsidRDefault="00841C44">
      <w:pPr>
        <w:pStyle w:val="FootnoteText"/>
      </w:pPr>
      <w:r>
        <w:rPr>
          <w:rStyle w:val="FootnoteReference"/>
        </w:rPr>
        <w:footnoteRef/>
      </w:r>
      <w:r>
        <w:t xml:space="preserve"> </w:t>
      </w:r>
      <w:r w:rsidRPr="00C62E5A">
        <w:t xml:space="preserve">Banerjee S, Moore KN, </w:t>
      </w:r>
      <w:r w:rsidRPr="00C62E5A">
        <w:rPr>
          <w:i/>
        </w:rPr>
        <w:t>et al</w:t>
      </w:r>
      <w:r w:rsidRPr="00C62E5A">
        <w:t xml:space="preserve">. Maintenance </w:t>
      </w:r>
      <w:proofErr w:type="spellStart"/>
      <w:r w:rsidRPr="00C62E5A">
        <w:t>olaparib</w:t>
      </w:r>
      <w:proofErr w:type="spellEnd"/>
      <w:r w:rsidRPr="00C62E5A">
        <w:t xml:space="preserve"> for patients with newly diagnosed advanced ovarian cancer and a BRCA mutation (SOLO1/GOG 3004): 5-year follow-up of a randomised, double-blind, placebo-controlled, phase 3 trial. </w:t>
      </w:r>
      <w:r w:rsidRPr="00C62E5A">
        <w:rPr>
          <w:i/>
        </w:rPr>
        <w:t>The Lancet Oncology</w:t>
      </w:r>
      <w:r w:rsidRPr="00C62E5A">
        <w:t>. 2021;22(12):1721-31.</w:t>
      </w:r>
    </w:p>
  </w:footnote>
  <w:footnote w:id="12">
    <w:p w14:paraId="2CD1EFB9" w14:textId="522D1013" w:rsidR="00841C44" w:rsidRDefault="00841C44">
      <w:pPr>
        <w:pStyle w:val="FootnoteText"/>
      </w:pPr>
      <w:r>
        <w:rPr>
          <w:rStyle w:val="FootnoteReference"/>
        </w:rPr>
        <w:footnoteRef/>
      </w:r>
      <w:r>
        <w:t xml:space="preserve"> Note that the indirect comparisons of niraparib vs. </w:t>
      </w:r>
      <w:proofErr w:type="spellStart"/>
      <w:r>
        <w:t>olaparib</w:t>
      </w:r>
      <w:proofErr w:type="spellEnd"/>
      <w:r>
        <w:t xml:space="preserve"> in the </w:t>
      </w:r>
      <w:proofErr w:type="spellStart"/>
      <w:r>
        <w:t>BRCAm</w:t>
      </w:r>
      <w:proofErr w:type="spellEnd"/>
      <w:r>
        <w:t xml:space="preserve"> population were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footnote>
  <w:footnote w:id="13">
    <w:p w14:paraId="22A11FA7" w14:textId="3C663F1C" w:rsidR="00841C44" w:rsidRDefault="00841C44">
      <w:pPr>
        <w:pStyle w:val="FootnoteText"/>
      </w:pPr>
      <w:r>
        <w:rPr>
          <w:rStyle w:val="FootnoteReference"/>
        </w:rPr>
        <w:footnoteRef/>
      </w:r>
      <w:r>
        <w:t xml:space="preserve"> </w:t>
      </w:r>
      <w:r w:rsidRPr="00512D29">
        <w:t xml:space="preserve">the anchored indirect comparisons were </w:t>
      </w:r>
      <w:r>
        <w:t>presented in the re-submission</w:t>
      </w:r>
      <w:r w:rsidRPr="00512D29">
        <w:t xml:space="preserve"> specifically for the purposes of informing the PBAC consideration. Interpretation of the results and their application should therefore be limited to seeking to understand the basis for the PBAC outcome and should not be used for any other purpose</w:t>
      </w:r>
    </w:p>
  </w:footnote>
  <w:footnote w:id="14">
    <w:p w14:paraId="7C7F7AC1" w14:textId="7D1E211A" w:rsidR="00841C44" w:rsidRDefault="00841C44">
      <w:pPr>
        <w:pStyle w:val="FootnoteText"/>
      </w:pPr>
      <w:r>
        <w:rPr>
          <w:rStyle w:val="FootnoteReference"/>
        </w:rPr>
        <w:footnoteRef/>
      </w:r>
      <w:r>
        <w:t xml:space="preserve"> 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footnote>
  <w:footnote w:id="15">
    <w:p w14:paraId="1ED74C4B" w14:textId="6CFB80D1" w:rsidR="00841C44" w:rsidRDefault="00841C44">
      <w:pPr>
        <w:pStyle w:val="FootnoteText"/>
      </w:pPr>
      <w:r>
        <w:rPr>
          <w:rStyle w:val="FootnoteReference"/>
        </w:rPr>
        <w:footnoteRef/>
      </w:r>
      <w:r>
        <w:t xml:space="preserve"> 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footnote>
  <w:footnote w:id="16">
    <w:p w14:paraId="7A747031" w14:textId="363EC343" w:rsidR="00841C44" w:rsidRDefault="00841C44">
      <w:pPr>
        <w:pStyle w:val="FootnoteText"/>
      </w:pPr>
      <w:r>
        <w:rPr>
          <w:rStyle w:val="FootnoteReference"/>
        </w:rPr>
        <w:footnoteRef/>
      </w:r>
      <w:r>
        <w:t xml:space="preserve"> Note that the indirect comparisons of niraparib vs. </w:t>
      </w:r>
      <w:proofErr w:type="spellStart"/>
      <w:r>
        <w:t>olaparib</w:t>
      </w:r>
      <w:proofErr w:type="spellEnd"/>
      <w:r>
        <w:t xml:space="preserve"> in the </w:t>
      </w:r>
      <w:proofErr w:type="spellStart"/>
      <w:r>
        <w:t>BRCAm</w:t>
      </w:r>
      <w:proofErr w:type="spellEnd"/>
      <w:r>
        <w:t xml:space="preserve"> population were performed specifically for the purposes of informing the PBAC consideration.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C440E" w14:textId="77777777" w:rsidR="00841C44" w:rsidRDefault="00841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C9B44" w14:textId="14661CC6" w:rsidR="00841C44" w:rsidRPr="00C726A3" w:rsidRDefault="00841C44" w:rsidP="00C726A3">
    <w:pPr>
      <w:jc w:val="center"/>
      <w:rPr>
        <w:i/>
        <w:iCs/>
      </w:rPr>
    </w:pPr>
    <w:r>
      <w:rPr>
        <w:i/>
        <w:iCs/>
      </w:rPr>
      <w:t xml:space="preserve">Public Summary Document </w:t>
    </w:r>
    <w:r w:rsidRPr="00C726A3">
      <w:rPr>
        <w:i/>
        <w:iCs/>
      </w:rPr>
      <w:t>– March 2022 PBAC Meeting</w:t>
    </w:r>
  </w:p>
  <w:p w14:paraId="49A86BFC" w14:textId="77777777" w:rsidR="00841C44" w:rsidRDefault="00841C44" w:rsidP="00C726A3">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0CD2A" w14:textId="77777777" w:rsidR="00841C44" w:rsidRDefault="0084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DA0316"/>
    <w:lvl w:ilvl="0">
      <w:numFmt w:val="bullet"/>
      <w:lvlText w:val="-"/>
      <w:lvlJc w:val="left"/>
      <w:pPr>
        <w:ind w:left="720" w:hanging="360"/>
      </w:pPr>
      <w:rPr>
        <w:rFonts w:ascii="Times New Roman" w:eastAsia="Times New Roman" w:hAnsi="Times New Roman" w:cs="Times New Roman" w:hint="default"/>
      </w:rPr>
    </w:lvl>
  </w:abstractNum>
  <w:abstractNum w:abstractNumId="1" w15:restartNumberingAfterBreak="0">
    <w:nsid w:val="03586E4F"/>
    <w:multiLevelType w:val="hybridMultilevel"/>
    <w:tmpl w:val="4A7E1F74"/>
    <w:lvl w:ilvl="0" w:tplc="4ADA03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B1049"/>
    <w:multiLevelType w:val="hybridMultilevel"/>
    <w:tmpl w:val="CD887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0B437F"/>
    <w:multiLevelType w:val="hybridMultilevel"/>
    <w:tmpl w:val="4492FAE0"/>
    <w:lvl w:ilvl="0" w:tplc="4ADA03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211D31"/>
    <w:multiLevelType w:val="hybridMultilevel"/>
    <w:tmpl w:val="F488C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7128F4"/>
    <w:multiLevelType w:val="hybridMultilevel"/>
    <w:tmpl w:val="C0064DAE"/>
    <w:lvl w:ilvl="0" w:tplc="4ADA03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52359"/>
    <w:multiLevelType w:val="hybridMultilevel"/>
    <w:tmpl w:val="82683D76"/>
    <w:lvl w:ilvl="0" w:tplc="4ADA03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E17375"/>
    <w:multiLevelType w:val="multilevel"/>
    <w:tmpl w:val="4EC0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4B2BD5"/>
    <w:multiLevelType w:val="hybridMultilevel"/>
    <w:tmpl w:val="780E2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893518"/>
    <w:multiLevelType w:val="hybridMultilevel"/>
    <w:tmpl w:val="09F43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D24D49"/>
    <w:multiLevelType w:val="multilevel"/>
    <w:tmpl w:val="69CE7B6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DE41FF"/>
    <w:multiLevelType w:val="hybridMultilevel"/>
    <w:tmpl w:val="DB4EDEA8"/>
    <w:lvl w:ilvl="0" w:tplc="4ADA03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6A45C3"/>
    <w:multiLevelType w:val="multilevel"/>
    <w:tmpl w:val="02EED60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260A73"/>
    <w:multiLevelType w:val="hybridMultilevel"/>
    <w:tmpl w:val="800CC7FE"/>
    <w:lvl w:ilvl="0" w:tplc="4ADA03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BE7F1C"/>
    <w:multiLevelType w:val="hybridMultilevel"/>
    <w:tmpl w:val="6B68F1AA"/>
    <w:lvl w:ilvl="0" w:tplc="4ADA03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D033C"/>
    <w:multiLevelType w:val="multilevel"/>
    <w:tmpl w:val="6A42DC3E"/>
    <w:lvl w:ilvl="0">
      <w:start w:val="1"/>
      <w:numFmt w:val="decimal"/>
      <w:pStyle w:val="2-SectionHeading"/>
      <w:lvlText w:val="%1"/>
      <w:lvlJc w:val="left"/>
      <w:pPr>
        <w:ind w:left="720" w:hanging="720"/>
      </w:pPr>
      <w:rPr>
        <w:rFonts w:hint="default"/>
        <w:b/>
        <w:sz w:val="32"/>
        <w:szCs w:val="28"/>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9"/>
  </w:num>
  <w:num w:numId="3">
    <w:abstractNumId w:val="10"/>
  </w:num>
  <w:num w:numId="4">
    <w:abstractNumId w:val="0"/>
  </w:num>
  <w:num w:numId="5">
    <w:abstractNumId w:val="18"/>
  </w:num>
  <w:num w:numId="6">
    <w:abstractNumId w:val="7"/>
  </w:num>
  <w:num w:numId="7">
    <w:abstractNumId w:val="12"/>
  </w:num>
  <w:num w:numId="8">
    <w:abstractNumId w:val="13"/>
  </w:num>
  <w:num w:numId="9">
    <w:abstractNumId w:val="2"/>
  </w:num>
  <w:num w:numId="10">
    <w:abstractNumId w:val="11"/>
  </w:num>
  <w:num w:numId="11">
    <w:abstractNumId w:val="15"/>
  </w:num>
  <w:num w:numId="12">
    <w:abstractNumId w:val="4"/>
  </w:num>
  <w:num w:numId="13">
    <w:abstractNumId w:val="14"/>
  </w:num>
  <w:num w:numId="14">
    <w:abstractNumId w:val="16"/>
  </w:num>
  <w:num w:numId="15">
    <w:abstractNumId w:val="8"/>
  </w:num>
  <w:num w:numId="16">
    <w:abstractNumId w:val="17"/>
  </w:num>
  <w:num w:numId="17">
    <w:abstractNumId w:val="3"/>
  </w:num>
  <w:num w:numId="18">
    <w:abstractNumId w:val="6"/>
  </w:num>
  <w:num w:numId="19">
    <w:abstractNumId w:val="1"/>
  </w:num>
  <w:num w:numId="2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5zwrve5dtrelezp2rvfzdgpffpvw5sw5rr&quot;&gt;Niraparib endnote&lt;record-ids&gt;&lt;item&gt;6&lt;/item&gt;&lt;item&gt;7&lt;/item&gt;&lt;item&gt;9&lt;/item&gt;&lt;item&gt;16&lt;/item&gt;&lt;item&gt;18&lt;/item&gt;&lt;item&gt;20&lt;/item&gt;&lt;item&gt;44&lt;/item&gt;&lt;item&gt;50&lt;/item&gt;&lt;item&gt;56&lt;/item&gt;&lt;item&gt;60&lt;/item&gt;&lt;item&gt;62&lt;/item&gt;&lt;item&gt;63&lt;/item&gt;&lt;item&gt;67&lt;/item&gt;&lt;item&gt;69&lt;/item&gt;&lt;item&gt;72&lt;/item&gt;&lt;item&gt;76&lt;/item&gt;&lt;item&gt;85&lt;/item&gt;&lt;item&gt;86&lt;/item&gt;&lt;item&gt;87&lt;/item&gt;&lt;item&gt;88&lt;/item&gt;&lt;item&gt;89&lt;/item&gt;&lt;item&gt;95&lt;/item&gt;&lt;item&gt;101&lt;/item&gt;&lt;item&gt;102&lt;/item&gt;&lt;item&gt;106&lt;/item&gt;&lt;item&gt;107&lt;/item&gt;&lt;item&gt;109&lt;/item&gt;&lt;item&gt;110&lt;/item&gt;&lt;item&gt;111&lt;/item&gt;&lt;item&gt;112&lt;/item&gt;&lt;item&gt;113&lt;/item&gt;&lt;item&gt;114&lt;/item&gt;&lt;item&gt;116&lt;/item&gt;&lt;item&gt;117&lt;/item&gt;&lt;item&gt;118&lt;/item&gt;&lt;item&gt;119&lt;/item&gt;&lt;item&gt;120&lt;/item&gt;&lt;item&gt;121&lt;/item&gt;&lt;item&gt;122&lt;/item&gt;&lt;item&gt;123&lt;/item&gt;&lt;/record-ids&gt;&lt;/item&gt;&lt;/Libraries&gt;"/>
  </w:docVars>
  <w:rsids>
    <w:rsidRoot w:val="00E65E79"/>
    <w:rsid w:val="00000790"/>
    <w:rsid w:val="00000845"/>
    <w:rsid w:val="0000110B"/>
    <w:rsid w:val="00001E97"/>
    <w:rsid w:val="000025DA"/>
    <w:rsid w:val="00003499"/>
    <w:rsid w:val="000039B7"/>
    <w:rsid w:val="00003D75"/>
    <w:rsid w:val="00004638"/>
    <w:rsid w:val="00004770"/>
    <w:rsid w:val="0000639A"/>
    <w:rsid w:val="00006D61"/>
    <w:rsid w:val="000071A3"/>
    <w:rsid w:val="00007F07"/>
    <w:rsid w:val="00010EA0"/>
    <w:rsid w:val="00011D8D"/>
    <w:rsid w:val="00012DB4"/>
    <w:rsid w:val="00012EFA"/>
    <w:rsid w:val="00013247"/>
    <w:rsid w:val="00015886"/>
    <w:rsid w:val="000162EF"/>
    <w:rsid w:val="00016630"/>
    <w:rsid w:val="000168AA"/>
    <w:rsid w:val="00017DA4"/>
    <w:rsid w:val="000207C9"/>
    <w:rsid w:val="00020989"/>
    <w:rsid w:val="0002225F"/>
    <w:rsid w:val="00023763"/>
    <w:rsid w:val="00023EFB"/>
    <w:rsid w:val="000248E0"/>
    <w:rsid w:val="000249DE"/>
    <w:rsid w:val="000254F0"/>
    <w:rsid w:val="00025EFC"/>
    <w:rsid w:val="0002647D"/>
    <w:rsid w:val="000274B8"/>
    <w:rsid w:val="00027E7B"/>
    <w:rsid w:val="00031548"/>
    <w:rsid w:val="000325F1"/>
    <w:rsid w:val="00032CDB"/>
    <w:rsid w:val="0003350A"/>
    <w:rsid w:val="00033863"/>
    <w:rsid w:val="00034491"/>
    <w:rsid w:val="000356E3"/>
    <w:rsid w:val="00035DC0"/>
    <w:rsid w:val="0003643B"/>
    <w:rsid w:val="00036829"/>
    <w:rsid w:val="00040454"/>
    <w:rsid w:val="00040895"/>
    <w:rsid w:val="00040DFD"/>
    <w:rsid w:val="00041037"/>
    <w:rsid w:val="000416AD"/>
    <w:rsid w:val="000416C4"/>
    <w:rsid w:val="0004258D"/>
    <w:rsid w:val="000435EE"/>
    <w:rsid w:val="00043655"/>
    <w:rsid w:val="00043C37"/>
    <w:rsid w:val="00045017"/>
    <w:rsid w:val="00045A2B"/>
    <w:rsid w:val="00046055"/>
    <w:rsid w:val="0004698F"/>
    <w:rsid w:val="000474E7"/>
    <w:rsid w:val="00047A26"/>
    <w:rsid w:val="00050862"/>
    <w:rsid w:val="0005164B"/>
    <w:rsid w:val="0005202C"/>
    <w:rsid w:val="000520A6"/>
    <w:rsid w:val="000530EB"/>
    <w:rsid w:val="000539D0"/>
    <w:rsid w:val="00054621"/>
    <w:rsid w:val="00054671"/>
    <w:rsid w:val="000546D7"/>
    <w:rsid w:val="00056ECF"/>
    <w:rsid w:val="00056F61"/>
    <w:rsid w:val="0005729E"/>
    <w:rsid w:val="000604DF"/>
    <w:rsid w:val="00061D17"/>
    <w:rsid w:val="0006211B"/>
    <w:rsid w:val="0006243A"/>
    <w:rsid w:val="00062A9B"/>
    <w:rsid w:val="0006304D"/>
    <w:rsid w:val="00063EC6"/>
    <w:rsid w:val="00064E2D"/>
    <w:rsid w:val="000650A7"/>
    <w:rsid w:val="000653B5"/>
    <w:rsid w:val="00066360"/>
    <w:rsid w:val="000669B9"/>
    <w:rsid w:val="00066AF8"/>
    <w:rsid w:val="00066BC9"/>
    <w:rsid w:val="00066EED"/>
    <w:rsid w:val="00066FEF"/>
    <w:rsid w:val="00067327"/>
    <w:rsid w:val="00071248"/>
    <w:rsid w:val="000720B9"/>
    <w:rsid w:val="000723AC"/>
    <w:rsid w:val="000737F7"/>
    <w:rsid w:val="00074992"/>
    <w:rsid w:val="00076269"/>
    <w:rsid w:val="000765EC"/>
    <w:rsid w:val="0007672F"/>
    <w:rsid w:val="000769BF"/>
    <w:rsid w:val="00076B54"/>
    <w:rsid w:val="00076BB8"/>
    <w:rsid w:val="000773E4"/>
    <w:rsid w:val="000774F0"/>
    <w:rsid w:val="00080909"/>
    <w:rsid w:val="000812CA"/>
    <w:rsid w:val="00081E63"/>
    <w:rsid w:val="0008258D"/>
    <w:rsid w:val="00082BC9"/>
    <w:rsid w:val="00083DAD"/>
    <w:rsid w:val="00083E99"/>
    <w:rsid w:val="00084FA8"/>
    <w:rsid w:val="000856C5"/>
    <w:rsid w:val="00085C31"/>
    <w:rsid w:val="00086622"/>
    <w:rsid w:val="00087063"/>
    <w:rsid w:val="0009001B"/>
    <w:rsid w:val="000902D9"/>
    <w:rsid w:val="00090C7E"/>
    <w:rsid w:val="00092600"/>
    <w:rsid w:val="0009262B"/>
    <w:rsid w:val="00092A37"/>
    <w:rsid w:val="00093310"/>
    <w:rsid w:val="00093CD3"/>
    <w:rsid w:val="00093F35"/>
    <w:rsid w:val="0009445C"/>
    <w:rsid w:val="00095200"/>
    <w:rsid w:val="00095D22"/>
    <w:rsid w:val="00095FE5"/>
    <w:rsid w:val="00096284"/>
    <w:rsid w:val="00096826"/>
    <w:rsid w:val="000A0BE5"/>
    <w:rsid w:val="000A0EF1"/>
    <w:rsid w:val="000A0FA8"/>
    <w:rsid w:val="000A1BC0"/>
    <w:rsid w:val="000A2006"/>
    <w:rsid w:val="000A221D"/>
    <w:rsid w:val="000A34B1"/>
    <w:rsid w:val="000A37D4"/>
    <w:rsid w:val="000A39C4"/>
    <w:rsid w:val="000A409E"/>
    <w:rsid w:val="000A48E9"/>
    <w:rsid w:val="000A4C67"/>
    <w:rsid w:val="000A575F"/>
    <w:rsid w:val="000A6039"/>
    <w:rsid w:val="000A7453"/>
    <w:rsid w:val="000A7D08"/>
    <w:rsid w:val="000B0121"/>
    <w:rsid w:val="000B0670"/>
    <w:rsid w:val="000B0E75"/>
    <w:rsid w:val="000B241A"/>
    <w:rsid w:val="000B2DCB"/>
    <w:rsid w:val="000B4228"/>
    <w:rsid w:val="000B4469"/>
    <w:rsid w:val="000B4EF8"/>
    <w:rsid w:val="000B5CE0"/>
    <w:rsid w:val="000B65C7"/>
    <w:rsid w:val="000B6CAC"/>
    <w:rsid w:val="000B6F53"/>
    <w:rsid w:val="000B7612"/>
    <w:rsid w:val="000B78AE"/>
    <w:rsid w:val="000B7F81"/>
    <w:rsid w:val="000C1A30"/>
    <w:rsid w:val="000C2DDF"/>
    <w:rsid w:val="000C2DFD"/>
    <w:rsid w:val="000C3DF9"/>
    <w:rsid w:val="000C48E0"/>
    <w:rsid w:val="000C6600"/>
    <w:rsid w:val="000C6713"/>
    <w:rsid w:val="000C6AE9"/>
    <w:rsid w:val="000C6F49"/>
    <w:rsid w:val="000C7BA5"/>
    <w:rsid w:val="000D03C4"/>
    <w:rsid w:val="000D05A1"/>
    <w:rsid w:val="000D1BFC"/>
    <w:rsid w:val="000D1D5D"/>
    <w:rsid w:val="000D281A"/>
    <w:rsid w:val="000D2848"/>
    <w:rsid w:val="000D2FFA"/>
    <w:rsid w:val="000D31CB"/>
    <w:rsid w:val="000D326A"/>
    <w:rsid w:val="000D46D5"/>
    <w:rsid w:val="000D51FB"/>
    <w:rsid w:val="000E0640"/>
    <w:rsid w:val="000E135D"/>
    <w:rsid w:val="000E1794"/>
    <w:rsid w:val="000E439C"/>
    <w:rsid w:val="000E4B94"/>
    <w:rsid w:val="000E5958"/>
    <w:rsid w:val="000E59E3"/>
    <w:rsid w:val="000E6515"/>
    <w:rsid w:val="000F00BA"/>
    <w:rsid w:val="000F035A"/>
    <w:rsid w:val="000F0CF6"/>
    <w:rsid w:val="000F1D9F"/>
    <w:rsid w:val="000F22F8"/>
    <w:rsid w:val="000F316A"/>
    <w:rsid w:val="000F3B03"/>
    <w:rsid w:val="000F3C17"/>
    <w:rsid w:val="000F3C74"/>
    <w:rsid w:val="000F3ECF"/>
    <w:rsid w:val="000F4BB8"/>
    <w:rsid w:val="000F4FA9"/>
    <w:rsid w:val="000F53FB"/>
    <w:rsid w:val="000F5AA3"/>
    <w:rsid w:val="000F687E"/>
    <w:rsid w:val="000F7127"/>
    <w:rsid w:val="000F715C"/>
    <w:rsid w:val="000F71E2"/>
    <w:rsid w:val="000F752C"/>
    <w:rsid w:val="000F7A93"/>
    <w:rsid w:val="000F7B54"/>
    <w:rsid w:val="000F7B58"/>
    <w:rsid w:val="000F7EC7"/>
    <w:rsid w:val="00100F8A"/>
    <w:rsid w:val="00101E5E"/>
    <w:rsid w:val="001026DC"/>
    <w:rsid w:val="00103107"/>
    <w:rsid w:val="0010452E"/>
    <w:rsid w:val="001046E0"/>
    <w:rsid w:val="001047E3"/>
    <w:rsid w:val="00105200"/>
    <w:rsid w:val="001053A8"/>
    <w:rsid w:val="00105AE2"/>
    <w:rsid w:val="001060C6"/>
    <w:rsid w:val="0010645C"/>
    <w:rsid w:val="00106B80"/>
    <w:rsid w:val="0011032E"/>
    <w:rsid w:val="00112371"/>
    <w:rsid w:val="0011276D"/>
    <w:rsid w:val="0011348B"/>
    <w:rsid w:val="00115982"/>
    <w:rsid w:val="00116526"/>
    <w:rsid w:val="00116C53"/>
    <w:rsid w:val="0011769E"/>
    <w:rsid w:val="00117ADB"/>
    <w:rsid w:val="00117E81"/>
    <w:rsid w:val="00120A4B"/>
    <w:rsid w:val="00121306"/>
    <w:rsid w:val="00121799"/>
    <w:rsid w:val="001222FC"/>
    <w:rsid w:val="0012266F"/>
    <w:rsid w:val="00122E37"/>
    <w:rsid w:val="00123259"/>
    <w:rsid w:val="00123902"/>
    <w:rsid w:val="00123FB1"/>
    <w:rsid w:val="00124172"/>
    <w:rsid w:val="00124A51"/>
    <w:rsid w:val="0012534D"/>
    <w:rsid w:val="0012623A"/>
    <w:rsid w:val="0012657F"/>
    <w:rsid w:val="00126621"/>
    <w:rsid w:val="00126754"/>
    <w:rsid w:val="00126B1D"/>
    <w:rsid w:val="00127018"/>
    <w:rsid w:val="001276F8"/>
    <w:rsid w:val="0013009C"/>
    <w:rsid w:val="001301E9"/>
    <w:rsid w:val="00130BC9"/>
    <w:rsid w:val="00131D82"/>
    <w:rsid w:val="00132718"/>
    <w:rsid w:val="00132818"/>
    <w:rsid w:val="00132B22"/>
    <w:rsid w:val="00133AE9"/>
    <w:rsid w:val="00133D2B"/>
    <w:rsid w:val="00133D36"/>
    <w:rsid w:val="00137645"/>
    <w:rsid w:val="00140015"/>
    <w:rsid w:val="0014013F"/>
    <w:rsid w:val="0014015A"/>
    <w:rsid w:val="0014018A"/>
    <w:rsid w:val="00140E99"/>
    <w:rsid w:val="00143F67"/>
    <w:rsid w:val="00144A63"/>
    <w:rsid w:val="00144A68"/>
    <w:rsid w:val="00145540"/>
    <w:rsid w:val="001456B0"/>
    <w:rsid w:val="00147B9B"/>
    <w:rsid w:val="00151B8F"/>
    <w:rsid w:val="001523A9"/>
    <w:rsid w:val="00152931"/>
    <w:rsid w:val="00152CF9"/>
    <w:rsid w:val="001532CB"/>
    <w:rsid w:val="001545DA"/>
    <w:rsid w:val="00155444"/>
    <w:rsid w:val="001565F4"/>
    <w:rsid w:val="00156A95"/>
    <w:rsid w:val="00156E09"/>
    <w:rsid w:val="00156EF1"/>
    <w:rsid w:val="00156F8F"/>
    <w:rsid w:val="00157130"/>
    <w:rsid w:val="001576B1"/>
    <w:rsid w:val="00157773"/>
    <w:rsid w:val="00157CA7"/>
    <w:rsid w:val="0016047B"/>
    <w:rsid w:val="00160A4C"/>
    <w:rsid w:val="00160D8C"/>
    <w:rsid w:val="00162387"/>
    <w:rsid w:val="00162913"/>
    <w:rsid w:val="00162F3B"/>
    <w:rsid w:val="00163A1A"/>
    <w:rsid w:val="00163EFF"/>
    <w:rsid w:val="00163F66"/>
    <w:rsid w:val="00165822"/>
    <w:rsid w:val="001661FB"/>
    <w:rsid w:val="00166CBE"/>
    <w:rsid w:val="001671A0"/>
    <w:rsid w:val="0016767F"/>
    <w:rsid w:val="00167816"/>
    <w:rsid w:val="0017046E"/>
    <w:rsid w:val="0017109B"/>
    <w:rsid w:val="0017145F"/>
    <w:rsid w:val="0017244F"/>
    <w:rsid w:val="00173565"/>
    <w:rsid w:val="00173B07"/>
    <w:rsid w:val="001751FA"/>
    <w:rsid w:val="0017674D"/>
    <w:rsid w:val="001774CC"/>
    <w:rsid w:val="00181631"/>
    <w:rsid w:val="001816EA"/>
    <w:rsid w:val="00181CB2"/>
    <w:rsid w:val="00181D9C"/>
    <w:rsid w:val="00183C70"/>
    <w:rsid w:val="00184A50"/>
    <w:rsid w:val="00184B0E"/>
    <w:rsid w:val="00186AD5"/>
    <w:rsid w:val="0018752F"/>
    <w:rsid w:val="00191E82"/>
    <w:rsid w:val="00192F00"/>
    <w:rsid w:val="001934BC"/>
    <w:rsid w:val="00193838"/>
    <w:rsid w:val="001940B5"/>
    <w:rsid w:val="00194AD8"/>
    <w:rsid w:val="00195222"/>
    <w:rsid w:val="00195278"/>
    <w:rsid w:val="00196045"/>
    <w:rsid w:val="001960EF"/>
    <w:rsid w:val="001972A2"/>
    <w:rsid w:val="001975D8"/>
    <w:rsid w:val="00197D92"/>
    <w:rsid w:val="001A0051"/>
    <w:rsid w:val="001A06A8"/>
    <w:rsid w:val="001A0C28"/>
    <w:rsid w:val="001A178E"/>
    <w:rsid w:val="001A180F"/>
    <w:rsid w:val="001A1F43"/>
    <w:rsid w:val="001A3301"/>
    <w:rsid w:val="001A369F"/>
    <w:rsid w:val="001A3A1E"/>
    <w:rsid w:val="001A43FA"/>
    <w:rsid w:val="001A47C5"/>
    <w:rsid w:val="001A4D8A"/>
    <w:rsid w:val="001A59FB"/>
    <w:rsid w:val="001A5E9E"/>
    <w:rsid w:val="001A6354"/>
    <w:rsid w:val="001A6366"/>
    <w:rsid w:val="001A636A"/>
    <w:rsid w:val="001A7788"/>
    <w:rsid w:val="001A7AE8"/>
    <w:rsid w:val="001B03EF"/>
    <w:rsid w:val="001B08BC"/>
    <w:rsid w:val="001B1D2B"/>
    <w:rsid w:val="001B204E"/>
    <w:rsid w:val="001B2372"/>
    <w:rsid w:val="001B3443"/>
    <w:rsid w:val="001B34CE"/>
    <w:rsid w:val="001B3BA8"/>
    <w:rsid w:val="001B4A09"/>
    <w:rsid w:val="001B4D20"/>
    <w:rsid w:val="001B4E9C"/>
    <w:rsid w:val="001B5185"/>
    <w:rsid w:val="001B5458"/>
    <w:rsid w:val="001B62E2"/>
    <w:rsid w:val="001B639B"/>
    <w:rsid w:val="001B6BA7"/>
    <w:rsid w:val="001B7B72"/>
    <w:rsid w:val="001B7F7F"/>
    <w:rsid w:val="001C0075"/>
    <w:rsid w:val="001C01DC"/>
    <w:rsid w:val="001C1A10"/>
    <w:rsid w:val="001C20C9"/>
    <w:rsid w:val="001C2A9B"/>
    <w:rsid w:val="001C3A0A"/>
    <w:rsid w:val="001C4299"/>
    <w:rsid w:val="001C4874"/>
    <w:rsid w:val="001C5E2F"/>
    <w:rsid w:val="001C5F94"/>
    <w:rsid w:val="001C62D2"/>
    <w:rsid w:val="001C6B23"/>
    <w:rsid w:val="001C6E66"/>
    <w:rsid w:val="001C714C"/>
    <w:rsid w:val="001C7271"/>
    <w:rsid w:val="001C7603"/>
    <w:rsid w:val="001C78AE"/>
    <w:rsid w:val="001D0664"/>
    <w:rsid w:val="001D0702"/>
    <w:rsid w:val="001D0969"/>
    <w:rsid w:val="001D0CA7"/>
    <w:rsid w:val="001D1100"/>
    <w:rsid w:val="001D11AE"/>
    <w:rsid w:val="001D1391"/>
    <w:rsid w:val="001D25D7"/>
    <w:rsid w:val="001D3DB7"/>
    <w:rsid w:val="001D4E49"/>
    <w:rsid w:val="001D50B2"/>
    <w:rsid w:val="001D5109"/>
    <w:rsid w:val="001D518E"/>
    <w:rsid w:val="001D62C2"/>
    <w:rsid w:val="001D7645"/>
    <w:rsid w:val="001E0030"/>
    <w:rsid w:val="001E0F11"/>
    <w:rsid w:val="001E1580"/>
    <w:rsid w:val="001E1E86"/>
    <w:rsid w:val="001E238E"/>
    <w:rsid w:val="001E2483"/>
    <w:rsid w:val="001E2B1E"/>
    <w:rsid w:val="001E2CD3"/>
    <w:rsid w:val="001E2CFF"/>
    <w:rsid w:val="001E2F24"/>
    <w:rsid w:val="001E30D4"/>
    <w:rsid w:val="001E34DF"/>
    <w:rsid w:val="001E35BB"/>
    <w:rsid w:val="001E3CAB"/>
    <w:rsid w:val="001E482C"/>
    <w:rsid w:val="001E4D5E"/>
    <w:rsid w:val="001E521C"/>
    <w:rsid w:val="001E52EB"/>
    <w:rsid w:val="001E5457"/>
    <w:rsid w:val="001E61D2"/>
    <w:rsid w:val="001E6C75"/>
    <w:rsid w:val="001E740C"/>
    <w:rsid w:val="001E7752"/>
    <w:rsid w:val="001E7FBF"/>
    <w:rsid w:val="001F038B"/>
    <w:rsid w:val="001F1235"/>
    <w:rsid w:val="001F1CB3"/>
    <w:rsid w:val="001F2FE4"/>
    <w:rsid w:val="001F30C3"/>
    <w:rsid w:val="001F38B5"/>
    <w:rsid w:val="001F4081"/>
    <w:rsid w:val="001F41C7"/>
    <w:rsid w:val="001F45AD"/>
    <w:rsid w:val="001F4BEE"/>
    <w:rsid w:val="001F5EDA"/>
    <w:rsid w:val="001F61EA"/>
    <w:rsid w:val="001F688D"/>
    <w:rsid w:val="001F69FE"/>
    <w:rsid w:val="001F6B39"/>
    <w:rsid w:val="001F7361"/>
    <w:rsid w:val="001F7425"/>
    <w:rsid w:val="001F765E"/>
    <w:rsid w:val="001F76FB"/>
    <w:rsid w:val="001F7AA6"/>
    <w:rsid w:val="001F7EEC"/>
    <w:rsid w:val="00200487"/>
    <w:rsid w:val="002011B0"/>
    <w:rsid w:val="00201665"/>
    <w:rsid w:val="00203181"/>
    <w:rsid w:val="00203452"/>
    <w:rsid w:val="002034F5"/>
    <w:rsid w:val="00203783"/>
    <w:rsid w:val="0020385F"/>
    <w:rsid w:val="00204768"/>
    <w:rsid w:val="00205F6D"/>
    <w:rsid w:val="00206677"/>
    <w:rsid w:val="002068A0"/>
    <w:rsid w:val="00207021"/>
    <w:rsid w:val="0020732F"/>
    <w:rsid w:val="00207D00"/>
    <w:rsid w:val="00210522"/>
    <w:rsid w:val="002105C1"/>
    <w:rsid w:val="002122F4"/>
    <w:rsid w:val="00212A3B"/>
    <w:rsid w:val="00213160"/>
    <w:rsid w:val="00213EF5"/>
    <w:rsid w:val="002142C1"/>
    <w:rsid w:val="002145E9"/>
    <w:rsid w:val="00214DC0"/>
    <w:rsid w:val="002150D3"/>
    <w:rsid w:val="00216520"/>
    <w:rsid w:val="00216526"/>
    <w:rsid w:val="0021674F"/>
    <w:rsid w:val="00216BF5"/>
    <w:rsid w:val="00222EC2"/>
    <w:rsid w:val="00223791"/>
    <w:rsid w:val="00223B49"/>
    <w:rsid w:val="00223D5A"/>
    <w:rsid w:val="00224DD4"/>
    <w:rsid w:val="00225B08"/>
    <w:rsid w:val="00226430"/>
    <w:rsid w:val="00226AE1"/>
    <w:rsid w:val="002278A0"/>
    <w:rsid w:val="002308A0"/>
    <w:rsid w:val="002309CC"/>
    <w:rsid w:val="00230A6A"/>
    <w:rsid w:val="00230A81"/>
    <w:rsid w:val="0023209F"/>
    <w:rsid w:val="00233C01"/>
    <w:rsid w:val="00233F21"/>
    <w:rsid w:val="0023413C"/>
    <w:rsid w:val="002346F0"/>
    <w:rsid w:val="00235694"/>
    <w:rsid w:val="00235952"/>
    <w:rsid w:val="0023600C"/>
    <w:rsid w:val="0023629D"/>
    <w:rsid w:val="002363B4"/>
    <w:rsid w:val="002365D7"/>
    <w:rsid w:val="00237255"/>
    <w:rsid w:val="0023736F"/>
    <w:rsid w:val="00241A3F"/>
    <w:rsid w:val="002424AF"/>
    <w:rsid w:val="00242A24"/>
    <w:rsid w:val="00242EFB"/>
    <w:rsid w:val="002439DC"/>
    <w:rsid w:val="002441D2"/>
    <w:rsid w:val="002445AC"/>
    <w:rsid w:val="00244DC8"/>
    <w:rsid w:val="002458BA"/>
    <w:rsid w:val="002458C7"/>
    <w:rsid w:val="00245C70"/>
    <w:rsid w:val="00245CE9"/>
    <w:rsid w:val="0024636C"/>
    <w:rsid w:val="00246585"/>
    <w:rsid w:val="00247522"/>
    <w:rsid w:val="00247925"/>
    <w:rsid w:val="00247C47"/>
    <w:rsid w:val="00250560"/>
    <w:rsid w:val="00251006"/>
    <w:rsid w:val="0025142A"/>
    <w:rsid w:val="00251926"/>
    <w:rsid w:val="002524D5"/>
    <w:rsid w:val="00252C77"/>
    <w:rsid w:val="002530CB"/>
    <w:rsid w:val="00253783"/>
    <w:rsid w:val="0025380A"/>
    <w:rsid w:val="002538D8"/>
    <w:rsid w:val="00253B1D"/>
    <w:rsid w:val="00254DCF"/>
    <w:rsid w:val="0025534B"/>
    <w:rsid w:val="002559AA"/>
    <w:rsid w:val="00255BB7"/>
    <w:rsid w:val="00256CAF"/>
    <w:rsid w:val="00257541"/>
    <w:rsid w:val="0025772F"/>
    <w:rsid w:val="00257A39"/>
    <w:rsid w:val="00257AC4"/>
    <w:rsid w:val="00257BCA"/>
    <w:rsid w:val="00261289"/>
    <w:rsid w:val="00261EEF"/>
    <w:rsid w:val="00262A1A"/>
    <w:rsid w:val="00262A87"/>
    <w:rsid w:val="00262AF4"/>
    <w:rsid w:val="002633D1"/>
    <w:rsid w:val="00264D26"/>
    <w:rsid w:val="00264EF5"/>
    <w:rsid w:val="00266EBC"/>
    <w:rsid w:val="00267642"/>
    <w:rsid w:val="002678D8"/>
    <w:rsid w:val="00267AEA"/>
    <w:rsid w:val="00267FCB"/>
    <w:rsid w:val="00270056"/>
    <w:rsid w:val="002700E6"/>
    <w:rsid w:val="00270B81"/>
    <w:rsid w:val="002712CC"/>
    <w:rsid w:val="002716B4"/>
    <w:rsid w:val="00271E6C"/>
    <w:rsid w:val="0027294B"/>
    <w:rsid w:val="00273579"/>
    <w:rsid w:val="00273887"/>
    <w:rsid w:val="00273EB4"/>
    <w:rsid w:val="00273F81"/>
    <w:rsid w:val="0027403E"/>
    <w:rsid w:val="00274682"/>
    <w:rsid w:val="00274D94"/>
    <w:rsid w:val="00274DE8"/>
    <w:rsid w:val="002751F5"/>
    <w:rsid w:val="00275547"/>
    <w:rsid w:val="002758E3"/>
    <w:rsid w:val="00275C5A"/>
    <w:rsid w:val="00275D8F"/>
    <w:rsid w:val="00276B77"/>
    <w:rsid w:val="0028068D"/>
    <w:rsid w:val="00280B93"/>
    <w:rsid w:val="00281014"/>
    <w:rsid w:val="002813AA"/>
    <w:rsid w:val="002828B8"/>
    <w:rsid w:val="00282A6B"/>
    <w:rsid w:val="00283060"/>
    <w:rsid w:val="00284693"/>
    <w:rsid w:val="0028538D"/>
    <w:rsid w:val="0028665D"/>
    <w:rsid w:val="0028680E"/>
    <w:rsid w:val="0029152A"/>
    <w:rsid w:val="00291985"/>
    <w:rsid w:val="002929BC"/>
    <w:rsid w:val="00294C83"/>
    <w:rsid w:val="00295076"/>
    <w:rsid w:val="002968E2"/>
    <w:rsid w:val="002A02E9"/>
    <w:rsid w:val="002A0D9B"/>
    <w:rsid w:val="002A0E53"/>
    <w:rsid w:val="002A13E5"/>
    <w:rsid w:val="002A14AB"/>
    <w:rsid w:val="002A1DD7"/>
    <w:rsid w:val="002A2ADE"/>
    <w:rsid w:val="002A2CE7"/>
    <w:rsid w:val="002A2F50"/>
    <w:rsid w:val="002A3A95"/>
    <w:rsid w:val="002A7E83"/>
    <w:rsid w:val="002B05A1"/>
    <w:rsid w:val="002B09A4"/>
    <w:rsid w:val="002B1779"/>
    <w:rsid w:val="002B1C1F"/>
    <w:rsid w:val="002B1CCD"/>
    <w:rsid w:val="002B1FEA"/>
    <w:rsid w:val="002B365E"/>
    <w:rsid w:val="002B432F"/>
    <w:rsid w:val="002B5C9F"/>
    <w:rsid w:val="002B62B3"/>
    <w:rsid w:val="002B664C"/>
    <w:rsid w:val="002B6754"/>
    <w:rsid w:val="002B6CCE"/>
    <w:rsid w:val="002B708C"/>
    <w:rsid w:val="002C2510"/>
    <w:rsid w:val="002C2775"/>
    <w:rsid w:val="002C27C1"/>
    <w:rsid w:val="002C5099"/>
    <w:rsid w:val="002C50A3"/>
    <w:rsid w:val="002C577B"/>
    <w:rsid w:val="002C5889"/>
    <w:rsid w:val="002C5A7B"/>
    <w:rsid w:val="002C6092"/>
    <w:rsid w:val="002C6BC7"/>
    <w:rsid w:val="002C71CE"/>
    <w:rsid w:val="002C728D"/>
    <w:rsid w:val="002D021B"/>
    <w:rsid w:val="002D08F8"/>
    <w:rsid w:val="002D3936"/>
    <w:rsid w:val="002D54BF"/>
    <w:rsid w:val="002D577C"/>
    <w:rsid w:val="002D682D"/>
    <w:rsid w:val="002D68A5"/>
    <w:rsid w:val="002E044E"/>
    <w:rsid w:val="002E07DE"/>
    <w:rsid w:val="002E1071"/>
    <w:rsid w:val="002E15B9"/>
    <w:rsid w:val="002E2158"/>
    <w:rsid w:val="002E2EEB"/>
    <w:rsid w:val="002E3376"/>
    <w:rsid w:val="002E371E"/>
    <w:rsid w:val="002E43F0"/>
    <w:rsid w:val="002E4B16"/>
    <w:rsid w:val="002E4F02"/>
    <w:rsid w:val="002E5277"/>
    <w:rsid w:val="002E6966"/>
    <w:rsid w:val="002E757A"/>
    <w:rsid w:val="002E7722"/>
    <w:rsid w:val="002E7BA8"/>
    <w:rsid w:val="002F07BA"/>
    <w:rsid w:val="002F07D0"/>
    <w:rsid w:val="002F0DA9"/>
    <w:rsid w:val="002F1013"/>
    <w:rsid w:val="002F1014"/>
    <w:rsid w:val="002F18CB"/>
    <w:rsid w:val="002F2CB4"/>
    <w:rsid w:val="002F5399"/>
    <w:rsid w:val="002F53B2"/>
    <w:rsid w:val="002F643C"/>
    <w:rsid w:val="002F71C0"/>
    <w:rsid w:val="002F74F1"/>
    <w:rsid w:val="00301017"/>
    <w:rsid w:val="0030155F"/>
    <w:rsid w:val="003015B9"/>
    <w:rsid w:val="0030254C"/>
    <w:rsid w:val="0030587B"/>
    <w:rsid w:val="00306C2D"/>
    <w:rsid w:val="00306D98"/>
    <w:rsid w:val="0030786C"/>
    <w:rsid w:val="0031031A"/>
    <w:rsid w:val="0031061D"/>
    <w:rsid w:val="00310981"/>
    <w:rsid w:val="003112FC"/>
    <w:rsid w:val="003119E5"/>
    <w:rsid w:val="003124D9"/>
    <w:rsid w:val="00312594"/>
    <w:rsid w:val="0031340F"/>
    <w:rsid w:val="00314027"/>
    <w:rsid w:val="00315498"/>
    <w:rsid w:val="00316474"/>
    <w:rsid w:val="00316DF7"/>
    <w:rsid w:val="0032060F"/>
    <w:rsid w:val="00322107"/>
    <w:rsid w:val="00322355"/>
    <w:rsid w:val="00322467"/>
    <w:rsid w:val="00322846"/>
    <w:rsid w:val="003233EE"/>
    <w:rsid w:val="00326801"/>
    <w:rsid w:val="00326DA7"/>
    <w:rsid w:val="003270E4"/>
    <w:rsid w:val="00330274"/>
    <w:rsid w:val="003303B5"/>
    <w:rsid w:val="00330DAA"/>
    <w:rsid w:val="00330F5C"/>
    <w:rsid w:val="00331F8E"/>
    <w:rsid w:val="003336BF"/>
    <w:rsid w:val="003336E6"/>
    <w:rsid w:val="003345B2"/>
    <w:rsid w:val="00335534"/>
    <w:rsid w:val="00335BE7"/>
    <w:rsid w:val="003366C9"/>
    <w:rsid w:val="00336E01"/>
    <w:rsid w:val="003371B0"/>
    <w:rsid w:val="00340DF1"/>
    <w:rsid w:val="00341756"/>
    <w:rsid w:val="003433EE"/>
    <w:rsid w:val="00346B40"/>
    <w:rsid w:val="00347E07"/>
    <w:rsid w:val="00350BC6"/>
    <w:rsid w:val="003517F9"/>
    <w:rsid w:val="00351BA9"/>
    <w:rsid w:val="0035487A"/>
    <w:rsid w:val="00354ECD"/>
    <w:rsid w:val="00354F64"/>
    <w:rsid w:val="003556C7"/>
    <w:rsid w:val="0035620E"/>
    <w:rsid w:val="003566E6"/>
    <w:rsid w:val="00356BC2"/>
    <w:rsid w:val="003579D5"/>
    <w:rsid w:val="00357BCA"/>
    <w:rsid w:val="00360345"/>
    <w:rsid w:val="00360448"/>
    <w:rsid w:val="003606DB"/>
    <w:rsid w:val="00360F95"/>
    <w:rsid w:val="0036163B"/>
    <w:rsid w:val="00361A05"/>
    <w:rsid w:val="003622A0"/>
    <w:rsid w:val="003623F5"/>
    <w:rsid w:val="003624C4"/>
    <w:rsid w:val="0036274B"/>
    <w:rsid w:val="00362834"/>
    <w:rsid w:val="00362859"/>
    <w:rsid w:val="00363B00"/>
    <w:rsid w:val="0036445F"/>
    <w:rsid w:val="003647E5"/>
    <w:rsid w:val="003654AC"/>
    <w:rsid w:val="003655CD"/>
    <w:rsid w:val="003678F9"/>
    <w:rsid w:val="003710CF"/>
    <w:rsid w:val="00371FC2"/>
    <w:rsid w:val="0037358A"/>
    <w:rsid w:val="00374BDE"/>
    <w:rsid w:val="003750F6"/>
    <w:rsid w:val="00375B1A"/>
    <w:rsid w:val="003760FC"/>
    <w:rsid w:val="00377120"/>
    <w:rsid w:val="003800BE"/>
    <w:rsid w:val="00381A6A"/>
    <w:rsid w:val="00382425"/>
    <w:rsid w:val="00382A46"/>
    <w:rsid w:val="0038365C"/>
    <w:rsid w:val="0038369B"/>
    <w:rsid w:val="00383B78"/>
    <w:rsid w:val="00383B8A"/>
    <w:rsid w:val="00383C7D"/>
    <w:rsid w:val="003844ED"/>
    <w:rsid w:val="003845D2"/>
    <w:rsid w:val="00385A9D"/>
    <w:rsid w:val="00385E8C"/>
    <w:rsid w:val="003865C3"/>
    <w:rsid w:val="003902B1"/>
    <w:rsid w:val="0039078B"/>
    <w:rsid w:val="003912C3"/>
    <w:rsid w:val="0039179C"/>
    <w:rsid w:val="00393E11"/>
    <w:rsid w:val="00395C19"/>
    <w:rsid w:val="00395C2C"/>
    <w:rsid w:val="00396896"/>
    <w:rsid w:val="00396FD0"/>
    <w:rsid w:val="003A0220"/>
    <w:rsid w:val="003A14DF"/>
    <w:rsid w:val="003A162F"/>
    <w:rsid w:val="003A1A7A"/>
    <w:rsid w:val="003A1BD3"/>
    <w:rsid w:val="003A2076"/>
    <w:rsid w:val="003A2392"/>
    <w:rsid w:val="003A2831"/>
    <w:rsid w:val="003A3554"/>
    <w:rsid w:val="003A3CB6"/>
    <w:rsid w:val="003A3ED1"/>
    <w:rsid w:val="003A4215"/>
    <w:rsid w:val="003A423F"/>
    <w:rsid w:val="003A44DB"/>
    <w:rsid w:val="003A4F48"/>
    <w:rsid w:val="003A4F66"/>
    <w:rsid w:val="003A53A0"/>
    <w:rsid w:val="003A778A"/>
    <w:rsid w:val="003A7D03"/>
    <w:rsid w:val="003B08EC"/>
    <w:rsid w:val="003B19DF"/>
    <w:rsid w:val="003B3971"/>
    <w:rsid w:val="003B3CDF"/>
    <w:rsid w:val="003B493D"/>
    <w:rsid w:val="003B4B3B"/>
    <w:rsid w:val="003B55D1"/>
    <w:rsid w:val="003B5B61"/>
    <w:rsid w:val="003B5B80"/>
    <w:rsid w:val="003B67EF"/>
    <w:rsid w:val="003C0C59"/>
    <w:rsid w:val="003C1654"/>
    <w:rsid w:val="003C29BD"/>
    <w:rsid w:val="003C459A"/>
    <w:rsid w:val="003C53AB"/>
    <w:rsid w:val="003C5542"/>
    <w:rsid w:val="003C6ACF"/>
    <w:rsid w:val="003C7D19"/>
    <w:rsid w:val="003C7D2F"/>
    <w:rsid w:val="003D016A"/>
    <w:rsid w:val="003D1045"/>
    <w:rsid w:val="003D1828"/>
    <w:rsid w:val="003D1BD4"/>
    <w:rsid w:val="003D1DE4"/>
    <w:rsid w:val="003D1E9A"/>
    <w:rsid w:val="003D20FB"/>
    <w:rsid w:val="003D2422"/>
    <w:rsid w:val="003D34E7"/>
    <w:rsid w:val="003D39A1"/>
    <w:rsid w:val="003D3FBF"/>
    <w:rsid w:val="003D4057"/>
    <w:rsid w:val="003D4861"/>
    <w:rsid w:val="003D4A30"/>
    <w:rsid w:val="003D56DD"/>
    <w:rsid w:val="003D57A9"/>
    <w:rsid w:val="003D63E3"/>
    <w:rsid w:val="003D669B"/>
    <w:rsid w:val="003D7452"/>
    <w:rsid w:val="003D776E"/>
    <w:rsid w:val="003D79BB"/>
    <w:rsid w:val="003D7C98"/>
    <w:rsid w:val="003D7D9D"/>
    <w:rsid w:val="003E0543"/>
    <w:rsid w:val="003E0AA3"/>
    <w:rsid w:val="003E23EE"/>
    <w:rsid w:val="003E41D6"/>
    <w:rsid w:val="003E5AAD"/>
    <w:rsid w:val="003E6DE2"/>
    <w:rsid w:val="003E749E"/>
    <w:rsid w:val="003F03CC"/>
    <w:rsid w:val="003F271B"/>
    <w:rsid w:val="003F2735"/>
    <w:rsid w:val="003F3E86"/>
    <w:rsid w:val="003F4156"/>
    <w:rsid w:val="003F5ADF"/>
    <w:rsid w:val="003F6458"/>
    <w:rsid w:val="003F6A3A"/>
    <w:rsid w:val="003F6D64"/>
    <w:rsid w:val="00400B29"/>
    <w:rsid w:val="004024BC"/>
    <w:rsid w:val="00402F10"/>
    <w:rsid w:val="00404B4F"/>
    <w:rsid w:val="0040504B"/>
    <w:rsid w:val="00405729"/>
    <w:rsid w:val="004059F4"/>
    <w:rsid w:val="00405BB1"/>
    <w:rsid w:val="00406CA9"/>
    <w:rsid w:val="00407576"/>
    <w:rsid w:val="00407FE5"/>
    <w:rsid w:val="004101B0"/>
    <w:rsid w:val="00410326"/>
    <w:rsid w:val="00410708"/>
    <w:rsid w:val="00410EC7"/>
    <w:rsid w:val="00411B39"/>
    <w:rsid w:val="0041277C"/>
    <w:rsid w:val="004127A7"/>
    <w:rsid w:val="00413A1E"/>
    <w:rsid w:val="00414476"/>
    <w:rsid w:val="00414C2E"/>
    <w:rsid w:val="004151CF"/>
    <w:rsid w:val="00416364"/>
    <w:rsid w:val="00416F08"/>
    <w:rsid w:val="0042047F"/>
    <w:rsid w:val="00420AA6"/>
    <w:rsid w:val="00420B9F"/>
    <w:rsid w:val="004216F0"/>
    <w:rsid w:val="0042192C"/>
    <w:rsid w:val="00422260"/>
    <w:rsid w:val="004227CF"/>
    <w:rsid w:val="0042413F"/>
    <w:rsid w:val="00425BFE"/>
    <w:rsid w:val="004271E4"/>
    <w:rsid w:val="00427399"/>
    <w:rsid w:val="00427D21"/>
    <w:rsid w:val="00430188"/>
    <w:rsid w:val="0043104F"/>
    <w:rsid w:val="004319F8"/>
    <w:rsid w:val="00431D1E"/>
    <w:rsid w:val="00431D8A"/>
    <w:rsid w:val="00431E55"/>
    <w:rsid w:val="004321F6"/>
    <w:rsid w:val="00433044"/>
    <w:rsid w:val="00433659"/>
    <w:rsid w:val="00433E8F"/>
    <w:rsid w:val="00434088"/>
    <w:rsid w:val="00434D44"/>
    <w:rsid w:val="00434EEC"/>
    <w:rsid w:val="00435271"/>
    <w:rsid w:val="00435368"/>
    <w:rsid w:val="00436A09"/>
    <w:rsid w:val="00437088"/>
    <w:rsid w:val="004374A8"/>
    <w:rsid w:val="004375B9"/>
    <w:rsid w:val="004407EA"/>
    <w:rsid w:val="0044257C"/>
    <w:rsid w:val="004428D0"/>
    <w:rsid w:val="004431C0"/>
    <w:rsid w:val="00443C12"/>
    <w:rsid w:val="00443E30"/>
    <w:rsid w:val="00444185"/>
    <w:rsid w:val="004443A7"/>
    <w:rsid w:val="0044442C"/>
    <w:rsid w:val="00444A6A"/>
    <w:rsid w:val="00444F55"/>
    <w:rsid w:val="00445941"/>
    <w:rsid w:val="00445B04"/>
    <w:rsid w:val="004464EB"/>
    <w:rsid w:val="004464FF"/>
    <w:rsid w:val="004469F6"/>
    <w:rsid w:val="004474C6"/>
    <w:rsid w:val="00447D26"/>
    <w:rsid w:val="00447DFC"/>
    <w:rsid w:val="004515BA"/>
    <w:rsid w:val="00451A38"/>
    <w:rsid w:val="004529ED"/>
    <w:rsid w:val="00453340"/>
    <w:rsid w:val="00455D45"/>
    <w:rsid w:val="00455E2A"/>
    <w:rsid w:val="00457EF4"/>
    <w:rsid w:val="00460B73"/>
    <w:rsid w:val="00460E9B"/>
    <w:rsid w:val="00460F54"/>
    <w:rsid w:val="0046243C"/>
    <w:rsid w:val="004634EE"/>
    <w:rsid w:val="00464595"/>
    <w:rsid w:val="004658B5"/>
    <w:rsid w:val="00471EA5"/>
    <w:rsid w:val="00472A79"/>
    <w:rsid w:val="00472DB3"/>
    <w:rsid w:val="00473084"/>
    <w:rsid w:val="00473F19"/>
    <w:rsid w:val="00474EF5"/>
    <w:rsid w:val="0047517A"/>
    <w:rsid w:val="00475E22"/>
    <w:rsid w:val="004761A6"/>
    <w:rsid w:val="00476D94"/>
    <w:rsid w:val="00476DCD"/>
    <w:rsid w:val="0047762A"/>
    <w:rsid w:val="0048088E"/>
    <w:rsid w:val="00480B67"/>
    <w:rsid w:val="00480F2B"/>
    <w:rsid w:val="004819B3"/>
    <w:rsid w:val="00481A0A"/>
    <w:rsid w:val="00482720"/>
    <w:rsid w:val="004835A3"/>
    <w:rsid w:val="004835E7"/>
    <w:rsid w:val="004867E2"/>
    <w:rsid w:val="004870C2"/>
    <w:rsid w:val="0048763A"/>
    <w:rsid w:val="00490B17"/>
    <w:rsid w:val="00491B3A"/>
    <w:rsid w:val="00492CFD"/>
    <w:rsid w:val="004931A4"/>
    <w:rsid w:val="004934E7"/>
    <w:rsid w:val="00494207"/>
    <w:rsid w:val="0049435B"/>
    <w:rsid w:val="00494932"/>
    <w:rsid w:val="00494DD5"/>
    <w:rsid w:val="00495694"/>
    <w:rsid w:val="00495F89"/>
    <w:rsid w:val="004962D2"/>
    <w:rsid w:val="0049646B"/>
    <w:rsid w:val="004A053A"/>
    <w:rsid w:val="004A0DA1"/>
    <w:rsid w:val="004A13D6"/>
    <w:rsid w:val="004A1DF6"/>
    <w:rsid w:val="004A22AA"/>
    <w:rsid w:val="004A52E9"/>
    <w:rsid w:val="004A6040"/>
    <w:rsid w:val="004A6208"/>
    <w:rsid w:val="004A6597"/>
    <w:rsid w:val="004A7848"/>
    <w:rsid w:val="004A7A5D"/>
    <w:rsid w:val="004B0AF9"/>
    <w:rsid w:val="004B17BE"/>
    <w:rsid w:val="004B194D"/>
    <w:rsid w:val="004B1CB4"/>
    <w:rsid w:val="004B23FC"/>
    <w:rsid w:val="004B2F18"/>
    <w:rsid w:val="004B32E9"/>
    <w:rsid w:val="004B35FD"/>
    <w:rsid w:val="004B3A94"/>
    <w:rsid w:val="004B3DDB"/>
    <w:rsid w:val="004B3F50"/>
    <w:rsid w:val="004B44E2"/>
    <w:rsid w:val="004B44FD"/>
    <w:rsid w:val="004B4E3E"/>
    <w:rsid w:val="004B5CFC"/>
    <w:rsid w:val="004B5E1D"/>
    <w:rsid w:val="004B6F79"/>
    <w:rsid w:val="004B774D"/>
    <w:rsid w:val="004C094D"/>
    <w:rsid w:val="004C0B3A"/>
    <w:rsid w:val="004C0F12"/>
    <w:rsid w:val="004C12BE"/>
    <w:rsid w:val="004C1412"/>
    <w:rsid w:val="004C14FF"/>
    <w:rsid w:val="004C1BCD"/>
    <w:rsid w:val="004C1C33"/>
    <w:rsid w:val="004C2425"/>
    <w:rsid w:val="004C27C3"/>
    <w:rsid w:val="004C3CCB"/>
    <w:rsid w:val="004C4AED"/>
    <w:rsid w:val="004C4BA3"/>
    <w:rsid w:val="004C53F9"/>
    <w:rsid w:val="004C5ED7"/>
    <w:rsid w:val="004C6937"/>
    <w:rsid w:val="004C6AC1"/>
    <w:rsid w:val="004C6E36"/>
    <w:rsid w:val="004C772A"/>
    <w:rsid w:val="004D0E43"/>
    <w:rsid w:val="004D1A90"/>
    <w:rsid w:val="004D2B21"/>
    <w:rsid w:val="004D2C2D"/>
    <w:rsid w:val="004D45D3"/>
    <w:rsid w:val="004D489E"/>
    <w:rsid w:val="004D4C13"/>
    <w:rsid w:val="004D5000"/>
    <w:rsid w:val="004D5A56"/>
    <w:rsid w:val="004D69B5"/>
    <w:rsid w:val="004D715C"/>
    <w:rsid w:val="004D7227"/>
    <w:rsid w:val="004D7AF7"/>
    <w:rsid w:val="004D7B17"/>
    <w:rsid w:val="004E058B"/>
    <w:rsid w:val="004E0E7F"/>
    <w:rsid w:val="004E0EB8"/>
    <w:rsid w:val="004E18E9"/>
    <w:rsid w:val="004E219A"/>
    <w:rsid w:val="004E2797"/>
    <w:rsid w:val="004E2ADC"/>
    <w:rsid w:val="004E2D9E"/>
    <w:rsid w:val="004E3B94"/>
    <w:rsid w:val="004E43B2"/>
    <w:rsid w:val="004E6138"/>
    <w:rsid w:val="004E629E"/>
    <w:rsid w:val="004F02C2"/>
    <w:rsid w:val="004F03EB"/>
    <w:rsid w:val="004F0A7B"/>
    <w:rsid w:val="004F1D02"/>
    <w:rsid w:val="004F1D92"/>
    <w:rsid w:val="004F2679"/>
    <w:rsid w:val="004F2DDE"/>
    <w:rsid w:val="004F2F21"/>
    <w:rsid w:val="004F3DE5"/>
    <w:rsid w:val="004F3EAC"/>
    <w:rsid w:val="004F43DA"/>
    <w:rsid w:val="004F463B"/>
    <w:rsid w:val="004F4A0A"/>
    <w:rsid w:val="004F4E23"/>
    <w:rsid w:val="004F56D5"/>
    <w:rsid w:val="004F5838"/>
    <w:rsid w:val="004F5E23"/>
    <w:rsid w:val="004F6480"/>
    <w:rsid w:val="004F6913"/>
    <w:rsid w:val="004F6EC5"/>
    <w:rsid w:val="004F7865"/>
    <w:rsid w:val="00500082"/>
    <w:rsid w:val="00500DFE"/>
    <w:rsid w:val="00501746"/>
    <w:rsid w:val="0050174E"/>
    <w:rsid w:val="00501854"/>
    <w:rsid w:val="0050219B"/>
    <w:rsid w:val="005030E0"/>
    <w:rsid w:val="00503F17"/>
    <w:rsid w:val="005049C5"/>
    <w:rsid w:val="00504B39"/>
    <w:rsid w:val="00506928"/>
    <w:rsid w:val="005077EF"/>
    <w:rsid w:val="0051163C"/>
    <w:rsid w:val="00511AD5"/>
    <w:rsid w:val="00511DC7"/>
    <w:rsid w:val="00511F29"/>
    <w:rsid w:val="005123E5"/>
    <w:rsid w:val="00512D29"/>
    <w:rsid w:val="0051351C"/>
    <w:rsid w:val="005142C5"/>
    <w:rsid w:val="0051501B"/>
    <w:rsid w:val="005152B5"/>
    <w:rsid w:val="00520965"/>
    <w:rsid w:val="0052123C"/>
    <w:rsid w:val="00521319"/>
    <w:rsid w:val="00521B64"/>
    <w:rsid w:val="00522483"/>
    <w:rsid w:val="00522BC8"/>
    <w:rsid w:val="00523778"/>
    <w:rsid w:val="00523923"/>
    <w:rsid w:val="00523C28"/>
    <w:rsid w:val="005249DA"/>
    <w:rsid w:val="00525571"/>
    <w:rsid w:val="00525DE0"/>
    <w:rsid w:val="00526CA7"/>
    <w:rsid w:val="0053176B"/>
    <w:rsid w:val="00531B78"/>
    <w:rsid w:val="00531F1A"/>
    <w:rsid w:val="00532143"/>
    <w:rsid w:val="005356B2"/>
    <w:rsid w:val="00535C9E"/>
    <w:rsid w:val="00536C5A"/>
    <w:rsid w:val="00536F42"/>
    <w:rsid w:val="00537182"/>
    <w:rsid w:val="005373D0"/>
    <w:rsid w:val="00537A49"/>
    <w:rsid w:val="00537CC7"/>
    <w:rsid w:val="005417BF"/>
    <w:rsid w:val="00541DFA"/>
    <w:rsid w:val="00541EDD"/>
    <w:rsid w:val="00542743"/>
    <w:rsid w:val="00542C2D"/>
    <w:rsid w:val="00542C30"/>
    <w:rsid w:val="00543D84"/>
    <w:rsid w:val="0054444D"/>
    <w:rsid w:val="0054610E"/>
    <w:rsid w:val="005467F5"/>
    <w:rsid w:val="00546BD1"/>
    <w:rsid w:val="0054701C"/>
    <w:rsid w:val="005475C2"/>
    <w:rsid w:val="005478BD"/>
    <w:rsid w:val="00547947"/>
    <w:rsid w:val="005479E3"/>
    <w:rsid w:val="00550D6C"/>
    <w:rsid w:val="00551255"/>
    <w:rsid w:val="00551985"/>
    <w:rsid w:val="00551E8C"/>
    <w:rsid w:val="00551F80"/>
    <w:rsid w:val="00552A94"/>
    <w:rsid w:val="00552BD3"/>
    <w:rsid w:val="005532A0"/>
    <w:rsid w:val="0055387E"/>
    <w:rsid w:val="00553D28"/>
    <w:rsid w:val="00555109"/>
    <w:rsid w:val="005564D9"/>
    <w:rsid w:val="00556B35"/>
    <w:rsid w:val="0055741A"/>
    <w:rsid w:val="005607C8"/>
    <w:rsid w:val="005611B7"/>
    <w:rsid w:val="005618D4"/>
    <w:rsid w:val="005619F9"/>
    <w:rsid w:val="00561C0D"/>
    <w:rsid w:val="005621A5"/>
    <w:rsid w:val="0056295F"/>
    <w:rsid w:val="00562B2E"/>
    <w:rsid w:val="005631AC"/>
    <w:rsid w:val="00564547"/>
    <w:rsid w:val="00564CDB"/>
    <w:rsid w:val="00565DF0"/>
    <w:rsid w:val="0056696F"/>
    <w:rsid w:val="00566C9A"/>
    <w:rsid w:val="00566DD2"/>
    <w:rsid w:val="00572037"/>
    <w:rsid w:val="00572269"/>
    <w:rsid w:val="0057244A"/>
    <w:rsid w:val="0057289C"/>
    <w:rsid w:val="00572F26"/>
    <w:rsid w:val="00573703"/>
    <w:rsid w:val="00573BDC"/>
    <w:rsid w:val="005750C5"/>
    <w:rsid w:val="005752DE"/>
    <w:rsid w:val="00575CF1"/>
    <w:rsid w:val="00575D8D"/>
    <w:rsid w:val="005763D2"/>
    <w:rsid w:val="00576972"/>
    <w:rsid w:val="005770BF"/>
    <w:rsid w:val="00577598"/>
    <w:rsid w:val="00580763"/>
    <w:rsid w:val="00580910"/>
    <w:rsid w:val="00583699"/>
    <w:rsid w:val="005837C4"/>
    <w:rsid w:val="005840DC"/>
    <w:rsid w:val="00584623"/>
    <w:rsid w:val="005846AC"/>
    <w:rsid w:val="00585CDD"/>
    <w:rsid w:val="00585DF4"/>
    <w:rsid w:val="005860EB"/>
    <w:rsid w:val="00587058"/>
    <w:rsid w:val="00587DBC"/>
    <w:rsid w:val="00590A22"/>
    <w:rsid w:val="00590DF1"/>
    <w:rsid w:val="0059179F"/>
    <w:rsid w:val="00591957"/>
    <w:rsid w:val="00596457"/>
    <w:rsid w:val="00596DBC"/>
    <w:rsid w:val="00597BF9"/>
    <w:rsid w:val="00597D3E"/>
    <w:rsid w:val="005A09E3"/>
    <w:rsid w:val="005A10E5"/>
    <w:rsid w:val="005A309A"/>
    <w:rsid w:val="005A30A0"/>
    <w:rsid w:val="005A373D"/>
    <w:rsid w:val="005A3A99"/>
    <w:rsid w:val="005A3B39"/>
    <w:rsid w:val="005A49BC"/>
    <w:rsid w:val="005A50F2"/>
    <w:rsid w:val="005A57C7"/>
    <w:rsid w:val="005A6C1A"/>
    <w:rsid w:val="005A7022"/>
    <w:rsid w:val="005A777B"/>
    <w:rsid w:val="005B0661"/>
    <w:rsid w:val="005B0B58"/>
    <w:rsid w:val="005B0E3B"/>
    <w:rsid w:val="005B10CC"/>
    <w:rsid w:val="005B1EDB"/>
    <w:rsid w:val="005B26CE"/>
    <w:rsid w:val="005B2EB1"/>
    <w:rsid w:val="005B2FB2"/>
    <w:rsid w:val="005B4E53"/>
    <w:rsid w:val="005B5857"/>
    <w:rsid w:val="005B62D1"/>
    <w:rsid w:val="005C0096"/>
    <w:rsid w:val="005C00F5"/>
    <w:rsid w:val="005C06BE"/>
    <w:rsid w:val="005C0E48"/>
    <w:rsid w:val="005C1077"/>
    <w:rsid w:val="005C11BE"/>
    <w:rsid w:val="005C1B83"/>
    <w:rsid w:val="005C1F4F"/>
    <w:rsid w:val="005C25FF"/>
    <w:rsid w:val="005C2D55"/>
    <w:rsid w:val="005C346B"/>
    <w:rsid w:val="005C38DC"/>
    <w:rsid w:val="005C58BE"/>
    <w:rsid w:val="005C74B8"/>
    <w:rsid w:val="005C766F"/>
    <w:rsid w:val="005D028C"/>
    <w:rsid w:val="005D044D"/>
    <w:rsid w:val="005D0ABD"/>
    <w:rsid w:val="005D18AD"/>
    <w:rsid w:val="005D1960"/>
    <w:rsid w:val="005D26B4"/>
    <w:rsid w:val="005D3DA0"/>
    <w:rsid w:val="005D3EA8"/>
    <w:rsid w:val="005D3FF2"/>
    <w:rsid w:val="005D52F1"/>
    <w:rsid w:val="005D5C80"/>
    <w:rsid w:val="005D778D"/>
    <w:rsid w:val="005D78A4"/>
    <w:rsid w:val="005D7DF2"/>
    <w:rsid w:val="005E313A"/>
    <w:rsid w:val="005E3DF4"/>
    <w:rsid w:val="005E4715"/>
    <w:rsid w:val="005E5F49"/>
    <w:rsid w:val="005E63F5"/>
    <w:rsid w:val="005E6AAE"/>
    <w:rsid w:val="005E6CBC"/>
    <w:rsid w:val="005E72FF"/>
    <w:rsid w:val="005E73A0"/>
    <w:rsid w:val="005E73C0"/>
    <w:rsid w:val="005F0EBB"/>
    <w:rsid w:val="005F11E3"/>
    <w:rsid w:val="005F2706"/>
    <w:rsid w:val="005F304C"/>
    <w:rsid w:val="005F3597"/>
    <w:rsid w:val="005F36EF"/>
    <w:rsid w:val="005F4713"/>
    <w:rsid w:val="005F5036"/>
    <w:rsid w:val="005F6A8F"/>
    <w:rsid w:val="005F6BB7"/>
    <w:rsid w:val="005F6E4E"/>
    <w:rsid w:val="005F7306"/>
    <w:rsid w:val="005F7588"/>
    <w:rsid w:val="005F7F46"/>
    <w:rsid w:val="0060068F"/>
    <w:rsid w:val="00601089"/>
    <w:rsid w:val="00602531"/>
    <w:rsid w:val="00602632"/>
    <w:rsid w:val="00603B77"/>
    <w:rsid w:val="00603DB9"/>
    <w:rsid w:val="00605126"/>
    <w:rsid w:val="00606FBA"/>
    <w:rsid w:val="00607669"/>
    <w:rsid w:val="006076F4"/>
    <w:rsid w:val="00607AFD"/>
    <w:rsid w:val="006114D5"/>
    <w:rsid w:val="00612A6E"/>
    <w:rsid w:val="00612BF3"/>
    <w:rsid w:val="00612F97"/>
    <w:rsid w:val="0061345D"/>
    <w:rsid w:val="00613529"/>
    <w:rsid w:val="00613F3A"/>
    <w:rsid w:val="00615248"/>
    <w:rsid w:val="00615363"/>
    <w:rsid w:val="0061549B"/>
    <w:rsid w:val="00616802"/>
    <w:rsid w:val="00617C28"/>
    <w:rsid w:val="00617E12"/>
    <w:rsid w:val="00620C25"/>
    <w:rsid w:val="00621477"/>
    <w:rsid w:val="00621ADA"/>
    <w:rsid w:val="00623371"/>
    <w:rsid w:val="006234AA"/>
    <w:rsid w:val="00623F7B"/>
    <w:rsid w:val="006247CE"/>
    <w:rsid w:val="0062532A"/>
    <w:rsid w:val="00625E8F"/>
    <w:rsid w:val="00626F94"/>
    <w:rsid w:val="006273ED"/>
    <w:rsid w:val="00630CE8"/>
    <w:rsid w:val="0063158F"/>
    <w:rsid w:val="00631720"/>
    <w:rsid w:val="00631D6B"/>
    <w:rsid w:val="00632183"/>
    <w:rsid w:val="006330A1"/>
    <w:rsid w:val="0063479F"/>
    <w:rsid w:val="006349E8"/>
    <w:rsid w:val="006353F0"/>
    <w:rsid w:val="006357B5"/>
    <w:rsid w:val="006364A1"/>
    <w:rsid w:val="0063678E"/>
    <w:rsid w:val="00637320"/>
    <w:rsid w:val="00637BFD"/>
    <w:rsid w:val="00637EA4"/>
    <w:rsid w:val="00640567"/>
    <w:rsid w:val="00640A6A"/>
    <w:rsid w:val="00640E35"/>
    <w:rsid w:val="00641C4E"/>
    <w:rsid w:val="00641FB3"/>
    <w:rsid w:val="00642CC5"/>
    <w:rsid w:val="00643568"/>
    <w:rsid w:val="00643D85"/>
    <w:rsid w:val="0064434C"/>
    <w:rsid w:val="0064482F"/>
    <w:rsid w:val="00645C23"/>
    <w:rsid w:val="00645D57"/>
    <w:rsid w:val="00646530"/>
    <w:rsid w:val="006471CC"/>
    <w:rsid w:val="0064720A"/>
    <w:rsid w:val="00647A29"/>
    <w:rsid w:val="00647FFB"/>
    <w:rsid w:val="0065079F"/>
    <w:rsid w:val="00650D8F"/>
    <w:rsid w:val="00651256"/>
    <w:rsid w:val="0065196F"/>
    <w:rsid w:val="00651F55"/>
    <w:rsid w:val="0065203B"/>
    <w:rsid w:val="00652A26"/>
    <w:rsid w:val="00652A28"/>
    <w:rsid w:val="0065379F"/>
    <w:rsid w:val="00653966"/>
    <w:rsid w:val="00654BDD"/>
    <w:rsid w:val="00654C5B"/>
    <w:rsid w:val="00655DEA"/>
    <w:rsid w:val="00655EAA"/>
    <w:rsid w:val="00656188"/>
    <w:rsid w:val="00656CF3"/>
    <w:rsid w:val="0065715A"/>
    <w:rsid w:val="006610F1"/>
    <w:rsid w:val="00661C6B"/>
    <w:rsid w:val="00661D69"/>
    <w:rsid w:val="00662436"/>
    <w:rsid w:val="00662D20"/>
    <w:rsid w:val="0066336B"/>
    <w:rsid w:val="0066468E"/>
    <w:rsid w:val="0066613D"/>
    <w:rsid w:val="00670298"/>
    <w:rsid w:val="00671004"/>
    <w:rsid w:val="00672646"/>
    <w:rsid w:val="006726B8"/>
    <w:rsid w:val="00673D9C"/>
    <w:rsid w:val="006746DE"/>
    <w:rsid w:val="00674E42"/>
    <w:rsid w:val="0067580E"/>
    <w:rsid w:val="0067783D"/>
    <w:rsid w:val="006800E0"/>
    <w:rsid w:val="00680ECA"/>
    <w:rsid w:val="006813F8"/>
    <w:rsid w:val="00682112"/>
    <w:rsid w:val="006825CA"/>
    <w:rsid w:val="00682BA6"/>
    <w:rsid w:val="006832E4"/>
    <w:rsid w:val="006833F7"/>
    <w:rsid w:val="006839A1"/>
    <w:rsid w:val="00686957"/>
    <w:rsid w:val="006872BA"/>
    <w:rsid w:val="00687774"/>
    <w:rsid w:val="00690224"/>
    <w:rsid w:val="00690795"/>
    <w:rsid w:val="00690E85"/>
    <w:rsid w:val="00691648"/>
    <w:rsid w:val="006917D7"/>
    <w:rsid w:val="0069198D"/>
    <w:rsid w:val="00691A68"/>
    <w:rsid w:val="00692DC4"/>
    <w:rsid w:val="00692F56"/>
    <w:rsid w:val="006932FC"/>
    <w:rsid w:val="00693CE2"/>
    <w:rsid w:val="0069434C"/>
    <w:rsid w:val="00694B4B"/>
    <w:rsid w:val="00694F44"/>
    <w:rsid w:val="00695DB1"/>
    <w:rsid w:val="006963A7"/>
    <w:rsid w:val="006965F3"/>
    <w:rsid w:val="00696F51"/>
    <w:rsid w:val="00697051"/>
    <w:rsid w:val="006979A5"/>
    <w:rsid w:val="00697A5E"/>
    <w:rsid w:val="006A0C25"/>
    <w:rsid w:val="006A140C"/>
    <w:rsid w:val="006A21D1"/>
    <w:rsid w:val="006A3712"/>
    <w:rsid w:val="006A4D97"/>
    <w:rsid w:val="006A5C51"/>
    <w:rsid w:val="006A65E5"/>
    <w:rsid w:val="006A6B99"/>
    <w:rsid w:val="006A7E5F"/>
    <w:rsid w:val="006B0798"/>
    <w:rsid w:val="006B084F"/>
    <w:rsid w:val="006B08D8"/>
    <w:rsid w:val="006B099F"/>
    <w:rsid w:val="006B0AB3"/>
    <w:rsid w:val="006B1A7C"/>
    <w:rsid w:val="006B1F21"/>
    <w:rsid w:val="006B22BA"/>
    <w:rsid w:val="006B261B"/>
    <w:rsid w:val="006B2C90"/>
    <w:rsid w:val="006B35E6"/>
    <w:rsid w:val="006B3997"/>
    <w:rsid w:val="006B3BBE"/>
    <w:rsid w:val="006B4375"/>
    <w:rsid w:val="006B465A"/>
    <w:rsid w:val="006B478F"/>
    <w:rsid w:val="006B4E1E"/>
    <w:rsid w:val="006B57B7"/>
    <w:rsid w:val="006B6577"/>
    <w:rsid w:val="006B6DD0"/>
    <w:rsid w:val="006B7F8D"/>
    <w:rsid w:val="006C0399"/>
    <w:rsid w:val="006C0410"/>
    <w:rsid w:val="006C07E4"/>
    <w:rsid w:val="006C1E2F"/>
    <w:rsid w:val="006C2A8E"/>
    <w:rsid w:val="006C3255"/>
    <w:rsid w:val="006C3288"/>
    <w:rsid w:val="006C32AD"/>
    <w:rsid w:val="006C3F26"/>
    <w:rsid w:val="006C518F"/>
    <w:rsid w:val="006C638F"/>
    <w:rsid w:val="006C72B6"/>
    <w:rsid w:val="006C7369"/>
    <w:rsid w:val="006D0CEA"/>
    <w:rsid w:val="006D0D17"/>
    <w:rsid w:val="006D2CFD"/>
    <w:rsid w:val="006D3C7D"/>
    <w:rsid w:val="006D429D"/>
    <w:rsid w:val="006D4659"/>
    <w:rsid w:val="006D5CCD"/>
    <w:rsid w:val="006D5D5F"/>
    <w:rsid w:val="006D68FB"/>
    <w:rsid w:val="006D695B"/>
    <w:rsid w:val="006E0045"/>
    <w:rsid w:val="006E1FB4"/>
    <w:rsid w:val="006E2868"/>
    <w:rsid w:val="006E2D1C"/>
    <w:rsid w:val="006E32A4"/>
    <w:rsid w:val="006E3AFD"/>
    <w:rsid w:val="006E5352"/>
    <w:rsid w:val="006E68C4"/>
    <w:rsid w:val="006E68F3"/>
    <w:rsid w:val="006E6ED3"/>
    <w:rsid w:val="006E733D"/>
    <w:rsid w:val="006E7C3F"/>
    <w:rsid w:val="006F0554"/>
    <w:rsid w:val="006F306C"/>
    <w:rsid w:val="006F3CC0"/>
    <w:rsid w:val="006F3CD2"/>
    <w:rsid w:val="006F3FF0"/>
    <w:rsid w:val="006F5971"/>
    <w:rsid w:val="006F63A5"/>
    <w:rsid w:val="006F6401"/>
    <w:rsid w:val="006F6867"/>
    <w:rsid w:val="006F746D"/>
    <w:rsid w:val="007007D7"/>
    <w:rsid w:val="00701090"/>
    <w:rsid w:val="0070142B"/>
    <w:rsid w:val="0070191F"/>
    <w:rsid w:val="00701EFB"/>
    <w:rsid w:val="0070276E"/>
    <w:rsid w:val="00702F8F"/>
    <w:rsid w:val="0070359C"/>
    <w:rsid w:val="007041B8"/>
    <w:rsid w:val="00704E30"/>
    <w:rsid w:val="00704F93"/>
    <w:rsid w:val="00704FB2"/>
    <w:rsid w:val="00705038"/>
    <w:rsid w:val="007055D0"/>
    <w:rsid w:val="00705D56"/>
    <w:rsid w:val="00706C1D"/>
    <w:rsid w:val="00706D7E"/>
    <w:rsid w:val="007079FC"/>
    <w:rsid w:val="00707E24"/>
    <w:rsid w:val="0071155F"/>
    <w:rsid w:val="00711A36"/>
    <w:rsid w:val="007121AA"/>
    <w:rsid w:val="007122B4"/>
    <w:rsid w:val="00712940"/>
    <w:rsid w:val="00712BC9"/>
    <w:rsid w:val="007136F2"/>
    <w:rsid w:val="007137C1"/>
    <w:rsid w:val="00714148"/>
    <w:rsid w:val="00714BF3"/>
    <w:rsid w:val="00714C26"/>
    <w:rsid w:val="0071529C"/>
    <w:rsid w:val="00715B5E"/>
    <w:rsid w:val="007170DA"/>
    <w:rsid w:val="007172AD"/>
    <w:rsid w:val="007174C5"/>
    <w:rsid w:val="00717C1B"/>
    <w:rsid w:val="00720801"/>
    <w:rsid w:val="00720C14"/>
    <w:rsid w:val="0072127D"/>
    <w:rsid w:val="007218C7"/>
    <w:rsid w:val="00721981"/>
    <w:rsid w:val="00722340"/>
    <w:rsid w:val="00722550"/>
    <w:rsid w:val="00722767"/>
    <w:rsid w:val="00722B1B"/>
    <w:rsid w:val="0072348C"/>
    <w:rsid w:val="0072416F"/>
    <w:rsid w:val="007247D2"/>
    <w:rsid w:val="007249FA"/>
    <w:rsid w:val="00727037"/>
    <w:rsid w:val="00727C94"/>
    <w:rsid w:val="00731B0A"/>
    <w:rsid w:val="00731EAE"/>
    <w:rsid w:val="00733073"/>
    <w:rsid w:val="007341DB"/>
    <w:rsid w:val="007346E2"/>
    <w:rsid w:val="00735033"/>
    <w:rsid w:val="00735328"/>
    <w:rsid w:val="00735E2B"/>
    <w:rsid w:val="0073685B"/>
    <w:rsid w:val="00736FB9"/>
    <w:rsid w:val="007401D6"/>
    <w:rsid w:val="00740751"/>
    <w:rsid w:val="00741009"/>
    <w:rsid w:val="0074135D"/>
    <w:rsid w:val="00741635"/>
    <w:rsid w:val="007421D4"/>
    <w:rsid w:val="00742C8E"/>
    <w:rsid w:val="00742C92"/>
    <w:rsid w:val="00743CBA"/>
    <w:rsid w:val="0074457E"/>
    <w:rsid w:val="007449BF"/>
    <w:rsid w:val="00745E89"/>
    <w:rsid w:val="00746123"/>
    <w:rsid w:val="00746318"/>
    <w:rsid w:val="00746BC0"/>
    <w:rsid w:val="00747114"/>
    <w:rsid w:val="007475C1"/>
    <w:rsid w:val="00747A89"/>
    <w:rsid w:val="007510B4"/>
    <w:rsid w:val="007515AC"/>
    <w:rsid w:val="00751E8E"/>
    <w:rsid w:val="00752142"/>
    <w:rsid w:val="007523F9"/>
    <w:rsid w:val="00752A81"/>
    <w:rsid w:val="00752FE7"/>
    <w:rsid w:val="0075357E"/>
    <w:rsid w:val="00754517"/>
    <w:rsid w:val="00754852"/>
    <w:rsid w:val="00755098"/>
    <w:rsid w:val="007552EE"/>
    <w:rsid w:val="0075598D"/>
    <w:rsid w:val="00756E14"/>
    <w:rsid w:val="007573E8"/>
    <w:rsid w:val="00760683"/>
    <w:rsid w:val="00760C4E"/>
    <w:rsid w:val="00760F9E"/>
    <w:rsid w:val="0076162A"/>
    <w:rsid w:val="007621AF"/>
    <w:rsid w:val="007627BE"/>
    <w:rsid w:val="00762B6C"/>
    <w:rsid w:val="00763087"/>
    <w:rsid w:val="00763A46"/>
    <w:rsid w:val="007641E4"/>
    <w:rsid w:val="0076422B"/>
    <w:rsid w:val="0076490C"/>
    <w:rsid w:val="00764F03"/>
    <w:rsid w:val="00765395"/>
    <w:rsid w:val="00765472"/>
    <w:rsid w:val="00765B1A"/>
    <w:rsid w:val="0076656C"/>
    <w:rsid w:val="007670AE"/>
    <w:rsid w:val="00767A3E"/>
    <w:rsid w:val="007729F8"/>
    <w:rsid w:val="00772E66"/>
    <w:rsid w:val="007732F5"/>
    <w:rsid w:val="00773522"/>
    <w:rsid w:val="00773576"/>
    <w:rsid w:val="00774AD1"/>
    <w:rsid w:val="00774FA4"/>
    <w:rsid w:val="007750A9"/>
    <w:rsid w:val="007766AD"/>
    <w:rsid w:val="00777335"/>
    <w:rsid w:val="007815F8"/>
    <w:rsid w:val="007816C5"/>
    <w:rsid w:val="0078239A"/>
    <w:rsid w:val="00782F8D"/>
    <w:rsid w:val="007834C6"/>
    <w:rsid w:val="007839AF"/>
    <w:rsid w:val="00783BF5"/>
    <w:rsid w:val="007843F2"/>
    <w:rsid w:val="0078456D"/>
    <w:rsid w:val="007851D4"/>
    <w:rsid w:val="00785A9F"/>
    <w:rsid w:val="00786C2F"/>
    <w:rsid w:val="00786CEC"/>
    <w:rsid w:val="00791330"/>
    <w:rsid w:val="00791337"/>
    <w:rsid w:val="007925A4"/>
    <w:rsid w:val="007925DF"/>
    <w:rsid w:val="00792F25"/>
    <w:rsid w:val="00795D67"/>
    <w:rsid w:val="007A0897"/>
    <w:rsid w:val="007A08AA"/>
    <w:rsid w:val="007A0A12"/>
    <w:rsid w:val="007A132D"/>
    <w:rsid w:val="007A1345"/>
    <w:rsid w:val="007A186C"/>
    <w:rsid w:val="007A20BD"/>
    <w:rsid w:val="007A2DDB"/>
    <w:rsid w:val="007A2E71"/>
    <w:rsid w:val="007A45D7"/>
    <w:rsid w:val="007A47F6"/>
    <w:rsid w:val="007A5D8C"/>
    <w:rsid w:val="007A602D"/>
    <w:rsid w:val="007A64DF"/>
    <w:rsid w:val="007A70BA"/>
    <w:rsid w:val="007A732F"/>
    <w:rsid w:val="007A76F1"/>
    <w:rsid w:val="007B0CEB"/>
    <w:rsid w:val="007B0D68"/>
    <w:rsid w:val="007B235E"/>
    <w:rsid w:val="007B251D"/>
    <w:rsid w:val="007B27E4"/>
    <w:rsid w:val="007B315F"/>
    <w:rsid w:val="007B4A6F"/>
    <w:rsid w:val="007B4F58"/>
    <w:rsid w:val="007B516A"/>
    <w:rsid w:val="007B528D"/>
    <w:rsid w:val="007B54A9"/>
    <w:rsid w:val="007B63CA"/>
    <w:rsid w:val="007B74BE"/>
    <w:rsid w:val="007B77D1"/>
    <w:rsid w:val="007B7B26"/>
    <w:rsid w:val="007C0045"/>
    <w:rsid w:val="007C054E"/>
    <w:rsid w:val="007C07C7"/>
    <w:rsid w:val="007C0D00"/>
    <w:rsid w:val="007C1273"/>
    <w:rsid w:val="007C1C3B"/>
    <w:rsid w:val="007C1CD9"/>
    <w:rsid w:val="007C1E8B"/>
    <w:rsid w:val="007C26C4"/>
    <w:rsid w:val="007C2EE8"/>
    <w:rsid w:val="007C32EF"/>
    <w:rsid w:val="007C361D"/>
    <w:rsid w:val="007C369E"/>
    <w:rsid w:val="007C4B84"/>
    <w:rsid w:val="007C5136"/>
    <w:rsid w:val="007C6232"/>
    <w:rsid w:val="007C70FF"/>
    <w:rsid w:val="007C7788"/>
    <w:rsid w:val="007C7C25"/>
    <w:rsid w:val="007D004F"/>
    <w:rsid w:val="007D0B38"/>
    <w:rsid w:val="007D0B66"/>
    <w:rsid w:val="007D2467"/>
    <w:rsid w:val="007D5052"/>
    <w:rsid w:val="007D5440"/>
    <w:rsid w:val="007D69EB"/>
    <w:rsid w:val="007D6E91"/>
    <w:rsid w:val="007E128F"/>
    <w:rsid w:val="007E3147"/>
    <w:rsid w:val="007E34D3"/>
    <w:rsid w:val="007E48CB"/>
    <w:rsid w:val="007E6563"/>
    <w:rsid w:val="007E6FE0"/>
    <w:rsid w:val="007E732B"/>
    <w:rsid w:val="007E7356"/>
    <w:rsid w:val="007F062F"/>
    <w:rsid w:val="007F1017"/>
    <w:rsid w:val="007F19AF"/>
    <w:rsid w:val="007F234F"/>
    <w:rsid w:val="007F3622"/>
    <w:rsid w:val="007F38E9"/>
    <w:rsid w:val="007F4A3F"/>
    <w:rsid w:val="007F4A61"/>
    <w:rsid w:val="007F5255"/>
    <w:rsid w:val="007F53CC"/>
    <w:rsid w:val="007F56CC"/>
    <w:rsid w:val="007F61C2"/>
    <w:rsid w:val="007F7719"/>
    <w:rsid w:val="00803F52"/>
    <w:rsid w:val="0080492B"/>
    <w:rsid w:val="00805142"/>
    <w:rsid w:val="008057C7"/>
    <w:rsid w:val="008057EB"/>
    <w:rsid w:val="00805DF0"/>
    <w:rsid w:val="00805FCE"/>
    <w:rsid w:val="00806635"/>
    <w:rsid w:val="00806D1E"/>
    <w:rsid w:val="00806F22"/>
    <w:rsid w:val="00807970"/>
    <w:rsid w:val="00807A8B"/>
    <w:rsid w:val="00807AB9"/>
    <w:rsid w:val="00807D7F"/>
    <w:rsid w:val="00811383"/>
    <w:rsid w:val="00812149"/>
    <w:rsid w:val="00812C70"/>
    <w:rsid w:val="00812CAC"/>
    <w:rsid w:val="008134BD"/>
    <w:rsid w:val="00814883"/>
    <w:rsid w:val="00814E6B"/>
    <w:rsid w:val="0081522F"/>
    <w:rsid w:val="008153B4"/>
    <w:rsid w:val="00816361"/>
    <w:rsid w:val="008166EF"/>
    <w:rsid w:val="00816FEF"/>
    <w:rsid w:val="008200EF"/>
    <w:rsid w:val="00820A8C"/>
    <w:rsid w:val="008211A0"/>
    <w:rsid w:val="008215FB"/>
    <w:rsid w:val="00822278"/>
    <w:rsid w:val="0082273A"/>
    <w:rsid w:val="00823174"/>
    <w:rsid w:val="00823EBA"/>
    <w:rsid w:val="00823FDF"/>
    <w:rsid w:val="0082433D"/>
    <w:rsid w:val="0082481B"/>
    <w:rsid w:val="0082503E"/>
    <w:rsid w:val="008250DC"/>
    <w:rsid w:val="00825751"/>
    <w:rsid w:val="00825B96"/>
    <w:rsid w:val="00825C57"/>
    <w:rsid w:val="008264EB"/>
    <w:rsid w:val="00826B51"/>
    <w:rsid w:val="00826C55"/>
    <w:rsid w:val="00827B27"/>
    <w:rsid w:val="008308FD"/>
    <w:rsid w:val="00830C0C"/>
    <w:rsid w:val="008312FD"/>
    <w:rsid w:val="00832EE8"/>
    <w:rsid w:val="00833B05"/>
    <w:rsid w:val="00834698"/>
    <w:rsid w:val="00834EF4"/>
    <w:rsid w:val="00835CD8"/>
    <w:rsid w:val="008362B4"/>
    <w:rsid w:val="008370D5"/>
    <w:rsid w:val="00840CA2"/>
    <w:rsid w:val="008414DA"/>
    <w:rsid w:val="008417C5"/>
    <w:rsid w:val="00841C10"/>
    <w:rsid w:val="00841C44"/>
    <w:rsid w:val="0084374F"/>
    <w:rsid w:val="00844A22"/>
    <w:rsid w:val="00844D44"/>
    <w:rsid w:val="00845BA0"/>
    <w:rsid w:val="00845C60"/>
    <w:rsid w:val="00845CC9"/>
    <w:rsid w:val="008466F5"/>
    <w:rsid w:val="00846BAD"/>
    <w:rsid w:val="00847703"/>
    <w:rsid w:val="00847DF5"/>
    <w:rsid w:val="00851190"/>
    <w:rsid w:val="00852D06"/>
    <w:rsid w:val="0085309D"/>
    <w:rsid w:val="00853320"/>
    <w:rsid w:val="0085405D"/>
    <w:rsid w:val="00855B13"/>
    <w:rsid w:val="00856897"/>
    <w:rsid w:val="00856C08"/>
    <w:rsid w:val="00856E9A"/>
    <w:rsid w:val="00857451"/>
    <w:rsid w:val="0086075D"/>
    <w:rsid w:val="00860E36"/>
    <w:rsid w:val="00860F0F"/>
    <w:rsid w:val="00861F94"/>
    <w:rsid w:val="00862502"/>
    <w:rsid w:val="00862CC1"/>
    <w:rsid w:val="00863354"/>
    <w:rsid w:val="008643A3"/>
    <w:rsid w:val="00865284"/>
    <w:rsid w:val="00865CAD"/>
    <w:rsid w:val="008660D4"/>
    <w:rsid w:val="00866E48"/>
    <w:rsid w:val="00871747"/>
    <w:rsid w:val="00871E43"/>
    <w:rsid w:val="00871FA9"/>
    <w:rsid w:val="00872193"/>
    <w:rsid w:val="00872459"/>
    <w:rsid w:val="00872495"/>
    <w:rsid w:val="008728E9"/>
    <w:rsid w:val="00874F71"/>
    <w:rsid w:val="00875B8A"/>
    <w:rsid w:val="00881909"/>
    <w:rsid w:val="00882874"/>
    <w:rsid w:val="00882E3C"/>
    <w:rsid w:val="00883787"/>
    <w:rsid w:val="00883E7A"/>
    <w:rsid w:val="008855E4"/>
    <w:rsid w:val="00886573"/>
    <w:rsid w:val="00886CD2"/>
    <w:rsid w:val="008902A6"/>
    <w:rsid w:val="0089082D"/>
    <w:rsid w:val="00891E6F"/>
    <w:rsid w:val="0089275D"/>
    <w:rsid w:val="00892A36"/>
    <w:rsid w:val="00893239"/>
    <w:rsid w:val="008934A8"/>
    <w:rsid w:val="00893EB3"/>
    <w:rsid w:val="00894489"/>
    <w:rsid w:val="0089583E"/>
    <w:rsid w:val="0089589C"/>
    <w:rsid w:val="00895A25"/>
    <w:rsid w:val="00895BAC"/>
    <w:rsid w:val="008963A5"/>
    <w:rsid w:val="00896D5D"/>
    <w:rsid w:val="0089732A"/>
    <w:rsid w:val="008A0ADE"/>
    <w:rsid w:val="008A2E03"/>
    <w:rsid w:val="008A2E91"/>
    <w:rsid w:val="008A3363"/>
    <w:rsid w:val="008A3371"/>
    <w:rsid w:val="008A3BD7"/>
    <w:rsid w:val="008A3C3E"/>
    <w:rsid w:val="008A4488"/>
    <w:rsid w:val="008A4A3F"/>
    <w:rsid w:val="008A5306"/>
    <w:rsid w:val="008A5495"/>
    <w:rsid w:val="008A579B"/>
    <w:rsid w:val="008A6EC9"/>
    <w:rsid w:val="008A79DE"/>
    <w:rsid w:val="008B10E5"/>
    <w:rsid w:val="008B1757"/>
    <w:rsid w:val="008B1B3B"/>
    <w:rsid w:val="008B1F22"/>
    <w:rsid w:val="008B21C9"/>
    <w:rsid w:val="008B22C0"/>
    <w:rsid w:val="008B3DD0"/>
    <w:rsid w:val="008B47A0"/>
    <w:rsid w:val="008B4D23"/>
    <w:rsid w:val="008B5BDC"/>
    <w:rsid w:val="008B64D9"/>
    <w:rsid w:val="008B6BF3"/>
    <w:rsid w:val="008B71A0"/>
    <w:rsid w:val="008B7829"/>
    <w:rsid w:val="008B7992"/>
    <w:rsid w:val="008B7D7E"/>
    <w:rsid w:val="008C0D95"/>
    <w:rsid w:val="008C1A8F"/>
    <w:rsid w:val="008C31BB"/>
    <w:rsid w:val="008C3987"/>
    <w:rsid w:val="008C5610"/>
    <w:rsid w:val="008C5739"/>
    <w:rsid w:val="008C6DFB"/>
    <w:rsid w:val="008C7B6B"/>
    <w:rsid w:val="008C7BAB"/>
    <w:rsid w:val="008C7ECB"/>
    <w:rsid w:val="008D04C0"/>
    <w:rsid w:val="008D3398"/>
    <w:rsid w:val="008D3B86"/>
    <w:rsid w:val="008D4755"/>
    <w:rsid w:val="008D4C3D"/>
    <w:rsid w:val="008D55C1"/>
    <w:rsid w:val="008D7300"/>
    <w:rsid w:val="008D743C"/>
    <w:rsid w:val="008E0D3C"/>
    <w:rsid w:val="008E105E"/>
    <w:rsid w:val="008E1B9E"/>
    <w:rsid w:val="008E30B0"/>
    <w:rsid w:val="008E37DC"/>
    <w:rsid w:val="008E53B9"/>
    <w:rsid w:val="008E55AB"/>
    <w:rsid w:val="008E6898"/>
    <w:rsid w:val="008E7685"/>
    <w:rsid w:val="008F0FBD"/>
    <w:rsid w:val="008F120A"/>
    <w:rsid w:val="008F16CD"/>
    <w:rsid w:val="008F21D7"/>
    <w:rsid w:val="008F27E0"/>
    <w:rsid w:val="008F3594"/>
    <w:rsid w:val="008F48EB"/>
    <w:rsid w:val="008F4EE5"/>
    <w:rsid w:val="008F4F0B"/>
    <w:rsid w:val="008F585C"/>
    <w:rsid w:val="008F5D5A"/>
    <w:rsid w:val="008F60D5"/>
    <w:rsid w:val="008F652C"/>
    <w:rsid w:val="008F6E1C"/>
    <w:rsid w:val="008F79CA"/>
    <w:rsid w:val="00902C0C"/>
    <w:rsid w:val="00902C51"/>
    <w:rsid w:val="00902FC2"/>
    <w:rsid w:val="009046C4"/>
    <w:rsid w:val="00904E61"/>
    <w:rsid w:val="009062A5"/>
    <w:rsid w:val="00907ABF"/>
    <w:rsid w:val="00910AE3"/>
    <w:rsid w:val="00910FA7"/>
    <w:rsid w:val="00911272"/>
    <w:rsid w:val="00911600"/>
    <w:rsid w:val="00911BBA"/>
    <w:rsid w:val="00911F90"/>
    <w:rsid w:val="00912564"/>
    <w:rsid w:val="00912784"/>
    <w:rsid w:val="0091297C"/>
    <w:rsid w:val="009135D6"/>
    <w:rsid w:val="0091382A"/>
    <w:rsid w:val="00914C77"/>
    <w:rsid w:val="00915000"/>
    <w:rsid w:val="00915A49"/>
    <w:rsid w:val="00916BAE"/>
    <w:rsid w:val="00917046"/>
    <w:rsid w:val="00921ACB"/>
    <w:rsid w:val="0092369B"/>
    <w:rsid w:val="00924541"/>
    <w:rsid w:val="009247F6"/>
    <w:rsid w:val="00924C10"/>
    <w:rsid w:val="00924C2D"/>
    <w:rsid w:val="00925BD5"/>
    <w:rsid w:val="009266DE"/>
    <w:rsid w:val="00927F37"/>
    <w:rsid w:val="00930A16"/>
    <w:rsid w:val="00930E31"/>
    <w:rsid w:val="009317D1"/>
    <w:rsid w:val="00932D98"/>
    <w:rsid w:val="00932DED"/>
    <w:rsid w:val="00933714"/>
    <w:rsid w:val="00933FE5"/>
    <w:rsid w:val="00934988"/>
    <w:rsid w:val="0093504C"/>
    <w:rsid w:val="00936B36"/>
    <w:rsid w:val="00937089"/>
    <w:rsid w:val="0094292A"/>
    <w:rsid w:val="009430A7"/>
    <w:rsid w:val="00943F90"/>
    <w:rsid w:val="00944F8A"/>
    <w:rsid w:val="00945A8F"/>
    <w:rsid w:val="00946B6F"/>
    <w:rsid w:val="00950803"/>
    <w:rsid w:val="009510A2"/>
    <w:rsid w:val="00953225"/>
    <w:rsid w:val="00953257"/>
    <w:rsid w:val="0095474C"/>
    <w:rsid w:val="00956607"/>
    <w:rsid w:val="00960952"/>
    <w:rsid w:val="00960F16"/>
    <w:rsid w:val="0096166D"/>
    <w:rsid w:val="00962CB9"/>
    <w:rsid w:val="00962FD0"/>
    <w:rsid w:val="00962FD8"/>
    <w:rsid w:val="00964312"/>
    <w:rsid w:val="00964935"/>
    <w:rsid w:val="00964E62"/>
    <w:rsid w:val="00965B8A"/>
    <w:rsid w:val="0096628D"/>
    <w:rsid w:val="00967236"/>
    <w:rsid w:val="009673E0"/>
    <w:rsid w:val="0097022D"/>
    <w:rsid w:val="0097071F"/>
    <w:rsid w:val="009717AC"/>
    <w:rsid w:val="009719C7"/>
    <w:rsid w:val="00972C9E"/>
    <w:rsid w:val="0097408F"/>
    <w:rsid w:val="009750A7"/>
    <w:rsid w:val="009751C1"/>
    <w:rsid w:val="00977405"/>
    <w:rsid w:val="00980331"/>
    <w:rsid w:val="009811F1"/>
    <w:rsid w:val="00981397"/>
    <w:rsid w:val="0098235E"/>
    <w:rsid w:val="0098274C"/>
    <w:rsid w:val="00982AC8"/>
    <w:rsid w:val="00982E1A"/>
    <w:rsid w:val="00983E57"/>
    <w:rsid w:val="00984CCB"/>
    <w:rsid w:val="00985DE2"/>
    <w:rsid w:val="0098675D"/>
    <w:rsid w:val="00986925"/>
    <w:rsid w:val="00987187"/>
    <w:rsid w:val="00990236"/>
    <w:rsid w:val="00990285"/>
    <w:rsid w:val="00990D9A"/>
    <w:rsid w:val="009915DC"/>
    <w:rsid w:val="009926E0"/>
    <w:rsid w:val="00992C6D"/>
    <w:rsid w:val="009942D0"/>
    <w:rsid w:val="0099451E"/>
    <w:rsid w:val="009960A1"/>
    <w:rsid w:val="009965D3"/>
    <w:rsid w:val="00996B1A"/>
    <w:rsid w:val="009A0049"/>
    <w:rsid w:val="009A054C"/>
    <w:rsid w:val="009A19BC"/>
    <w:rsid w:val="009A2156"/>
    <w:rsid w:val="009A2DCC"/>
    <w:rsid w:val="009A3215"/>
    <w:rsid w:val="009A48A9"/>
    <w:rsid w:val="009A4B06"/>
    <w:rsid w:val="009A5ABC"/>
    <w:rsid w:val="009A66DE"/>
    <w:rsid w:val="009A69C5"/>
    <w:rsid w:val="009A7576"/>
    <w:rsid w:val="009A7F10"/>
    <w:rsid w:val="009B054F"/>
    <w:rsid w:val="009B193C"/>
    <w:rsid w:val="009B1A8C"/>
    <w:rsid w:val="009B1B8C"/>
    <w:rsid w:val="009B2E35"/>
    <w:rsid w:val="009B2E93"/>
    <w:rsid w:val="009B2F9B"/>
    <w:rsid w:val="009B3E26"/>
    <w:rsid w:val="009B5434"/>
    <w:rsid w:val="009B7EB2"/>
    <w:rsid w:val="009C0662"/>
    <w:rsid w:val="009C087B"/>
    <w:rsid w:val="009C1291"/>
    <w:rsid w:val="009C185A"/>
    <w:rsid w:val="009C227B"/>
    <w:rsid w:val="009C2E3A"/>
    <w:rsid w:val="009C2EBA"/>
    <w:rsid w:val="009C3362"/>
    <w:rsid w:val="009C3706"/>
    <w:rsid w:val="009C3A3A"/>
    <w:rsid w:val="009C44D6"/>
    <w:rsid w:val="009C4627"/>
    <w:rsid w:val="009C4A94"/>
    <w:rsid w:val="009C6CEA"/>
    <w:rsid w:val="009C7B85"/>
    <w:rsid w:val="009D0254"/>
    <w:rsid w:val="009D0B94"/>
    <w:rsid w:val="009D1630"/>
    <w:rsid w:val="009D1A64"/>
    <w:rsid w:val="009D1F92"/>
    <w:rsid w:val="009D234A"/>
    <w:rsid w:val="009D41B8"/>
    <w:rsid w:val="009D5B91"/>
    <w:rsid w:val="009D5D03"/>
    <w:rsid w:val="009D615C"/>
    <w:rsid w:val="009D616B"/>
    <w:rsid w:val="009D65F0"/>
    <w:rsid w:val="009D792E"/>
    <w:rsid w:val="009E0DFE"/>
    <w:rsid w:val="009E1169"/>
    <w:rsid w:val="009E1184"/>
    <w:rsid w:val="009E31F6"/>
    <w:rsid w:val="009E3461"/>
    <w:rsid w:val="009E3773"/>
    <w:rsid w:val="009E3938"/>
    <w:rsid w:val="009E4104"/>
    <w:rsid w:val="009E4C07"/>
    <w:rsid w:val="009E4FAA"/>
    <w:rsid w:val="009E545E"/>
    <w:rsid w:val="009E580A"/>
    <w:rsid w:val="009E60E0"/>
    <w:rsid w:val="009E67FC"/>
    <w:rsid w:val="009E6BEB"/>
    <w:rsid w:val="009E6F97"/>
    <w:rsid w:val="009E7177"/>
    <w:rsid w:val="009F00DD"/>
    <w:rsid w:val="009F329B"/>
    <w:rsid w:val="009F65E6"/>
    <w:rsid w:val="009F6EF9"/>
    <w:rsid w:val="009F7EC1"/>
    <w:rsid w:val="00A000FA"/>
    <w:rsid w:val="00A0044D"/>
    <w:rsid w:val="00A00788"/>
    <w:rsid w:val="00A00C74"/>
    <w:rsid w:val="00A01184"/>
    <w:rsid w:val="00A0264A"/>
    <w:rsid w:val="00A03159"/>
    <w:rsid w:val="00A037C2"/>
    <w:rsid w:val="00A03D43"/>
    <w:rsid w:val="00A04380"/>
    <w:rsid w:val="00A05472"/>
    <w:rsid w:val="00A05C32"/>
    <w:rsid w:val="00A0653F"/>
    <w:rsid w:val="00A077E9"/>
    <w:rsid w:val="00A07C59"/>
    <w:rsid w:val="00A07F10"/>
    <w:rsid w:val="00A10C4C"/>
    <w:rsid w:val="00A11CD0"/>
    <w:rsid w:val="00A12667"/>
    <w:rsid w:val="00A133AC"/>
    <w:rsid w:val="00A13948"/>
    <w:rsid w:val="00A15505"/>
    <w:rsid w:val="00A1555B"/>
    <w:rsid w:val="00A155C5"/>
    <w:rsid w:val="00A15A2D"/>
    <w:rsid w:val="00A15FF7"/>
    <w:rsid w:val="00A16738"/>
    <w:rsid w:val="00A16AD8"/>
    <w:rsid w:val="00A20808"/>
    <w:rsid w:val="00A2081E"/>
    <w:rsid w:val="00A20F94"/>
    <w:rsid w:val="00A20FC6"/>
    <w:rsid w:val="00A21C95"/>
    <w:rsid w:val="00A21CF3"/>
    <w:rsid w:val="00A21F49"/>
    <w:rsid w:val="00A22D3A"/>
    <w:rsid w:val="00A23080"/>
    <w:rsid w:val="00A2357E"/>
    <w:rsid w:val="00A23C52"/>
    <w:rsid w:val="00A23E3A"/>
    <w:rsid w:val="00A24813"/>
    <w:rsid w:val="00A25413"/>
    <w:rsid w:val="00A27679"/>
    <w:rsid w:val="00A27AEC"/>
    <w:rsid w:val="00A27F84"/>
    <w:rsid w:val="00A30981"/>
    <w:rsid w:val="00A30F52"/>
    <w:rsid w:val="00A31B70"/>
    <w:rsid w:val="00A31B7C"/>
    <w:rsid w:val="00A320DB"/>
    <w:rsid w:val="00A35D16"/>
    <w:rsid w:val="00A360B2"/>
    <w:rsid w:val="00A36BBF"/>
    <w:rsid w:val="00A37BCD"/>
    <w:rsid w:val="00A4000C"/>
    <w:rsid w:val="00A407B6"/>
    <w:rsid w:val="00A40E5C"/>
    <w:rsid w:val="00A41689"/>
    <w:rsid w:val="00A42592"/>
    <w:rsid w:val="00A42637"/>
    <w:rsid w:val="00A4274A"/>
    <w:rsid w:val="00A4339A"/>
    <w:rsid w:val="00A437CA"/>
    <w:rsid w:val="00A43C59"/>
    <w:rsid w:val="00A46138"/>
    <w:rsid w:val="00A4613F"/>
    <w:rsid w:val="00A47880"/>
    <w:rsid w:val="00A503FE"/>
    <w:rsid w:val="00A50ECD"/>
    <w:rsid w:val="00A50F6E"/>
    <w:rsid w:val="00A51193"/>
    <w:rsid w:val="00A518F3"/>
    <w:rsid w:val="00A52729"/>
    <w:rsid w:val="00A53675"/>
    <w:rsid w:val="00A53E3E"/>
    <w:rsid w:val="00A55793"/>
    <w:rsid w:val="00A56215"/>
    <w:rsid w:val="00A564D7"/>
    <w:rsid w:val="00A56B6A"/>
    <w:rsid w:val="00A56F8A"/>
    <w:rsid w:val="00A578DC"/>
    <w:rsid w:val="00A60150"/>
    <w:rsid w:val="00A60AA2"/>
    <w:rsid w:val="00A60EDC"/>
    <w:rsid w:val="00A63E3A"/>
    <w:rsid w:val="00A640E2"/>
    <w:rsid w:val="00A643DF"/>
    <w:rsid w:val="00A64D65"/>
    <w:rsid w:val="00A652C1"/>
    <w:rsid w:val="00A6551C"/>
    <w:rsid w:val="00A65860"/>
    <w:rsid w:val="00A665CA"/>
    <w:rsid w:val="00A6725B"/>
    <w:rsid w:val="00A70605"/>
    <w:rsid w:val="00A72310"/>
    <w:rsid w:val="00A72850"/>
    <w:rsid w:val="00A72A18"/>
    <w:rsid w:val="00A73134"/>
    <w:rsid w:val="00A7440B"/>
    <w:rsid w:val="00A74C90"/>
    <w:rsid w:val="00A76001"/>
    <w:rsid w:val="00A773C9"/>
    <w:rsid w:val="00A777B2"/>
    <w:rsid w:val="00A805BE"/>
    <w:rsid w:val="00A817A3"/>
    <w:rsid w:val="00A82442"/>
    <w:rsid w:val="00A825D4"/>
    <w:rsid w:val="00A828F6"/>
    <w:rsid w:val="00A829FE"/>
    <w:rsid w:val="00A82B73"/>
    <w:rsid w:val="00A82C56"/>
    <w:rsid w:val="00A833AB"/>
    <w:rsid w:val="00A842E2"/>
    <w:rsid w:val="00A84BFB"/>
    <w:rsid w:val="00A858AE"/>
    <w:rsid w:val="00A85A8E"/>
    <w:rsid w:val="00A86955"/>
    <w:rsid w:val="00A86B0F"/>
    <w:rsid w:val="00A86E8B"/>
    <w:rsid w:val="00A870A6"/>
    <w:rsid w:val="00A87164"/>
    <w:rsid w:val="00A87319"/>
    <w:rsid w:val="00A918F6"/>
    <w:rsid w:val="00A91C78"/>
    <w:rsid w:val="00A93072"/>
    <w:rsid w:val="00A938BD"/>
    <w:rsid w:val="00A93953"/>
    <w:rsid w:val="00A9477B"/>
    <w:rsid w:val="00A954A5"/>
    <w:rsid w:val="00A95632"/>
    <w:rsid w:val="00A959D8"/>
    <w:rsid w:val="00A977C9"/>
    <w:rsid w:val="00AA113D"/>
    <w:rsid w:val="00AA32E0"/>
    <w:rsid w:val="00AA58E9"/>
    <w:rsid w:val="00AA6BD5"/>
    <w:rsid w:val="00AA6BD8"/>
    <w:rsid w:val="00AA6C7D"/>
    <w:rsid w:val="00AA7EE9"/>
    <w:rsid w:val="00AA7FD6"/>
    <w:rsid w:val="00AB042A"/>
    <w:rsid w:val="00AB090E"/>
    <w:rsid w:val="00AB19EF"/>
    <w:rsid w:val="00AB2D34"/>
    <w:rsid w:val="00AB3430"/>
    <w:rsid w:val="00AB3616"/>
    <w:rsid w:val="00AB37B9"/>
    <w:rsid w:val="00AB3F9E"/>
    <w:rsid w:val="00AB40B7"/>
    <w:rsid w:val="00AB485A"/>
    <w:rsid w:val="00AB4AD1"/>
    <w:rsid w:val="00AB5E07"/>
    <w:rsid w:val="00AB7CFA"/>
    <w:rsid w:val="00AC09C5"/>
    <w:rsid w:val="00AC0B1B"/>
    <w:rsid w:val="00AC1B42"/>
    <w:rsid w:val="00AC2578"/>
    <w:rsid w:val="00AC28BD"/>
    <w:rsid w:val="00AC365E"/>
    <w:rsid w:val="00AC4EE3"/>
    <w:rsid w:val="00AC55EB"/>
    <w:rsid w:val="00AC5B48"/>
    <w:rsid w:val="00AC5D12"/>
    <w:rsid w:val="00AC5D7B"/>
    <w:rsid w:val="00AC5EEF"/>
    <w:rsid w:val="00AC6631"/>
    <w:rsid w:val="00AD0C53"/>
    <w:rsid w:val="00AD1450"/>
    <w:rsid w:val="00AD1CD6"/>
    <w:rsid w:val="00AD3177"/>
    <w:rsid w:val="00AD3229"/>
    <w:rsid w:val="00AD5350"/>
    <w:rsid w:val="00AD6479"/>
    <w:rsid w:val="00AD6502"/>
    <w:rsid w:val="00AD795A"/>
    <w:rsid w:val="00AD7C49"/>
    <w:rsid w:val="00AE005D"/>
    <w:rsid w:val="00AE0695"/>
    <w:rsid w:val="00AE260F"/>
    <w:rsid w:val="00AE3036"/>
    <w:rsid w:val="00AE36B8"/>
    <w:rsid w:val="00AE3E7E"/>
    <w:rsid w:val="00AE506C"/>
    <w:rsid w:val="00AE5B3A"/>
    <w:rsid w:val="00AE79C1"/>
    <w:rsid w:val="00AF00A4"/>
    <w:rsid w:val="00AF03B0"/>
    <w:rsid w:val="00AF0914"/>
    <w:rsid w:val="00AF1315"/>
    <w:rsid w:val="00AF19BF"/>
    <w:rsid w:val="00AF2DC3"/>
    <w:rsid w:val="00AF2DDC"/>
    <w:rsid w:val="00AF37A9"/>
    <w:rsid w:val="00AF3833"/>
    <w:rsid w:val="00AF4A7D"/>
    <w:rsid w:val="00AF53D7"/>
    <w:rsid w:val="00AF72E2"/>
    <w:rsid w:val="00AF74D1"/>
    <w:rsid w:val="00AF7ADC"/>
    <w:rsid w:val="00B00F9E"/>
    <w:rsid w:val="00B033E5"/>
    <w:rsid w:val="00B03A63"/>
    <w:rsid w:val="00B03B1C"/>
    <w:rsid w:val="00B04000"/>
    <w:rsid w:val="00B04339"/>
    <w:rsid w:val="00B06638"/>
    <w:rsid w:val="00B07049"/>
    <w:rsid w:val="00B075BE"/>
    <w:rsid w:val="00B07BF3"/>
    <w:rsid w:val="00B07FB9"/>
    <w:rsid w:val="00B10753"/>
    <w:rsid w:val="00B1259C"/>
    <w:rsid w:val="00B1614A"/>
    <w:rsid w:val="00B164C8"/>
    <w:rsid w:val="00B172FF"/>
    <w:rsid w:val="00B201A4"/>
    <w:rsid w:val="00B201D1"/>
    <w:rsid w:val="00B202FB"/>
    <w:rsid w:val="00B20805"/>
    <w:rsid w:val="00B20CEF"/>
    <w:rsid w:val="00B213A6"/>
    <w:rsid w:val="00B215D5"/>
    <w:rsid w:val="00B22F09"/>
    <w:rsid w:val="00B23038"/>
    <w:rsid w:val="00B231BB"/>
    <w:rsid w:val="00B23292"/>
    <w:rsid w:val="00B235B0"/>
    <w:rsid w:val="00B24B04"/>
    <w:rsid w:val="00B24DF6"/>
    <w:rsid w:val="00B2613E"/>
    <w:rsid w:val="00B26383"/>
    <w:rsid w:val="00B26C0A"/>
    <w:rsid w:val="00B26C54"/>
    <w:rsid w:val="00B31940"/>
    <w:rsid w:val="00B32852"/>
    <w:rsid w:val="00B34FE2"/>
    <w:rsid w:val="00B35166"/>
    <w:rsid w:val="00B352F4"/>
    <w:rsid w:val="00B357D8"/>
    <w:rsid w:val="00B360F4"/>
    <w:rsid w:val="00B36A00"/>
    <w:rsid w:val="00B37BFC"/>
    <w:rsid w:val="00B40358"/>
    <w:rsid w:val="00B40B7A"/>
    <w:rsid w:val="00B4158D"/>
    <w:rsid w:val="00B41614"/>
    <w:rsid w:val="00B416A3"/>
    <w:rsid w:val="00B4205F"/>
    <w:rsid w:val="00B42851"/>
    <w:rsid w:val="00B42F80"/>
    <w:rsid w:val="00B4319A"/>
    <w:rsid w:val="00B435CB"/>
    <w:rsid w:val="00B43768"/>
    <w:rsid w:val="00B4451F"/>
    <w:rsid w:val="00B44DDE"/>
    <w:rsid w:val="00B4579A"/>
    <w:rsid w:val="00B46750"/>
    <w:rsid w:val="00B479EC"/>
    <w:rsid w:val="00B505C8"/>
    <w:rsid w:val="00B50BD1"/>
    <w:rsid w:val="00B50DB8"/>
    <w:rsid w:val="00B51999"/>
    <w:rsid w:val="00B51B3E"/>
    <w:rsid w:val="00B52BB2"/>
    <w:rsid w:val="00B530DF"/>
    <w:rsid w:val="00B53654"/>
    <w:rsid w:val="00B53905"/>
    <w:rsid w:val="00B54B5B"/>
    <w:rsid w:val="00B54F9A"/>
    <w:rsid w:val="00B5562E"/>
    <w:rsid w:val="00B5564F"/>
    <w:rsid w:val="00B55C2D"/>
    <w:rsid w:val="00B55D65"/>
    <w:rsid w:val="00B57000"/>
    <w:rsid w:val="00B602C2"/>
    <w:rsid w:val="00B60939"/>
    <w:rsid w:val="00B60AFD"/>
    <w:rsid w:val="00B6265C"/>
    <w:rsid w:val="00B62715"/>
    <w:rsid w:val="00B643E2"/>
    <w:rsid w:val="00B655E2"/>
    <w:rsid w:val="00B65611"/>
    <w:rsid w:val="00B65D24"/>
    <w:rsid w:val="00B67386"/>
    <w:rsid w:val="00B67EB9"/>
    <w:rsid w:val="00B7015C"/>
    <w:rsid w:val="00B70824"/>
    <w:rsid w:val="00B70E8E"/>
    <w:rsid w:val="00B722E6"/>
    <w:rsid w:val="00B73D27"/>
    <w:rsid w:val="00B75DEF"/>
    <w:rsid w:val="00B76750"/>
    <w:rsid w:val="00B76965"/>
    <w:rsid w:val="00B76C92"/>
    <w:rsid w:val="00B80E59"/>
    <w:rsid w:val="00B818A4"/>
    <w:rsid w:val="00B8322A"/>
    <w:rsid w:val="00B836FC"/>
    <w:rsid w:val="00B84117"/>
    <w:rsid w:val="00B84CCE"/>
    <w:rsid w:val="00B8505C"/>
    <w:rsid w:val="00B858F0"/>
    <w:rsid w:val="00B85AA2"/>
    <w:rsid w:val="00B85ADD"/>
    <w:rsid w:val="00B85BA5"/>
    <w:rsid w:val="00B863A7"/>
    <w:rsid w:val="00B8649C"/>
    <w:rsid w:val="00B86754"/>
    <w:rsid w:val="00B8695D"/>
    <w:rsid w:val="00B87F0A"/>
    <w:rsid w:val="00B91B61"/>
    <w:rsid w:val="00B929D6"/>
    <w:rsid w:val="00B92D0B"/>
    <w:rsid w:val="00B9319A"/>
    <w:rsid w:val="00B94159"/>
    <w:rsid w:val="00B94945"/>
    <w:rsid w:val="00B94DD6"/>
    <w:rsid w:val="00B95A7C"/>
    <w:rsid w:val="00B965B1"/>
    <w:rsid w:val="00B96748"/>
    <w:rsid w:val="00B970BA"/>
    <w:rsid w:val="00B976B6"/>
    <w:rsid w:val="00BA0F16"/>
    <w:rsid w:val="00BA1002"/>
    <w:rsid w:val="00BA103A"/>
    <w:rsid w:val="00BA1238"/>
    <w:rsid w:val="00BA134F"/>
    <w:rsid w:val="00BA322D"/>
    <w:rsid w:val="00BA5927"/>
    <w:rsid w:val="00BA5935"/>
    <w:rsid w:val="00BA5942"/>
    <w:rsid w:val="00BA63FA"/>
    <w:rsid w:val="00BA66FC"/>
    <w:rsid w:val="00BA67DD"/>
    <w:rsid w:val="00BA6FE3"/>
    <w:rsid w:val="00BA7329"/>
    <w:rsid w:val="00BB00B3"/>
    <w:rsid w:val="00BB079B"/>
    <w:rsid w:val="00BB0BDD"/>
    <w:rsid w:val="00BB176C"/>
    <w:rsid w:val="00BB1A47"/>
    <w:rsid w:val="00BB267E"/>
    <w:rsid w:val="00BB2A73"/>
    <w:rsid w:val="00BB2D93"/>
    <w:rsid w:val="00BB3A45"/>
    <w:rsid w:val="00BB3AFC"/>
    <w:rsid w:val="00BB4ACC"/>
    <w:rsid w:val="00BB5175"/>
    <w:rsid w:val="00BB561E"/>
    <w:rsid w:val="00BB5F73"/>
    <w:rsid w:val="00BB703E"/>
    <w:rsid w:val="00BB732D"/>
    <w:rsid w:val="00BB7405"/>
    <w:rsid w:val="00BB7B73"/>
    <w:rsid w:val="00BC0E6F"/>
    <w:rsid w:val="00BC1C58"/>
    <w:rsid w:val="00BC1E89"/>
    <w:rsid w:val="00BC1FB5"/>
    <w:rsid w:val="00BC271D"/>
    <w:rsid w:val="00BC357E"/>
    <w:rsid w:val="00BC3631"/>
    <w:rsid w:val="00BC387F"/>
    <w:rsid w:val="00BC591F"/>
    <w:rsid w:val="00BC5D32"/>
    <w:rsid w:val="00BC69B8"/>
    <w:rsid w:val="00BC7197"/>
    <w:rsid w:val="00BC7D6D"/>
    <w:rsid w:val="00BD2108"/>
    <w:rsid w:val="00BD2F2D"/>
    <w:rsid w:val="00BD5EBD"/>
    <w:rsid w:val="00BD62D1"/>
    <w:rsid w:val="00BD68A3"/>
    <w:rsid w:val="00BD6938"/>
    <w:rsid w:val="00BD6CF3"/>
    <w:rsid w:val="00BD6F68"/>
    <w:rsid w:val="00BD746E"/>
    <w:rsid w:val="00BD7EA9"/>
    <w:rsid w:val="00BD7FF5"/>
    <w:rsid w:val="00BE080E"/>
    <w:rsid w:val="00BE0ECA"/>
    <w:rsid w:val="00BE2180"/>
    <w:rsid w:val="00BE21F2"/>
    <w:rsid w:val="00BE253F"/>
    <w:rsid w:val="00BE2EBC"/>
    <w:rsid w:val="00BE3A49"/>
    <w:rsid w:val="00BE4275"/>
    <w:rsid w:val="00BE4AA3"/>
    <w:rsid w:val="00BE4AA5"/>
    <w:rsid w:val="00BE4C4B"/>
    <w:rsid w:val="00BE5146"/>
    <w:rsid w:val="00BE5B65"/>
    <w:rsid w:val="00BF01C7"/>
    <w:rsid w:val="00BF06AE"/>
    <w:rsid w:val="00BF07BF"/>
    <w:rsid w:val="00BF07E6"/>
    <w:rsid w:val="00BF0F95"/>
    <w:rsid w:val="00BF2433"/>
    <w:rsid w:val="00BF47FA"/>
    <w:rsid w:val="00BF4CAD"/>
    <w:rsid w:val="00BF528E"/>
    <w:rsid w:val="00BF5C51"/>
    <w:rsid w:val="00BF61C9"/>
    <w:rsid w:val="00BF6487"/>
    <w:rsid w:val="00BF6C94"/>
    <w:rsid w:val="00C00424"/>
    <w:rsid w:val="00C0133B"/>
    <w:rsid w:val="00C0213F"/>
    <w:rsid w:val="00C024E0"/>
    <w:rsid w:val="00C0264A"/>
    <w:rsid w:val="00C02A39"/>
    <w:rsid w:val="00C02CDC"/>
    <w:rsid w:val="00C0370A"/>
    <w:rsid w:val="00C048A9"/>
    <w:rsid w:val="00C0499A"/>
    <w:rsid w:val="00C0596B"/>
    <w:rsid w:val="00C05B7F"/>
    <w:rsid w:val="00C05CB5"/>
    <w:rsid w:val="00C062BC"/>
    <w:rsid w:val="00C06863"/>
    <w:rsid w:val="00C079B7"/>
    <w:rsid w:val="00C1179F"/>
    <w:rsid w:val="00C1180E"/>
    <w:rsid w:val="00C11D59"/>
    <w:rsid w:val="00C12C14"/>
    <w:rsid w:val="00C135FE"/>
    <w:rsid w:val="00C13855"/>
    <w:rsid w:val="00C13918"/>
    <w:rsid w:val="00C13A1F"/>
    <w:rsid w:val="00C13D49"/>
    <w:rsid w:val="00C14024"/>
    <w:rsid w:val="00C140C5"/>
    <w:rsid w:val="00C14D23"/>
    <w:rsid w:val="00C1556F"/>
    <w:rsid w:val="00C157B6"/>
    <w:rsid w:val="00C15C22"/>
    <w:rsid w:val="00C15F04"/>
    <w:rsid w:val="00C16E0A"/>
    <w:rsid w:val="00C179B3"/>
    <w:rsid w:val="00C17E3F"/>
    <w:rsid w:val="00C200AA"/>
    <w:rsid w:val="00C21BF1"/>
    <w:rsid w:val="00C22814"/>
    <w:rsid w:val="00C2338B"/>
    <w:rsid w:val="00C237ED"/>
    <w:rsid w:val="00C23802"/>
    <w:rsid w:val="00C24632"/>
    <w:rsid w:val="00C24AC0"/>
    <w:rsid w:val="00C24DBB"/>
    <w:rsid w:val="00C25334"/>
    <w:rsid w:val="00C25418"/>
    <w:rsid w:val="00C25A25"/>
    <w:rsid w:val="00C25D9C"/>
    <w:rsid w:val="00C2639A"/>
    <w:rsid w:val="00C2778B"/>
    <w:rsid w:val="00C27AE9"/>
    <w:rsid w:val="00C30327"/>
    <w:rsid w:val="00C310CD"/>
    <w:rsid w:val="00C31330"/>
    <w:rsid w:val="00C31649"/>
    <w:rsid w:val="00C31BC6"/>
    <w:rsid w:val="00C32875"/>
    <w:rsid w:val="00C33549"/>
    <w:rsid w:val="00C33AC0"/>
    <w:rsid w:val="00C3434C"/>
    <w:rsid w:val="00C34837"/>
    <w:rsid w:val="00C34D05"/>
    <w:rsid w:val="00C34E2D"/>
    <w:rsid w:val="00C37D6E"/>
    <w:rsid w:val="00C40385"/>
    <w:rsid w:val="00C41768"/>
    <w:rsid w:val="00C445CB"/>
    <w:rsid w:val="00C4508B"/>
    <w:rsid w:val="00C46A95"/>
    <w:rsid w:val="00C46B18"/>
    <w:rsid w:val="00C475AA"/>
    <w:rsid w:val="00C47625"/>
    <w:rsid w:val="00C515C5"/>
    <w:rsid w:val="00C52846"/>
    <w:rsid w:val="00C528EF"/>
    <w:rsid w:val="00C53BFA"/>
    <w:rsid w:val="00C53C98"/>
    <w:rsid w:val="00C54390"/>
    <w:rsid w:val="00C548D1"/>
    <w:rsid w:val="00C56C92"/>
    <w:rsid w:val="00C56FCF"/>
    <w:rsid w:val="00C57B6C"/>
    <w:rsid w:val="00C620D4"/>
    <w:rsid w:val="00C628A6"/>
    <w:rsid w:val="00C62E5A"/>
    <w:rsid w:val="00C6335F"/>
    <w:rsid w:val="00C64344"/>
    <w:rsid w:val="00C65108"/>
    <w:rsid w:val="00C652B2"/>
    <w:rsid w:val="00C65576"/>
    <w:rsid w:val="00C65689"/>
    <w:rsid w:val="00C66143"/>
    <w:rsid w:val="00C66165"/>
    <w:rsid w:val="00C66378"/>
    <w:rsid w:val="00C66397"/>
    <w:rsid w:val="00C7032C"/>
    <w:rsid w:val="00C7059B"/>
    <w:rsid w:val="00C7060A"/>
    <w:rsid w:val="00C7151A"/>
    <w:rsid w:val="00C7174B"/>
    <w:rsid w:val="00C717E3"/>
    <w:rsid w:val="00C71EB9"/>
    <w:rsid w:val="00C71F60"/>
    <w:rsid w:val="00C72241"/>
    <w:rsid w:val="00C726A3"/>
    <w:rsid w:val="00C7313F"/>
    <w:rsid w:val="00C73EDB"/>
    <w:rsid w:val="00C742BD"/>
    <w:rsid w:val="00C750C8"/>
    <w:rsid w:val="00C7560F"/>
    <w:rsid w:val="00C75659"/>
    <w:rsid w:val="00C75839"/>
    <w:rsid w:val="00C7668B"/>
    <w:rsid w:val="00C80A0E"/>
    <w:rsid w:val="00C8213F"/>
    <w:rsid w:val="00C8225A"/>
    <w:rsid w:val="00C84E34"/>
    <w:rsid w:val="00C85154"/>
    <w:rsid w:val="00C85DE2"/>
    <w:rsid w:val="00C86A14"/>
    <w:rsid w:val="00C878C7"/>
    <w:rsid w:val="00C8797A"/>
    <w:rsid w:val="00C87D32"/>
    <w:rsid w:val="00C87F3C"/>
    <w:rsid w:val="00C900B8"/>
    <w:rsid w:val="00C90B7E"/>
    <w:rsid w:val="00C90C71"/>
    <w:rsid w:val="00C91FD1"/>
    <w:rsid w:val="00C931CF"/>
    <w:rsid w:val="00C9320A"/>
    <w:rsid w:val="00C938CF"/>
    <w:rsid w:val="00C94053"/>
    <w:rsid w:val="00C948DA"/>
    <w:rsid w:val="00C94A18"/>
    <w:rsid w:val="00C94CB5"/>
    <w:rsid w:val="00C94FD1"/>
    <w:rsid w:val="00C95164"/>
    <w:rsid w:val="00C957F5"/>
    <w:rsid w:val="00C95E9F"/>
    <w:rsid w:val="00C9624D"/>
    <w:rsid w:val="00C969DA"/>
    <w:rsid w:val="00CA0280"/>
    <w:rsid w:val="00CA09F2"/>
    <w:rsid w:val="00CA10F4"/>
    <w:rsid w:val="00CA17C6"/>
    <w:rsid w:val="00CA1BFB"/>
    <w:rsid w:val="00CA2229"/>
    <w:rsid w:val="00CA24A9"/>
    <w:rsid w:val="00CA25CF"/>
    <w:rsid w:val="00CA2C77"/>
    <w:rsid w:val="00CA433E"/>
    <w:rsid w:val="00CA444F"/>
    <w:rsid w:val="00CA5245"/>
    <w:rsid w:val="00CA5743"/>
    <w:rsid w:val="00CA71F4"/>
    <w:rsid w:val="00CA7B09"/>
    <w:rsid w:val="00CB036B"/>
    <w:rsid w:val="00CB05FC"/>
    <w:rsid w:val="00CB12A5"/>
    <w:rsid w:val="00CB1CAC"/>
    <w:rsid w:val="00CB26E6"/>
    <w:rsid w:val="00CB2F2A"/>
    <w:rsid w:val="00CB3B8D"/>
    <w:rsid w:val="00CB4799"/>
    <w:rsid w:val="00CB5B1A"/>
    <w:rsid w:val="00CB6B22"/>
    <w:rsid w:val="00CB6F8F"/>
    <w:rsid w:val="00CB7F5F"/>
    <w:rsid w:val="00CC1B39"/>
    <w:rsid w:val="00CC1ED7"/>
    <w:rsid w:val="00CC356B"/>
    <w:rsid w:val="00CC35EA"/>
    <w:rsid w:val="00CC3848"/>
    <w:rsid w:val="00CC4D4D"/>
    <w:rsid w:val="00CC51C0"/>
    <w:rsid w:val="00CC62B5"/>
    <w:rsid w:val="00CC631E"/>
    <w:rsid w:val="00CC7157"/>
    <w:rsid w:val="00CD212D"/>
    <w:rsid w:val="00CD2321"/>
    <w:rsid w:val="00CD2603"/>
    <w:rsid w:val="00CD3BBA"/>
    <w:rsid w:val="00CD3D16"/>
    <w:rsid w:val="00CD3F77"/>
    <w:rsid w:val="00CD474B"/>
    <w:rsid w:val="00CD5218"/>
    <w:rsid w:val="00CD577C"/>
    <w:rsid w:val="00CD5A8C"/>
    <w:rsid w:val="00CD623C"/>
    <w:rsid w:val="00CD6ADC"/>
    <w:rsid w:val="00CD7193"/>
    <w:rsid w:val="00CE23A8"/>
    <w:rsid w:val="00CE389D"/>
    <w:rsid w:val="00CE38C8"/>
    <w:rsid w:val="00CE3D27"/>
    <w:rsid w:val="00CE591E"/>
    <w:rsid w:val="00CE5BE4"/>
    <w:rsid w:val="00CE5CE9"/>
    <w:rsid w:val="00CE6065"/>
    <w:rsid w:val="00CE6274"/>
    <w:rsid w:val="00CE6E2D"/>
    <w:rsid w:val="00CE77B6"/>
    <w:rsid w:val="00CE7904"/>
    <w:rsid w:val="00CF1CC5"/>
    <w:rsid w:val="00CF1FDF"/>
    <w:rsid w:val="00CF28A0"/>
    <w:rsid w:val="00CF2B8D"/>
    <w:rsid w:val="00CF3162"/>
    <w:rsid w:val="00CF456B"/>
    <w:rsid w:val="00CF4D51"/>
    <w:rsid w:val="00CF5325"/>
    <w:rsid w:val="00CF5A22"/>
    <w:rsid w:val="00CF6F18"/>
    <w:rsid w:val="00CF6F6F"/>
    <w:rsid w:val="00CF6F85"/>
    <w:rsid w:val="00CF78B0"/>
    <w:rsid w:val="00D007F5"/>
    <w:rsid w:val="00D0262E"/>
    <w:rsid w:val="00D0294F"/>
    <w:rsid w:val="00D04F4D"/>
    <w:rsid w:val="00D051D6"/>
    <w:rsid w:val="00D055F0"/>
    <w:rsid w:val="00D0592F"/>
    <w:rsid w:val="00D05E3D"/>
    <w:rsid w:val="00D05F6A"/>
    <w:rsid w:val="00D06139"/>
    <w:rsid w:val="00D063A7"/>
    <w:rsid w:val="00D06B83"/>
    <w:rsid w:val="00D06F90"/>
    <w:rsid w:val="00D110BD"/>
    <w:rsid w:val="00D1156F"/>
    <w:rsid w:val="00D12A53"/>
    <w:rsid w:val="00D12BDC"/>
    <w:rsid w:val="00D13658"/>
    <w:rsid w:val="00D13675"/>
    <w:rsid w:val="00D141E1"/>
    <w:rsid w:val="00D14D58"/>
    <w:rsid w:val="00D15314"/>
    <w:rsid w:val="00D16B63"/>
    <w:rsid w:val="00D178D6"/>
    <w:rsid w:val="00D1794D"/>
    <w:rsid w:val="00D17D6C"/>
    <w:rsid w:val="00D200BE"/>
    <w:rsid w:val="00D2155B"/>
    <w:rsid w:val="00D21818"/>
    <w:rsid w:val="00D22248"/>
    <w:rsid w:val="00D23BCD"/>
    <w:rsid w:val="00D23D06"/>
    <w:rsid w:val="00D23D11"/>
    <w:rsid w:val="00D24326"/>
    <w:rsid w:val="00D244B6"/>
    <w:rsid w:val="00D258FF"/>
    <w:rsid w:val="00D271ED"/>
    <w:rsid w:val="00D2754D"/>
    <w:rsid w:val="00D276B9"/>
    <w:rsid w:val="00D27B27"/>
    <w:rsid w:val="00D27E5E"/>
    <w:rsid w:val="00D317ED"/>
    <w:rsid w:val="00D3220C"/>
    <w:rsid w:val="00D32549"/>
    <w:rsid w:val="00D326D9"/>
    <w:rsid w:val="00D32C09"/>
    <w:rsid w:val="00D32E18"/>
    <w:rsid w:val="00D33BE9"/>
    <w:rsid w:val="00D33F93"/>
    <w:rsid w:val="00D34829"/>
    <w:rsid w:val="00D349A3"/>
    <w:rsid w:val="00D357FF"/>
    <w:rsid w:val="00D35EE8"/>
    <w:rsid w:val="00D361DD"/>
    <w:rsid w:val="00D36510"/>
    <w:rsid w:val="00D37566"/>
    <w:rsid w:val="00D37DC1"/>
    <w:rsid w:val="00D4081A"/>
    <w:rsid w:val="00D40B0C"/>
    <w:rsid w:val="00D415CA"/>
    <w:rsid w:val="00D424C7"/>
    <w:rsid w:val="00D438B8"/>
    <w:rsid w:val="00D43993"/>
    <w:rsid w:val="00D43B2A"/>
    <w:rsid w:val="00D43D83"/>
    <w:rsid w:val="00D464EE"/>
    <w:rsid w:val="00D46857"/>
    <w:rsid w:val="00D46C62"/>
    <w:rsid w:val="00D47575"/>
    <w:rsid w:val="00D51CA5"/>
    <w:rsid w:val="00D51E1E"/>
    <w:rsid w:val="00D5243B"/>
    <w:rsid w:val="00D52478"/>
    <w:rsid w:val="00D525A7"/>
    <w:rsid w:val="00D533EC"/>
    <w:rsid w:val="00D5409C"/>
    <w:rsid w:val="00D5421F"/>
    <w:rsid w:val="00D545C3"/>
    <w:rsid w:val="00D5591C"/>
    <w:rsid w:val="00D55D16"/>
    <w:rsid w:val="00D55D98"/>
    <w:rsid w:val="00D564E8"/>
    <w:rsid w:val="00D56A92"/>
    <w:rsid w:val="00D56A95"/>
    <w:rsid w:val="00D56D79"/>
    <w:rsid w:val="00D570B1"/>
    <w:rsid w:val="00D57783"/>
    <w:rsid w:val="00D57D25"/>
    <w:rsid w:val="00D630B7"/>
    <w:rsid w:val="00D64CB2"/>
    <w:rsid w:val="00D67E8C"/>
    <w:rsid w:val="00D7010F"/>
    <w:rsid w:val="00D70F16"/>
    <w:rsid w:val="00D72CA1"/>
    <w:rsid w:val="00D72F57"/>
    <w:rsid w:val="00D741F6"/>
    <w:rsid w:val="00D76518"/>
    <w:rsid w:val="00D76A44"/>
    <w:rsid w:val="00D778F4"/>
    <w:rsid w:val="00D77B16"/>
    <w:rsid w:val="00D80486"/>
    <w:rsid w:val="00D80DBC"/>
    <w:rsid w:val="00D815EF"/>
    <w:rsid w:val="00D81F26"/>
    <w:rsid w:val="00D8211A"/>
    <w:rsid w:val="00D8277D"/>
    <w:rsid w:val="00D827C1"/>
    <w:rsid w:val="00D842BD"/>
    <w:rsid w:val="00D8575E"/>
    <w:rsid w:val="00D8577E"/>
    <w:rsid w:val="00D86231"/>
    <w:rsid w:val="00D86500"/>
    <w:rsid w:val="00D86EC7"/>
    <w:rsid w:val="00D87BFC"/>
    <w:rsid w:val="00D90D9F"/>
    <w:rsid w:val="00D91669"/>
    <w:rsid w:val="00D916AA"/>
    <w:rsid w:val="00D91923"/>
    <w:rsid w:val="00D92C3B"/>
    <w:rsid w:val="00D93753"/>
    <w:rsid w:val="00D94BBD"/>
    <w:rsid w:val="00D94C69"/>
    <w:rsid w:val="00D95E19"/>
    <w:rsid w:val="00D963F3"/>
    <w:rsid w:val="00D96B0E"/>
    <w:rsid w:val="00DA0648"/>
    <w:rsid w:val="00DA22C1"/>
    <w:rsid w:val="00DA3167"/>
    <w:rsid w:val="00DA3D8A"/>
    <w:rsid w:val="00DA46CB"/>
    <w:rsid w:val="00DA4DC3"/>
    <w:rsid w:val="00DA59F8"/>
    <w:rsid w:val="00DA646C"/>
    <w:rsid w:val="00DA77A5"/>
    <w:rsid w:val="00DB0F84"/>
    <w:rsid w:val="00DB111D"/>
    <w:rsid w:val="00DB1B84"/>
    <w:rsid w:val="00DB36B8"/>
    <w:rsid w:val="00DB3DBF"/>
    <w:rsid w:val="00DB3E1E"/>
    <w:rsid w:val="00DB4497"/>
    <w:rsid w:val="00DB484F"/>
    <w:rsid w:val="00DB58C1"/>
    <w:rsid w:val="00DB5E31"/>
    <w:rsid w:val="00DB5EA0"/>
    <w:rsid w:val="00DB6FCC"/>
    <w:rsid w:val="00DB7A5F"/>
    <w:rsid w:val="00DB7C7D"/>
    <w:rsid w:val="00DC04F6"/>
    <w:rsid w:val="00DC0690"/>
    <w:rsid w:val="00DC1D65"/>
    <w:rsid w:val="00DC1FF4"/>
    <w:rsid w:val="00DC3492"/>
    <w:rsid w:val="00DC38A4"/>
    <w:rsid w:val="00DC3C57"/>
    <w:rsid w:val="00DC42CC"/>
    <w:rsid w:val="00DC508E"/>
    <w:rsid w:val="00DC5501"/>
    <w:rsid w:val="00DC6C69"/>
    <w:rsid w:val="00DC7154"/>
    <w:rsid w:val="00DC7E8A"/>
    <w:rsid w:val="00DD0F78"/>
    <w:rsid w:val="00DD0FA8"/>
    <w:rsid w:val="00DD17F4"/>
    <w:rsid w:val="00DD1E65"/>
    <w:rsid w:val="00DD273C"/>
    <w:rsid w:val="00DD28DA"/>
    <w:rsid w:val="00DD3907"/>
    <w:rsid w:val="00DD3A77"/>
    <w:rsid w:val="00DD3BD2"/>
    <w:rsid w:val="00DD3F28"/>
    <w:rsid w:val="00DD4537"/>
    <w:rsid w:val="00DD45E2"/>
    <w:rsid w:val="00DD470E"/>
    <w:rsid w:val="00DD47A7"/>
    <w:rsid w:val="00DD4E15"/>
    <w:rsid w:val="00DD6229"/>
    <w:rsid w:val="00DD79CF"/>
    <w:rsid w:val="00DE2304"/>
    <w:rsid w:val="00DE2643"/>
    <w:rsid w:val="00DE2796"/>
    <w:rsid w:val="00DE3138"/>
    <w:rsid w:val="00DE37F8"/>
    <w:rsid w:val="00DE3D82"/>
    <w:rsid w:val="00DE4287"/>
    <w:rsid w:val="00DE4958"/>
    <w:rsid w:val="00DE498F"/>
    <w:rsid w:val="00DE4FCB"/>
    <w:rsid w:val="00DE5D07"/>
    <w:rsid w:val="00DE6164"/>
    <w:rsid w:val="00DE6269"/>
    <w:rsid w:val="00DE6861"/>
    <w:rsid w:val="00DE6EE3"/>
    <w:rsid w:val="00DE72A7"/>
    <w:rsid w:val="00DE743C"/>
    <w:rsid w:val="00DE7832"/>
    <w:rsid w:val="00DE7CE6"/>
    <w:rsid w:val="00DF0251"/>
    <w:rsid w:val="00DF0C9F"/>
    <w:rsid w:val="00DF1863"/>
    <w:rsid w:val="00DF18FC"/>
    <w:rsid w:val="00DF466C"/>
    <w:rsid w:val="00DF4743"/>
    <w:rsid w:val="00DF47D0"/>
    <w:rsid w:val="00DF59F8"/>
    <w:rsid w:val="00DF5D2B"/>
    <w:rsid w:val="00DF647B"/>
    <w:rsid w:val="00DF648E"/>
    <w:rsid w:val="00DF6BB8"/>
    <w:rsid w:val="00E0095B"/>
    <w:rsid w:val="00E00E8E"/>
    <w:rsid w:val="00E010B6"/>
    <w:rsid w:val="00E01D73"/>
    <w:rsid w:val="00E01E69"/>
    <w:rsid w:val="00E01F33"/>
    <w:rsid w:val="00E02CF1"/>
    <w:rsid w:val="00E032E7"/>
    <w:rsid w:val="00E03D5C"/>
    <w:rsid w:val="00E05630"/>
    <w:rsid w:val="00E06C2C"/>
    <w:rsid w:val="00E06DBB"/>
    <w:rsid w:val="00E074F8"/>
    <w:rsid w:val="00E10149"/>
    <w:rsid w:val="00E10F29"/>
    <w:rsid w:val="00E11006"/>
    <w:rsid w:val="00E11340"/>
    <w:rsid w:val="00E1176C"/>
    <w:rsid w:val="00E122A1"/>
    <w:rsid w:val="00E12DFB"/>
    <w:rsid w:val="00E134C6"/>
    <w:rsid w:val="00E13ECB"/>
    <w:rsid w:val="00E15B33"/>
    <w:rsid w:val="00E15B41"/>
    <w:rsid w:val="00E16372"/>
    <w:rsid w:val="00E170E5"/>
    <w:rsid w:val="00E17E89"/>
    <w:rsid w:val="00E20DB4"/>
    <w:rsid w:val="00E20E4D"/>
    <w:rsid w:val="00E20ED6"/>
    <w:rsid w:val="00E21358"/>
    <w:rsid w:val="00E21E38"/>
    <w:rsid w:val="00E22252"/>
    <w:rsid w:val="00E223A0"/>
    <w:rsid w:val="00E2249B"/>
    <w:rsid w:val="00E22A0D"/>
    <w:rsid w:val="00E22BB8"/>
    <w:rsid w:val="00E23119"/>
    <w:rsid w:val="00E23E8B"/>
    <w:rsid w:val="00E244F6"/>
    <w:rsid w:val="00E2602E"/>
    <w:rsid w:val="00E2771E"/>
    <w:rsid w:val="00E30821"/>
    <w:rsid w:val="00E30CCC"/>
    <w:rsid w:val="00E311EF"/>
    <w:rsid w:val="00E3136F"/>
    <w:rsid w:val="00E32180"/>
    <w:rsid w:val="00E328A5"/>
    <w:rsid w:val="00E33C2C"/>
    <w:rsid w:val="00E343AD"/>
    <w:rsid w:val="00E34948"/>
    <w:rsid w:val="00E34FA3"/>
    <w:rsid w:val="00E35D17"/>
    <w:rsid w:val="00E36979"/>
    <w:rsid w:val="00E3717C"/>
    <w:rsid w:val="00E37569"/>
    <w:rsid w:val="00E377A1"/>
    <w:rsid w:val="00E401B2"/>
    <w:rsid w:val="00E40B4B"/>
    <w:rsid w:val="00E41E30"/>
    <w:rsid w:val="00E41F07"/>
    <w:rsid w:val="00E420C8"/>
    <w:rsid w:val="00E4256A"/>
    <w:rsid w:val="00E42BCD"/>
    <w:rsid w:val="00E42F73"/>
    <w:rsid w:val="00E43322"/>
    <w:rsid w:val="00E43326"/>
    <w:rsid w:val="00E435E1"/>
    <w:rsid w:val="00E43D70"/>
    <w:rsid w:val="00E43FDB"/>
    <w:rsid w:val="00E4461F"/>
    <w:rsid w:val="00E44998"/>
    <w:rsid w:val="00E45181"/>
    <w:rsid w:val="00E466F3"/>
    <w:rsid w:val="00E4682D"/>
    <w:rsid w:val="00E46B7E"/>
    <w:rsid w:val="00E46FF2"/>
    <w:rsid w:val="00E47B2C"/>
    <w:rsid w:val="00E51560"/>
    <w:rsid w:val="00E51D68"/>
    <w:rsid w:val="00E52A38"/>
    <w:rsid w:val="00E536A2"/>
    <w:rsid w:val="00E53FC8"/>
    <w:rsid w:val="00E54347"/>
    <w:rsid w:val="00E55424"/>
    <w:rsid w:val="00E556C0"/>
    <w:rsid w:val="00E55915"/>
    <w:rsid w:val="00E55BB5"/>
    <w:rsid w:val="00E55DA3"/>
    <w:rsid w:val="00E560B2"/>
    <w:rsid w:val="00E56671"/>
    <w:rsid w:val="00E567FF"/>
    <w:rsid w:val="00E601DA"/>
    <w:rsid w:val="00E61BA5"/>
    <w:rsid w:val="00E61E6E"/>
    <w:rsid w:val="00E65E79"/>
    <w:rsid w:val="00E660B6"/>
    <w:rsid w:val="00E66712"/>
    <w:rsid w:val="00E6679B"/>
    <w:rsid w:val="00E66BA2"/>
    <w:rsid w:val="00E66FC3"/>
    <w:rsid w:val="00E67416"/>
    <w:rsid w:val="00E6747B"/>
    <w:rsid w:val="00E67A13"/>
    <w:rsid w:val="00E70244"/>
    <w:rsid w:val="00E70963"/>
    <w:rsid w:val="00E70BE3"/>
    <w:rsid w:val="00E718B6"/>
    <w:rsid w:val="00E723BA"/>
    <w:rsid w:val="00E73581"/>
    <w:rsid w:val="00E73676"/>
    <w:rsid w:val="00E7419C"/>
    <w:rsid w:val="00E7496E"/>
    <w:rsid w:val="00E75C79"/>
    <w:rsid w:val="00E75FD7"/>
    <w:rsid w:val="00E768E3"/>
    <w:rsid w:val="00E775D3"/>
    <w:rsid w:val="00E80985"/>
    <w:rsid w:val="00E80F53"/>
    <w:rsid w:val="00E814DA"/>
    <w:rsid w:val="00E822D6"/>
    <w:rsid w:val="00E82329"/>
    <w:rsid w:val="00E833F7"/>
    <w:rsid w:val="00E839AC"/>
    <w:rsid w:val="00E83BDF"/>
    <w:rsid w:val="00E854F4"/>
    <w:rsid w:val="00E86B66"/>
    <w:rsid w:val="00E8711F"/>
    <w:rsid w:val="00E8733F"/>
    <w:rsid w:val="00E87A1D"/>
    <w:rsid w:val="00E87BEC"/>
    <w:rsid w:val="00E9094A"/>
    <w:rsid w:val="00E90D1B"/>
    <w:rsid w:val="00E91D35"/>
    <w:rsid w:val="00E926A5"/>
    <w:rsid w:val="00E92D38"/>
    <w:rsid w:val="00E93536"/>
    <w:rsid w:val="00E939C7"/>
    <w:rsid w:val="00E95EC4"/>
    <w:rsid w:val="00E979B6"/>
    <w:rsid w:val="00EA17C3"/>
    <w:rsid w:val="00EA2CAA"/>
    <w:rsid w:val="00EA3864"/>
    <w:rsid w:val="00EA4FF2"/>
    <w:rsid w:val="00EA655A"/>
    <w:rsid w:val="00EA6728"/>
    <w:rsid w:val="00EA7F1C"/>
    <w:rsid w:val="00EB084B"/>
    <w:rsid w:val="00EB095C"/>
    <w:rsid w:val="00EB15B6"/>
    <w:rsid w:val="00EB3D06"/>
    <w:rsid w:val="00EB3D0F"/>
    <w:rsid w:val="00EB4916"/>
    <w:rsid w:val="00EB4E3D"/>
    <w:rsid w:val="00EB5475"/>
    <w:rsid w:val="00EB5E6B"/>
    <w:rsid w:val="00EB6ABC"/>
    <w:rsid w:val="00EB7169"/>
    <w:rsid w:val="00EB79F2"/>
    <w:rsid w:val="00EB7F12"/>
    <w:rsid w:val="00EC00C9"/>
    <w:rsid w:val="00EC0DD9"/>
    <w:rsid w:val="00EC184E"/>
    <w:rsid w:val="00EC2649"/>
    <w:rsid w:val="00EC31ED"/>
    <w:rsid w:val="00EC38D0"/>
    <w:rsid w:val="00EC5249"/>
    <w:rsid w:val="00EC5836"/>
    <w:rsid w:val="00EC6525"/>
    <w:rsid w:val="00EC688C"/>
    <w:rsid w:val="00EC6B0C"/>
    <w:rsid w:val="00EC6EC0"/>
    <w:rsid w:val="00EC748F"/>
    <w:rsid w:val="00EC7C9F"/>
    <w:rsid w:val="00ED0295"/>
    <w:rsid w:val="00ED0E8B"/>
    <w:rsid w:val="00ED167B"/>
    <w:rsid w:val="00ED292E"/>
    <w:rsid w:val="00ED3318"/>
    <w:rsid w:val="00ED3735"/>
    <w:rsid w:val="00ED43DB"/>
    <w:rsid w:val="00ED45F4"/>
    <w:rsid w:val="00ED47F0"/>
    <w:rsid w:val="00ED4AF7"/>
    <w:rsid w:val="00ED4C90"/>
    <w:rsid w:val="00ED4FEC"/>
    <w:rsid w:val="00ED57EA"/>
    <w:rsid w:val="00ED5BD4"/>
    <w:rsid w:val="00ED5F85"/>
    <w:rsid w:val="00ED7A59"/>
    <w:rsid w:val="00ED7AB6"/>
    <w:rsid w:val="00EE07D3"/>
    <w:rsid w:val="00EE1996"/>
    <w:rsid w:val="00EE1C01"/>
    <w:rsid w:val="00EE2102"/>
    <w:rsid w:val="00EE22AF"/>
    <w:rsid w:val="00EE2855"/>
    <w:rsid w:val="00EE2C55"/>
    <w:rsid w:val="00EE3394"/>
    <w:rsid w:val="00EE5F73"/>
    <w:rsid w:val="00EE663C"/>
    <w:rsid w:val="00EE7B86"/>
    <w:rsid w:val="00EF0171"/>
    <w:rsid w:val="00EF1B25"/>
    <w:rsid w:val="00EF1DA0"/>
    <w:rsid w:val="00EF209C"/>
    <w:rsid w:val="00EF2897"/>
    <w:rsid w:val="00EF43AF"/>
    <w:rsid w:val="00EF4747"/>
    <w:rsid w:val="00EF4B2F"/>
    <w:rsid w:val="00EF4BF8"/>
    <w:rsid w:val="00EF59E3"/>
    <w:rsid w:val="00EF7797"/>
    <w:rsid w:val="00EF7947"/>
    <w:rsid w:val="00EF7FE9"/>
    <w:rsid w:val="00F002A9"/>
    <w:rsid w:val="00F01FB4"/>
    <w:rsid w:val="00F02253"/>
    <w:rsid w:val="00F02683"/>
    <w:rsid w:val="00F0383A"/>
    <w:rsid w:val="00F03AD2"/>
    <w:rsid w:val="00F03C2E"/>
    <w:rsid w:val="00F04A66"/>
    <w:rsid w:val="00F04B4B"/>
    <w:rsid w:val="00F04B55"/>
    <w:rsid w:val="00F0516C"/>
    <w:rsid w:val="00F055DE"/>
    <w:rsid w:val="00F067A2"/>
    <w:rsid w:val="00F06E1A"/>
    <w:rsid w:val="00F06E33"/>
    <w:rsid w:val="00F07B9E"/>
    <w:rsid w:val="00F1116F"/>
    <w:rsid w:val="00F12193"/>
    <w:rsid w:val="00F1263A"/>
    <w:rsid w:val="00F127F6"/>
    <w:rsid w:val="00F12EDD"/>
    <w:rsid w:val="00F13582"/>
    <w:rsid w:val="00F1371A"/>
    <w:rsid w:val="00F13BA8"/>
    <w:rsid w:val="00F14FEA"/>
    <w:rsid w:val="00F15B77"/>
    <w:rsid w:val="00F15DE9"/>
    <w:rsid w:val="00F15EB0"/>
    <w:rsid w:val="00F163F5"/>
    <w:rsid w:val="00F1757E"/>
    <w:rsid w:val="00F20021"/>
    <w:rsid w:val="00F215FD"/>
    <w:rsid w:val="00F21859"/>
    <w:rsid w:val="00F229E8"/>
    <w:rsid w:val="00F23C86"/>
    <w:rsid w:val="00F24837"/>
    <w:rsid w:val="00F2575F"/>
    <w:rsid w:val="00F2593B"/>
    <w:rsid w:val="00F26D53"/>
    <w:rsid w:val="00F27565"/>
    <w:rsid w:val="00F27779"/>
    <w:rsid w:val="00F30473"/>
    <w:rsid w:val="00F30AF6"/>
    <w:rsid w:val="00F310D4"/>
    <w:rsid w:val="00F311F2"/>
    <w:rsid w:val="00F3150A"/>
    <w:rsid w:val="00F31D5A"/>
    <w:rsid w:val="00F326FD"/>
    <w:rsid w:val="00F332CB"/>
    <w:rsid w:val="00F33975"/>
    <w:rsid w:val="00F33DE9"/>
    <w:rsid w:val="00F35E6D"/>
    <w:rsid w:val="00F3619A"/>
    <w:rsid w:val="00F377E1"/>
    <w:rsid w:val="00F40AAA"/>
    <w:rsid w:val="00F40BA7"/>
    <w:rsid w:val="00F40F9D"/>
    <w:rsid w:val="00F41ACD"/>
    <w:rsid w:val="00F41E32"/>
    <w:rsid w:val="00F42346"/>
    <w:rsid w:val="00F43930"/>
    <w:rsid w:val="00F43D1D"/>
    <w:rsid w:val="00F43E41"/>
    <w:rsid w:val="00F44A5C"/>
    <w:rsid w:val="00F44A8C"/>
    <w:rsid w:val="00F4596D"/>
    <w:rsid w:val="00F46054"/>
    <w:rsid w:val="00F4616A"/>
    <w:rsid w:val="00F46CB6"/>
    <w:rsid w:val="00F4721E"/>
    <w:rsid w:val="00F4756D"/>
    <w:rsid w:val="00F47D63"/>
    <w:rsid w:val="00F47DE8"/>
    <w:rsid w:val="00F52486"/>
    <w:rsid w:val="00F542C1"/>
    <w:rsid w:val="00F545DA"/>
    <w:rsid w:val="00F546D7"/>
    <w:rsid w:val="00F54740"/>
    <w:rsid w:val="00F55E73"/>
    <w:rsid w:val="00F55EDA"/>
    <w:rsid w:val="00F56C80"/>
    <w:rsid w:val="00F60092"/>
    <w:rsid w:val="00F60409"/>
    <w:rsid w:val="00F604B0"/>
    <w:rsid w:val="00F6188B"/>
    <w:rsid w:val="00F61C18"/>
    <w:rsid w:val="00F62147"/>
    <w:rsid w:val="00F62FAC"/>
    <w:rsid w:val="00F64890"/>
    <w:rsid w:val="00F64B6F"/>
    <w:rsid w:val="00F653BE"/>
    <w:rsid w:val="00F6598E"/>
    <w:rsid w:val="00F65F4B"/>
    <w:rsid w:val="00F66C86"/>
    <w:rsid w:val="00F66E3D"/>
    <w:rsid w:val="00F67A69"/>
    <w:rsid w:val="00F70BFF"/>
    <w:rsid w:val="00F70C27"/>
    <w:rsid w:val="00F70C9D"/>
    <w:rsid w:val="00F72280"/>
    <w:rsid w:val="00F727C4"/>
    <w:rsid w:val="00F73D0A"/>
    <w:rsid w:val="00F74CD9"/>
    <w:rsid w:val="00F755D1"/>
    <w:rsid w:val="00F77943"/>
    <w:rsid w:val="00F80072"/>
    <w:rsid w:val="00F80545"/>
    <w:rsid w:val="00F80A7B"/>
    <w:rsid w:val="00F80E5D"/>
    <w:rsid w:val="00F81E78"/>
    <w:rsid w:val="00F8347F"/>
    <w:rsid w:val="00F84CD4"/>
    <w:rsid w:val="00F851CE"/>
    <w:rsid w:val="00F85EE7"/>
    <w:rsid w:val="00F866C7"/>
    <w:rsid w:val="00F869DD"/>
    <w:rsid w:val="00F91219"/>
    <w:rsid w:val="00F92444"/>
    <w:rsid w:val="00F92E56"/>
    <w:rsid w:val="00F9393E"/>
    <w:rsid w:val="00F93B7F"/>
    <w:rsid w:val="00F94AB9"/>
    <w:rsid w:val="00F964F1"/>
    <w:rsid w:val="00F96FD0"/>
    <w:rsid w:val="00F973AA"/>
    <w:rsid w:val="00F97A78"/>
    <w:rsid w:val="00F97B47"/>
    <w:rsid w:val="00FA0B20"/>
    <w:rsid w:val="00FA1122"/>
    <w:rsid w:val="00FA1C3C"/>
    <w:rsid w:val="00FA24E7"/>
    <w:rsid w:val="00FA265B"/>
    <w:rsid w:val="00FA5136"/>
    <w:rsid w:val="00FA5425"/>
    <w:rsid w:val="00FA5EE6"/>
    <w:rsid w:val="00FA789F"/>
    <w:rsid w:val="00FA7956"/>
    <w:rsid w:val="00FB02C9"/>
    <w:rsid w:val="00FB0C7B"/>
    <w:rsid w:val="00FB0F4E"/>
    <w:rsid w:val="00FB12B8"/>
    <w:rsid w:val="00FB26AB"/>
    <w:rsid w:val="00FB2FCB"/>
    <w:rsid w:val="00FB3A33"/>
    <w:rsid w:val="00FB3ADD"/>
    <w:rsid w:val="00FB4FE8"/>
    <w:rsid w:val="00FB57A3"/>
    <w:rsid w:val="00FB66CE"/>
    <w:rsid w:val="00FB7C55"/>
    <w:rsid w:val="00FC073C"/>
    <w:rsid w:val="00FC0870"/>
    <w:rsid w:val="00FC103F"/>
    <w:rsid w:val="00FC1074"/>
    <w:rsid w:val="00FC1884"/>
    <w:rsid w:val="00FC371D"/>
    <w:rsid w:val="00FC38C0"/>
    <w:rsid w:val="00FC39FF"/>
    <w:rsid w:val="00FC4421"/>
    <w:rsid w:val="00FC4CFA"/>
    <w:rsid w:val="00FC5790"/>
    <w:rsid w:val="00FC5F0B"/>
    <w:rsid w:val="00FC5F0F"/>
    <w:rsid w:val="00FC6C87"/>
    <w:rsid w:val="00FC7027"/>
    <w:rsid w:val="00FD0459"/>
    <w:rsid w:val="00FD2100"/>
    <w:rsid w:val="00FD23A9"/>
    <w:rsid w:val="00FD27A5"/>
    <w:rsid w:val="00FD436C"/>
    <w:rsid w:val="00FD446D"/>
    <w:rsid w:val="00FD46C5"/>
    <w:rsid w:val="00FD4F2C"/>
    <w:rsid w:val="00FD6394"/>
    <w:rsid w:val="00FD6643"/>
    <w:rsid w:val="00FD67C0"/>
    <w:rsid w:val="00FD6BD6"/>
    <w:rsid w:val="00FD6FA4"/>
    <w:rsid w:val="00FE0C5E"/>
    <w:rsid w:val="00FE0E6C"/>
    <w:rsid w:val="00FE11C4"/>
    <w:rsid w:val="00FE1CDC"/>
    <w:rsid w:val="00FE32BA"/>
    <w:rsid w:val="00FE3A68"/>
    <w:rsid w:val="00FE4371"/>
    <w:rsid w:val="00FE4426"/>
    <w:rsid w:val="00FE467D"/>
    <w:rsid w:val="00FE51D1"/>
    <w:rsid w:val="00FE58DA"/>
    <w:rsid w:val="00FE5943"/>
    <w:rsid w:val="00FE6931"/>
    <w:rsid w:val="00FE6C90"/>
    <w:rsid w:val="00FE70C3"/>
    <w:rsid w:val="00FE7A7B"/>
    <w:rsid w:val="00FE7DF1"/>
    <w:rsid w:val="00FF03FF"/>
    <w:rsid w:val="00FF0EB8"/>
    <w:rsid w:val="00FF1063"/>
    <w:rsid w:val="00FF21B1"/>
    <w:rsid w:val="00FF26B4"/>
    <w:rsid w:val="00FF28DB"/>
    <w:rsid w:val="00FF2AD9"/>
    <w:rsid w:val="00FF359F"/>
    <w:rsid w:val="00FF3DCF"/>
    <w:rsid w:val="00FF492C"/>
    <w:rsid w:val="00FF4A21"/>
    <w:rsid w:val="00FF5AA3"/>
    <w:rsid w:val="00FF5AD8"/>
    <w:rsid w:val="00FF63D8"/>
    <w:rsid w:val="00FF67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80F"/>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PBAC ES Paragraph,ES Paragraph,PBAC normal points,Bullet 1,Bullet1,Summary Bullets,lp1,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basedOn w:val="Normal"/>
    <w:unhideWhenUsed/>
    <w:rsid w:val="00EE1996"/>
    <w:p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RTI AMCP Table,new style,Dossier table,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60263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02632"/>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FootnoteText">
    <w:name w:val="footnote text"/>
    <w:basedOn w:val="Normal"/>
    <w:link w:val="FootnoteTextChar"/>
    <w:unhideWhenUsed/>
    <w:rsid w:val="00504B39"/>
    <w:rPr>
      <w:sz w:val="20"/>
      <w:szCs w:val="20"/>
    </w:rPr>
  </w:style>
  <w:style w:type="character" w:customStyle="1" w:styleId="FootnoteTextChar">
    <w:name w:val="Footnote Text Char"/>
    <w:basedOn w:val="DefaultParagraphFont"/>
    <w:link w:val="FootnoteText"/>
    <w:rsid w:val="00504B39"/>
    <w:rPr>
      <w:rFonts w:ascii="Calibri" w:hAnsi="Calibri" w:cs="Arial"/>
    </w:rPr>
  </w:style>
  <w:style w:type="character" w:styleId="FootnoteReference">
    <w:name w:val="footnote reference"/>
    <w:basedOn w:val="DefaultParagraphFont"/>
    <w:uiPriority w:val="99"/>
    <w:unhideWhenUsed/>
    <w:rsid w:val="00504B39"/>
    <w:rPr>
      <w:vertAlign w:val="superscript"/>
    </w:rPr>
  </w:style>
  <w:style w:type="paragraph" w:customStyle="1" w:styleId="TableNotes">
    <w:name w:val="Table Notes"/>
    <w:basedOn w:val="Normal"/>
    <w:link w:val="TableNotesChar"/>
    <w:uiPriority w:val="6"/>
    <w:qFormat/>
    <w:rsid w:val="00BD5EBD"/>
    <w:pPr>
      <w:spacing w:after="40"/>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BD5EBD"/>
    <w:rPr>
      <w:rFonts w:ascii="Arial Narrow" w:eastAsiaTheme="majorEastAsia" w:hAnsi="Arial Narrow" w:cstheme="majorBidi"/>
      <w:sz w:val="16"/>
      <w:szCs w:val="22"/>
      <w:lang w:eastAsia="en-US"/>
    </w:rPr>
  </w:style>
  <w:style w:type="character" w:styleId="IntenseReference">
    <w:name w:val="Intense Reference"/>
    <w:basedOn w:val="DefaultParagraphFont"/>
    <w:uiPriority w:val="32"/>
    <w:rsid w:val="006114D5"/>
    <w:rPr>
      <w:b/>
      <w:smallCaps/>
    </w:rPr>
  </w:style>
  <w:style w:type="paragraph" w:customStyle="1" w:styleId="TableTextCA">
    <w:name w:val="Table Text CA"/>
    <w:basedOn w:val="Normal"/>
    <w:qFormat/>
    <w:rsid w:val="006114D5"/>
    <w:pPr>
      <w:spacing w:before="40" w:after="40"/>
      <w:jc w:val="center"/>
    </w:pPr>
    <w:rPr>
      <w:rFonts w:ascii="Arial Narrow" w:eastAsiaTheme="minorHAnsi" w:hAnsi="Arial Narrow" w:cstheme="minorBidi"/>
      <w:sz w:val="20"/>
      <w:szCs w:val="22"/>
      <w:lang w:eastAsia="en-US"/>
    </w:rPr>
  </w:style>
  <w:style w:type="paragraph" w:customStyle="1" w:styleId="TableNoteBullet">
    <w:name w:val="Table Note Bullet"/>
    <w:basedOn w:val="Normal"/>
    <w:qFormat/>
    <w:rsid w:val="00DA22C1"/>
    <w:pPr>
      <w:numPr>
        <w:numId w:val="6"/>
      </w:numPr>
      <w:spacing w:after="60"/>
      <w:ind w:left="357" w:hanging="357"/>
    </w:pPr>
    <w:rPr>
      <w:rFonts w:asciiTheme="minorHAnsi" w:eastAsiaTheme="minorHAnsi" w:hAnsiTheme="minorHAnsi" w:cstheme="minorBidi"/>
      <w:sz w:val="18"/>
      <w:szCs w:val="22"/>
      <w:lang w:eastAsia="en-US"/>
    </w:rPr>
  </w:style>
  <w:style w:type="paragraph" w:customStyle="1" w:styleId="TableHeading0">
    <w:name w:val="Table Heading"/>
    <w:basedOn w:val="Normal"/>
    <w:qFormat/>
    <w:rsid w:val="00DA22C1"/>
    <w:pPr>
      <w:spacing w:after="60"/>
    </w:pPr>
    <w:rPr>
      <w:rFonts w:ascii="Arial Narrow" w:eastAsiaTheme="minorHAnsi" w:hAnsi="Arial Narrow" w:cstheme="minorBidi"/>
      <w:b/>
      <w:sz w:val="20"/>
      <w:szCs w:val="22"/>
      <w:lang w:eastAsia="en-US"/>
    </w:rPr>
  </w:style>
  <w:style w:type="paragraph" w:customStyle="1" w:styleId="SubmTableHeading">
    <w:name w:val="Subm Table Heading"/>
    <w:basedOn w:val="TableHeading"/>
    <w:qFormat/>
    <w:rsid w:val="00E814DA"/>
    <w:pPr>
      <w:spacing w:before="0" w:after="60"/>
    </w:pPr>
    <w:rPr>
      <w:rFonts w:eastAsiaTheme="minorHAnsi" w:cstheme="minorHAnsi"/>
      <w:snapToGrid/>
      <w:sz w:val="18"/>
      <w:szCs w:val="18"/>
      <w:lang w:eastAsia="en-US"/>
    </w:rPr>
  </w:style>
  <w:style w:type="table" w:customStyle="1" w:styleId="MSDTableGrid1">
    <w:name w:val="MSD Table Grid1"/>
    <w:basedOn w:val="TableNormal"/>
    <w:next w:val="TableGrid"/>
    <w:uiPriority w:val="59"/>
    <w:rsid w:val="00E43322"/>
    <w:rPr>
      <w:rFonts w:ascii="Arial Narrow" w:eastAsia="MS Gothic" w:hAnsi="Arial Narrow"/>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60"/>
    <w:rsid w:val="00BA1002"/>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table" w:customStyle="1" w:styleId="Submissionstandard1">
    <w:name w:val="Submission standard1"/>
    <w:basedOn w:val="TableNormal"/>
    <w:uiPriority w:val="99"/>
    <w:qFormat/>
    <w:rsid w:val="005A50F2"/>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Gill Sans Nova Cond" w:hAnsi="Gill Sans Nova Cond" w:cstheme="majorBidi"/>
        <w:b/>
        <w:sz w:val="20"/>
      </w:rPr>
      <w:tblPr/>
      <w:tcPr>
        <w:shd w:val="clear" w:color="auto" w:fill="BFBFBF" w:themeFill="background1" w:themeFillShade="BF"/>
      </w:tcPr>
    </w:tblStylePr>
  </w:style>
  <w:style w:type="table" w:customStyle="1" w:styleId="ASDTable1">
    <w:name w:val="ASD Table1"/>
    <w:basedOn w:val="TableNormal"/>
    <w:next w:val="TableGrid"/>
    <w:uiPriority w:val="39"/>
    <w:rsid w:val="00E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39"/>
    <w:rsid w:val="00E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3"/>
    <w:rsid w:val="00E775D3"/>
    <w:pPr>
      <w:spacing w:after="240"/>
      <w:ind w:left="357" w:hanging="357"/>
      <w:contextualSpacing/>
    </w:pPr>
    <w:rPr>
      <w:rFonts w:ascii="Candara" w:hAnsi="Candara" w:cs="Times New Roman"/>
      <w:szCs w:val="22"/>
      <w:lang w:eastAsia="en-US"/>
    </w:rPr>
  </w:style>
  <w:style w:type="table" w:customStyle="1" w:styleId="Submissionstandard">
    <w:name w:val="Submission standard"/>
    <w:basedOn w:val="TableNormal"/>
    <w:uiPriority w:val="99"/>
    <w:qFormat/>
    <w:rsid w:val="00E775D3"/>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Emoji" w:hAnsi="Segoe UI Emoji" w:cstheme="majorBidi"/>
        <w:b/>
        <w:sz w:val="20"/>
      </w:rPr>
      <w:tblPr/>
      <w:tcPr>
        <w:shd w:val="clear" w:color="auto" w:fill="BFBFBF" w:themeFill="background1" w:themeFillShade="BF"/>
      </w:tcPr>
    </w:tblStylePr>
  </w:style>
  <w:style w:type="paragraph" w:customStyle="1" w:styleId="TableLeft">
    <w:name w:val="Table Left"/>
    <w:basedOn w:val="Normal"/>
    <w:link w:val="TableLeftChar"/>
    <w:uiPriority w:val="5"/>
    <w:qFormat/>
    <w:rsid w:val="00E775D3"/>
    <w:pPr>
      <w:jc w:val="left"/>
    </w:pPr>
    <w:rPr>
      <w:rFonts w:ascii="Arial Narrow" w:eastAsiaTheme="majorEastAsia" w:hAnsi="Arial Narrow" w:cstheme="majorBidi"/>
      <w:sz w:val="20"/>
      <w:szCs w:val="22"/>
      <w:lang w:eastAsia="en-US"/>
    </w:rPr>
  </w:style>
  <w:style w:type="character" w:customStyle="1" w:styleId="TableLeftChar">
    <w:name w:val="Table Left Char"/>
    <w:basedOn w:val="DefaultParagraphFont"/>
    <w:link w:val="TableLeft"/>
    <w:uiPriority w:val="5"/>
    <w:rsid w:val="00E775D3"/>
    <w:rPr>
      <w:rFonts w:ascii="Arial Narrow" w:eastAsiaTheme="majorEastAsia" w:hAnsi="Arial Narrow" w:cstheme="majorBidi"/>
      <w:szCs w:val="22"/>
      <w:lang w:eastAsia="en-US"/>
    </w:rPr>
  </w:style>
  <w:style w:type="paragraph" w:customStyle="1" w:styleId="Default">
    <w:name w:val="Default"/>
    <w:rsid w:val="00E775D3"/>
    <w:pPr>
      <w:autoSpaceDE w:val="0"/>
      <w:autoSpaceDN w:val="0"/>
      <w:adjustRightInd w:val="0"/>
    </w:pPr>
    <w:rPr>
      <w:rFonts w:ascii="Calibri" w:hAnsi="Calibri" w:cs="Calibri"/>
      <w:color w:val="000000"/>
      <w:sz w:val="24"/>
      <w:szCs w:val="24"/>
    </w:rPr>
  </w:style>
  <w:style w:type="paragraph" w:customStyle="1" w:styleId="EndNoteBibliographyTitle">
    <w:name w:val="EndNote Bibliography Title"/>
    <w:basedOn w:val="Normal"/>
    <w:link w:val="EndNoteBibliographyTitleChar"/>
    <w:rsid w:val="00434D44"/>
    <w:pPr>
      <w:jc w:val="center"/>
    </w:pPr>
    <w:rPr>
      <w:rFonts w:cs="Calibri"/>
      <w:noProof/>
    </w:rPr>
  </w:style>
  <w:style w:type="character" w:customStyle="1" w:styleId="EndNoteBibliographyTitleChar">
    <w:name w:val="EndNote Bibliography Title Char"/>
    <w:basedOn w:val="DefaultParagraphFont"/>
    <w:link w:val="EndNoteBibliographyTitle"/>
    <w:rsid w:val="00434D44"/>
    <w:rPr>
      <w:rFonts w:ascii="Calibri" w:hAnsi="Calibri" w:cs="Calibri"/>
      <w:noProof/>
      <w:sz w:val="24"/>
      <w:szCs w:val="24"/>
    </w:rPr>
  </w:style>
  <w:style w:type="paragraph" w:customStyle="1" w:styleId="EndNoteBibliography">
    <w:name w:val="EndNote Bibliography"/>
    <w:basedOn w:val="Normal"/>
    <w:link w:val="EndNoteBibliographyChar"/>
    <w:rsid w:val="00434D44"/>
    <w:rPr>
      <w:rFonts w:cs="Calibri"/>
      <w:noProof/>
    </w:rPr>
  </w:style>
  <w:style w:type="character" w:customStyle="1" w:styleId="EndNoteBibliographyChar">
    <w:name w:val="EndNote Bibliography Char"/>
    <w:basedOn w:val="DefaultParagraphFont"/>
    <w:link w:val="EndNoteBibliography"/>
    <w:rsid w:val="00434D44"/>
    <w:rPr>
      <w:rFonts w:ascii="Calibri" w:hAnsi="Calibri" w:cs="Calibri"/>
      <w:noProof/>
      <w:sz w:val="24"/>
      <w:szCs w:val="24"/>
    </w:rPr>
  </w:style>
  <w:style w:type="table" w:customStyle="1" w:styleId="ASDTable3">
    <w:name w:val="ASD Table3"/>
    <w:basedOn w:val="TableNormal"/>
    <w:next w:val="TableGrid"/>
    <w:uiPriority w:val="39"/>
    <w:rsid w:val="00E0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F47D63"/>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F47D63"/>
    <w:rPr>
      <w:rFonts w:asciiTheme="minorHAnsi" w:eastAsiaTheme="majorEastAsia" w:hAnsiTheme="minorHAnsi" w:cstheme="majorBidi"/>
      <w:b/>
      <w:i/>
      <w:snapToGrid/>
      <w:color w:val="365F91" w:themeColor="accent1" w:themeShade="BF"/>
      <w:spacing w:val="5"/>
      <w:kern w:val="28"/>
      <w:sz w:val="28"/>
      <w:szCs w:val="36"/>
      <w:lang w:eastAsia="en-US"/>
    </w:rPr>
  </w:style>
  <w:style w:type="paragraph" w:styleId="EndnoteText">
    <w:name w:val="endnote text"/>
    <w:basedOn w:val="Normal"/>
    <w:link w:val="EndnoteTextChar"/>
    <w:semiHidden/>
    <w:unhideWhenUsed/>
    <w:rsid w:val="00FC4CFA"/>
    <w:rPr>
      <w:sz w:val="20"/>
      <w:szCs w:val="20"/>
    </w:rPr>
  </w:style>
  <w:style w:type="character" w:customStyle="1" w:styleId="EndnoteTextChar">
    <w:name w:val="Endnote Text Char"/>
    <w:basedOn w:val="DefaultParagraphFont"/>
    <w:link w:val="EndnoteText"/>
    <w:semiHidden/>
    <w:rsid w:val="00FC4CFA"/>
    <w:rPr>
      <w:rFonts w:ascii="Calibri" w:hAnsi="Calibri" w:cs="Arial"/>
    </w:rPr>
  </w:style>
  <w:style w:type="character" w:styleId="EndnoteReference">
    <w:name w:val="endnote reference"/>
    <w:basedOn w:val="DefaultParagraphFont"/>
    <w:semiHidden/>
    <w:unhideWhenUsed/>
    <w:rsid w:val="00FC4CFA"/>
    <w:rPr>
      <w:vertAlign w:val="superscript"/>
    </w:rPr>
  </w:style>
  <w:style w:type="paragraph" w:customStyle="1" w:styleId="paragraph">
    <w:name w:val="paragraph"/>
    <w:basedOn w:val="Normal"/>
    <w:rsid w:val="00AF72E2"/>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AF72E2"/>
  </w:style>
  <w:style w:type="character" w:customStyle="1" w:styleId="eop">
    <w:name w:val="eop"/>
    <w:basedOn w:val="DefaultParagraphFont"/>
    <w:rsid w:val="00AF72E2"/>
  </w:style>
  <w:style w:type="paragraph" w:customStyle="1" w:styleId="3Bodytext">
    <w:name w:val="3. Body text"/>
    <w:basedOn w:val="ListParagraph"/>
    <w:link w:val="3BodytextChar"/>
    <w:qFormat/>
    <w:rsid w:val="00280B93"/>
    <w:pPr>
      <w:numPr>
        <w:numId w:val="0"/>
      </w:numPr>
      <w:jc w:val="left"/>
    </w:pPr>
    <w:rPr>
      <w:rFonts w:cstheme="minorBidi"/>
      <w:snapToGrid/>
      <w:szCs w:val="22"/>
    </w:rPr>
  </w:style>
  <w:style w:type="character" w:customStyle="1" w:styleId="3BodytextChar">
    <w:name w:val="3. Body text Char"/>
    <w:basedOn w:val="DefaultParagraphFont"/>
    <w:link w:val="3Bodytext"/>
    <w:rsid w:val="00280B93"/>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0630">
      <w:bodyDiv w:val="1"/>
      <w:marLeft w:val="0"/>
      <w:marRight w:val="0"/>
      <w:marTop w:val="0"/>
      <w:marBottom w:val="0"/>
      <w:divBdr>
        <w:top w:val="none" w:sz="0" w:space="0" w:color="auto"/>
        <w:left w:val="none" w:sz="0" w:space="0" w:color="auto"/>
        <w:bottom w:val="none" w:sz="0" w:space="0" w:color="auto"/>
        <w:right w:val="none" w:sz="0" w:space="0" w:color="auto"/>
      </w:divBdr>
    </w:div>
    <w:div w:id="43678577">
      <w:bodyDiv w:val="1"/>
      <w:marLeft w:val="0"/>
      <w:marRight w:val="0"/>
      <w:marTop w:val="0"/>
      <w:marBottom w:val="0"/>
      <w:divBdr>
        <w:top w:val="none" w:sz="0" w:space="0" w:color="auto"/>
        <w:left w:val="none" w:sz="0" w:space="0" w:color="auto"/>
        <w:bottom w:val="none" w:sz="0" w:space="0" w:color="auto"/>
        <w:right w:val="none" w:sz="0" w:space="0" w:color="auto"/>
      </w:divBdr>
    </w:div>
    <w:div w:id="76101408">
      <w:bodyDiv w:val="1"/>
      <w:marLeft w:val="0"/>
      <w:marRight w:val="0"/>
      <w:marTop w:val="0"/>
      <w:marBottom w:val="0"/>
      <w:divBdr>
        <w:top w:val="none" w:sz="0" w:space="0" w:color="auto"/>
        <w:left w:val="none" w:sz="0" w:space="0" w:color="auto"/>
        <w:bottom w:val="none" w:sz="0" w:space="0" w:color="auto"/>
        <w:right w:val="none" w:sz="0" w:space="0" w:color="auto"/>
      </w:divBdr>
    </w:div>
    <w:div w:id="8508322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3692666">
      <w:bodyDiv w:val="1"/>
      <w:marLeft w:val="0"/>
      <w:marRight w:val="0"/>
      <w:marTop w:val="0"/>
      <w:marBottom w:val="0"/>
      <w:divBdr>
        <w:top w:val="none" w:sz="0" w:space="0" w:color="auto"/>
        <w:left w:val="none" w:sz="0" w:space="0" w:color="auto"/>
        <w:bottom w:val="none" w:sz="0" w:space="0" w:color="auto"/>
        <w:right w:val="none" w:sz="0" w:space="0" w:color="auto"/>
      </w:divBdr>
    </w:div>
    <w:div w:id="16655646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2635731">
      <w:bodyDiv w:val="1"/>
      <w:marLeft w:val="0"/>
      <w:marRight w:val="0"/>
      <w:marTop w:val="0"/>
      <w:marBottom w:val="0"/>
      <w:divBdr>
        <w:top w:val="none" w:sz="0" w:space="0" w:color="auto"/>
        <w:left w:val="none" w:sz="0" w:space="0" w:color="auto"/>
        <w:bottom w:val="none" w:sz="0" w:space="0" w:color="auto"/>
        <w:right w:val="none" w:sz="0" w:space="0" w:color="auto"/>
      </w:divBdr>
    </w:div>
    <w:div w:id="432290715">
      <w:bodyDiv w:val="1"/>
      <w:marLeft w:val="0"/>
      <w:marRight w:val="0"/>
      <w:marTop w:val="0"/>
      <w:marBottom w:val="0"/>
      <w:divBdr>
        <w:top w:val="none" w:sz="0" w:space="0" w:color="auto"/>
        <w:left w:val="none" w:sz="0" w:space="0" w:color="auto"/>
        <w:bottom w:val="none" w:sz="0" w:space="0" w:color="auto"/>
        <w:right w:val="none" w:sz="0" w:space="0" w:color="auto"/>
      </w:divBdr>
    </w:div>
    <w:div w:id="514613624">
      <w:bodyDiv w:val="1"/>
      <w:marLeft w:val="0"/>
      <w:marRight w:val="0"/>
      <w:marTop w:val="0"/>
      <w:marBottom w:val="0"/>
      <w:divBdr>
        <w:top w:val="none" w:sz="0" w:space="0" w:color="auto"/>
        <w:left w:val="none" w:sz="0" w:space="0" w:color="auto"/>
        <w:bottom w:val="none" w:sz="0" w:space="0" w:color="auto"/>
        <w:right w:val="none" w:sz="0" w:space="0" w:color="auto"/>
      </w:divBdr>
    </w:div>
    <w:div w:id="623081733">
      <w:bodyDiv w:val="1"/>
      <w:marLeft w:val="0"/>
      <w:marRight w:val="0"/>
      <w:marTop w:val="0"/>
      <w:marBottom w:val="0"/>
      <w:divBdr>
        <w:top w:val="none" w:sz="0" w:space="0" w:color="auto"/>
        <w:left w:val="none" w:sz="0" w:space="0" w:color="auto"/>
        <w:bottom w:val="none" w:sz="0" w:space="0" w:color="auto"/>
        <w:right w:val="none" w:sz="0" w:space="0" w:color="auto"/>
      </w:divBdr>
    </w:div>
    <w:div w:id="694505379">
      <w:bodyDiv w:val="1"/>
      <w:marLeft w:val="0"/>
      <w:marRight w:val="0"/>
      <w:marTop w:val="0"/>
      <w:marBottom w:val="0"/>
      <w:divBdr>
        <w:top w:val="none" w:sz="0" w:space="0" w:color="auto"/>
        <w:left w:val="none" w:sz="0" w:space="0" w:color="auto"/>
        <w:bottom w:val="none" w:sz="0" w:space="0" w:color="auto"/>
        <w:right w:val="none" w:sz="0" w:space="0" w:color="auto"/>
      </w:divBdr>
    </w:div>
    <w:div w:id="736591098">
      <w:bodyDiv w:val="1"/>
      <w:marLeft w:val="0"/>
      <w:marRight w:val="0"/>
      <w:marTop w:val="0"/>
      <w:marBottom w:val="0"/>
      <w:divBdr>
        <w:top w:val="none" w:sz="0" w:space="0" w:color="auto"/>
        <w:left w:val="none" w:sz="0" w:space="0" w:color="auto"/>
        <w:bottom w:val="none" w:sz="0" w:space="0" w:color="auto"/>
        <w:right w:val="none" w:sz="0" w:space="0" w:color="auto"/>
      </w:divBdr>
    </w:div>
    <w:div w:id="793716024">
      <w:bodyDiv w:val="1"/>
      <w:marLeft w:val="0"/>
      <w:marRight w:val="0"/>
      <w:marTop w:val="0"/>
      <w:marBottom w:val="0"/>
      <w:divBdr>
        <w:top w:val="none" w:sz="0" w:space="0" w:color="auto"/>
        <w:left w:val="none" w:sz="0" w:space="0" w:color="auto"/>
        <w:bottom w:val="none" w:sz="0" w:space="0" w:color="auto"/>
        <w:right w:val="none" w:sz="0" w:space="0" w:color="auto"/>
      </w:divBdr>
    </w:div>
    <w:div w:id="934704567">
      <w:bodyDiv w:val="1"/>
      <w:marLeft w:val="0"/>
      <w:marRight w:val="0"/>
      <w:marTop w:val="0"/>
      <w:marBottom w:val="0"/>
      <w:divBdr>
        <w:top w:val="none" w:sz="0" w:space="0" w:color="auto"/>
        <w:left w:val="none" w:sz="0" w:space="0" w:color="auto"/>
        <w:bottom w:val="none" w:sz="0" w:space="0" w:color="auto"/>
        <w:right w:val="none" w:sz="0" w:space="0" w:color="auto"/>
      </w:divBdr>
    </w:div>
    <w:div w:id="1054740634">
      <w:bodyDiv w:val="1"/>
      <w:marLeft w:val="0"/>
      <w:marRight w:val="0"/>
      <w:marTop w:val="0"/>
      <w:marBottom w:val="0"/>
      <w:divBdr>
        <w:top w:val="none" w:sz="0" w:space="0" w:color="auto"/>
        <w:left w:val="none" w:sz="0" w:space="0" w:color="auto"/>
        <w:bottom w:val="none" w:sz="0" w:space="0" w:color="auto"/>
        <w:right w:val="none" w:sz="0" w:space="0" w:color="auto"/>
      </w:divBdr>
    </w:div>
    <w:div w:id="1110198102">
      <w:bodyDiv w:val="1"/>
      <w:marLeft w:val="0"/>
      <w:marRight w:val="0"/>
      <w:marTop w:val="0"/>
      <w:marBottom w:val="0"/>
      <w:divBdr>
        <w:top w:val="none" w:sz="0" w:space="0" w:color="auto"/>
        <w:left w:val="none" w:sz="0" w:space="0" w:color="auto"/>
        <w:bottom w:val="none" w:sz="0" w:space="0" w:color="auto"/>
        <w:right w:val="none" w:sz="0" w:space="0" w:color="auto"/>
      </w:divBdr>
    </w:div>
    <w:div w:id="1122114837">
      <w:bodyDiv w:val="1"/>
      <w:marLeft w:val="0"/>
      <w:marRight w:val="0"/>
      <w:marTop w:val="0"/>
      <w:marBottom w:val="0"/>
      <w:divBdr>
        <w:top w:val="none" w:sz="0" w:space="0" w:color="auto"/>
        <w:left w:val="none" w:sz="0" w:space="0" w:color="auto"/>
        <w:bottom w:val="none" w:sz="0" w:space="0" w:color="auto"/>
        <w:right w:val="none" w:sz="0" w:space="0" w:color="auto"/>
      </w:divBdr>
    </w:div>
    <w:div w:id="115495002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518">
      <w:bodyDiv w:val="1"/>
      <w:marLeft w:val="0"/>
      <w:marRight w:val="0"/>
      <w:marTop w:val="0"/>
      <w:marBottom w:val="0"/>
      <w:divBdr>
        <w:top w:val="none" w:sz="0" w:space="0" w:color="auto"/>
        <w:left w:val="none" w:sz="0" w:space="0" w:color="auto"/>
        <w:bottom w:val="none" w:sz="0" w:space="0" w:color="auto"/>
        <w:right w:val="none" w:sz="0" w:space="0" w:color="auto"/>
      </w:divBdr>
    </w:div>
    <w:div w:id="1252005089">
      <w:bodyDiv w:val="1"/>
      <w:marLeft w:val="0"/>
      <w:marRight w:val="0"/>
      <w:marTop w:val="0"/>
      <w:marBottom w:val="0"/>
      <w:divBdr>
        <w:top w:val="none" w:sz="0" w:space="0" w:color="auto"/>
        <w:left w:val="none" w:sz="0" w:space="0" w:color="auto"/>
        <w:bottom w:val="none" w:sz="0" w:space="0" w:color="auto"/>
        <w:right w:val="none" w:sz="0" w:space="0" w:color="auto"/>
      </w:divBdr>
    </w:div>
    <w:div w:id="1290548421">
      <w:bodyDiv w:val="1"/>
      <w:marLeft w:val="0"/>
      <w:marRight w:val="0"/>
      <w:marTop w:val="0"/>
      <w:marBottom w:val="0"/>
      <w:divBdr>
        <w:top w:val="none" w:sz="0" w:space="0" w:color="auto"/>
        <w:left w:val="none" w:sz="0" w:space="0" w:color="auto"/>
        <w:bottom w:val="none" w:sz="0" w:space="0" w:color="auto"/>
        <w:right w:val="none" w:sz="0" w:space="0" w:color="auto"/>
      </w:divBdr>
    </w:div>
    <w:div w:id="1305354101">
      <w:bodyDiv w:val="1"/>
      <w:marLeft w:val="0"/>
      <w:marRight w:val="0"/>
      <w:marTop w:val="0"/>
      <w:marBottom w:val="0"/>
      <w:divBdr>
        <w:top w:val="none" w:sz="0" w:space="0" w:color="auto"/>
        <w:left w:val="none" w:sz="0" w:space="0" w:color="auto"/>
        <w:bottom w:val="none" w:sz="0" w:space="0" w:color="auto"/>
        <w:right w:val="none" w:sz="0" w:space="0" w:color="auto"/>
      </w:divBdr>
    </w:div>
    <w:div w:id="1413577529">
      <w:bodyDiv w:val="1"/>
      <w:marLeft w:val="0"/>
      <w:marRight w:val="0"/>
      <w:marTop w:val="0"/>
      <w:marBottom w:val="0"/>
      <w:divBdr>
        <w:top w:val="none" w:sz="0" w:space="0" w:color="auto"/>
        <w:left w:val="none" w:sz="0" w:space="0" w:color="auto"/>
        <w:bottom w:val="none" w:sz="0" w:space="0" w:color="auto"/>
        <w:right w:val="none" w:sz="0" w:space="0" w:color="auto"/>
      </w:divBdr>
    </w:div>
    <w:div w:id="1479107952">
      <w:bodyDiv w:val="1"/>
      <w:marLeft w:val="0"/>
      <w:marRight w:val="0"/>
      <w:marTop w:val="0"/>
      <w:marBottom w:val="0"/>
      <w:divBdr>
        <w:top w:val="none" w:sz="0" w:space="0" w:color="auto"/>
        <w:left w:val="none" w:sz="0" w:space="0" w:color="auto"/>
        <w:bottom w:val="none" w:sz="0" w:space="0" w:color="auto"/>
        <w:right w:val="none" w:sz="0" w:space="0" w:color="auto"/>
      </w:divBdr>
    </w:div>
    <w:div w:id="1485588887">
      <w:bodyDiv w:val="1"/>
      <w:marLeft w:val="0"/>
      <w:marRight w:val="0"/>
      <w:marTop w:val="0"/>
      <w:marBottom w:val="0"/>
      <w:divBdr>
        <w:top w:val="none" w:sz="0" w:space="0" w:color="auto"/>
        <w:left w:val="none" w:sz="0" w:space="0" w:color="auto"/>
        <w:bottom w:val="none" w:sz="0" w:space="0" w:color="auto"/>
        <w:right w:val="none" w:sz="0" w:space="0" w:color="auto"/>
      </w:divBdr>
    </w:div>
    <w:div w:id="1655377326">
      <w:bodyDiv w:val="1"/>
      <w:marLeft w:val="0"/>
      <w:marRight w:val="0"/>
      <w:marTop w:val="0"/>
      <w:marBottom w:val="0"/>
      <w:divBdr>
        <w:top w:val="none" w:sz="0" w:space="0" w:color="auto"/>
        <w:left w:val="none" w:sz="0" w:space="0" w:color="auto"/>
        <w:bottom w:val="none" w:sz="0" w:space="0" w:color="auto"/>
        <w:right w:val="none" w:sz="0" w:space="0" w:color="auto"/>
      </w:divBdr>
    </w:div>
    <w:div w:id="1694841859">
      <w:bodyDiv w:val="1"/>
      <w:marLeft w:val="0"/>
      <w:marRight w:val="0"/>
      <w:marTop w:val="0"/>
      <w:marBottom w:val="0"/>
      <w:divBdr>
        <w:top w:val="none" w:sz="0" w:space="0" w:color="auto"/>
        <w:left w:val="none" w:sz="0" w:space="0" w:color="auto"/>
        <w:bottom w:val="none" w:sz="0" w:space="0" w:color="auto"/>
        <w:right w:val="none" w:sz="0" w:space="0" w:color="auto"/>
      </w:divBdr>
    </w:div>
    <w:div w:id="1807434103">
      <w:bodyDiv w:val="1"/>
      <w:marLeft w:val="0"/>
      <w:marRight w:val="0"/>
      <w:marTop w:val="0"/>
      <w:marBottom w:val="0"/>
      <w:divBdr>
        <w:top w:val="none" w:sz="0" w:space="0" w:color="auto"/>
        <w:left w:val="none" w:sz="0" w:space="0" w:color="auto"/>
        <w:bottom w:val="none" w:sz="0" w:space="0" w:color="auto"/>
        <w:right w:val="none" w:sz="0" w:space="0" w:color="auto"/>
      </w:divBdr>
    </w:div>
    <w:div w:id="190390910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04447126">
      <w:bodyDiv w:val="1"/>
      <w:marLeft w:val="0"/>
      <w:marRight w:val="0"/>
      <w:marTop w:val="0"/>
      <w:marBottom w:val="0"/>
      <w:divBdr>
        <w:top w:val="none" w:sz="0" w:space="0" w:color="auto"/>
        <w:left w:val="none" w:sz="0" w:space="0" w:color="auto"/>
        <w:bottom w:val="none" w:sz="0" w:space="0" w:color="auto"/>
        <w:right w:val="none" w:sz="0" w:space="0" w:color="auto"/>
      </w:divBdr>
    </w:div>
    <w:div w:id="21401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C644-989A-437C-907A-39547DDB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23382</Words>
  <Characters>128469</Characters>
  <Application>Microsoft Office Word</Application>
  <DocSecurity>0</DocSecurity>
  <Lines>1070</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2022-06-29T02:24:00Z</dcterms:created>
  <dcterms:modified xsi:type="dcterms:W3CDTF">2022-06-29T02:26:00Z</dcterms:modified>
</cp:coreProperties>
</file>