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5F48E81D" w:rsidR="00B60939" w:rsidRPr="009A0E7B" w:rsidRDefault="00F1422D" w:rsidP="00866C83">
      <w:pPr>
        <w:pStyle w:val="1-MainHeading"/>
        <w:spacing w:after="120"/>
      </w:pPr>
      <w:bookmarkStart w:id="0" w:name="_Toc93489227"/>
      <w:r w:rsidRPr="009A0E7B">
        <w:t>6</w:t>
      </w:r>
      <w:r w:rsidR="00433044" w:rsidRPr="009A0E7B">
        <w:t>.</w:t>
      </w:r>
      <w:r w:rsidRPr="009A0E7B">
        <w:t>05</w:t>
      </w:r>
      <w:r w:rsidR="00163F66" w:rsidRPr="009A0E7B">
        <w:tab/>
      </w:r>
      <w:r w:rsidR="00281755" w:rsidRPr="009A0E7B">
        <w:t>OZANIMOD</w:t>
      </w:r>
      <w:r w:rsidR="00163F66" w:rsidRPr="009A0E7B">
        <w:t>,</w:t>
      </w:r>
      <w:r w:rsidR="00163F66" w:rsidRPr="009A0E7B">
        <w:br/>
      </w:r>
      <w:r w:rsidRPr="009A0E7B">
        <w:t>Capsule 920 micrograms</w:t>
      </w:r>
      <w:r w:rsidR="009B0395" w:rsidRPr="009A0E7B">
        <w:t>,</w:t>
      </w:r>
      <w:r w:rsidRPr="009A0E7B">
        <w:t xml:space="preserve"> </w:t>
      </w:r>
      <w:r w:rsidR="00386771" w:rsidRPr="009A0E7B">
        <w:br/>
      </w:r>
      <w:r w:rsidRPr="009A0E7B">
        <w:t>Pack containing 4 capsules 230 micrograms and 3</w:t>
      </w:r>
      <w:r w:rsidR="009B0395" w:rsidRPr="009A0E7B">
        <w:t> </w:t>
      </w:r>
      <w:r w:rsidRPr="009A0E7B">
        <w:t>capsules 460 micrograms</w:t>
      </w:r>
      <w:r w:rsidR="009B0395" w:rsidRPr="009A0E7B">
        <w:t>,</w:t>
      </w:r>
      <w:r w:rsidR="00163F66" w:rsidRPr="009A0E7B">
        <w:br/>
      </w:r>
      <w:proofErr w:type="spellStart"/>
      <w:r w:rsidR="00281755" w:rsidRPr="009A0E7B">
        <w:t>Zeposia</w:t>
      </w:r>
      <w:proofErr w:type="spellEnd"/>
      <w:r w:rsidR="00281755" w:rsidRPr="009A0E7B">
        <w:t>®</w:t>
      </w:r>
      <w:r w:rsidR="004A6040" w:rsidRPr="009A0E7B">
        <w:t>,</w:t>
      </w:r>
      <w:r w:rsidR="004A6040" w:rsidRPr="009A0E7B">
        <w:br/>
      </w:r>
      <w:r w:rsidR="00281755" w:rsidRPr="009A0E7B">
        <w:t>Celgene Pty Limited</w:t>
      </w:r>
      <w:r w:rsidR="009B0395" w:rsidRPr="009A0E7B">
        <w:t>.</w:t>
      </w:r>
      <w:bookmarkEnd w:id="0"/>
    </w:p>
    <w:p w14:paraId="49EEB1D2" w14:textId="77777777" w:rsidR="00FA6D3A" w:rsidRPr="009A0E7B" w:rsidRDefault="00FA6D3A" w:rsidP="00FA6D3A">
      <w:pPr>
        <w:pStyle w:val="2-SectionHeading"/>
      </w:pPr>
      <w:bookmarkStart w:id="1" w:name="_Toc22898844"/>
      <w:bookmarkStart w:id="2" w:name="_Toc93489229"/>
      <w:bookmarkStart w:id="3" w:name="_Toc22897644"/>
      <w:r w:rsidRPr="009A0E7B">
        <w:t>Purpose of submission</w:t>
      </w:r>
      <w:bookmarkEnd w:id="1"/>
      <w:bookmarkEnd w:id="2"/>
    </w:p>
    <w:p w14:paraId="6528B096" w14:textId="5C03FD65" w:rsidR="00FA6D3A" w:rsidRPr="009A0E7B" w:rsidRDefault="00FA6D3A" w:rsidP="00FA6D3A">
      <w:pPr>
        <w:pStyle w:val="3-BodyText"/>
      </w:pPr>
      <w:r w:rsidRPr="009A0E7B">
        <w:t>Th</w:t>
      </w:r>
      <w:r w:rsidR="0068006A" w:rsidRPr="009A0E7B">
        <w:t>e</w:t>
      </w:r>
      <w:r w:rsidRPr="009A0E7B">
        <w:t xml:space="preserve"> </w:t>
      </w:r>
      <w:r w:rsidR="0068006A" w:rsidRPr="009A0E7B">
        <w:t xml:space="preserve">Category 2 </w:t>
      </w:r>
      <w:r w:rsidRPr="009A0E7B">
        <w:t>submission requested a</w:t>
      </w:r>
      <w:r w:rsidR="0068006A" w:rsidRPr="009A0E7B">
        <w:t>n</w:t>
      </w:r>
      <w:r w:rsidRPr="009A0E7B">
        <w:t xml:space="preserve"> Authority </w:t>
      </w:r>
      <w:r w:rsidR="00AD356F" w:rsidRPr="009A0E7B">
        <w:t>R</w:t>
      </w:r>
      <w:r w:rsidRPr="009A0E7B">
        <w:t>equired</w:t>
      </w:r>
      <w:r w:rsidR="00AD356F" w:rsidRPr="009A0E7B">
        <w:t xml:space="preserve"> (in writing)</w:t>
      </w:r>
      <w:r w:rsidRPr="009A0E7B">
        <w:t xml:space="preserve"> listing of ozanimod (OZA) for the treatment of patients with moderate to severe ulcerative colitis (MSUC) in adults who have had an inadequate response, lost response or were intolerant to </w:t>
      </w:r>
      <w:r w:rsidR="00AD356F" w:rsidRPr="009A0E7B">
        <w:t>prior therapies</w:t>
      </w:r>
      <w:r w:rsidRPr="009A0E7B">
        <w:t xml:space="preserve"> (5-aminosalicylates</w:t>
      </w:r>
      <w:r w:rsidR="0068006A" w:rsidRPr="009A0E7B">
        <w:t>,</w:t>
      </w:r>
      <w:r w:rsidR="00BC7789" w:rsidRPr="009A0E7B">
        <w:t xml:space="preserve"> and thiopurines </w:t>
      </w:r>
      <w:r w:rsidRPr="009A0E7B">
        <w:t>or steroids).</w:t>
      </w:r>
    </w:p>
    <w:p w14:paraId="5D6CDF67" w14:textId="6A18C5C8" w:rsidR="00AC64C4" w:rsidRPr="003C6242" w:rsidRDefault="00FA6D3A" w:rsidP="00AC64C4">
      <w:pPr>
        <w:pStyle w:val="3-BodyText"/>
      </w:pPr>
      <w:r w:rsidRPr="003C6242">
        <w:t xml:space="preserve">Listing was requested </w:t>
      </w:r>
      <w:proofErr w:type="gramStart"/>
      <w:r w:rsidRPr="003C6242">
        <w:t>on the basis of</w:t>
      </w:r>
      <w:proofErr w:type="gramEnd"/>
      <w:r w:rsidRPr="003C6242">
        <w:t xml:space="preserve"> a cost-minimisation a</w:t>
      </w:r>
      <w:r w:rsidR="00AD356F" w:rsidRPr="003C6242">
        <w:t>pproach</w:t>
      </w:r>
      <w:r w:rsidR="009D3811" w:rsidRPr="003C6242">
        <w:t xml:space="preserve"> (CMA)</w:t>
      </w:r>
      <w:r w:rsidRPr="003C6242">
        <w:t xml:space="preserve"> versus</w:t>
      </w:r>
      <w:r w:rsidR="00710AC6" w:rsidRPr="003C6242">
        <w:t xml:space="preserve"> intravenous</w:t>
      </w:r>
      <w:r w:rsidRPr="003C6242">
        <w:t xml:space="preserve"> infliximab (IFX</w:t>
      </w:r>
      <w:r w:rsidR="00710AC6" w:rsidRPr="003C6242">
        <w:t xml:space="preserve"> IV</w:t>
      </w:r>
      <w:r w:rsidRPr="003C6242">
        <w:t>)</w:t>
      </w:r>
      <w:r w:rsidR="00D16529" w:rsidRPr="003C6242">
        <w:t xml:space="preserve"> as the primary comparator, and vedolizumab (VED), adalimumab (ADA), golimumab (GOL) and tofacitinib (TOF) as secondary comparators</w:t>
      </w:r>
      <w:r w:rsidRPr="003C6242">
        <w:t xml:space="preserve">. The key components of the clinical issue addressed by the submission are summarised </w:t>
      </w:r>
      <w:r w:rsidR="00D70B3A" w:rsidRPr="003C6242">
        <w:t>in Table 1</w:t>
      </w:r>
      <w:r w:rsidRPr="003C6242">
        <w:t>.</w:t>
      </w:r>
      <w:r w:rsidRPr="003C6242">
        <w:rPr>
          <w:color w:val="0066FF"/>
        </w:rPr>
        <w:t xml:space="preserve"> </w:t>
      </w:r>
    </w:p>
    <w:p w14:paraId="7CEA3B4E" w14:textId="1A9D75B8" w:rsidR="00FA6D3A" w:rsidRPr="009A0E7B" w:rsidRDefault="00FA6D3A" w:rsidP="00DE34ED">
      <w:pPr>
        <w:pStyle w:val="TableFigureHeading"/>
        <w:rPr>
          <w:rStyle w:val="CommentReference"/>
          <w:b/>
          <w:szCs w:val="24"/>
        </w:rPr>
      </w:pPr>
      <w:r w:rsidRPr="009A0E7B">
        <w:lastRenderedPageBreak/>
        <w:t xml:space="preserve">Table </w:t>
      </w:r>
      <w:fldSimple w:instr=" SEQ Table \* ARABIC ">
        <w:r w:rsidR="00931536">
          <w:rPr>
            <w:noProof/>
          </w:rPr>
          <w:t>1</w:t>
        </w:r>
      </w:fldSimple>
      <w:r w:rsidRPr="009A0E7B">
        <w:t>:</w:t>
      </w:r>
      <w:r w:rsidRPr="009A0E7B">
        <w:rPr>
          <w:rStyle w:val="CommentReference"/>
          <w:b/>
          <w:szCs w:val="24"/>
        </w:rPr>
        <w:t xml:space="preserve"> Key components of the clinical issue addressed by the submission</w:t>
      </w:r>
    </w:p>
    <w:tbl>
      <w:tblPr>
        <w:tblStyle w:val="TableGrid"/>
        <w:tblW w:w="0" w:type="auto"/>
        <w:shd w:val="clear" w:color="auto" w:fill="FFFFFF" w:themeFill="background1"/>
        <w:tblLook w:val="04A0" w:firstRow="1" w:lastRow="0" w:firstColumn="1" w:lastColumn="0" w:noHBand="0" w:noVBand="1"/>
      </w:tblPr>
      <w:tblGrid>
        <w:gridCol w:w="1129"/>
        <w:gridCol w:w="7888"/>
      </w:tblGrid>
      <w:tr w:rsidR="00FA6D3A" w:rsidRPr="009A0E7B" w14:paraId="475747A0" w14:textId="77777777" w:rsidTr="00B34F9E">
        <w:tc>
          <w:tcPr>
            <w:tcW w:w="1129" w:type="dxa"/>
            <w:shd w:val="clear" w:color="auto" w:fill="FFFFFF" w:themeFill="background1"/>
          </w:tcPr>
          <w:p w14:paraId="40F21E7D" w14:textId="77777777" w:rsidR="00FA6D3A" w:rsidRPr="009A0E7B" w:rsidRDefault="00FA6D3A" w:rsidP="00DE34ED">
            <w:pPr>
              <w:pStyle w:val="Tabletext"/>
              <w:keepNext/>
              <w:rPr>
                <w:b/>
              </w:rPr>
            </w:pPr>
            <w:r w:rsidRPr="009A0E7B">
              <w:rPr>
                <w:b/>
              </w:rPr>
              <w:t>Component</w:t>
            </w:r>
          </w:p>
        </w:tc>
        <w:tc>
          <w:tcPr>
            <w:tcW w:w="7888" w:type="dxa"/>
            <w:shd w:val="clear" w:color="auto" w:fill="FFFFFF" w:themeFill="background1"/>
          </w:tcPr>
          <w:p w14:paraId="238884B1" w14:textId="77777777" w:rsidR="00FA6D3A" w:rsidRPr="009A0E7B" w:rsidRDefault="00FA6D3A" w:rsidP="00DE34ED">
            <w:pPr>
              <w:pStyle w:val="Tabletext"/>
              <w:keepNext/>
              <w:rPr>
                <w:b/>
              </w:rPr>
            </w:pPr>
            <w:r w:rsidRPr="009A0E7B">
              <w:rPr>
                <w:b/>
              </w:rPr>
              <w:t>Description</w:t>
            </w:r>
          </w:p>
        </w:tc>
      </w:tr>
      <w:tr w:rsidR="00FA6D3A" w:rsidRPr="009A0E7B" w14:paraId="5781AE97" w14:textId="77777777" w:rsidTr="00B34F9E">
        <w:tc>
          <w:tcPr>
            <w:tcW w:w="1129" w:type="dxa"/>
            <w:shd w:val="clear" w:color="auto" w:fill="FFFFFF" w:themeFill="background1"/>
          </w:tcPr>
          <w:p w14:paraId="7A63B058" w14:textId="77777777" w:rsidR="00FA6D3A" w:rsidRPr="009A0E7B" w:rsidRDefault="00FA6D3A" w:rsidP="00DE34ED">
            <w:pPr>
              <w:pStyle w:val="Tabletext"/>
              <w:keepNext/>
            </w:pPr>
            <w:r w:rsidRPr="009A0E7B">
              <w:t>Population</w:t>
            </w:r>
          </w:p>
        </w:tc>
        <w:tc>
          <w:tcPr>
            <w:tcW w:w="7888" w:type="dxa"/>
            <w:shd w:val="clear" w:color="auto" w:fill="FFFFFF" w:themeFill="background1"/>
          </w:tcPr>
          <w:p w14:paraId="5D711D66" w14:textId="77777777" w:rsidR="00FA6D3A" w:rsidRPr="009A0E7B" w:rsidRDefault="00FA6D3A" w:rsidP="00DE34ED">
            <w:pPr>
              <w:pStyle w:val="Tabletext"/>
              <w:keepNext/>
            </w:pPr>
            <w:r w:rsidRPr="009A0E7B">
              <w:t>Adult patients with MSUC who have had an inadequate response, lost response, or were intolerant to standard treatment.</w:t>
            </w:r>
          </w:p>
        </w:tc>
      </w:tr>
      <w:tr w:rsidR="00FA6D3A" w:rsidRPr="009A0E7B" w14:paraId="3A7AC660" w14:textId="77777777" w:rsidTr="00B34F9E">
        <w:tc>
          <w:tcPr>
            <w:tcW w:w="1129" w:type="dxa"/>
            <w:shd w:val="clear" w:color="auto" w:fill="FFFFFF" w:themeFill="background1"/>
          </w:tcPr>
          <w:p w14:paraId="2513BD36" w14:textId="77777777" w:rsidR="00FA6D3A" w:rsidRPr="009A0E7B" w:rsidRDefault="00FA6D3A" w:rsidP="00DE34ED">
            <w:pPr>
              <w:pStyle w:val="Tabletext"/>
              <w:keepNext/>
            </w:pPr>
            <w:r w:rsidRPr="009A0E7B">
              <w:t>Intervention</w:t>
            </w:r>
          </w:p>
        </w:tc>
        <w:tc>
          <w:tcPr>
            <w:tcW w:w="7888" w:type="dxa"/>
            <w:shd w:val="clear" w:color="auto" w:fill="FFFFFF" w:themeFill="background1"/>
          </w:tcPr>
          <w:p w14:paraId="014E78BE" w14:textId="77777777" w:rsidR="00FA6D3A" w:rsidRPr="009A0E7B" w:rsidRDefault="00FA6D3A" w:rsidP="00DE34ED">
            <w:pPr>
              <w:pStyle w:val="Tabletext"/>
              <w:keepNext/>
            </w:pPr>
            <w:r w:rsidRPr="009A0E7B">
              <w:t xml:space="preserve">OZA PO 0.92 mg capsule (1 mg OZA HCl) daily after escalation for 7 </w:t>
            </w:r>
            <w:proofErr w:type="spellStart"/>
            <w:r w:rsidRPr="009A0E7B">
              <w:t>days</w:t>
            </w:r>
            <w:r w:rsidRPr="009A0E7B">
              <w:rPr>
                <w:vertAlign w:val="superscript"/>
              </w:rPr>
              <w:t>a</w:t>
            </w:r>
            <w:proofErr w:type="spellEnd"/>
            <w:r w:rsidRPr="009A0E7B">
              <w:t>.</w:t>
            </w:r>
          </w:p>
        </w:tc>
      </w:tr>
      <w:tr w:rsidR="00FA6D3A" w:rsidRPr="009A0E7B" w14:paraId="4F11984C" w14:textId="77777777" w:rsidTr="00B34F9E">
        <w:tc>
          <w:tcPr>
            <w:tcW w:w="1129" w:type="dxa"/>
            <w:shd w:val="clear" w:color="auto" w:fill="FFFFFF" w:themeFill="background1"/>
          </w:tcPr>
          <w:p w14:paraId="131910F1" w14:textId="77777777" w:rsidR="00FA6D3A" w:rsidRPr="009A0E7B" w:rsidRDefault="00FA6D3A" w:rsidP="00DE34ED">
            <w:pPr>
              <w:pStyle w:val="Tabletext"/>
              <w:keepNext/>
            </w:pPr>
            <w:r w:rsidRPr="009A0E7B">
              <w:t>Comparator</w:t>
            </w:r>
          </w:p>
        </w:tc>
        <w:tc>
          <w:tcPr>
            <w:tcW w:w="7888" w:type="dxa"/>
            <w:shd w:val="clear" w:color="auto" w:fill="FFFFFF" w:themeFill="background1"/>
          </w:tcPr>
          <w:p w14:paraId="43ABB81B" w14:textId="77777777" w:rsidR="00FA6D3A" w:rsidRPr="009A0E7B" w:rsidRDefault="00FA6D3A" w:rsidP="00DE34ED">
            <w:pPr>
              <w:pStyle w:val="Tabletext"/>
              <w:keepNext/>
            </w:pPr>
            <w:r w:rsidRPr="009A0E7B">
              <w:t xml:space="preserve">Primary comparator: </w:t>
            </w:r>
          </w:p>
          <w:p w14:paraId="2DC2B362" w14:textId="77777777" w:rsidR="00FA6D3A" w:rsidRPr="009A0E7B" w:rsidRDefault="00FA6D3A" w:rsidP="009573AD">
            <w:pPr>
              <w:pStyle w:val="Tabletext"/>
              <w:keepNext/>
              <w:numPr>
                <w:ilvl w:val="0"/>
                <w:numId w:val="6"/>
              </w:numPr>
              <w:ind w:left="628"/>
            </w:pPr>
            <w:r w:rsidRPr="009A0E7B">
              <w:t>IFX IV infusion, 5 mg/kg at 0, 2 and 6 weeks then Q8W thereafter.</w:t>
            </w:r>
          </w:p>
          <w:p w14:paraId="21688CB2" w14:textId="77777777" w:rsidR="00FA6D3A" w:rsidRPr="009A0E7B" w:rsidRDefault="00FA6D3A" w:rsidP="00DE34ED">
            <w:pPr>
              <w:pStyle w:val="Tabletext"/>
              <w:keepNext/>
            </w:pPr>
            <w:r w:rsidRPr="009A0E7B">
              <w:t>Secondary comparators:</w:t>
            </w:r>
          </w:p>
          <w:p w14:paraId="42EA5730" w14:textId="77777777" w:rsidR="00FA6D3A" w:rsidRPr="009A0E7B" w:rsidRDefault="00FA6D3A" w:rsidP="009573AD">
            <w:pPr>
              <w:pStyle w:val="Tabletext"/>
              <w:keepNext/>
              <w:numPr>
                <w:ilvl w:val="0"/>
                <w:numId w:val="6"/>
              </w:numPr>
              <w:ind w:left="628"/>
            </w:pPr>
            <w:r w:rsidRPr="009A0E7B">
              <w:t>VED IV infusion, 300 mg at Weeks 0, 2 and then Q8W thereafter.</w:t>
            </w:r>
          </w:p>
          <w:p w14:paraId="331FB410" w14:textId="77777777" w:rsidR="00FA6D3A" w:rsidRPr="009A0E7B" w:rsidRDefault="00FA6D3A" w:rsidP="009573AD">
            <w:pPr>
              <w:pStyle w:val="Tabletext"/>
              <w:keepNext/>
              <w:numPr>
                <w:ilvl w:val="0"/>
                <w:numId w:val="6"/>
              </w:numPr>
              <w:ind w:left="628"/>
            </w:pPr>
            <w:r w:rsidRPr="009A0E7B">
              <w:t>ADA SC injection, 160 mg at Week 0, 80 mg at Week 2 then 40 mg Q2W thereafter.</w:t>
            </w:r>
          </w:p>
          <w:p w14:paraId="624BABAB" w14:textId="77777777" w:rsidR="00FA6D3A" w:rsidRPr="009A0E7B" w:rsidRDefault="00FA6D3A" w:rsidP="009573AD">
            <w:pPr>
              <w:pStyle w:val="Tabletext"/>
              <w:keepNext/>
              <w:numPr>
                <w:ilvl w:val="0"/>
                <w:numId w:val="6"/>
              </w:numPr>
              <w:ind w:left="628"/>
            </w:pPr>
            <w:r w:rsidRPr="009A0E7B">
              <w:t>GOL SC injection, 200 mg at Week 0, 100 mg at Week 2, then 100 mg Q4W thereafter.</w:t>
            </w:r>
          </w:p>
          <w:p w14:paraId="0C05A181" w14:textId="4AF278B3" w:rsidR="00FA6D3A" w:rsidRPr="009A0E7B" w:rsidRDefault="00FA6D3A" w:rsidP="009573AD">
            <w:pPr>
              <w:pStyle w:val="Tabletext"/>
              <w:keepNext/>
              <w:numPr>
                <w:ilvl w:val="0"/>
                <w:numId w:val="6"/>
              </w:numPr>
              <w:ind w:left="628"/>
            </w:pPr>
            <w:r w:rsidRPr="009A0E7B">
              <w:t>T</w:t>
            </w:r>
            <w:r w:rsidR="00BC7789" w:rsidRPr="009A0E7B">
              <w:t>OF</w:t>
            </w:r>
            <w:r w:rsidRPr="009A0E7B">
              <w:t xml:space="preserve"> 10 mg BD for at least 8 weeks for induction and then 5 mg BD (for maintenance)</w:t>
            </w:r>
          </w:p>
        </w:tc>
      </w:tr>
      <w:tr w:rsidR="00FA6D3A" w:rsidRPr="009A0E7B" w14:paraId="103F3DA9" w14:textId="77777777" w:rsidTr="00B34F9E">
        <w:tc>
          <w:tcPr>
            <w:tcW w:w="1129" w:type="dxa"/>
            <w:shd w:val="clear" w:color="auto" w:fill="FFFFFF" w:themeFill="background1"/>
          </w:tcPr>
          <w:p w14:paraId="710C6B8E" w14:textId="77777777" w:rsidR="00FA6D3A" w:rsidRPr="009A0E7B" w:rsidRDefault="00FA6D3A" w:rsidP="00DE34ED">
            <w:pPr>
              <w:pStyle w:val="Tabletext"/>
              <w:keepNext/>
            </w:pPr>
            <w:proofErr w:type="spellStart"/>
            <w:r w:rsidRPr="009A0E7B">
              <w:t>Outcomes</w:t>
            </w:r>
            <w:r w:rsidRPr="009A0E7B">
              <w:rPr>
                <w:vertAlign w:val="superscript"/>
              </w:rPr>
              <w:t>b</w:t>
            </w:r>
            <w:proofErr w:type="spellEnd"/>
          </w:p>
        </w:tc>
        <w:tc>
          <w:tcPr>
            <w:tcW w:w="7888" w:type="dxa"/>
            <w:shd w:val="clear" w:color="auto" w:fill="FFFFFF" w:themeFill="background1"/>
          </w:tcPr>
          <w:p w14:paraId="04871F86" w14:textId="77777777" w:rsidR="00FA6D3A" w:rsidRPr="009A0E7B" w:rsidRDefault="00FA6D3A" w:rsidP="00DE34ED">
            <w:pPr>
              <w:pStyle w:val="Tabletext"/>
              <w:keepNext/>
            </w:pPr>
            <w:r w:rsidRPr="009A0E7B">
              <w:t>Indirect comparison of OZA and comparators for induction and maintenance therapy accounting for differences in trial design:</w:t>
            </w:r>
          </w:p>
          <w:p w14:paraId="4ED111C0" w14:textId="77777777" w:rsidR="00FA6D3A" w:rsidRPr="009A0E7B" w:rsidRDefault="00FA6D3A" w:rsidP="009573AD">
            <w:pPr>
              <w:pStyle w:val="Tabletext"/>
              <w:keepNext/>
              <w:numPr>
                <w:ilvl w:val="0"/>
                <w:numId w:val="6"/>
              </w:numPr>
              <w:ind w:left="628"/>
            </w:pPr>
            <w:r w:rsidRPr="009A0E7B">
              <w:t>Clinical response</w:t>
            </w:r>
          </w:p>
          <w:p w14:paraId="45A2C3D3" w14:textId="77777777" w:rsidR="00FA6D3A" w:rsidRPr="009A0E7B" w:rsidRDefault="00FA6D3A" w:rsidP="009573AD">
            <w:pPr>
              <w:pStyle w:val="Tabletext"/>
              <w:keepNext/>
              <w:numPr>
                <w:ilvl w:val="0"/>
                <w:numId w:val="6"/>
              </w:numPr>
              <w:ind w:left="628"/>
            </w:pPr>
            <w:r w:rsidRPr="009A0E7B">
              <w:t>Clinical remission</w:t>
            </w:r>
          </w:p>
        </w:tc>
      </w:tr>
      <w:tr w:rsidR="00FA6D3A" w:rsidRPr="009A0E7B" w14:paraId="4B5D3AEF" w14:textId="77777777" w:rsidTr="00B34F9E">
        <w:tc>
          <w:tcPr>
            <w:tcW w:w="1129" w:type="dxa"/>
            <w:shd w:val="clear" w:color="auto" w:fill="FFFFFF" w:themeFill="background1"/>
          </w:tcPr>
          <w:p w14:paraId="652D4539" w14:textId="77777777" w:rsidR="00FA6D3A" w:rsidRPr="009A0E7B" w:rsidRDefault="00FA6D3A" w:rsidP="00DE34ED">
            <w:pPr>
              <w:pStyle w:val="Tabletext"/>
              <w:keepNext/>
            </w:pPr>
            <w:r w:rsidRPr="009A0E7B">
              <w:t>Clinical claim</w:t>
            </w:r>
          </w:p>
        </w:tc>
        <w:tc>
          <w:tcPr>
            <w:tcW w:w="7888" w:type="dxa"/>
            <w:shd w:val="clear" w:color="auto" w:fill="FFFFFF" w:themeFill="background1"/>
          </w:tcPr>
          <w:p w14:paraId="14C58AD4" w14:textId="77777777" w:rsidR="00FA6D3A" w:rsidRPr="009A0E7B" w:rsidRDefault="00FA6D3A" w:rsidP="00DE34ED">
            <w:pPr>
              <w:pStyle w:val="Tabletext"/>
              <w:keepNext/>
            </w:pPr>
            <w:r w:rsidRPr="009A0E7B">
              <w:t xml:space="preserve">Primary comparator: </w:t>
            </w:r>
          </w:p>
          <w:p w14:paraId="796BA8CD" w14:textId="77777777" w:rsidR="00FA6D3A" w:rsidRPr="009A0E7B" w:rsidRDefault="00FA6D3A" w:rsidP="009573AD">
            <w:pPr>
              <w:pStyle w:val="Tabletext"/>
              <w:keepNext/>
              <w:numPr>
                <w:ilvl w:val="0"/>
                <w:numId w:val="6"/>
              </w:numPr>
              <w:ind w:left="628"/>
            </w:pPr>
            <w:r w:rsidRPr="009A0E7B">
              <w:t>OZA is non-inferior in terms of efficacy and safety to IFX.</w:t>
            </w:r>
          </w:p>
          <w:p w14:paraId="3237ACBF" w14:textId="77777777" w:rsidR="00FA6D3A" w:rsidRPr="009A0E7B" w:rsidRDefault="00FA6D3A" w:rsidP="00DE34ED">
            <w:pPr>
              <w:pStyle w:val="Tabletext"/>
              <w:keepNext/>
            </w:pPr>
            <w:r w:rsidRPr="009A0E7B">
              <w:t xml:space="preserve">Secondary comparators: </w:t>
            </w:r>
          </w:p>
          <w:p w14:paraId="1CEAE0FF" w14:textId="1F3987A9" w:rsidR="00FA6D3A" w:rsidRPr="009A0E7B" w:rsidRDefault="00FA6D3A" w:rsidP="009573AD">
            <w:pPr>
              <w:pStyle w:val="Tabletext"/>
              <w:keepNext/>
              <w:numPr>
                <w:ilvl w:val="0"/>
                <w:numId w:val="6"/>
              </w:numPr>
              <w:ind w:left="628"/>
            </w:pPr>
            <w:r w:rsidRPr="009A0E7B">
              <w:t>OZA is non-inferior in terms of efficacy</w:t>
            </w:r>
            <w:r w:rsidR="00BC7789" w:rsidRPr="009A0E7B">
              <w:t xml:space="preserve"> to VED, ADA, GOL and TOF</w:t>
            </w:r>
            <w:r w:rsidRPr="009A0E7B">
              <w:t>.</w:t>
            </w:r>
          </w:p>
          <w:p w14:paraId="79C666A8" w14:textId="5477A99A" w:rsidR="00FA6D3A" w:rsidRPr="009A0E7B" w:rsidRDefault="00FA6D3A" w:rsidP="009573AD">
            <w:pPr>
              <w:pStyle w:val="Tabletext"/>
              <w:keepNext/>
              <w:numPr>
                <w:ilvl w:val="0"/>
                <w:numId w:val="6"/>
              </w:numPr>
              <w:ind w:left="628"/>
            </w:pPr>
            <w:r w:rsidRPr="009A0E7B">
              <w:t>OZA is non-inferior in terms of comparative safety, with a trend towards more favourable safety compared to VED, ADA, GOL</w:t>
            </w:r>
            <w:r w:rsidR="00BC7789" w:rsidRPr="009A0E7B">
              <w:t xml:space="preserve"> and TOF</w:t>
            </w:r>
            <w:r w:rsidRPr="009A0E7B">
              <w:t>.</w:t>
            </w:r>
          </w:p>
        </w:tc>
      </w:tr>
    </w:tbl>
    <w:p w14:paraId="52AABF0F" w14:textId="77777777" w:rsidR="00FA6D3A" w:rsidRPr="009A0E7B" w:rsidRDefault="00FA6D3A" w:rsidP="00DE34ED">
      <w:pPr>
        <w:pStyle w:val="TableFigureFooter"/>
        <w:keepNext/>
      </w:pPr>
      <w:r w:rsidRPr="009A0E7B">
        <w:t xml:space="preserve">Source: Table 1, p19 of the submission. </w:t>
      </w:r>
    </w:p>
    <w:p w14:paraId="7B70934A" w14:textId="77777777" w:rsidR="00FA6D3A" w:rsidRPr="009A0E7B" w:rsidRDefault="00FA6D3A" w:rsidP="00DE34ED">
      <w:pPr>
        <w:pStyle w:val="TableFigureFooter"/>
        <w:keepNext/>
      </w:pPr>
      <w:r w:rsidRPr="009A0E7B">
        <w:t>ADA = adalimumab; BD = twice daily; GOL = golimumab; HCl = hydrochloride; IFX = infliximab; IV = intravenous; MSUC = moderate to severe ulcerative colitis; OZA = ozanimod; PO = oral; Q2W = every 2 weeks; Q4W = every 4 weeks; Q8W = every 8 weeks; SC = subcutaneous; TOF = tofacitinib; VED = vedolizumab</w:t>
      </w:r>
    </w:p>
    <w:p w14:paraId="28CF6CDA" w14:textId="77777777" w:rsidR="00FA6D3A" w:rsidRPr="009A0E7B" w:rsidRDefault="00FA6D3A" w:rsidP="00DE34ED">
      <w:pPr>
        <w:pStyle w:val="TableFigureFooter"/>
        <w:keepNext/>
      </w:pPr>
      <w:r w:rsidRPr="009A0E7B">
        <w:rPr>
          <w:vertAlign w:val="superscript"/>
        </w:rPr>
        <w:t xml:space="preserve">a </w:t>
      </w:r>
      <w:r w:rsidRPr="009A0E7B">
        <w:t xml:space="preserve">0.23 mg capsule (0.25 mg OZA HCl) daily in Days 1-4, then 0.46 mg capsule (0.50 mg OZA HCl) daily in Days 5-7. </w:t>
      </w:r>
    </w:p>
    <w:p w14:paraId="388FC17C" w14:textId="77777777" w:rsidR="00FA6D3A" w:rsidRPr="009A0E7B" w:rsidRDefault="00FA6D3A" w:rsidP="00DE34ED">
      <w:pPr>
        <w:pStyle w:val="TableFigureFooter"/>
        <w:keepNext/>
      </w:pPr>
      <w:r w:rsidRPr="009A0E7B">
        <w:rPr>
          <w:vertAlign w:val="superscript"/>
        </w:rPr>
        <w:t xml:space="preserve">b </w:t>
      </w:r>
      <w:r w:rsidRPr="009A0E7B">
        <w:t xml:space="preserve">No </w:t>
      </w:r>
      <w:proofErr w:type="gramStart"/>
      <w:r w:rsidRPr="009A0E7B">
        <w:t>common-reference</w:t>
      </w:r>
      <w:proofErr w:type="gramEnd"/>
      <w:r w:rsidRPr="009A0E7B">
        <w:t xml:space="preserve"> based indirect comparison of safety outcomes was performed for OZA versus its primary and secondary comparators. </w:t>
      </w:r>
    </w:p>
    <w:p w14:paraId="7DFE8729" w14:textId="77777777" w:rsidR="00FA6D3A" w:rsidRPr="009A0E7B" w:rsidRDefault="00FA6D3A" w:rsidP="00FA6D3A">
      <w:pPr>
        <w:pStyle w:val="TableFigureFooter"/>
      </w:pPr>
    </w:p>
    <w:p w14:paraId="28943D49" w14:textId="77777777" w:rsidR="00FA6D3A" w:rsidRPr="009A0E7B" w:rsidRDefault="00FA6D3A" w:rsidP="00FA6D3A">
      <w:pPr>
        <w:pStyle w:val="2-SectionHeading"/>
      </w:pPr>
      <w:bookmarkStart w:id="4" w:name="_Toc22898845"/>
      <w:bookmarkStart w:id="5" w:name="_Toc93489230"/>
      <w:r w:rsidRPr="009A0E7B">
        <w:t>Background</w:t>
      </w:r>
      <w:bookmarkEnd w:id="4"/>
      <w:bookmarkEnd w:id="5"/>
    </w:p>
    <w:p w14:paraId="59FFEA11" w14:textId="77777777" w:rsidR="00FA6D3A" w:rsidRPr="009A0E7B" w:rsidRDefault="00FA6D3A" w:rsidP="00FA6D3A">
      <w:pPr>
        <w:pStyle w:val="4-SubsectionHeading"/>
      </w:pPr>
      <w:bookmarkStart w:id="6" w:name="_Toc22897638"/>
      <w:bookmarkStart w:id="7" w:name="_Toc22898846"/>
      <w:bookmarkStart w:id="8" w:name="_Toc93489231"/>
      <w:r w:rsidRPr="009A0E7B">
        <w:t>Registration status</w:t>
      </w:r>
      <w:bookmarkEnd w:id="6"/>
      <w:bookmarkEnd w:id="7"/>
      <w:bookmarkEnd w:id="8"/>
    </w:p>
    <w:p w14:paraId="49C37221" w14:textId="343769A3" w:rsidR="00FA6D3A" w:rsidRPr="009A0E7B" w:rsidRDefault="00096829" w:rsidP="00FA6D3A">
      <w:pPr>
        <w:pStyle w:val="3-BodyText"/>
      </w:pPr>
      <w:r w:rsidRPr="002C0563">
        <w:rPr>
          <w:rFonts w:ascii="Calibri" w:eastAsia="Calibri" w:hAnsi="Calibri"/>
          <w:bCs/>
          <w:iCs/>
          <w:szCs w:val="22"/>
        </w:rPr>
        <w:t xml:space="preserve">TGA status at time of </w:t>
      </w:r>
      <w:r w:rsidR="002C0563" w:rsidRPr="002C0563">
        <w:rPr>
          <w:rFonts w:ascii="Calibri" w:eastAsia="Calibri" w:hAnsi="Calibri"/>
          <w:bCs/>
          <w:iCs/>
          <w:szCs w:val="22"/>
        </w:rPr>
        <w:t>PBAC consideration</w:t>
      </w:r>
      <w:r w:rsidRPr="002C0563">
        <w:rPr>
          <w:rFonts w:ascii="Calibri" w:eastAsia="Calibri" w:hAnsi="Calibri"/>
          <w:bCs/>
          <w:iCs/>
          <w:szCs w:val="22"/>
        </w:rPr>
        <w:t>:</w:t>
      </w:r>
      <w:r w:rsidRPr="002C0563">
        <w:rPr>
          <w:rFonts w:ascii="Calibri" w:eastAsia="Calibri" w:hAnsi="Calibri"/>
          <w:iCs/>
          <w:szCs w:val="22"/>
        </w:rPr>
        <w:t xml:space="preserve"> </w:t>
      </w:r>
      <w:r w:rsidR="00C961CA" w:rsidRPr="002C0563">
        <w:rPr>
          <w:rFonts w:ascii="Calibri" w:eastAsia="Calibri" w:hAnsi="Calibri"/>
          <w:iCs/>
          <w:szCs w:val="22"/>
        </w:rPr>
        <w:t>not registered.</w:t>
      </w:r>
      <w:r w:rsidR="00C961CA" w:rsidRPr="009A0E7B">
        <w:rPr>
          <w:rFonts w:ascii="Calibri" w:eastAsia="Calibri" w:hAnsi="Calibri"/>
          <w:szCs w:val="22"/>
        </w:rPr>
        <w:t xml:space="preserve"> </w:t>
      </w:r>
      <w:r w:rsidR="00FA6D3A" w:rsidRPr="009A0E7B">
        <w:t>The submission was made under the TGA/PBAC Parallel Process.</w:t>
      </w:r>
      <w:r w:rsidR="00D16529" w:rsidRPr="009A0E7B">
        <w:t xml:space="preserve"> The TGA application requested an extension of the indication to MSUC.</w:t>
      </w:r>
      <w:r w:rsidR="00FA6D3A" w:rsidRPr="009A0E7B">
        <w:t xml:space="preserve"> The proposed TGA indication</w:t>
      </w:r>
      <w:r w:rsidR="00D16529" w:rsidRPr="009A0E7B">
        <w:t xml:space="preserve"> in the draft Product Information (PI)</w:t>
      </w:r>
      <w:r w:rsidR="00FA6D3A" w:rsidRPr="009A0E7B">
        <w:t xml:space="preserve"> </w:t>
      </w:r>
      <w:r w:rsidR="00290AA7">
        <w:t>was</w:t>
      </w:r>
      <w:r w:rsidR="00FA6D3A" w:rsidRPr="009A0E7B">
        <w:t>:</w:t>
      </w:r>
    </w:p>
    <w:p w14:paraId="69FE41AA" w14:textId="4CDC66A9" w:rsidR="00FA6D3A" w:rsidRPr="009A0E7B" w:rsidRDefault="00FA6D3A" w:rsidP="00FA6D3A">
      <w:pPr>
        <w:pStyle w:val="3-BodyText"/>
        <w:numPr>
          <w:ilvl w:val="0"/>
          <w:numId w:val="0"/>
        </w:numPr>
        <w:ind w:left="1134"/>
      </w:pPr>
      <w:r w:rsidRPr="009A0E7B">
        <w:t>ZEPOSIA is indicated for the treatment of adult patients with moderately to severely active ulcerative colitis.</w:t>
      </w:r>
    </w:p>
    <w:p w14:paraId="019A8E1D" w14:textId="2893E7C9" w:rsidR="00543386" w:rsidRPr="009A0E7B" w:rsidRDefault="00D16529" w:rsidP="00DF3FC6">
      <w:pPr>
        <w:pStyle w:val="3-BodyText"/>
      </w:pPr>
      <w:r w:rsidRPr="009A0E7B">
        <w:t xml:space="preserve">At the time of PBAC consideration, </w:t>
      </w:r>
      <w:r w:rsidR="001E6103" w:rsidRPr="009A0E7B">
        <w:t>t</w:t>
      </w:r>
      <w:r w:rsidRPr="009A0E7B">
        <w:t>he Delegate’s Overview</w:t>
      </w:r>
      <w:r w:rsidR="001E6103" w:rsidRPr="009A0E7B">
        <w:t xml:space="preserve"> was available. The Delegate requested advice from the Advisory Committee on Medicines (ACM)</w:t>
      </w:r>
      <w:r w:rsidR="00775A67" w:rsidRPr="009A0E7B">
        <w:t xml:space="preserve"> </w:t>
      </w:r>
      <w:r w:rsidR="00775A67" w:rsidRPr="002C0563">
        <w:rPr>
          <w:iCs/>
        </w:rPr>
        <w:t>meeting, which took place on 4</w:t>
      </w:r>
      <w:r w:rsidR="00775A67" w:rsidRPr="009A0E7B">
        <w:t xml:space="preserve"> </w:t>
      </w:r>
      <w:r w:rsidR="001E6103" w:rsidRPr="009A0E7B">
        <w:t>February 2022.</w:t>
      </w:r>
      <w:r w:rsidR="00DF3FC6">
        <w:t xml:space="preserve"> </w:t>
      </w:r>
      <w:r w:rsidR="00290AA7">
        <w:t>The Delegate and the ACM were</w:t>
      </w:r>
      <w:r w:rsidR="00497FB9">
        <w:t xml:space="preserve"> su</w:t>
      </w:r>
      <w:r w:rsidR="00DF3FC6">
        <w:t>pportive of the indication below</w:t>
      </w:r>
      <w:r w:rsidR="00EC4FC4">
        <w:t>.</w:t>
      </w:r>
    </w:p>
    <w:p w14:paraId="7C87CA7E" w14:textId="4D2FE548" w:rsidR="00BC7789" w:rsidRPr="009A0E7B" w:rsidRDefault="009576B5" w:rsidP="00543386">
      <w:pPr>
        <w:pStyle w:val="3-BodyText"/>
        <w:numPr>
          <w:ilvl w:val="0"/>
          <w:numId w:val="0"/>
        </w:numPr>
        <w:ind w:left="1134"/>
      </w:pPr>
      <w:r>
        <w:t>ZEPOSIA</w:t>
      </w:r>
      <w:r w:rsidR="00EC4FC4">
        <w:t xml:space="preserve"> is indicated f</w:t>
      </w:r>
      <w:r w:rsidR="00543386" w:rsidRPr="009A0E7B">
        <w:t>or the treatment of adult patients with moderately to severely active ulcerative colitis who have had an inadequate response, lost response, or were intolerant to either conventional therapy or a biological therapy.</w:t>
      </w:r>
      <w:r w:rsidR="00BC7789" w:rsidRPr="009A0E7B">
        <w:t xml:space="preserve"> </w:t>
      </w:r>
    </w:p>
    <w:p w14:paraId="32139FD4" w14:textId="6BC829E7" w:rsidR="00543386" w:rsidRPr="009A0E7B" w:rsidRDefault="00FA6D3A" w:rsidP="00231E87">
      <w:pPr>
        <w:pStyle w:val="3-BodyText"/>
      </w:pPr>
      <w:r w:rsidRPr="009A0E7B">
        <w:lastRenderedPageBreak/>
        <w:t>Currently, the approved TGA indication for OZA is for the treatment of adult patients with relapsing forms of multiple sclerosis.</w:t>
      </w:r>
    </w:p>
    <w:p w14:paraId="07193E39" w14:textId="77777777" w:rsidR="001E6103" w:rsidRPr="009A0E7B" w:rsidRDefault="001E6103" w:rsidP="001E6103">
      <w:pPr>
        <w:pStyle w:val="4-SubsectionHeading"/>
      </w:pPr>
      <w:bookmarkStart w:id="9" w:name="_Toc93489232"/>
      <w:r w:rsidRPr="009A0E7B">
        <w:t>Previous PBAC consideration</w:t>
      </w:r>
      <w:bookmarkEnd w:id="9"/>
    </w:p>
    <w:p w14:paraId="5A2A0341" w14:textId="64C03A6E" w:rsidR="00FA6D3A" w:rsidRPr="009A0E7B" w:rsidRDefault="00F11016" w:rsidP="00804330">
      <w:pPr>
        <w:pStyle w:val="3-BodyText"/>
      </w:pPr>
      <w:r w:rsidRPr="009A0E7B">
        <w:t xml:space="preserve">This is the first consideration of </w:t>
      </w:r>
      <w:r w:rsidR="00D2744C" w:rsidRPr="009A0E7B">
        <w:t>OZA</w:t>
      </w:r>
      <w:r w:rsidRPr="009A0E7B">
        <w:t xml:space="preserve"> by the PBAC for this indication. </w:t>
      </w:r>
      <w:r w:rsidR="00D2744C" w:rsidRPr="009A0E7B">
        <w:t>OZA</w:t>
      </w:r>
      <w:r w:rsidRPr="009A0E7B">
        <w:t xml:space="preserve"> is currently listed on the PBS for the treatment of</w:t>
      </w:r>
      <w:r w:rsidR="00804330" w:rsidRPr="009A0E7B">
        <w:t xml:space="preserve"> relapsing remitting</w:t>
      </w:r>
      <w:r w:rsidRPr="009A0E7B">
        <w:t xml:space="preserve"> multiple sclerosis</w:t>
      </w:r>
      <w:r w:rsidR="00141C75">
        <w:t xml:space="preserve"> (RRMS)</w:t>
      </w:r>
      <w:r w:rsidRPr="009A0E7B">
        <w:t>.</w:t>
      </w:r>
    </w:p>
    <w:p w14:paraId="18CBAF0E" w14:textId="2E5D47E4" w:rsidR="00FA6D3A" w:rsidRPr="009A0E7B" w:rsidRDefault="00FA6D3A" w:rsidP="00FA6D3A">
      <w:pPr>
        <w:pStyle w:val="2-SectionHeading"/>
      </w:pPr>
      <w:bookmarkStart w:id="10" w:name="_Toc22898848"/>
      <w:bookmarkStart w:id="11" w:name="_Toc93489233"/>
      <w:r w:rsidRPr="009A0E7B">
        <w:t>Requested listing</w:t>
      </w:r>
      <w:bookmarkEnd w:id="10"/>
      <w:bookmarkEnd w:id="11"/>
    </w:p>
    <w:p w14:paraId="2039BA20" w14:textId="29A14A2C" w:rsidR="00B604A1" w:rsidRDefault="006D09FD" w:rsidP="006D09FD">
      <w:pPr>
        <w:pStyle w:val="3-BodyText"/>
      </w:pPr>
      <w:r>
        <w:rPr>
          <w:rFonts w:cs="Calibri"/>
          <w:bCs/>
          <w:iCs/>
        </w:rPr>
        <w:t xml:space="preserve">The listing requested by the Sponsor has not been presented as it is long and complex.  The requested listing </w:t>
      </w:r>
      <w:r w:rsidRPr="00996A49">
        <w:rPr>
          <w:rFonts w:cs="Calibri"/>
          <w:bCs/>
          <w:iCs/>
        </w:rPr>
        <w:t xml:space="preserve">has been </w:t>
      </w:r>
      <w:r w:rsidR="009D08C1">
        <w:rPr>
          <w:rFonts w:cs="Calibri"/>
          <w:bCs/>
          <w:iCs/>
        </w:rPr>
        <w:t>reviewed</w:t>
      </w:r>
      <w:r w:rsidRPr="00996A49">
        <w:rPr>
          <w:rFonts w:cs="Calibri"/>
          <w:bCs/>
          <w:iCs/>
        </w:rPr>
        <w:t xml:space="preserve"> by the Secretariat according to the usual processes</w:t>
      </w:r>
      <w:r>
        <w:rPr>
          <w:rFonts w:cs="Calibri"/>
          <w:bCs/>
          <w:iCs/>
        </w:rPr>
        <w:t>, and the recommended listing</w:t>
      </w:r>
      <w:r w:rsidR="009D08C1">
        <w:rPr>
          <w:rFonts w:cs="Calibri"/>
          <w:bCs/>
          <w:iCs/>
        </w:rPr>
        <w:t xml:space="preserve"> is presented in Section 8</w:t>
      </w:r>
      <w:r>
        <w:rPr>
          <w:rFonts w:cs="Calibri"/>
          <w:bCs/>
          <w:iCs/>
        </w:rPr>
        <w:t xml:space="preserve">, </w:t>
      </w:r>
      <w:r w:rsidR="009D08C1">
        <w:rPr>
          <w:rFonts w:cs="Calibri"/>
          <w:bCs/>
          <w:iCs/>
        </w:rPr>
        <w:t>incorporating</w:t>
      </w:r>
      <w:r>
        <w:rPr>
          <w:rFonts w:cs="Calibri"/>
          <w:bCs/>
          <w:iCs/>
        </w:rPr>
        <w:t xml:space="preserve"> suggested </w:t>
      </w:r>
      <w:r w:rsidR="009D08C1">
        <w:rPr>
          <w:rFonts w:cs="Calibri"/>
          <w:bCs/>
          <w:iCs/>
        </w:rPr>
        <w:t>amendments from the Secretariat</w:t>
      </w:r>
      <w:r w:rsidRPr="00996A49">
        <w:rPr>
          <w:rFonts w:cs="Calibri"/>
          <w:bCs/>
          <w:iCs/>
        </w:rPr>
        <w:t>.</w:t>
      </w:r>
    </w:p>
    <w:p w14:paraId="775F3F59" w14:textId="12BF6A70" w:rsidR="00FA6D3A" w:rsidRPr="009A0E7B" w:rsidRDefault="00FA6D3A" w:rsidP="00FA6D3A">
      <w:pPr>
        <w:pStyle w:val="3-BodyText"/>
      </w:pPr>
      <w:r w:rsidRPr="009A0E7B">
        <w:t>The cost-minimisation analysis for OZA was based on the price for IFX (</w:t>
      </w:r>
      <w:r w:rsidR="00781078" w:rsidRPr="009A0E7B">
        <w:t xml:space="preserve">there is </w:t>
      </w:r>
      <w:r w:rsidRPr="009A0E7B">
        <w:t>no</w:t>
      </w:r>
      <w:r w:rsidR="00781078" w:rsidRPr="009A0E7B">
        <w:t xml:space="preserve"> </w:t>
      </w:r>
      <w:r w:rsidRPr="009A0E7B">
        <w:t>SPA applied to IFX).</w:t>
      </w:r>
    </w:p>
    <w:p w14:paraId="1C0E3D35" w14:textId="0A067A1F" w:rsidR="00FA6D3A" w:rsidRPr="009A0E7B" w:rsidRDefault="00FA6D3A" w:rsidP="00FA6D3A">
      <w:pPr>
        <w:pStyle w:val="3-BodyText"/>
      </w:pPr>
      <w:r w:rsidRPr="009A0E7B">
        <w:t xml:space="preserve">The submission requested the listing of a dose escalation pack for the first 7 days’ supply (0.23 mg capsule once daily for 4 days followed by 0.46 mg capsule once daily for 3 days) and a 28-day pack for maintenance treatment listing (0.96 mg capsule once daily). OZA for treatment of MSUC requires an assessment of a patient’s response to induction phase of treatment (between 9 and 17 weeks of therapy, as proposed in the submission) to determine whether patients are eligible for OZA maintenance therapy. </w:t>
      </w:r>
    </w:p>
    <w:p w14:paraId="132B2316" w14:textId="0F5C309B" w:rsidR="00FA6D3A" w:rsidRPr="009A0E7B" w:rsidRDefault="00FA6D3A" w:rsidP="00FA6D3A">
      <w:pPr>
        <w:pStyle w:val="3-BodyText"/>
      </w:pPr>
      <w:r w:rsidRPr="009A0E7B">
        <w:t>The proposed OZA restrictions specified that, to be eligible for OZA, patients must have failed to achieve response to</w:t>
      </w:r>
      <w:r w:rsidR="00A55AE2" w:rsidRPr="009A0E7B">
        <w:t xml:space="preserve"> adequate trial </w:t>
      </w:r>
      <w:r w:rsidRPr="009A0E7B">
        <w:t xml:space="preserve">of </w:t>
      </w:r>
      <w:r w:rsidR="00BF041C" w:rsidRPr="009A0E7B">
        <w:t>(</w:t>
      </w:r>
      <w:proofErr w:type="spellStart"/>
      <w:r w:rsidR="00BF041C" w:rsidRPr="009A0E7B">
        <w:t>i</w:t>
      </w:r>
      <w:proofErr w:type="spellEnd"/>
      <w:r w:rsidR="00BF041C" w:rsidRPr="009A0E7B">
        <w:t xml:space="preserve">) </w:t>
      </w:r>
      <w:r w:rsidR="00A55AE2" w:rsidRPr="009A0E7B">
        <w:t>5-aminosalicylates</w:t>
      </w:r>
      <w:r w:rsidR="00343F4C" w:rsidRPr="009A0E7B">
        <w:t xml:space="preserve"> (≥3 months)</w:t>
      </w:r>
      <w:r w:rsidR="00BF041C" w:rsidRPr="009A0E7B">
        <w:t>,</w:t>
      </w:r>
      <w:r w:rsidR="00A55AE2" w:rsidRPr="009A0E7B">
        <w:t xml:space="preserve"> and </w:t>
      </w:r>
      <w:r w:rsidR="00BF041C" w:rsidRPr="009A0E7B">
        <w:t>(ii) </w:t>
      </w:r>
      <w:r w:rsidR="00A55AE2" w:rsidRPr="009A0E7B">
        <w:t>thiopurines</w:t>
      </w:r>
      <w:r w:rsidRPr="009A0E7B">
        <w:t xml:space="preserve"> </w:t>
      </w:r>
      <w:r w:rsidR="00A55AE2" w:rsidRPr="009A0E7B">
        <w:t xml:space="preserve">(≥3 months) </w:t>
      </w:r>
      <w:r w:rsidRPr="009A0E7B">
        <w:t>or steroids</w:t>
      </w:r>
      <w:r w:rsidR="00A55AE2" w:rsidRPr="009A0E7B">
        <w:t xml:space="preserve"> (</w:t>
      </w:r>
      <w:r w:rsidR="00A55AE2" w:rsidRPr="009A0E7B">
        <w:rPr>
          <w:rFonts w:cstheme="minorHAnsi"/>
        </w:rPr>
        <w:t>≥</w:t>
      </w:r>
      <w:r w:rsidR="00A55AE2" w:rsidRPr="009A0E7B">
        <w:t>6 weeks)</w:t>
      </w:r>
      <w:r w:rsidRPr="009A0E7B">
        <w:t xml:space="preserve">. </w:t>
      </w:r>
      <w:r w:rsidR="00395E9C" w:rsidRPr="009A0E7B">
        <w:t xml:space="preserve">The definition of prior treatment failure was stricter in the requested </w:t>
      </w:r>
      <w:r w:rsidR="00395E9C" w:rsidRPr="009A0E7B">
        <w:rPr>
          <w:iCs/>
        </w:rPr>
        <w:t xml:space="preserve">PBS listings </w:t>
      </w:r>
      <w:r w:rsidR="006B16EC" w:rsidRPr="009A0E7B">
        <w:rPr>
          <w:iCs/>
        </w:rPr>
        <w:t xml:space="preserve">compared with that </w:t>
      </w:r>
      <w:r w:rsidR="00395E9C" w:rsidRPr="009A0E7B">
        <w:rPr>
          <w:iCs/>
        </w:rPr>
        <w:t xml:space="preserve">in the OZA </w:t>
      </w:r>
      <w:proofErr w:type="gramStart"/>
      <w:r w:rsidR="00395E9C" w:rsidRPr="009A0E7B">
        <w:rPr>
          <w:iCs/>
        </w:rPr>
        <w:t>trials</w:t>
      </w:r>
      <w:r w:rsidR="005B6A4A" w:rsidRPr="009A0E7B">
        <w:rPr>
          <w:iCs/>
        </w:rPr>
        <w:t>, but</w:t>
      </w:r>
      <w:proofErr w:type="gramEnd"/>
      <w:r w:rsidR="005B6A4A" w:rsidRPr="009A0E7B">
        <w:rPr>
          <w:iCs/>
        </w:rPr>
        <w:t xml:space="preserve"> was consistent with current PBS listings for MSUC</w:t>
      </w:r>
      <w:r w:rsidR="00395E9C" w:rsidRPr="009A0E7B">
        <w:rPr>
          <w:iCs/>
        </w:rPr>
        <w:t xml:space="preserve">. </w:t>
      </w:r>
      <w:proofErr w:type="gramStart"/>
      <w:r w:rsidR="00395E9C" w:rsidRPr="009A0E7B">
        <w:rPr>
          <w:iCs/>
        </w:rPr>
        <w:t>The majority of</w:t>
      </w:r>
      <w:proofErr w:type="gramEnd"/>
      <w:r w:rsidR="00395E9C" w:rsidRPr="009A0E7B">
        <w:rPr>
          <w:iCs/>
        </w:rPr>
        <w:t xml:space="preserve"> patients in</w:t>
      </w:r>
      <w:r w:rsidR="00BF041C" w:rsidRPr="009A0E7B">
        <w:rPr>
          <w:iCs/>
        </w:rPr>
        <w:t xml:space="preserve"> a key OZA trial,</w:t>
      </w:r>
      <w:r w:rsidR="00395E9C" w:rsidRPr="009A0E7B">
        <w:rPr>
          <w:iCs/>
        </w:rPr>
        <w:t xml:space="preserve"> True North</w:t>
      </w:r>
      <w:r w:rsidR="00BF041C" w:rsidRPr="009A0E7B">
        <w:rPr>
          <w:iCs/>
        </w:rPr>
        <w:t>,</w:t>
      </w:r>
      <w:r w:rsidR="00395E9C" w:rsidRPr="009A0E7B">
        <w:rPr>
          <w:iCs/>
        </w:rPr>
        <w:t xml:space="preserve"> had not failed prior corticosteroids, and were naïve to thiopurines. </w:t>
      </w:r>
      <w:r w:rsidR="00395E9C" w:rsidRPr="009A0E7B">
        <w:t xml:space="preserve">In addition, patients with severe extensive colitis were excluded from True </w:t>
      </w:r>
      <w:proofErr w:type="gramStart"/>
      <w:r w:rsidR="00395E9C" w:rsidRPr="009A0E7B">
        <w:t>North, but</w:t>
      </w:r>
      <w:proofErr w:type="gramEnd"/>
      <w:r w:rsidR="00395E9C" w:rsidRPr="009A0E7B">
        <w:t xml:space="preserve"> are eligible for OZA according to the proposed PBS listings.</w:t>
      </w:r>
      <w:r w:rsidR="00A55AE2" w:rsidRPr="009A0E7B">
        <w:t xml:space="preserve"> </w:t>
      </w:r>
    </w:p>
    <w:p w14:paraId="6502619B" w14:textId="2492D541" w:rsidR="004852C4" w:rsidRPr="002C0563" w:rsidRDefault="00E5416E" w:rsidP="00952511">
      <w:pPr>
        <w:pStyle w:val="3-BodyText"/>
      </w:pPr>
      <w:r w:rsidRPr="002C0563">
        <w:t>The Pre-Sub-Committee Response (PSCR) acknowledged the requested PBS restriction is narrower than the inclusion</w:t>
      </w:r>
      <w:r w:rsidR="00C16545" w:rsidRPr="002C0563">
        <w:t xml:space="preserve"> criteria for the True North and Touchstone </w:t>
      </w:r>
      <w:proofErr w:type="gramStart"/>
      <w:r w:rsidR="00C16545" w:rsidRPr="002C0563">
        <w:t>trials</w:t>
      </w:r>
      <w:r w:rsidR="004E1C65" w:rsidRPr="002C0563">
        <w:t>, and</w:t>
      </w:r>
      <w:proofErr w:type="gramEnd"/>
      <w:r w:rsidR="004E1C65" w:rsidRPr="002C0563">
        <w:t xml:space="preserve"> noted that</w:t>
      </w:r>
      <w:r w:rsidR="00C16545" w:rsidRPr="002C0563">
        <w:t xml:space="preserve"> the requested restriction was consistent with the nominated comparators. The PSCR also stated that</w:t>
      </w:r>
      <w:r w:rsidR="008D1B2C" w:rsidRPr="002C0563">
        <w:t xml:space="preserve"> there were additional patients in the trials that were intolerant of earlier-line therapies:</w:t>
      </w:r>
      <w:r w:rsidR="00C16545" w:rsidRPr="002C0563">
        <w:t xml:space="preserve"> in True North, </w:t>
      </w:r>
      <w:proofErr w:type="gramStart"/>
      <w:r w:rsidR="00C16545" w:rsidRPr="002C0563">
        <w:t>the majority of</w:t>
      </w:r>
      <w:proofErr w:type="gramEnd"/>
      <w:r w:rsidR="00C16545" w:rsidRPr="002C0563">
        <w:t xml:space="preserve"> patients had failed or were intolerant to oral 5-ASAs (81-85%) as well as to steroids (57-69%)</w:t>
      </w:r>
      <w:r w:rsidR="008D1B2C" w:rsidRPr="002C0563">
        <w:t>, and</w:t>
      </w:r>
      <w:r w:rsidR="00C16545" w:rsidRPr="002C0563">
        <w:t xml:space="preserve"> 41-48% of patients had failed or were intolerant to immunomodulators. </w:t>
      </w:r>
      <w:r w:rsidR="00C16545" w:rsidRPr="003C6242">
        <w:t xml:space="preserve">However, the ESC noted that even taking this into account, only about half of the trial population had failed or were intolerant to </w:t>
      </w:r>
      <w:proofErr w:type="gramStart"/>
      <w:r w:rsidR="00C16545" w:rsidRPr="003C6242">
        <w:t>immunomodulators</w:t>
      </w:r>
      <w:r w:rsidR="008D1B2C" w:rsidRPr="003C6242">
        <w:t>,</w:t>
      </w:r>
      <w:r w:rsidR="00C16545" w:rsidRPr="003C6242">
        <w:t xml:space="preserve"> and</w:t>
      </w:r>
      <w:proofErr w:type="gramEnd"/>
      <w:r w:rsidR="00C16545" w:rsidRPr="003C6242">
        <w:t xml:space="preserve"> considered the trial population in True North may not be representative of the proposed PBS population.</w:t>
      </w:r>
      <w:r w:rsidR="003C6242">
        <w:t xml:space="preserve"> To investigate these issues, the PSCR and Pre-PBAC Response presented additional subgroup analyses, which are discussed further in Section 6.</w:t>
      </w:r>
    </w:p>
    <w:p w14:paraId="2C6D323F" w14:textId="588569AA" w:rsidR="003A0DE4" w:rsidRPr="00FE4D10" w:rsidRDefault="003A0DE4" w:rsidP="00FE4D10">
      <w:pPr>
        <w:ind w:firstLine="709"/>
        <w:rPr>
          <w:rFonts w:asciiTheme="minorHAnsi" w:hAnsiTheme="minorHAnsi"/>
          <w:i/>
        </w:rPr>
      </w:pPr>
      <w:bookmarkStart w:id="12" w:name="_Hlk76375324"/>
      <w:r w:rsidRPr="00066D88">
        <w:rPr>
          <w:rFonts w:asciiTheme="minorHAnsi" w:hAnsiTheme="minorHAnsi"/>
          <w:i/>
        </w:rPr>
        <w:t>For more detail on PBAC’s view, see section 7 PBAC outcome.</w:t>
      </w:r>
      <w:bookmarkEnd w:id="12"/>
    </w:p>
    <w:p w14:paraId="78EDBD35" w14:textId="77777777" w:rsidR="00FA6D3A" w:rsidRPr="009A0E7B" w:rsidRDefault="00FA6D3A" w:rsidP="00FA6D3A">
      <w:pPr>
        <w:pStyle w:val="2-SectionHeading"/>
      </w:pPr>
      <w:bookmarkStart w:id="13" w:name="_Toc22898849"/>
      <w:bookmarkStart w:id="14" w:name="_Toc93489234"/>
      <w:r w:rsidRPr="009A0E7B">
        <w:lastRenderedPageBreak/>
        <w:t>Population and disease</w:t>
      </w:r>
      <w:bookmarkEnd w:id="13"/>
      <w:bookmarkEnd w:id="14"/>
    </w:p>
    <w:p w14:paraId="53809FA0" w14:textId="77777777" w:rsidR="00FA6D3A" w:rsidRPr="009A0E7B" w:rsidRDefault="00FA6D3A" w:rsidP="00FA6D3A">
      <w:pPr>
        <w:pStyle w:val="3-BodyText"/>
        <w:rPr>
          <w:color w:val="0066FF"/>
        </w:rPr>
      </w:pPr>
      <w:r w:rsidRPr="009A0E7B">
        <w:t>Ulcerative colitis is a life-long chronic relapsing and remitting inflammatory disease that involves ulceration of the mucosa of the colon. Patients with ulcerative colitis most commonly present with bloody diarrhoea, rectal bleeding, tenesmus (sensation of incomplete defecation), urgency, abdominal pain, and passage of mucus. Disease of moderate to severe activity may be associated with systemic symptoms, including fatigue, fever, anorexia, nausea, weight loss, and dehydration. The most serious complications of ulcerative colitis are bowel perforation and colorectal cancer.</w:t>
      </w:r>
    </w:p>
    <w:p w14:paraId="0878A342" w14:textId="6BB8AABA" w:rsidR="00FA6D3A" w:rsidRPr="009A0E7B" w:rsidRDefault="00FA6D3A" w:rsidP="00FA6D3A">
      <w:pPr>
        <w:pStyle w:val="ListParagraph"/>
        <w:numPr>
          <w:ilvl w:val="1"/>
          <w:numId w:val="1"/>
        </w:numPr>
        <w:spacing w:before="120"/>
      </w:pPr>
      <w:r w:rsidRPr="009A0E7B">
        <w:t>OZA is a sphingosine 1-phosphate (S1P receptor) modulator</w:t>
      </w:r>
      <w:r w:rsidRPr="009A0E7B">
        <w:rPr>
          <w:rFonts w:ascii="Calibri" w:eastAsia="TimesNewRoman" w:hAnsi="Calibri"/>
          <w:snapToGrid/>
          <w:shd w:val="clear" w:color="auto" w:fill="FFFFFF"/>
        </w:rPr>
        <w:t xml:space="preserve"> </w:t>
      </w:r>
      <w:r w:rsidRPr="009A0E7B">
        <w:t xml:space="preserve">that binds selectively to S1P1 and S1P5 subtypes. The </w:t>
      </w:r>
      <w:r w:rsidR="00671728" w:rsidRPr="009A0E7B">
        <w:t>mechanism through which OZA exerts its effects in MSUC have not been fully elucidated</w:t>
      </w:r>
      <w:r w:rsidR="00386771" w:rsidRPr="009A0E7B">
        <w:t xml:space="preserve">. The </w:t>
      </w:r>
      <w:r w:rsidRPr="009A0E7B">
        <w:t xml:space="preserve">draft PI </w:t>
      </w:r>
      <w:r w:rsidR="007941A2" w:rsidRPr="005B7C38">
        <w:rPr>
          <w:iCs/>
        </w:rPr>
        <w:t>stated</w:t>
      </w:r>
      <w:r w:rsidRPr="009A0E7B">
        <w:t xml:space="preserve"> that the mechanism by which OZA exerts therapeutic effects in multiple sclerosis and ulcerative colitis is unknown but may involve the reduction of lymphocyte migration into the central nervous system and intestine.</w:t>
      </w:r>
    </w:p>
    <w:p w14:paraId="171BBE32" w14:textId="3999256F" w:rsidR="00FA6D3A" w:rsidRDefault="00FA6D3A" w:rsidP="00FA6D3A">
      <w:pPr>
        <w:pStyle w:val="ListParagraph"/>
        <w:numPr>
          <w:ilvl w:val="1"/>
          <w:numId w:val="1"/>
        </w:numPr>
        <w:spacing w:before="120"/>
        <w:rPr>
          <w:i/>
        </w:rPr>
      </w:pPr>
      <w:r w:rsidRPr="009A0E7B">
        <w:t xml:space="preserve">The submission proposed OZA as an alternative to biological therapy in the treatment of adult patients with MSUC (defined by a Mayo score </w:t>
      </w:r>
      <w:r w:rsidRPr="009A0E7B">
        <w:rPr>
          <w:rFonts w:cs="Calibri"/>
        </w:rPr>
        <w:t>≥</w:t>
      </w:r>
      <w:r w:rsidRPr="009A0E7B">
        <w:t xml:space="preserve">6) who have had an inadequate response </w:t>
      </w:r>
      <w:r w:rsidR="001859C7" w:rsidRPr="009A0E7B">
        <w:t xml:space="preserve">to, </w:t>
      </w:r>
      <w:r w:rsidRPr="009A0E7B">
        <w:t xml:space="preserve">or failure </w:t>
      </w:r>
      <w:r w:rsidR="001859C7" w:rsidRPr="009A0E7B">
        <w:t>of,</w:t>
      </w:r>
      <w:r w:rsidRPr="009A0E7B">
        <w:t xml:space="preserve"> standard medical management. The</w:t>
      </w:r>
      <w:r w:rsidR="00671728" w:rsidRPr="009A0E7B">
        <w:t xml:space="preserve"> submission indicated that the</w:t>
      </w:r>
      <w:r w:rsidRPr="009A0E7B">
        <w:t xml:space="preserve"> addition of OZA to the clinical management algorithm will not alter current </w:t>
      </w:r>
      <w:proofErr w:type="gramStart"/>
      <w:r w:rsidRPr="009A0E7B">
        <w:t>practice, but</w:t>
      </w:r>
      <w:proofErr w:type="gramEnd"/>
      <w:r w:rsidRPr="009A0E7B">
        <w:t xml:space="preserve"> will allow for an additional option with a diffe</w:t>
      </w:r>
      <w:r w:rsidR="00EF1E4B" w:rsidRPr="009A0E7B">
        <w:t xml:space="preserve">rent mechanism of action and </w:t>
      </w:r>
      <w:r w:rsidRPr="009A0E7B">
        <w:t>oral administration.</w:t>
      </w:r>
      <w:r w:rsidRPr="009A0E7B">
        <w:rPr>
          <w:i/>
        </w:rPr>
        <w:t xml:space="preserve"> </w:t>
      </w:r>
    </w:p>
    <w:p w14:paraId="1E5C45E1" w14:textId="77777777" w:rsidR="00FA6D3A" w:rsidRPr="009A0E7B" w:rsidRDefault="00FA6D3A" w:rsidP="00FA6D3A">
      <w:pPr>
        <w:pStyle w:val="2-SectionHeading"/>
      </w:pPr>
      <w:bookmarkStart w:id="15" w:name="_Toc22898850"/>
      <w:bookmarkStart w:id="16" w:name="_Toc93489235"/>
      <w:r w:rsidRPr="009A0E7B">
        <w:t>Comparator</w:t>
      </w:r>
      <w:bookmarkEnd w:id="15"/>
      <w:bookmarkEnd w:id="16"/>
    </w:p>
    <w:p w14:paraId="54F187AD" w14:textId="58C3F78C" w:rsidR="00FA6D3A" w:rsidRPr="009A0E7B" w:rsidRDefault="00FA6D3A" w:rsidP="00FA6D3A">
      <w:pPr>
        <w:pStyle w:val="ListParagraph"/>
        <w:numPr>
          <w:ilvl w:val="1"/>
          <w:numId w:val="1"/>
        </w:numPr>
        <w:spacing w:before="120"/>
      </w:pPr>
      <w:r w:rsidRPr="009A0E7B">
        <w:t>The submission nominated IFX</w:t>
      </w:r>
      <w:r w:rsidR="007941A2" w:rsidRPr="009A0E7B">
        <w:t xml:space="preserve"> IV</w:t>
      </w:r>
      <w:r w:rsidRPr="009A0E7B">
        <w:t xml:space="preserve"> as the primary comparator and the other four disease-m</w:t>
      </w:r>
      <w:r w:rsidR="0080229B">
        <w:t>odifying anti-rheumatic drugs (</w:t>
      </w:r>
      <w:r w:rsidRPr="009A0E7B">
        <w:t xml:space="preserve">DMARDs) listed on the PBS for treatment of MSUC, namely VED, ADA, GOL and </w:t>
      </w:r>
      <w:r w:rsidR="00BC7789" w:rsidRPr="009A0E7B">
        <w:t>TOF</w:t>
      </w:r>
      <w:r w:rsidRPr="009A0E7B">
        <w:t xml:space="preserve">, as secondary comparators. </w:t>
      </w:r>
      <w:r w:rsidR="006A7F93" w:rsidRPr="009A0E7B">
        <w:t xml:space="preserve">Of the secondary comparators, only TOF is administered orally, </w:t>
      </w:r>
      <w:proofErr w:type="gramStart"/>
      <w:r w:rsidR="006A7F93" w:rsidRPr="009A0E7B">
        <w:t>similar to</w:t>
      </w:r>
      <w:proofErr w:type="gramEnd"/>
      <w:r w:rsidR="006A7F93" w:rsidRPr="009A0E7B">
        <w:t xml:space="preserve"> OZA.</w:t>
      </w:r>
    </w:p>
    <w:p w14:paraId="50EEE7DD" w14:textId="719EF1E1" w:rsidR="00FA6D3A" w:rsidRPr="009A0E7B" w:rsidRDefault="00FA6D3A" w:rsidP="00FA6D3A">
      <w:pPr>
        <w:pStyle w:val="3-BodyText"/>
      </w:pPr>
      <w:r w:rsidRPr="009A0E7B">
        <w:t xml:space="preserve">The main arguments provided in support of this nomination was that IFX and VED </w:t>
      </w:r>
      <w:r w:rsidR="0080229B">
        <w:t xml:space="preserve">are the most widely prescribed biological </w:t>
      </w:r>
      <w:r w:rsidRPr="009A0E7B">
        <w:t>DMARDs</w:t>
      </w:r>
      <w:r w:rsidR="00FE19B3">
        <w:t xml:space="preserve"> (</w:t>
      </w:r>
      <w:proofErr w:type="spellStart"/>
      <w:r w:rsidR="00FE19B3">
        <w:t>bDMARDs</w:t>
      </w:r>
      <w:proofErr w:type="spellEnd"/>
      <w:r w:rsidR="00FE19B3">
        <w:t>)</w:t>
      </w:r>
      <w:r w:rsidRPr="009A0E7B">
        <w:t xml:space="preserve"> for the treatment of MSUC (Paragraph 5.1, Tofac</w:t>
      </w:r>
      <w:r w:rsidR="00BC7789" w:rsidRPr="009A0E7B">
        <w:t>i</w:t>
      </w:r>
      <w:r w:rsidRPr="009A0E7B">
        <w:t xml:space="preserve">tinib </w:t>
      </w:r>
      <w:r w:rsidR="00395E9C" w:rsidRPr="009A0E7B">
        <w:t xml:space="preserve">(MSUC) </w:t>
      </w:r>
      <w:r w:rsidR="001235C4" w:rsidRPr="009A0E7B">
        <w:t>Public Summary Document [</w:t>
      </w:r>
      <w:r w:rsidR="00A55AE2" w:rsidRPr="009A0E7B">
        <w:t>PSD</w:t>
      </w:r>
      <w:r w:rsidR="001235C4" w:rsidRPr="009A0E7B">
        <w:t>]</w:t>
      </w:r>
      <w:r w:rsidRPr="009A0E7B">
        <w:t>, November 2020 PBAC meeting). IFX is available via PBS as an intravenous (IV) formulation and a subcutaneous (SC) formulation. The submission selected the IV formulation of IFX over the SC formulation as the main comparator, given that IFX SC was listed on a cost-minimisation basis to IFX IV and that IFX IV has bee</w:t>
      </w:r>
      <w:r w:rsidR="0080229B">
        <w:t xml:space="preserve">n the main comparator in other </w:t>
      </w:r>
      <w:r w:rsidRPr="009A0E7B">
        <w:t xml:space="preserve">DMARD submissions, </w:t>
      </w:r>
      <w:proofErr w:type="gramStart"/>
      <w:r w:rsidRPr="009A0E7B">
        <w:t>with the exception of</w:t>
      </w:r>
      <w:proofErr w:type="gramEnd"/>
      <w:r w:rsidRPr="009A0E7B">
        <w:t xml:space="preserve"> VED SC (comparator: VED IV). </w:t>
      </w:r>
    </w:p>
    <w:p w14:paraId="7841F853" w14:textId="2395E7C5" w:rsidR="00FA6D3A" w:rsidRPr="003A0DE4" w:rsidRDefault="005A0F38" w:rsidP="00FB3FA3">
      <w:pPr>
        <w:pStyle w:val="3-BodyText"/>
      </w:pPr>
      <w:r w:rsidRPr="009A0E7B">
        <w:rPr>
          <w:iCs/>
        </w:rPr>
        <w:t xml:space="preserve">In the context of the </w:t>
      </w:r>
      <w:r w:rsidR="007941A2" w:rsidRPr="005B7C38">
        <w:t>CMA</w:t>
      </w:r>
      <w:r w:rsidRPr="009A0E7B">
        <w:rPr>
          <w:iCs/>
        </w:rPr>
        <w:t xml:space="preserve">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w:t>
      </w:r>
      <w:r w:rsidRPr="009A0E7B">
        <w:rPr>
          <w:iCs/>
        </w:rPr>
        <w:lastRenderedPageBreak/>
        <w:t>must make a statement to this effect.</w:t>
      </w:r>
      <w:r w:rsidR="00240708" w:rsidRPr="009A0E7B">
        <w:rPr>
          <w:iCs/>
        </w:rPr>
        <w:t xml:space="preserve"> Al</w:t>
      </w:r>
      <w:r w:rsidR="007941A2" w:rsidRPr="009A0E7B">
        <w:rPr>
          <w:iCs/>
        </w:rPr>
        <w:t>ternative therapies include IFX, VED</w:t>
      </w:r>
      <w:r w:rsidR="00240708" w:rsidRPr="009A0E7B">
        <w:rPr>
          <w:iCs/>
        </w:rPr>
        <w:t xml:space="preserve">, TOF, ADA and GOL.   </w:t>
      </w:r>
    </w:p>
    <w:p w14:paraId="6F8071A5" w14:textId="77777777" w:rsidR="003A0DE4" w:rsidRPr="00C33D30" w:rsidRDefault="003A0DE4" w:rsidP="003A0DE4">
      <w:pPr>
        <w:ind w:firstLine="709"/>
        <w:rPr>
          <w:rFonts w:asciiTheme="minorHAnsi" w:hAnsiTheme="minorHAnsi"/>
          <w:i/>
        </w:rPr>
      </w:pPr>
      <w:r w:rsidRPr="001D6950">
        <w:rPr>
          <w:rFonts w:asciiTheme="minorHAnsi" w:hAnsiTheme="minorHAnsi"/>
          <w:i/>
        </w:rPr>
        <w:t>For more detail on PBAC’s view, see section 7 PBAC outcome.</w:t>
      </w:r>
    </w:p>
    <w:p w14:paraId="15E08FB3" w14:textId="77777777" w:rsidR="00FA6D3A" w:rsidRPr="009A0E7B" w:rsidRDefault="00FA6D3A" w:rsidP="00FA6D3A">
      <w:pPr>
        <w:pStyle w:val="2-SectionHeading"/>
      </w:pPr>
      <w:bookmarkStart w:id="17" w:name="_Toc93489236"/>
      <w:bookmarkStart w:id="18" w:name="_Toc22897640"/>
      <w:bookmarkStart w:id="19" w:name="_Toc22898852"/>
      <w:r w:rsidRPr="009A0E7B">
        <w:t>Consideration of the evidence</w:t>
      </w:r>
      <w:bookmarkEnd w:id="17"/>
    </w:p>
    <w:p w14:paraId="0748CF10" w14:textId="77777777" w:rsidR="003A0DE4" w:rsidRPr="006E1229" w:rsidRDefault="003A0DE4" w:rsidP="003A0DE4">
      <w:pPr>
        <w:pStyle w:val="3-SubsectionHeading"/>
        <w:rPr>
          <w:lang w:eastAsia="en-AU"/>
        </w:rPr>
      </w:pPr>
      <w:bookmarkStart w:id="20" w:name="_Hlk76375935"/>
      <w:bookmarkStart w:id="21" w:name="_Toc93489237"/>
      <w:r w:rsidRPr="006E1229">
        <w:rPr>
          <w:lang w:eastAsia="en-AU"/>
        </w:rPr>
        <w:t>Sponsor hearing</w:t>
      </w:r>
    </w:p>
    <w:p w14:paraId="17A94029" w14:textId="2DE24A85" w:rsidR="003A0DE4" w:rsidRPr="00F91542" w:rsidRDefault="003A0DE4" w:rsidP="003A0DE4">
      <w:pPr>
        <w:widowControl w:val="0"/>
        <w:numPr>
          <w:ilvl w:val="1"/>
          <w:numId w:val="1"/>
        </w:numPr>
        <w:spacing w:after="120"/>
        <w:rPr>
          <w:rFonts w:cs="Calibri"/>
          <w:bCs/>
          <w:snapToGrid w:val="0"/>
        </w:rPr>
      </w:pPr>
      <w:r w:rsidRPr="00F91542">
        <w:rPr>
          <w:rFonts w:cs="Calibri"/>
          <w:bCs/>
          <w:snapToGrid w:val="0"/>
        </w:rPr>
        <w:t>There was no hearing for this item.</w:t>
      </w:r>
    </w:p>
    <w:p w14:paraId="07152FF1" w14:textId="77777777" w:rsidR="003A0DE4" w:rsidRPr="006E1229" w:rsidRDefault="003A0DE4" w:rsidP="003A0DE4">
      <w:pPr>
        <w:pStyle w:val="3-SubsectionHeading"/>
        <w:rPr>
          <w:lang w:eastAsia="en-AU"/>
        </w:rPr>
      </w:pPr>
      <w:r w:rsidRPr="006E1229">
        <w:rPr>
          <w:lang w:eastAsia="en-AU"/>
        </w:rPr>
        <w:t>Consumer comments</w:t>
      </w:r>
    </w:p>
    <w:p w14:paraId="33B143A2" w14:textId="77777777" w:rsidR="00D11752" w:rsidRDefault="003A0DE4" w:rsidP="003A0DE4">
      <w:pPr>
        <w:widowControl w:val="0"/>
        <w:numPr>
          <w:ilvl w:val="1"/>
          <w:numId w:val="1"/>
        </w:numPr>
        <w:spacing w:after="120"/>
        <w:rPr>
          <w:rFonts w:asciiTheme="minorHAnsi" w:hAnsiTheme="minorHAnsi"/>
          <w:bCs/>
          <w:snapToGrid w:val="0"/>
        </w:rPr>
      </w:pPr>
      <w:bookmarkStart w:id="22" w:name="_Hlk76382618"/>
      <w:r w:rsidRPr="00836F75">
        <w:rPr>
          <w:rFonts w:asciiTheme="minorHAnsi" w:hAnsiTheme="minorHAnsi"/>
          <w:bCs/>
          <w:snapToGrid w:val="0"/>
        </w:rPr>
        <w:t>The PBAC noted and welcomed the input from individuals (</w:t>
      </w:r>
      <w:r>
        <w:rPr>
          <w:rFonts w:asciiTheme="minorHAnsi" w:hAnsiTheme="minorHAnsi"/>
          <w:bCs/>
          <w:snapToGrid w:val="0"/>
        </w:rPr>
        <w:t>1</w:t>
      </w:r>
      <w:r w:rsidRPr="00836F75">
        <w:rPr>
          <w:rFonts w:asciiTheme="minorHAnsi" w:hAnsiTheme="minorHAnsi"/>
          <w:bCs/>
          <w:snapToGrid w:val="0"/>
        </w:rPr>
        <w:t>), health care professionals (</w:t>
      </w:r>
      <w:r>
        <w:rPr>
          <w:rFonts w:asciiTheme="minorHAnsi" w:hAnsiTheme="minorHAnsi"/>
          <w:bCs/>
          <w:snapToGrid w:val="0"/>
        </w:rPr>
        <w:t>5</w:t>
      </w:r>
      <w:r w:rsidRPr="00836F75">
        <w:rPr>
          <w:rFonts w:asciiTheme="minorHAnsi" w:hAnsiTheme="minorHAnsi"/>
          <w:bCs/>
          <w:snapToGrid w:val="0"/>
        </w:rPr>
        <w:t>) and organisations (</w:t>
      </w:r>
      <w:r>
        <w:rPr>
          <w:rFonts w:asciiTheme="minorHAnsi" w:hAnsiTheme="minorHAnsi"/>
          <w:bCs/>
          <w:snapToGrid w:val="0"/>
        </w:rPr>
        <w:t>2</w:t>
      </w:r>
      <w:r w:rsidRPr="00836F75">
        <w:rPr>
          <w:rFonts w:asciiTheme="minorHAnsi" w:hAnsiTheme="minorHAnsi"/>
          <w:bCs/>
          <w:snapToGrid w:val="0"/>
        </w:rPr>
        <w:t>) via the Consumer Comments facility on the PBS website.</w:t>
      </w:r>
    </w:p>
    <w:p w14:paraId="1FE5A4D7" w14:textId="3291B5C0" w:rsidR="00D11752" w:rsidRDefault="00D11752" w:rsidP="003A0DE4">
      <w:pPr>
        <w:widowControl w:val="0"/>
        <w:numPr>
          <w:ilvl w:val="1"/>
          <w:numId w:val="1"/>
        </w:numPr>
        <w:spacing w:after="120"/>
        <w:rPr>
          <w:rFonts w:asciiTheme="minorHAnsi" w:hAnsiTheme="minorHAnsi"/>
          <w:bCs/>
          <w:snapToGrid w:val="0"/>
        </w:rPr>
      </w:pPr>
      <w:r>
        <w:rPr>
          <w:rFonts w:asciiTheme="minorHAnsi" w:hAnsiTheme="minorHAnsi"/>
          <w:bCs/>
          <w:snapToGrid w:val="0"/>
        </w:rPr>
        <w:t>Consumer comments were provided from Crohn’s and Colitis Australia (CCA), and the Gastroenterological Society of Australia (GESA). CCA emphasised the flexibility associated with oral therapy that does not require infusion in a medical facility, thereby avoiding absences from work and reducing travel requirements.</w:t>
      </w:r>
      <w:r w:rsidR="00F03622">
        <w:rPr>
          <w:rFonts w:asciiTheme="minorHAnsi" w:hAnsiTheme="minorHAnsi"/>
          <w:bCs/>
          <w:snapToGrid w:val="0"/>
        </w:rPr>
        <w:t xml:space="preserve"> Similarly, GESA noted that there are access issues with infusion centres that will be ameliorated with an oral therapy. GESA also noted that efficacy of biological therapies is not </w:t>
      </w:r>
      <w:proofErr w:type="gramStart"/>
      <w:r w:rsidR="00F03622">
        <w:rPr>
          <w:rFonts w:asciiTheme="minorHAnsi" w:hAnsiTheme="minorHAnsi"/>
          <w:bCs/>
          <w:snapToGrid w:val="0"/>
        </w:rPr>
        <w:t>universal</w:t>
      </w:r>
      <w:proofErr w:type="gramEnd"/>
      <w:r w:rsidR="00F03622">
        <w:rPr>
          <w:rFonts w:asciiTheme="minorHAnsi" w:hAnsiTheme="minorHAnsi"/>
          <w:bCs/>
          <w:snapToGrid w:val="0"/>
        </w:rPr>
        <w:t xml:space="preserve"> and persistence is not durable in many cases, leading to a loss of response and </w:t>
      </w:r>
      <w:r w:rsidR="008D4079">
        <w:rPr>
          <w:rFonts w:asciiTheme="minorHAnsi" w:hAnsiTheme="minorHAnsi"/>
          <w:bCs/>
          <w:snapToGrid w:val="0"/>
        </w:rPr>
        <w:t>an</w:t>
      </w:r>
      <w:r w:rsidR="00F03622">
        <w:rPr>
          <w:rFonts w:asciiTheme="minorHAnsi" w:hAnsiTheme="minorHAnsi"/>
          <w:bCs/>
          <w:snapToGrid w:val="0"/>
        </w:rPr>
        <w:t xml:space="preserve"> associated decline of the patient</w:t>
      </w:r>
      <w:r w:rsidR="008D4079">
        <w:rPr>
          <w:rFonts w:asciiTheme="minorHAnsi" w:hAnsiTheme="minorHAnsi"/>
          <w:bCs/>
          <w:snapToGrid w:val="0"/>
        </w:rPr>
        <w:t>, and that it is important to have agents available that will serve all patients in the context of other agents being less well tolerated or contraindicated.</w:t>
      </w:r>
      <w:r>
        <w:rPr>
          <w:rFonts w:asciiTheme="minorHAnsi" w:hAnsiTheme="minorHAnsi"/>
          <w:bCs/>
          <w:snapToGrid w:val="0"/>
        </w:rPr>
        <w:t xml:space="preserve">  </w:t>
      </w:r>
    </w:p>
    <w:p w14:paraId="52DCF7A8" w14:textId="5D507638" w:rsidR="003A0DE4" w:rsidRPr="00E8170F" w:rsidRDefault="003A0DE4" w:rsidP="00E8170F">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comments</w:t>
      </w:r>
      <w:r w:rsidR="00D11752">
        <w:rPr>
          <w:rFonts w:asciiTheme="minorHAnsi" w:hAnsiTheme="minorHAnsi"/>
          <w:bCs/>
          <w:snapToGrid w:val="0"/>
        </w:rPr>
        <w:t xml:space="preserve"> from health care professionals</w:t>
      </w:r>
      <w:r w:rsidRPr="00836F75">
        <w:rPr>
          <w:rFonts w:asciiTheme="minorHAnsi" w:hAnsiTheme="minorHAnsi"/>
          <w:bCs/>
          <w:snapToGrid w:val="0"/>
        </w:rPr>
        <w:t xml:space="preserve"> described </w:t>
      </w:r>
      <w:r>
        <w:rPr>
          <w:rFonts w:asciiTheme="minorHAnsi" w:hAnsiTheme="minorHAnsi"/>
          <w:bCs/>
          <w:snapToGrid w:val="0"/>
        </w:rPr>
        <w:t>the effectiveness of OZA in the treatment of MSUC and highlighted the need for additional therapeutic options for the management of the condition, especially for those with a new mechanism of action</w:t>
      </w:r>
      <w:r w:rsidR="00F03622">
        <w:rPr>
          <w:rFonts w:asciiTheme="minorHAnsi" w:hAnsiTheme="minorHAnsi"/>
          <w:bCs/>
          <w:snapToGrid w:val="0"/>
        </w:rPr>
        <w:t xml:space="preserve"> for use in patients who have failed existing biological therapies</w:t>
      </w:r>
      <w:r>
        <w:rPr>
          <w:rFonts w:asciiTheme="minorHAnsi" w:hAnsiTheme="minorHAnsi"/>
          <w:bCs/>
          <w:snapToGrid w:val="0"/>
        </w:rPr>
        <w:t>. The comments also described the benefits of having an additional oral therapy option available, given only one other oral alternative is currently PBS listed for MSUC.</w:t>
      </w:r>
    </w:p>
    <w:bookmarkEnd w:id="20"/>
    <w:bookmarkEnd w:id="22"/>
    <w:p w14:paraId="62F59021" w14:textId="77777777" w:rsidR="00FA6D3A" w:rsidRPr="009A0E7B" w:rsidRDefault="00FA6D3A" w:rsidP="00FA6D3A">
      <w:pPr>
        <w:pStyle w:val="4-SubsectionHeading"/>
      </w:pPr>
      <w:r w:rsidRPr="009A0E7B">
        <w:t>Clinical studies</w:t>
      </w:r>
      <w:bookmarkEnd w:id="18"/>
      <w:bookmarkEnd w:id="19"/>
      <w:bookmarkEnd w:id="21"/>
    </w:p>
    <w:p w14:paraId="763883B7" w14:textId="2803BED1" w:rsidR="007D46F6" w:rsidRPr="009A0E7B" w:rsidRDefault="007D46F6" w:rsidP="007D46F6">
      <w:pPr>
        <w:pStyle w:val="3-BodyText"/>
        <w:rPr>
          <w:color w:val="0066FF"/>
        </w:rPr>
      </w:pPr>
      <w:r w:rsidRPr="009A0E7B">
        <w:rPr>
          <w:snapToGrid/>
        </w:rPr>
        <w:t>The</w:t>
      </w:r>
      <w:r w:rsidR="00D97E11">
        <w:rPr>
          <w:snapToGrid/>
        </w:rPr>
        <w:t xml:space="preserve"> primary comparison in the</w:t>
      </w:r>
      <w:r w:rsidRPr="009A0E7B">
        <w:rPr>
          <w:snapToGrid/>
        </w:rPr>
        <w:t xml:space="preserve"> submission was based on </w:t>
      </w:r>
      <w:r w:rsidRPr="009A0E7B">
        <w:rPr>
          <w:iCs/>
          <w:snapToGrid/>
        </w:rPr>
        <w:t xml:space="preserve">anchored indirect treatment comparisons (ITCs) for OZA </w:t>
      </w:r>
      <w:r w:rsidR="00A4760E" w:rsidRPr="009A0E7B">
        <w:rPr>
          <w:iCs/>
          <w:snapToGrid/>
        </w:rPr>
        <w:t>vs.</w:t>
      </w:r>
      <w:r w:rsidRPr="009A0E7B">
        <w:rPr>
          <w:iCs/>
          <w:snapToGrid/>
        </w:rPr>
        <w:t xml:space="preserve"> IFX</w:t>
      </w:r>
      <w:r w:rsidRPr="009A0E7B">
        <w:rPr>
          <w:i/>
          <w:iCs/>
          <w:snapToGrid/>
        </w:rPr>
        <w:t xml:space="preserve"> </w:t>
      </w:r>
      <w:r w:rsidRPr="009A0E7B">
        <w:rPr>
          <w:iCs/>
          <w:snapToGrid/>
        </w:rPr>
        <w:t xml:space="preserve">via two key OZA trials (True North and Touchstone) and five IFX trials (ACT1, ACT2, </w:t>
      </w:r>
      <w:r w:rsidRPr="009A0E7B">
        <w:rPr>
          <w:bCs/>
          <w:iCs/>
          <w:snapToGrid/>
        </w:rPr>
        <w:t>Kobayashi 2016</w:t>
      </w:r>
      <w:r w:rsidRPr="009A0E7B">
        <w:rPr>
          <w:iCs/>
          <w:snapToGrid/>
        </w:rPr>
        <w:t xml:space="preserve">, Jiang 2015 and </w:t>
      </w:r>
      <w:r w:rsidR="00A4760E" w:rsidRPr="009A0E7B">
        <w:rPr>
          <w:iCs/>
          <w:snapToGrid/>
        </w:rPr>
        <w:t>REMICADE</w:t>
      </w:r>
      <w:r w:rsidRPr="009A0E7B">
        <w:rPr>
          <w:iCs/>
          <w:snapToGrid/>
        </w:rPr>
        <w:t>).</w:t>
      </w:r>
      <w:r w:rsidR="00D97E11">
        <w:rPr>
          <w:iCs/>
          <w:snapToGrid/>
        </w:rPr>
        <w:t xml:space="preserve"> </w:t>
      </w:r>
    </w:p>
    <w:p w14:paraId="7121EB67" w14:textId="76FE9AF9" w:rsidR="007D46F6" w:rsidRPr="009A0E7B" w:rsidRDefault="007D46F6" w:rsidP="007D46F6">
      <w:pPr>
        <w:pStyle w:val="3-BodyText"/>
        <w:tabs>
          <w:tab w:val="left" w:pos="1162"/>
        </w:tabs>
        <w:rPr>
          <w:iCs/>
        </w:rPr>
      </w:pPr>
      <w:r w:rsidRPr="009A0E7B">
        <w:rPr>
          <w:iCs/>
          <w:snapToGrid/>
        </w:rPr>
        <w:t xml:space="preserve">True North was a Phase 3, randomised, double-blind, placebo-controlled study of OZA as </w:t>
      </w:r>
      <w:r w:rsidR="005A0F38" w:rsidRPr="009A0E7B">
        <w:rPr>
          <w:iCs/>
          <w:snapToGrid/>
        </w:rPr>
        <w:t>i</w:t>
      </w:r>
      <w:r w:rsidRPr="009A0E7B">
        <w:rPr>
          <w:iCs/>
          <w:snapToGrid/>
        </w:rPr>
        <w:t xml:space="preserve">nduction and </w:t>
      </w:r>
      <w:r w:rsidR="005A0F38" w:rsidRPr="009A0E7B">
        <w:rPr>
          <w:iCs/>
          <w:snapToGrid/>
        </w:rPr>
        <w:t>m</w:t>
      </w:r>
      <w:r w:rsidRPr="009A0E7B">
        <w:rPr>
          <w:iCs/>
          <w:snapToGrid/>
        </w:rPr>
        <w:t xml:space="preserve">aintenance therapy for subjects with MSUC. </w:t>
      </w:r>
      <w:r w:rsidRPr="009A0E7B">
        <w:rPr>
          <w:iCs/>
        </w:rPr>
        <w:t xml:space="preserve">The </w:t>
      </w:r>
      <w:r w:rsidR="000F6EC4">
        <w:rPr>
          <w:iCs/>
        </w:rPr>
        <w:t>i</w:t>
      </w:r>
      <w:r w:rsidRPr="009A0E7B">
        <w:rPr>
          <w:iCs/>
        </w:rPr>
        <w:t>nduction period of the study was composed of two cohorts in which subjects were treated for a total of 10 weeks and evaluated for clinical response/remission</w:t>
      </w:r>
      <w:r w:rsidR="00521F7D" w:rsidRPr="009A0E7B">
        <w:rPr>
          <w:iCs/>
        </w:rPr>
        <w:t>, followed by a 42-week maintenance phase</w:t>
      </w:r>
      <w:r w:rsidRPr="009A0E7B">
        <w:rPr>
          <w:iCs/>
        </w:rPr>
        <w:t xml:space="preserve">: </w:t>
      </w:r>
    </w:p>
    <w:p w14:paraId="3D50CC39" w14:textId="01C2415F" w:rsidR="007D46F6" w:rsidRPr="009A0E7B" w:rsidRDefault="007D46F6" w:rsidP="009573AD">
      <w:pPr>
        <w:pStyle w:val="ListParagraph"/>
        <w:numPr>
          <w:ilvl w:val="0"/>
          <w:numId w:val="7"/>
        </w:numPr>
        <w:ind w:left="1191" w:hanging="482"/>
      </w:pPr>
      <w:r w:rsidRPr="009A0E7B">
        <w:t xml:space="preserve">Cohort 1: subjects were randomised in a 2:1 ratio to receive either OZA 0.92 mg (after 7 days of dose escalation) or placebo once daily in a double-blind fashion, </w:t>
      </w:r>
      <w:r w:rsidRPr="009A0E7B">
        <w:lastRenderedPageBreak/>
        <w:t xml:space="preserve">stratified prior to randomisation by </w:t>
      </w:r>
      <w:r w:rsidR="00D70B3A" w:rsidRPr="009A0E7B">
        <w:t>corticosteroid use at screening</w:t>
      </w:r>
      <w:r w:rsidRPr="009A0E7B">
        <w:t xml:space="preserve"> and prior anti-tumour necrosis factor (TNF) therapy</w:t>
      </w:r>
      <w:r w:rsidRPr="009A0E7B">
        <w:rPr>
          <w:rStyle w:val="FootnoteReference"/>
        </w:rPr>
        <w:footnoteReference w:id="1"/>
      </w:r>
      <w:r w:rsidR="0039085D" w:rsidRPr="009A0E7B">
        <w:t>.</w:t>
      </w:r>
      <w:r w:rsidRPr="009A0E7B">
        <w:t xml:space="preserve"> </w:t>
      </w:r>
    </w:p>
    <w:p w14:paraId="35BB8914" w14:textId="77777777" w:rsidR="00C92EF7" w:rsidRPr="009A0E7B" w:rsidRDefault="007D46F6" w:rsidP="009573AD">
      <w:pPr>
        <w:pStyle w:val="ListParagraph"/>
        <w:numPr>
          <w:ilvl w:val="0"/>
          <w:numId w:val="7"/>
        </w:numPr>
        <w:ind w:left="1191" w:hanging="482"/>
      </w:pPr>
      <w:r w:rsidRPr="009A0E7B">
        <w:t>Cohort 2: subjects received open-label OZA 0.92 mg (after 7 days of dose escalation) once daily</w:t>
      </w:r>
      <w:r w:rsidR="0039085D" w:rsidRPr="009A0E7B">
        <w:t>.</w:t>
      </w:r>
      <w:r w:rsidRPr="009A0E7B">
        <w:t xml:space="preserve"> </w:t>
      </w:r>
      <w:r w:rsidR="00C92EF7" w:rsidRPr="009A0E7B">
        <w:t>There was no placebo group for Cohort 2.</w:t>
      </w:r>
    </w:p>
    <w:p w14:paraId="5FB77FA5" w14:textId="1FF5ED06" w:rsidR="007D46F6" w:rsidRPr="009A0E7B" w:rsidRDefault="00C92EF7" w:rsidP="009573AD">
      <w:pPr>
        <w:pStyle w:val="ListParagraph"/>
        <w:numPr>
          <w:ilvl w:val="0"/>
          <w:numId w:val="7"/>
        </w:numPr>
        <w:ind w:left="1191" w:hanging="482"/>
      </w:pPr>
      <w:r w:rsidRPr="009A0E7B">
        <w:t xml:space="preserve">Responders from the OZA arm of Cohort 1 and Cohort 2 were combined for the maintenance period; these responders were re-randomised </w:t>
      </w:r>
      <w:r w:rsidR="00521F7D" w:rsidRPr="009A0E7B">
        <w:t>in a 1:1 ratio</w:t>
      </w:r>
      <w:r w:rsidR="004B0540" w:rsidRPr="009A0E7B">
        <w:t xml:space="preserve"> and blinded</w:t>
      </w:r>
      <w:r w:rsidR="00521F7D" w:rsidRPr="009A0E7B">
        <w:t xml:space="preserve"> to receive either </w:t>
      </w:r>
      <w:r w:rsidRPr="009A0E7B">
        <w:t xml:space="preserve">OZA </w:t>
      </w:r>
      <w:r w:rsidR="00521F7D" w:rsidRPr="009A0E7B">
        <w:t xml:space="preserve">or </w:t>
      </w:r>
      <w:r w:rsidRPr="009A0E7B">
        <w:t xml:space="preserve">placebo </w:t>
      </w:r>
      <w:r w:rsidR="00521F7D" w:rsidRPr="009A0E7B">
        <w:t>during</w:t>
      </w:r>
      <w:r w:rsidRPr="009A0E7B">
        <w:t xml:space="preserve"> the maintenance phase.</w:t>
      </w:r>
    </w:p>
    <w:p w14:paraId="1DA8CE16" w14:textId="3A5BADE9" w:rsidR="007D46F6" w:rsidRPr="009A0E7B" w:rsidRDefault="007D46F6" w:rsidP="007D46F6">
      <w:pPr>
        <w:pStyle w:val="3-BodyText"/>
        <w:numPr>
          <w:ilvl w:val="0"/>
          <w:numId w:val="0"/>
        </w:numPr>
        <w:ind w:left="720"/>
        <w:rPr>
          <w:color w:val="0066FF"/>
        </w:rPr>
      </w:pPr>
      <w:r w:rsidRPr="009A0E7B">
        <w:rPr>
          <w:iCs/>
          <w:snapToGrid/>
        </w:rPr>
        <w:t xml:space="preserve">Subjects who were randomised to </w:t>
      </w:r>
      <w:r w:rsidR="00AD1903" w:rsidRPr="009A0E7B">
        <w:rPr>
          <w:iCs/>
          <w:snapToGrid/>
        </w:rPr>
        <w:t xml:space="preserve">the Cohort 1 </w:t>
      </w:r>
      <w:r w:rsidRPr="009A0E7B">
        <w:rPr>
          <w:iCs/>
          <w:snapToGrid/>
        </w:rPr>
        <w:t xml:space="preserve">placebo </w:t>
      </w:r>
      <w:r w:rsidR="00AD1903" w:rsidRPr="009A0E7B">
        <w:rPr>
          <w:iCs/>
          <w:snapToGrid/>
        </w:rPr>
        <w:t xml:space="preserve">group </w:t>
      </w:r>
      <w:r w:rsidRPr="009A0E7B">
        <w:rPr>
          <w:iCs/>
          <w:snapToGrid/>
        </w:rPr>
        <w:t xml:space="preserve">in the </w:t>
      </w:r>
      <w:r w:rsidR="004E34A9" w:rsidRPr="009A0E7B">
        <w:rPr>
          <w:iCs/>
          <w:snapToGrid/>
        </w:rPr>
        <w:t>i</w:t>
      </w:r>
      <w:r w:rsidRPr="009A0E7B">
        <w:rPr>
          <w:iCs/>
          <w:snapToGrid/>
        </w:rPr>
        <w:t xml:space="preserve">nduction </w:t>
      </w:r>
      <w:r w:rsidR="004E34A9" w:rsidRPr="009A0E7B">
        <w:rPr>
          <w:iCs/>
          <w:snapToGrid/>
        </w:rPr>
        <w:t>p</w:t>
      </w:r>
      <w:r w:rsidRPr="009A0E7B">
        <w:rPr>
          <w:iCs/>
          <w:snapToGrid/>
        </w:rPr>
        <w:t xml:space="preserve">eriod and had at least a clinical response at Week 10 continued to receive placebo in the </w:t>
      </w:r>
      <w:r w:rsidR="000F6EC4">
        <w:rPr>
          <w:iCs/>
          <w:snapToGrid/>
        </w:rPr>
        <w:t>m</w:t>
      </w:r>
      <w:r w:rsidRPr="009A0E7B">
        <w:rPr>
          <w:iCs/>
          <w:snapToGrid/>
        </w:rPr>
        <w:t xml:space="preserve">aintenance </w:t>
      </w:r>
      <w:r w:rsidR="000F6EC4">
        <w:rPr>
          <w:iCs/>
          <w:snapToGrid/>
        </w:rPr>
        <w:t>p</w:t>
      </w:r>
      <w:r w:rsidRPr="009A0E7B">
        <w:rPr>
          <w:iCs/>
          <w:snapToGrid/>
        </w:rPr>
        <w:t>eriod in a double-blind manner</w:t>
      </w:r>
      <w:r w:rsidR="00521F7D" w:rsidRPr="009A0E7B">
        <w:rPr>
          <w:iCs/>
          <w:snapToGrid/>
        </w:rPr>
        <w:t>; their efficacy data were not used in the evaluation of the maintenance phase</w:t>
      </w:r>
      <w:r w:rsidR="00AD1903" w:rsidRPr="009A0E7B">
        <w:rPr>
          <w:iCs/>
          <w:snapToGrid/>
        </w:rPr>
        <w:t xml:space="preserve">, which only compared the re-randomised </w:t>
      </w:r>
      <w:r w:rsidR="00957D62" w:rsidRPr="009A0E7B">
        <w:rPr>
          <w:iCs/>
          <w:snapToGrid/>
        </w:rPr>
        <w:t>OZA</w:t>
      </w:r>
      <w:r w:rsidR="00AD1903" w:rsidRPr="009A0E7B">
        <w:rPr>
          <w:iCs/>
          <w:snapToGrid/>
        </w:rPr>
        <w:t xml:space="preserve"> and placebo groups</w:t>
      </w:r>
      <w:r w:rsidRPr="009A0E7B">
        <w:rPr>
          <w:iCs/>
          <w:snapToGrid/>
        </w:rPr>
        <w:t xml:space="preserve">. </w:t>
      </w:r>
      <w:r w:rsidR="00173CAE" w:rsidRPr="009A0E7B">
        <w:rPr>
          <w:iCs/>
          <w:snapToGrid/>
        </w:rPr>
        <w:t xml:space="preserve">Subjects with missing Week 10 efficacy data for the </w:t>
      </w:r>
      <w:r w:rsidR="000F6EC4">
        <w:rPr>
          <w:iCs/>
          <w:snapToGrid/>
        </w:rPr>
        <w:t>i</w:t>
      </w:r>
      <w:r w:rsidR="00173CAE" w:rsidRPr="009A0E7B">
        <w:rPr>
          <w:iCs/>
          <w:snapToGrid/>
        </w:rPr>
        <w:t xml:space="preserve">nduction </w:t>
      </w:r>
      <w:r w:rsidR="000F6EC4">
        <w:rPr>
          <w:iCs/>
          <w:snapToGrid/>
        </w:rPr>
        <w:t>p</w:t>
      </w:r>
      <w:r w:rsidR="00173CAE" w:rsidRPr="009A0E7B">
        <w:rPr>
          <w:iCs/>
          <w:snapToGrid/>
        </w:rPr>
        <w:t xml:space="preserve">eriod and/or subjects with missing Week 52 efficacy data for </w:t>
      </w:r>
      <w:r w:rsidR="000F6EC4">
        <w:rPr>
          <w:iCs/>
          <w:snapToGrid/>
        </w:rPr>
        <w:t>m</w:t>
      </w:r>
      <w:r w:rsidR="00173CAE" w:rsidRPr="009A0E7B">
        <w:rPr>
          <w:iCs/>
          <w:snapToGrid/>
        </w:rPr>
        <w:t xml:space="preserve">aintenance </w:t>
      </w:r>
      <w:r w:rsidR="000F6EC4">
        <w:rPr>
          <w:iCs/>
          <w:snapToGrid/>
        </w:rPr>
        <w:t>p</w:t>
      </w:r>
      <w:r w:rsidR="00173CAE" w:rsidRPr="009A0E7B">
        <w:rPr>
          <w:iCs/>
          <w:snapToGrid/>
        </w:rPr>
        <w:t>eriod were considered non-responders using non-responder imputation.</w:t>
      </w:r>
    </w:p>
    <w:p w14:paraId="6FF6E01B" w14:textId="1D1D66BA" w:rsidR="007D46F6" w:rsidRDefault="007D46F6" w:rsidP="00A35276">
      <w:pPr>
        <w:pStyle w:val="3-BodyText"/>
      </w:pPr>
      <w:r w:rsidRPr="009A0E7B">
        <w:t xml:space="preserve">Touchstone was a double-blind, placebo-controlled Phase 2 trial of OZA in 197 adults with MSUC. The trial included blinded </w:t>
      </w:r>
      <w:r w:rsidR="00090DDF">
        <w:t>i</w:t>
      </w:r>
      <w:r w:rsidRPr="009A0E7B">
        <w:t xml:space="preserve">nduction and </w:t>
      </w:r>
      <w:r w:rsidR="00090DDF">
        <w:t>m</w:t>
      </w:r>
      <w:r w:rsidRPr="009A0E7B">
        <w:t>aintenance periods and an optional open-label period. Patients were randomly assigned, in a 1:1:1 ratio, to receive oral OZA at a dose of 0.46 mg or 0.92 mg or placebo, once daily. Patients underwent dose escalation during the first week after randomisation; thereafter, the patients received the randomly assigned dose for 8 weeks.</w:t>
      </w:r>
      <w:r w:rsidR="00A35276" w:rsidRPr="009A0E7B">
        <w:t xml:space="preserve"> Patients who completed the </w:t>
      </w:r>
      <w:r w:rsidR="00AB1516" w:rsidRPr="009A0E7B">
        <w:t>i</w:t>
      </w:r>
      <w:r w:rsidR="00A35276" w:rsidRPr="009A0E7B">
        <w:t xml:space="preserve">nduction </w:t>
      </w:r>
      <w:r w:rsidR="00AB1516" w:rsidRPr="009A0E7B">
        <w:t>p</w:t>
      </w:r>
      <w:r w:rsidR="00A35276" w:rsidRPr="009A0E7B">
        <w:t xml:space="preserve">eriod and were responders at Week 8 entered the 24-week </w:t>
      </w:r>
      <w:r w:rsidR="00090DDF">
        <w:t>m</w:t>
      </w:r>
      <w:r w:rsidR="00A35276" w:rsidRPr="009A0E7B">
        <w:t xml:space="preserve">aintenance </w:t>
      </w:r>
      <w:r w:rsidR="00090DDF">
        <w:t>p</w:t>
      </w:r>
      <w:r w:rsidR="00A35276" w:rsidRPr="009A0E7B">
        <w:t xml:space="preserve">eriod in which they continued to receive the same trial treatment as during the </w:t>
      </w:r>
      <w:r w:rsidR="00090DDF">
        <w:t>i</w:t>
      </w:r>
      <w:r w:rsidR="00A35276" w:rsidRPr="009A0E7B">
        <w:t xml:space="preserve">nduction </w:t>
      </w:r>
      <w:r w:rsidR="00090DDF">
        <w:t>p</w:t>
      </w:r>
      <w:r w:rsidR="00A35276" w:rsidRPr="009A0E7B">
        <w:t>eriod.</w:t>
      </w:r>
    </w:p>
    <w:p w14:paraId="1A6A2ECD" w14:textId="037747E8" w:rsidR="003915B0" w:rsidRPr="009A0E7B" w:rsidRDefault="003915B0" w:rsidP="00A35276">
      <w:pPr>
        <w:pStyle w:val="3-BodyText"/>
      </w:pPr>
      <w:r w:rsidRPr="009A0E7B">
        <w:t>True North was the largest trial (induction phase N = 1,012; maintenance phase N = 526), while Touchstone was comparatively small, with only 132 patients in the OZA 0.92 mg and placebo groups at induction, and 67 patients in the maintenance phase.</w:t>
      </w:r>
    </w:p>
    <w:p w14:paraId="5E182466" w14:textId="531640EC" w:rsidR="007D46F6" w:rsidRPr="009A0E7B" w:rsidRDefault="007D46F6" w:rsidP="00442E25">
      <w:pPr>
        <w:pStyle w:val="3-BodyText"/>
      </w:pPr>
      <w:r w:rsidRPr="009A0E7B">
        <w:t xml:space="preserve">All the IFX trials (ACT1, ACT2, </w:t>
      </w:r>
      <w:r w:rsidRPr="009A0E7B">
        <w:rPr>
          <w:bCs/>
          <w:iCs/>
        </w:rPr>
        <w:t>Kobayashi 2016</w:t>
      </w:r>
      <w:r w:rsidRPr="009A0E7B">
        <w:rPr>
          <w:iCs/>
        </w:rPr>
        <w:t xml:space="preserve">, Jiang 2015 and REMICADE) have previously been reviewed by the PBAC. </w:t>
      </w:r>
      <w:r w:rsidR="00C217A0">
        <w:rPr>
          <w:iCs/>
        </w:rPr>
        <w:t>Of the secondary comparators, trials have also been previously reviewed by the PBAC for ADA, GOL and VED.</w:t>
      </w:r>
    </w:p>
    <w:p w14:paraId="73C9EFB7" w14:textId="2291C383" w:rsidR="00FA6D3A" w:rsidRPr="009A0E7B" w:rsidRDefault="007D46F6" w:rsidP="00442E25">
      <w:pPr>
        <w:pStyle w:val="3-BodyText"/>
      </w:pPr>
      <w:r w:rsidRPr="009A0E7B">
        <w:rPr>
          <w:snapToGrid/>
        </w:rPr>
        <w:t>Details of the studies presented in th</w:t>
      </w:r>
      <w:r w:rsidR="00D70B3A" w:rsidRPr="009A0E7B">
        <w:rPr>
          <w:snapToGrid/>
        </w:rPr>
        <w:t>e submission are provided in Table 2</w:t>
      </w:r>
      <w:r w:rsidRPr="009A0E7B">
        <w:rPr>
          <w:snapToGrid/>
        </w:rPr>
        <w:t>.</w:t>
      </w:r>
      <w:r w:rsidR="00FA6D3A" w:rsidRPr="009A0E7B">
        <w:rPr>
          <w:snapToGrid/>
        </w:rPr>
        <w:t xml:space="preserve"> </w:t>
      </w:r>
      <w:r w:rsidR="00C217A0">
        <w:rPr>
          <w:snapToGrid/>
        </w:rPr>
        <w:t>The TOF study is included in the tables below, as part of the secondary comparison, as it has not been previously reviewed by the PBAC.</w:t>
      </w:r>
    </w:p>
    <w:p w14:paraId="24FE25E9" w14:textId="303071E9" w:rsidR="00FA6D3A" w:rsidRPr="009A0E7B" w:rsidRDefault="00FA6D3A" w:rsidP="00A43126">
      <w:pPr>
        <w:pStyle w:val="TableFigureHeading"/>
        <w:rPr>
          <w:rStyle w:val="CommentReference"/>
          <w:b/>
          <w:szCs w:val="24"/>
        </w:rPr>
      </w:pPr>
      <w:r w:rsidRPr="009A0E7B">
        <w:lastRenderedPageBreak/>
        <w:t xml:space="preserve">Table </w:t>
      </w:r>
      <w:fldSimple w:instr=" SEQ Table \* ARABIC ">
        <w:r w:rsidR="00931536">
          <w:rPr>
            <w:noProof/>
          </w:rPr>
          <w:t>2</w:t>
        </w:r>
      </w:fldSimple>
      <w:r w:rsidRPr="009A0E7B">
        <w:t xml:space="preserve">: </w:t>
      </w:r>
      <w:r w:rsidRPr="009A0E7B">
        <w:rPr>
          <w:rStyle w:val="CommentReference"/>
          <w:b/>
          <w:szCs w:val="24"/>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4"/>
        <w:gridCol w:w="5342"/>
        <w:gridCol w:w="2231"/>
      </w:tblGrid>
      <w:tr w:rsidR="00FA6D3A" w:rsidRPr="009A0E7B" w14:paraId="70109ED6" w14:textId="77777777" w:rsidTr="005E44AB">
        <w:trPr>
          <w:tblHeader/>
        </w:trPr>
        <w:tc>
          <w:tcPr>
            <w:tcW w:w="801" w:type="pct"/>
            <w:vAlign w:val="center"/>
          </w:tcPr>
          <w:p w14:paraId="45011ACF" w14:textId="77777777" w:rsidR="00FA6D3A" w:rsidRPr="009A0E7B" w:rsidRDefault="00FA6D3A" w:rsidP="00A43126">
            <w:pPr>
              <w:keepNext/>
              <w:jc w:val="left"/>
              <w:rPr>
                <w:rFonts w:ascii="Arial Narrow" w:eastAsiaTheme="majorEastAsia" w:hAnsi="Arial Narrow" w:cs="Times New Roman"/>
                <w:b/>
                <w:sz w:val="20"/>
              </w:rPr>
            </w:pPr>
            <w:r w:rsidRPr="009A0E7B">
              <w:rPr>
                <w:rFonts w:ascii="Arial Narrow" w:eastAsiaTheme="majorEastAsia" w:hAnsi="Arial Narrow" w:cs="Times New Roman"/>
                <w:b/>
                <w:sz w:val="20"/>
              </w:rPr>
              <w:t>Trial ID</w:t>
            </w:r>
          </w:p>
        </w:tc>
        <w:tc>
          <w:tcPr>
            <w:tcW w:w="2962" w:type="pct"/>
            <w:vAlign w:val="center"/>
          </w:tcPr>
          <w:p w14:paraId="566E55C2" w14:textId="77777777" w:rsidR="00FA6D3A" w:rsidRPr="009A0E7B" w:rsidRDefault="00FA6D3A" w:rsidP="00A43126">
            <w:pPr>
              <w:keepNext/>
              <w:jc w:val="left"/>
              <w:rPr>
                <w:rFonts w:ascii="Arial Narrow" w:eastAsiaTheme="majorEastAsia" w:hAnsi="Arial Narrow" w:cs="Times New Roman"/>
                <w:b/>
                <w:sz w:val="20"/>
              </w:rPr>
            </w:pPr>
            <w:r w:rsidRPr="009A0E7B">
              <w:rPr>
                <w:rFonts w:ascii="Arial Narrow" w:eastAsiaTheme="majorEastAsia" w:hAnsi="Arial Narrow" w:cs="Times New Roman"/>
                <w:b/>
                <w:sz w:val="20"/>
              </w:rPr>
              <w:t>Protocol title/ Publication title</w:t>
            </w:r>
          </w:p>
        </w:tc>
        <w:tc>
          <w:tcPr>
            <w:tcW w:w="1237" w:type="pct"/>
            <w:vAlign w:val="center"/>
          </w:tcPr>
          <w:p w14:paraId="61DCD628" w14:textId="77777777" w:rsidR="00FA6D3A" w:rsidRPr="009A0E7B" w:rsidRDefault="00FA6D3A" w:rsidP="00A43126">
            <w:pPr>
              <w:keepNext/>
              <w:jc w:val="left"/>
              <w:rPr>
                <w:rFonts w:ascii="Arial Narrow" w:eastAsiaTheme="majorEastAsia" w:hAnsi="Arial Narrow" w:cs="Times New Roman"/>
                <w:b/>
                <w:sz w:val="20"/>
              </w:rPr>
            </w:pPr>
            <w:r w:rsidRPr="009A0E7B">
              <w:rPr>
                <w:rFonts w:ascii="Arial Narrow" w:eastAsiaTheme="majorEastAsia" w:hAnsi="Arial Narrow" w:cs="Times New Roman"/>
                <w:b/>
                <w:sz w:val="20"/>
              </w:rPr>
              <w:t>Publication citation</w:t>
            </w:r>
          </w:p>
        </w:tc>
      </w:tr>
      <w:tr w:rsidR="00C217A0" w:rsidRPr="009A0E7B" w14:paraId="54909825" w14:textId="77777777" w:rsidTr="001859C7">
        <w:tc>
          <w:tcPr>
            <w:tcW w:w="5000" w:type="pct"/>
            <w:gridSpan w:val="3"/>
            <w:vAlign w:val="center"/>
          </w:tcPr>
          <w:p w14:paraId="6BF5ECF6" w14:textId="5026EC71" w:rsidR="00C217A0" w:rsidRPr="009A0E7B" w:rsidRDefault="00C217A0" w:rsidP="00A43126">
            <w:pPr>
              <w:keepNext/>
              <w:jc w:val="left"/>
              <w:rPr>
                <w:rFonts w:ascii="Arial Narrow" w:eastAsiaTheme="majorEastAsia" w:hAnsi="Arial Narrow" w:cs="Times New Roman"/>
                <w:b/>
                <w:sz w:val="20"/>
              </w:rPr>
            </w:pPr>
            <w:r>
              <w:rPr>
                <w:rFonts w:ascii="Arial Narrow" w:eastAsiaTheme="majorEastAsia" w:hAnsi="Arial Narrow" w:cs="Times New Roman"/>
                <w:b/>
                <w:sz w:val="20"/>
              </w:rPr>
              <w:t>Primary comparison</w:t>
            </w:r>
          </w:p>
        </w:tc>
      </w:tr>
      <w:tr w:rsidR="00FA6D3A" w:rsidRPr="009A0E7B" w14:paraId="4AD47E2F" w14:textId="77777777" w:rsidTr="001859C7">
        <w:tc>
          <w:tcPr>
            <w:tcW w:w="5000" w:type="pct"/>
            <w:gridSpan w:val="3"/>
            <w:vAlign w:val="center"/>
          </w:tcPr>
          <w:p w14:paraId="48AA5D92" w14:textId="0510C0C9" w:rsidR="00FA6D3A" w:rsidRPr="009A0E7B" w:rsidRDefault="00FA6D3A" w:rsidP="00A43126">
            <w:pPr>
              <w:keepNext/>
              <w:jc w:val="left"/>
              <w:rPr>
                <w:rFonts w:ascii="Arial Narrow" w:eastAsiaTheme="majorEastAsia" w:hAnsi="Arial Narrow" w:cs="Times New Roman"/>
                <w:b/>
                <w:sz w:val="20"/>
              </w:rPr>
            </w:pPr>
            <w:r w:rsidRPr="009A0E7B">
              <w:rPr>
                <w:rFonts w:ascii="Arial Narrow" w:eastAsiaTheme="majorEastAsia" w:hAnsi="Arial Narrow" w:cs="Times New Roman"/>
                <w:b/>
                <w:sz w:val="20"/>
              </w:rPr>
              <w:t xml:space="preserve">OZA </w:t>
            </w:r>
            <w:r w:rsidR="00A4760E" w:rsidRPr="009A0E7B">
              <w:rPr>
                <w:rFonts w:ascii="Arial Narrow" w:eastAsiaTheme="majorEastAsia" w:hAnsi="Arial Narrow" w:cs="Times New Roman"/>
                <w:b/>
                <w:sz w:val="20"/>
              </w:rPr>
              <w:t>vs.</w:t>
            </w:r>
            <w:r w:rsidRPr="009A0E7B">
              <w:rPr>
                <w:rFonts w:ascii="Arial Narrow" w:eastAsiaTheme="majorEastAsia" w:hAnsi="Arial Narrow" w:cs="Times New Roman"/>
                <w:b/>
                <w:sz w:val="20"/>
              </w:rPr>
              <w:t xml:space="preserve"> placebo</w:t>
            </w:r>
          </w:p>
        </w:tc>
      </w:tr>
      <w:tr w:rsidR="00FA6D3A" w:rsidRPr="009A0E7B" w14:paraId="7A856B6A" w14:textId="77777777" w:rsidTr="001859C7">
        <w:trPr>
          <w:trHeight w:val="932"/>
        </w:trPr>
        <w:tc>
          <w:tcPr>
            <w:tcW w:w="801" w:type="pct"/>
            <w:vMerge w:val="restart"/>
            <w:vAlign w:val="center"/>
          </w:tcPr>
          <w:p w14:paraId="54F9AA3D"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hAnsi="Arial Narrow"/>
                <w:sz w:val="20"/>
                <w:szCs w:val="20"/>
              </w:rPr>
              <w:t>True North (NCT02435992)</w:t>
            </w:r>
          </w:p>
        </w:tc>
        <w:tc>
          <w:tcPr>
            <w:tcW w:w="2962" w:type="pct"/>
            <w:tcBorders>
              <w:bottom w:val="nil"/>
            </w:tcBorders>
          </w:tcPr>
          <w:p w14:paraId="0904C5D9" w14:textId="77777777" w:rsidR="00FA6D3A" w:rsidRPr="009A0E7B" w:rsidRDefault="00FA6D3A" w:rsidP="00405503">
            <w:pPr>
              <w:contextualSpacing/>
              <w:jc w:val="left"/>
              <w:rPr>
                <w:rFonts w:ascii="Arial Narrow" w:hAnsi="Arial Narrow"/>
                <w:sz w:val="20"/>
                <w:szCs w:val="20"/>
              </w:rPr>
            </w:pPr>
            <w:r w:rsidRPr="009A0E7B">
              <w:rPr>
                <w:rFonts w:ascii="Arial Narrow" w:hAnsi="Arial Narrow"/>
                <w:sz w:val="20"/>
                <w:szCs w:val="20"/>
              </w:rPr>
              <w:t xml:space="preserve">True North Clinical Study Report, Statistical Analysis </w:t>
            </w:r>
            <w:proofErr w:type="gramStart"/>
            <w:r w:rsidRPr="009A0E7B">
              <w:rPr>
                <w:rFonts w:ascii="Arial Narrow" w:hAnsi="Arial Narrow"/>
                <w:sz w:val="20"/>
                <w:szCs w:val="20"/>
              </w:rPr>
              <w:t>Plan</w:t>
            </w:r>
            <w:proofErr w:type="gramEnd"/>
            <w:r w:rsidRPr="009A0E7B">
              <w:rPr>
                <w:rFonts w:ascii="Arial Narrow" w:hAnsi="Arial Narrow"/>
                <w:sz w:val="20"/>
                <w:szCs w:val="20"/>
              </w:rPr>
              <w:t xml:space="preserve"> and related documents </w:t>
            </w:r>
          </w:p>
        </w:tc>
        <w:tc>
          <w:tcPr>
            <w:tcW w:w="1237" w:type="pct"/>
            <w:tcBorders>
              <w:bottom w:val="nil"/>
            </w:tcBorders>
          </w:tcPr>
          <w:p w14:paraId="1726C796"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hAnsi="Arial Narrow"/>
                <w:i/>
                <w:iCs/>
                <w:sz w:val="20"/>
                <w:szCs w:val="20"/>
              </w:rPr>
              <w:t>29 October 2020</w:t>
            </w:r>
          </w:p>
          <w:p w14:paraId="45C39058" w14:textId="77777777" w:rsidR="00FA6D3A" w:rsidRPr="009A0E7B" w:rsidRDefault="00FA6D3A" w:rsidP="00405503">
            <w:pPr>
              <w:jc w:val="left"/>
              <w:rPr>
                <w:rFonts w:ascii="Arial Narrow" w:eastAsiaTheme="majorEastAsia" w:hAnsi="Arial Narrow" w:cs="Times New Roman"/>
                <w:bCs/>
                <w:sz w:val="20"/>
                <w:szCs w:val="20"/>
              </w:rPr>
            </w:pPr>
          </w:p>
        </w:tc>
      </w:tr>
      <w:tr w:rsidR="00FA6D3A" w:rsidRPr="009A0E7B" w14:paraId="39E842C0" w14:textId="77777777" w:rsidTr="001859C7">
        <w:trPr>
          <w:trHeight w:val="509"/>
        </w:trPr>
        <w:tc>
          <w:tcPr>
            <w:tcW w:w="801" w:type="pct"/>
            <w:vMerge/>
            <w:vAlign w:val="center"/>
          </w:tcPr>
          <w:p w14:paraId="6B76AD7A" w14:textId="77777777" w:rsidR="00FA6D3A" w:rsidRPr="009A0E7B" w:rsidRDefault="00FA6D3A" w:rsidP="00405503">
            <w:pPr>
              <w:jc w:val="left"/>
              <w:rPr>
                <w:rFonts w:ascii="Arial Narrow" w:eastAsiaTheme="majorEastAsia" w:hAnsi="Arial Narrow" w:cs="Times New Roman"/>
                <w:bCs/>
                <w:sz w:val="20"/>
                <w:szCs w:val="20"/>
              </w:rPr>
            </w:pPr>
          </w:p>
        </w:tc>
        <w:tc>
          <w:tcPr>
            <w:tcW w:w="2962" w:type="pct"/>
            <w:tcBorders>
              <w:top w:val="nil"/>
              <w:bottom w:val="nil"/>
            </w:tcBorders>
          </w:tcPr>
          <w:p w14:paraId="42EA17C8" w14:textId="77777777" w:rsidR="00FA6D3A" w:rsidRPr="009A0E7B" w:rsidRDefault="00FA6D3A" w:rsidP="00405503">
            <w:pPr>
              <w:contextualSpacing/>
              <w:jc w:val="left"/>
              <w:rPr>
                <w:rFonts w:ascii="Arial Narrow" w:hAnsi="Arial Narrow"/>
                <w:sz w:val="20"/>
                <w:szCs w:val="20"/>
              </w:rPr>
            </w:pPr>
            <w:proofErr w:type="spellStart"/>
            <w:r w:rsidRPr="009A0E7B">
              <w:rPr>
                <w:rFonts w:ascii="Arial Narrow" w:hAnsi="Arial Narrow"/>
                <w:sz w:val="20"/>
                <w:szCs w:val="20"/>
              </w:rPr>
              <w:t>Sandborn</w:t>
            </w:r>
            <w:proofErr w:type="spellEnd"/>
            <w:r w:rsidRPr="009A0E7B">
              <w:rPr>
                <w:rFonts w:ascii="Arial Narrow" w:hAnsi="Arial Narrow"/>
                <w:sz w:val="20"/>
                <w:szCs w:val="20"/>
              </w:rPr>
              <w:t xml:space="preserve"> W, </w:t>
            </w:r>
            <w:proofErr w:type="spellStart"/>
            <w:r w:rsidRPr="009A0E7B">
              <w:rPr>
                <w:rFonts w:ascii="Arial Narrow" w:hAnsi="Arial Narrow"/>
                <w:sz w:val="20"/>
                <w:szCs w:val="20"/>
              </w:rPr>
              <w:t>Feagan</w:t>
            </w:r>
            <w:proofErr w:type="spellEnd"/>
            <w:r w:rsidRPr="009A0E7B">
              <w:rPr>
                <w:rFonts w:ascii="Arial Narrow" w:hAnsi="Arial Narrow"/>
                <w:sz w:val="20"/>
                <w:szCs w:val="20"/>
              </w:rPr>
              <w:t xml:space="preserve"> B, </w:t>
            </w:r>
            <w:proofErr w:type="spellStart"/>
            <w:r w:rsidRPr="009A0E7B">
              <w:rPr>
                <w:rFonts w:ascii="Arial Narrow" w:hAnsi="Arial Narrow"/>
                <w:sz w:val="20"/>
                <w:szCs w:val="20"/>
              </w:rPr>
              <w:t>D'Haens</w:t>
            </w:r>
            <w:proofErr w:type="spellEnd"/>
            <w:r w:rsidRPr="009A0E7B">
              <w:rPr>
                <w:rFonts w:ascii="Arial Narrow" w:hAnsi="Arial Narrow"/>
                <w:sz w:val="20"/>
                <w:szCs w:val="20"/>
              </w:rPr>
              <w:t xml:space="preserve"> G, Wolf D et al. Ozanimod as Induction and Maintenance Therapy for Ulcerative Colitis.</w:t>
            </w:r>
          </w:p>
        </w:tc>
        <w:tc>
          <w:tcPr>
            <w:tcW w:w="1237" w:type="pct"/>
            <w:tcBorders>
              <w:top w:val="nil"/>
              <w:bottom w:val="nil"/>
            </w:tcBorders>
          </w:tcPr>
          <w:p w14:paraId="299F343E"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hAnsi="Arial Narrow"/>
                <w:i/>
                <w:iCs/>
                <w:sz w:val="20"/>
                <w:szCs w:val="20"/>
              </w:rPr>
              <w:t xml:space="preserve">New England Journal of Medicine 2021; </w:t>
            </w:r>
            <w:r w:rsidRPr="009A0E7B">
              <w:rPr>
                <w:rFonts w:ascii="Arial Narrow" w:hAnsi="Arial Narrow"/>
                <w:sz w:val="20"/>
                <w:szCs w:val="20"/>
              </w:rPr>
              <w:t>385: 1280-1291</w:t>
            </w:r>
            <w:r w:rsidRPr="009A0E7B">
              <w:rPr>
                <w:rFonts w:ascii="Arial Narrow" w:eastAsiaTheme="majorEastAsia" w:hAnsi="Arial Narrow" w:cs="Times New Roman"/>
                <w:bCs/>
                <w:sz w:val="20"/>
                <w:szCs w:val="20"/>
              </w:rPr>
              <w:t>.</w:t>
            </w:r>
          </w:p>
          <w:p w14:paraId="5BA3E72B" w14:textId="77777777" w:rsidR="00FA6D3A" w:rsidRPr="009A0E7B" w:rsidRDefault="00FA6D3A" w:rsidP="00405503">
            <w:pPr>
              <w:jc w:val="left"/>
              <w:rPr>
                <w:rFonts w:ascii="Arial Narrow" w:eastAsiaTheme="majorEastAsia" w:hAnsi="Arial Narrow" w:cs="Times New Roman"/>
                <w:bCs/>
                <w:sz w:val="20"/>
                <w:szCs w:val="20"/>
              </w:rPr>
            </w:pPr>
          </w:p>
        </w:tc>
      </w:tr>
      <w:tr w:rsidR="00FA6D3A" w:rsidRPr="009A0E7B" w14:paraId="2D9C378D" w14:textId="77777777" w:rsidTr="001859C7">
        <w:tc>
          <w:tcPr>
            <w:tcW w:w="801" w:type="pct"/>
            <w:vMerge w:val="restart"/>
            <w:vAlign w:val="center"/>
          </w:tcPr>
          <w:p w14:paraId="1E558955"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eastAsiaTheme="majorEastAsia" w:hAnsi="Arial Narrow" w:cs="Times New Roman"/>
                <w:bCs/>
                <w:sz w:val="20"/>
                <w:szCs w:val="20"/>
              </w:rPr>
              <w:t>Touchstone (NCT01647516)</w:t>
            </w:r>
          </w:p>
        </w:tc>
        <w:tc>
          <w:tcPr>
            <w:tcW w:w="2962" w:type="pct"/>
            <w:tcBorders>
              <w:bottom w:val="nil"/>
            </w:tcBorders>
          </w:tcPr>
          <w:p w14:paraId="52824397" w14:textId="77777777" w:rsidR="00FA6D3A" w:rsidRPr="009A0E7B" w:rsidRDefault="00FA6D3A" w:rsidP="00405503">
            <w:pPr>
              <w:jc w:val="left"/>
              <w:rPr>
                <w:rFonts w:ascii="Arial Narrow" w:hAnsi="Arial Narrow" w:cs="Times New Roman"/>
                <w:bCs/>
                <w:sz w:val="20"/>
              </w:rPr>
            </w:pPr>
            <w:r w:rsidRPr="009A0E7B">
              <w:rPr>
                <w:rFonts w:ascii="Arial Narrow" w:hAnsi="Arial Narrow" w:cs="Times New Roman"/>
                <w:bCs/>
                <w:sz w:val="20"/>
              </w:rPr>
              <w:t xml:space="preserve">Touchstone Clinical Study Report, Statistical Analysis </w:t>
            </w:r>
            <w:proofErr w:type="gramStart"/>
            <w:r w:rsidRPr="009A0E7B">
              <w:rPr>
                <w:rFonts w:ascii="Arial Narrow" w:hAnsi="Arial Narrow" w:cs="Times New Roman"/>
                <w:bCs/>
                <w:sz w:val="20"/>
              </w:rPr>
              <w:t>Plan</w:t>
            </w:r>
            <w:proofErr w:type="gramEnd"/>
            <w:r w:rsidRPr="009A0E7B">
              <w:rPr>
                <w:rFonts w:ascii="Arial Narrow" w:hAnsi="Arial Narrow" w:cs="Times New Roman"/>
                <w:bCs/>
                <w:sz w:val="20"/>
              </w:rPr>
              <w:t xml:space="preserve"> and related documents</w:t>
            </w:r>
          </w:p>
        </w:tc>
        <w:tc>
          <w:tcPr>
            <w:tcW w:w="1237" w:type="pct"/>
            <w:tcBorders>
              <w:bottom w:val="nil"/>
            </w:tcBorders>
          </w:tcPr>
          <w:p w14:paraId="6A67DD28"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eastAsiaTheme="majorEastAsia" w:hAnsi="Arial Narrow" w:cs="Times New Roman"/>
                <w:bCs/>
                <w:sz w:val="20"/>
                <w:szCs w:val="20"/>
              </w:rPr>
              <w:t>04 November 2015</w:t>
            </w:r>
          </w:p>
        </w:tc>
      </w:tr>
      <w:tr w:rsidR="00FA6D3A" w:rsidRPr="009A0E7B" w14:paraId="1B91CB7B" w14:textId="77777777" w:rsidTr="001859C7">
        <w:tc>
          <w:tcPr>
            <w:tcW w:w="801" w:type="pct"/>
            <w:vMerge/>
            <w:tcBorders>
              <w:bottom w:val="double" w:sz="4" w:space="0" w:color="auto"/>
            </w:tcBorders>
            <w:vAlign w:val="center"/>
          </w:tcPr>
          <w:p w14:paraId="5D0BE4E7" w14:textId="77777777" w:rsidR="00FA6D3A" w:rsidRPr="009A0E7B" w:rsidRDefault="00FA6D3A" w:rsidP="00405503">
            <w:pPr>
              <w:jc w:val="left"/>
              <w:rPr>
                <w:rFonts w:ascii="Arial Narrow" w:eastAsiaTheme="majorEastAsia" w:hAnsi="Arial Narrow" w:cs="Times New Roman"/>
                <w:bCs/>
                <w:sz w:val="20"/>
                <w:szCs w:val="20"/>
              </w:rPr>
            </w:pPr>
          </w:p>
        </w:tc>
        <w:tc>
          <w:tcPr>
            <w:tcW w:w="2962" w:type="pct"/>
            <w:tcBorders>
              <w:top w:val="nil"/>
              <w:bottom w:val="double" w:sz="4" w:space="0" w:color="auto"/>
            </w:tcBorders>
          </w:tcPr>
          <w:p w14:paraId="2C59531A" w14:textId="77777777" w:rsidR="00FA6D3A" w:rsidRPr="009A0E7B" w:rsidRDefault="00FA6D3A" w:rsidP="00405503">
            <w:pPr>
              <w:contextualSpacing/>
              <w:jc w:val="left"/>
              <w:rPr>
                <w:rFonts w:ascii="Arial Narrow" w:hAnsi="Arial Narrow"/>
                <w:sz w:val="20"/>
                <w:szCs w:val="20"/>
              </w:rPr>
            </w:pPr>
            <w:proofErr w:type="spellStart"/>
            <w:r w:rsidRPr="009A0E7B">
              <w:rPr>
                <w:rFonts w:ascii="Arial Narrow" w:hAnsi="Arial Narrow"/>
                <w:sz w:val="20"/>
                <w:szCs w:val="20"/>
              </w:rPr>
              <w:t>Sandborn</w:t>
            </w:r>
            <w:proofErr w:type="spellEnd"/>
            <w:r w:rsidRPr="009A0E7B">
              <w:rPr>
                <w:rFonts w:ascii="Arial Narrow" w:hAnsi="Arial Narrow"/>
                <w:sz w:val="20"/>
                <w:szCs w:val="20"/>
              </w:rPr>
              <w:t xml:space="preserve"> W, </w:t>
            </w:r>
            <w:proofErr w:type="spellStart"/>
            <w:r w:rsidRPr="009A0E7B">
              <w:rPr>
                <w:rFonts w:ascii="Arial Narrow" w:hAnsi="Arial Narrow"/>
                <w:sz w:val="20"/>
                <w:szCs w:val="20"/>
              </w:rPr>
              <w:t>Feagan</w:t>
            </w:r>
            <w:proofErr w:type="spellEnd"/>
            <w:r w:rsidRPr="009A0E7B">
              <w:rPr>
                <w:rFonts w:ascii="Arial Narrow" w:hAnsi="Arial Narrow"/>
                <w:sz w:val="20"/>
                <w:szCs w:val="20"/>
              </w:rPr>
              <w:t xml:space="preserve"> B, Wolf D, </w:t>
            </w:r>
            <w:proofErr w:type="spellStart"/>
            <w:r w:rsidRPr="009A0E7B">
              <w:rPr>
                <w:rFonts w:ascii="Arial Narrow" w:hAnsi="Arial Narrow"/>
                <w:sz w:val="20"/>
                <w:szCs w:val="20"/>
              </w:rPr>
              <w:t>D'Haens</w:t>
            </w:r>
            <w:proofErr w:type="spellEnd"/>
            <w:r w:rsidRPr="009A0E7B">
              <w:rPr>
                <w:rFonts w:ascii="Arial Narrow" w:hAnsi="Arial Narrow"/>
                <w:sz w:val="20"/>
                <w:szCs w:val="20"/>
              </w:rPr>
              <w:t xml:space="preserve"> G, </w:t>
            </w:r>
            <w:proofErr w:type="spellStart"/>
            <w:r w:rsidRPr="009A0E7B">
              <w:rPr>
                <w:rFonts w:ascii="Arial Narrow" w:hAnsi="Arial Narrow"/>
                <w:sz w:val="20"/>
                <w:szCs w:val="20"/>
              </w:rPr>
              <w:t>Vermeire</w:t>
            </w:r>
            <w:proofErr w:type="spellEnd"/>
            <w:r w:rsidRPr="009A0E7B">
              <w:rPr>
                <w:rFonts w:ascii="Arial Narrow" w:hAnsi="Arial Narrow"/>
                <w:sz w:val="20"/>
                <w:szCs w:val="20"/>
              </w:rPr>
              <w:t xml:space="preserve"> S et al. Ozanimod Induction and maintenance Treatment for Ulcerative Colitis. </w:t>
            </w:r>
          </w:p>
        </w:tc>
        <w:tc>
          <w:tcPr>
            <w:tcW w:w="1237" w:type="pct"/>
            <w:tcBorders>
              <w:top w:val="nil"/>
              <w:bottom w:val="double" w:sz="4" w:space="0" w:color="auto"/>
            </w:tcBorders>
          </w:tcPr>
          <w:p w14:paraId="79D5D679" w14:textId="77777777" w:rsidR="00FA6D3A" w:rsidRPr="009A0E7B" w:rsidRDefault="00FA6D3A" w:rsidP="00405503">
            <w:pPr>
              <w:contextualSpacing/>
              <w:jc w:val="left"/>
              <w:rPr>
                <w:rFonts w:ascii="Arial Narrow" w:hAnsi="Arial Narrow"/>
                <w:i/>
                <w:sz w:val="20"/>
                <w:szCs w:val="20"/>
              </w:rPr>
            </w:pPr>
            <w:r w:rsidRPr="009A0E7B">
              <w:rPr>
                <w:rFonts w:ascii="Arial Narrow" w:hAnsi="Arial Narrow"/>
                <w:i/>
                <w:iCs/>
                <w:sz w:val="20"/>
                <w:szCs w:val="20"/>
              </w:rPr>
              <w:t>New England Journal of Medicine 2016;</w:t>
            </w:r>
            <w:r w:rsidRPr="009A0E7B">
              <w:rPr>
                <w:rFonts w:ascii="Arial Narrow" w:hAnsi="Arial Narrow"/>
                <w:sz w:val="20"/>
                <w:szCs w:val="20"/>
              </w:rPr>
              <w:t xml:space="preserve"> 374 (18): 1754-1762.</w:t>
            </w:r>
          </w:p>
        </w:tc>
      </w:tr>
      <w:tr w:rsidR="00FA6D3A" w:rsidRPr="009A0E7B" w14:paraId="558B881D" w14:textId="77777777" w:rsidTr="001859C7">
        <w:tc>
          <w:tcPr>
            <w:tcW w:w="5000" w:type="pct"/>
            <w:gridSpan w:val="3"/>
            <w:tcBorders>
              <w:bottom w:val="double" w:sz="4" w:space="0" w:color="auto"/>
            </w:tcBorders>
            <w:vAlign w:val="center"/>
          </w:tcPr>
          <w:p w14:paraId="4337FA56" w14:textId="6EA0EE35" w:rsidR="00FA6D3A" w:rsidRPr="009A0E7B" w:rsidRDefault="00FA6D3A" w:rsidP="00405503">
            <w:pPr>
              <w:contextualSpacing/>
              <w:jc w:val="left"/>
              <w:rPr>
                <w:rFonts w:ascii="Arial Narrow" w:hAnsi="Arial Narrow"/>
                <w:b/>
                <w:iCs/>
                <w:sz w:val="20"/>
                <w:szCs w:val="20"/>
              </w:rPr>
            </w:pPr>
            <w:r w:rsidRPr="009A0E7B">
              <w:rPr>
                <w:rFonts w:ascii="Arial Narrow" w:hAnsi="Arial Narrow"/>
                <w:b/>
                <w:iCs/>
                <w:sz w:val="20"/>
                <w:szCs w:val="20"/>
              </w:rPr>
              <w:t xml:space="preserve">IFX </w:t>
            </w:r>
            <w:r w:rsidR="00A4760E" w:rsidRPr="009A0E7B">
              <w:rPr>
                <w:rFonts w:ascii="Arial Narrow" w:hAnsi="Arial Narrow"/>
                <w:b/>
                <w:iCs/>
                <w:sz w:val="20"/>
                <w:szCs w:val="20"/>
              </w:rPr>
              <w:t>vs.</w:t>
            </w:r>
            <w:r w:rsidRPr="009A0E7B">
              <w:rPr>
                <w:rFonts w:ascii="Arial Narrow" w:hAnsi="Arial Narrow"/>
                <w:b/>
                <w:iCs/>
                <w:sz w:val="20"/>
                <w:szCs w:val="20"/>
              </w:rPr>
              <w:t xml:space="preserve"> placebo</w:t>
            </w:r>
          </w:p>
        </w:tc>
      </w:tr>
      <w:tr w:rsidR="00FA6D3A" w:rsidRPr="009A0E7B" w14:paraId="461442EF" w14:textId="77777777" w:rsidTr="001859C7">
        <w:tc>
          <w:tcPr>
            <w:tcW w:w="801" w:type="pct"/>
            <w:tcBorders>
              <w:top w:val="double" w:sz="4" w:space="0" w:color="auto"/>
            </w:tcBorders>
            <w:vAlign w:val="center"/>
          </w:tcPr>
          <w:p w14:paraId="64F19653" w14:textId="77777777" w:rsidR="00FA6D3A" w:rsidRPr="009A0E7B" w:rsidRDefault="00FA6D3A" w:rsidP="00405503">
            <w:pPr>
              <w:jc w:val="left"/>
              <w:rPr>
                <w:rFonts w:ascii="Arial Narrow" w:hAnsi="Arial Narrow"/>
                <w:sz w:val="20"/>
                <w:szCs w:val="20"/>
              </w:rPr>
            </w:pPr>
            <w:r w:rsidRPr="009A0E7B">
              <w:rPr>
                <w:rFonts w:ascii="Arial Narrow" w:hAnsi="Arial Narrow"/>
                <w:sz w:val="20"/>
                <w:szCs w:val="20"/>
              </w:rPr>
              <w:t>ACT 1 (</w:t>
            </w:r>
            <w:proofErr w:type="spellStart"/>
            <w:r w:rsidRPr="009A0E7B">
              <w:rPr>
                <w:rFonts w:ascii="Arial Narrow" w:hAnsi="Arial Narrow"/>
                <w:sz w:val="20"/>
                <w:szCs w:val="20"/>
              </w:rPr>
              <w:t>Rutgeerts</w:t>
            </w:r>
            <w:proofErr w:type="spellEnd"/>
            <w:r w:rsidRPr="009A0E7B">
              <w:rPr>
                <w:rFonts w:ascii="Arial Narrow" w:hAnsi="Arial Narrow"/>
                <w:sz w:val="20"/>
                <w:szCs w:val="20"/>
              </w:rPr>
              <w:t xml:space="preserve"> 2005, NCT00036439)</w:t>
            </w:r>
          </w:p>
          <w:p w14:paraId="2320ED88" w14:textId="77777777" w:rsidR="00FA6D3A" w:rsidRPr="009A0E7B" w:rsidRDefault="00FA6D3A" w:rsidP="00405503">
            <w:pPr>
              <w:jc w:val="left"/>
              <w:rPr>
                <w:rFonts w:ascii="Arial Narrow" w:hAnsi="Arial Narrow"/>
                <w:sz w:val="20"/>
                <w:szCs w:val="20"/>
              </w:rPr>
            </w:pPr>
          </w:p>
          <w:p w14:paraId="41454C27"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eastAsiaTheme="majorEastAsia" w:hAnsi="Arial Narrow" w:cs="Times New Roman"/>
                <w:bCs/>
                <w:sz w:val="20"/>
                <w:szCs w:val="20"/>
              </w:rPr>
              <w:t>ACT 2 (</w:t>
            </w:r>
            <w:proofErr w:type="spellStart"/>
            <w:r w:rsidRPr="009A0E7B">
              <w:rPr>
                <w:rFonts w:ascii="Arial Narrow" w:eastAsiaTheme="majorEastAsia" w:hAnsi="Arial Narrow" w:cs="Times New Roman"/>
                <w:bCs/>
                <w:sz w:val="20"/>
                <w:szCs w:val="20"/>
              </w:rPr>
              <w:t>Rutgeerts</w:t>
            </w:r>
            <w:proofErr w:type="spellEnd"/>
            <w:r w:rsidRPr="009A0E7B">
              <w:rPr>
                <w:rFonts w:ascii="Arial Narrow" w:eastAsiaTheme="majorEastAsia" w:hAnsi="Arial Narrow" w:cs="Times New Roman"/>
                <w:bCs/>
                <w:sz w:val="20"/>
                <w:szCs w:val="20"/>
              </w:rPr>
              <w:t xml:space="preserve"> 2005, NCT00096655)</w:t>
            </w:r>
          </w:p>
        </w:tc>
        <w:tc>
          <w:tcPr>
            <w:tcW w:w="2962" w:type="pct"/>
            <w:tcBorders>
              <w:top w:val="double" w:sz="4" w:space="0" w:color="auto"/>
            </w:tcBorders>
          </w:tcPr>
          <w:p w14:paraId="1A875487" w14:textId="77777777" w:rsidR="00FA6D3A" w:rsidRPr="009A0E7B" w:rsidRDefault="00FA6D3A" w:rsidP="00405503">
            <w:pPr>
              <w:jc w:val="left"/>
              <w:rPr>
                <w:rFonts w:ascii="Arial Narrow" w:eastAsiaTheme="majorEastAsia" w:hAnsi="Arial Narrow" w:cs="Times New Roman"/>
                <w:bCs/>
                <w:sz w:val="20"/>
                <w:szCs w:val="20"/>
              </w:rPr>
            </w:pPr>
            <w:proofErr w:type="spellStart"/>
            <w:r w:rsidRPr="009A0E7B">
              <w:rPr>
                <w:rFonts w:ascii="Arial Narrow" w:eastAsiaTheme="majorEastAsia" w:hAnsi="Arial Narrow" w:cs="Times New Roman"/>
                <w:bCs/>
                <w:sz w:val="20"/>
                <w:szCs w:val="20"/>
              </w:rPr>
              <w:t>Rutgeerts</w:t>
            </w:r>
            <w:proofErr w:type="spellEnd"/>
            <w:r w:rsidRPr="009A0E7B">
              <w:rPr>
                <w:rFonts w:ascii="Arial Narrow" w:eastAsiaTheme="majorEastAsia" w:hAnsi="Arial Narrow" w:cs="Times New Roman"/>
                <w:bCs/>
                <w:sz w:val="20"/>
                <w:szCs w:val="20"/>
              </w:rPr>
              <w:t xml:space="preserve"> P, </w:t>
            </w:r>
            <w:proofErr w:type="spellStart"/>
            <w:r w:rsidRPr="009A0E7B">
              <w:rPr>
                <w:rFonts w:ascii="Arial Narrow" w:eastAsiaTheme="majorEastAsia" w:hAnsi="Arial Narrow" w:cs="Times New Roman"/>
                <w:bCs/>
                <w:sz w:val="20"/>
                <w:szCs w:val="20"/>
              </w:rPr>
              <w:t>Sandborn</w:t>
            </w:r>
            <w:proofErr w:type="spellEnd"/>
            <w:r w:rsidRPr="009A0E7B">
              <w:rPr>
                <w:rFonts w:ascii="Arial Narrow" w:eastAsiaTheme="majorEastAsia" w:hAnsi="Arial Narrow" w:cs="Times New Roman"/>
                <w:bCs/>
                <w:sz w:val="20"/>
                <w:szCs w:val="20"/>
              </w:rPr>
              <w:t xml:space="preserve"> WJ, </w:t>
            </w:r>
            <w:proofErr w:type="spellStart"/>
            <w:r w:rsidRPr="009A0E7B">
              <w:rPr>
                <w:rFonts w:ascii="Arial Narrow" w:eastAsiaTheme="majorEastAsia" w:hAnsi="Arial Narrow" w:cs="Times New Roman"/>
                <w:bCs/>
                <w:sz w:val="20"/>
                <w:szCs w:val="20"/>
              </w:rPr>
              <w:t>Feagan</w:t>
            </w:r>
            <w:proofErr w:type="spellEnd"/>
            <w:r w:rsidRPr="009A0E7B">
              <w:rPr>
                <w:rFonts w:ascii="Arial Narrow" w:eastAsiaTheme="majorEastAsia" w:hAnsi="Arial Narrow" w:cs="Times New Roman"/>
                <w:bCs/>
                <w:sz w:val="20"/>
                <w:szCs w:val="20"/>
              </w:rPr>
              <w:t xml:space="preserve"> BG, </w:t>
            </w:r>
            <w:proofErr w:type="spellStart"/>
            <w:r w:rsidRPr="009A0E7B">
              <w:rPr>
                <w:rFonts w:ascii="Arial Narrow" w:eastAsiaTheme="majorEastAsia" w:hAnsi="Arial Narrow" w:cs="Times New Roman"/>
                <w:bCs/>
                <w:sz w:val="20"/>
                <w:szCs w:val="20"/>
              </w:rPr>
              <w:t>Reinisch</w:t>
            </w:r>
            <w:proofErr w:type="spellEnd"/>
            <w:r w:rsidRPr="009A0E7B">
              <w:rPr>
                <w:rFonts w:ascii="Arial Narrow" w:eastAsiaTheme="majorEastAsia" w:hAnsi="Arial Narrow" w:cs="Times New Roman"/>
                <w:bCs/>
                <w:sz w:val="20"/>
                <w:szCs w:val="20"/>
              </w:rPr>
              <w:t xml:space="preserve"> W, Olson A et al. Infliximab for Induction and maintenance therapy for ulcerative colitis. </w:t>
            </w:r>
          </w:p>
        </w:tc>
        <w:tc>
          <w:tcPr>
            <w:tcW w:w="1237" w:type="pct"/>
            <w:tcBorders>
              <w:top w:val="double" w:sz="4" w:space="0" w:color="auto"/>
            </w:tcBorders>
          </w:tcPr>
          <w:p w14:paraId="54C28925"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eastAsiaTheme="majorEastAsia" w:hAnsi="Arial Narrow" w:cs="Times New Roman"/>
                <w:bCs/>
                <w:i/>
                <w:iCs/>
                <w:sz w:val="20"/>
                <w:szCs w:val="20"/>
              </w:rPr>
              <w:t>New England Journal of Medicine</w:t>
            </w:r>
            <w:r w:rsidRPr="009A0E7B">
              <w:rPr>
                <w:rFonts w:ascii="Arial Narrow" w:eastAsiaTheme="majorEastAsia" w:hAnsi="Arial Narrow" w:cs="Times New Roman"/>
                <w:bCs/>
                <w:sz w:val="20"/>
                <w:szCs w:val="20"/>
              </w:rPr>
              <w:t xml:space="preserve"> </w:t>
            </w:r>
            <w:r w:rsidRPr="009A0E7B">
              <w:rPr>
                <w:rFonts w:ascii="Arial Narrow" w:eastAsiaTheme="majorEastAsia" w:hAnsi="Arial Narrow" w:cs="Times New Roman"/>
                <w:bCs/>
                <w:i/>
                <w:iCs/>
                <w:sz w:val="20"/>
                <w:szCs w:val="20"/>
              </w:rPr>
              <w:t>2005</w:t>
            </w:r>
            <w:r w:rsidRPr="009A0E7B">
              <w:rPr>
                <w:rFonts w:ascii="Arial Narrow" w:eastAsiaTheme="majorEastAsia" w:hAnsi="Arial Narrow" w:cs="Times New Roman"/>
                <w:bCs/>
                <w:sz w:val="20"/>
                <w:szCs w:val="20"/>
              </w:rPr>
              <w:t>; 353 (23): 2462-2476.</w:t>
            </w:r>
          </w:p>
        </w:tc>
      </w:tr>
      <w:tr w:rsidR="00FA6D3A" w:rsidRPr="009A0E7B" w14:paraId="258293F5" w14:textId="77777777" w:rsidTr="001859C7">
        <w:tc>
          <w:tcPr>
            <w:tcW w:w="801" w:type="pct"/>
            <w:vAlign w:val="center"/>
          </w:tcPr>
          <w:p w14:paraId="12589348" w14:textId="77777777" w:rsidR="00FA6D3A" w:rsidRPr="009A0E7B" w:rsidRDefault="00FA6D3A" w:rsidP="00405503">
            <w:pPr>
              <w:jc w:val="left"/>
              <w:rPr>
                <w:rFonts w:ascii="Arial Narrow" w:eastAsiaTheme="majorEastAsia" w:hAnsi="Arial Narrow" w:cs="Times New Roman"/>
                <w:bCs/>
                <w:sz w:val="20"/>
                <w:szCs w:val="20"/>
              </w:rPr>
            </w:pPr>
            <w:r w:rsidRPr="009A0E7B">
              <w:rPr>
                <w:rFonts w:ascii="Arial Narrow" w:hAnsi="Arial Narrow"/>
                <w:sz w:val="20"/>
                <w:szCs w:val="20"/>
              </w:rPr>
              <w:t>Kobayashi 2016</w:t>
            </w:r>
          </w:p>
        </w:tc>
        <w:tc>
          <w:tcPr>
            <w:tcW w:w="2962" w:type="pct"/>
          </w:tcPr>
          <w:p w14:paraId="6B16FD6E" w14:textId="77777777" w:rsidR="00FA6D3A" w:rsidRPr="009A0E7B" w:rsidRDefault="00FA6D3A" w:rsidP="00405503">
            <w:pPr>
              <w:contextualSpacing/>
              <w:jc w:val="left"/>
              <w:rPr>
                <w:rFonts w:ascii="Arial Narrow" w:hAnsi="Arial Narrow"/>
                <w:sz w:val="20"/>
                <w:szCs w:val="20"/>
              </w:rPr>
            </w:pPr>
            <w:r w:rsidRPr="009A0E7B">
              <w:rPr>
                <w:rFonts w:ascii="Arial Narrow" w:hAnsi="Arial Narrow"/>
                <w:sz w:val="20"/>
                <w:szCs w:val="20"/>
              </w:rPr>
              <w:t xml:space="preserve">Kobayashi T, Suzuki Y, </w:t>
            </w:r>
            <w:proofErr w:type="spellStart"/>
            <w:r w:rsidRPr="009A0E7B">
              <w:rPr>
                <w:rFonts w:ascii="Arial Narrow" w:hAnsi="Arial Narrow"/>
                <w:sz w:val="20"/>
                <w:szCs w:val="20"/>
              </w:rPr>
              <w:t>Motoya</w:t>
            </w:r>
            <w:proofErr w:type="spellEnd"/>
            <w:r w:rsidRPr="009A0E7B">
              <w:rPr>
                <w:rFonts w:ascii="Arial Narrow" w:hAnsi="Arial Narrow"/>
                <w:sz w:val="20"/>
                <w:szCs w:val="20"/>
              </w:rPr>
              <w:t xml:space="preserve"> S, Hirai F, Ogata H et al. First trough level of infliximab at Week 2 predicts future outcomes of Induction therapy in ulcerative colitis-results from a multicentre </w:t>
            </w:r>
            <w:proofErr w:type="gramStart"/>
            <w:r w:rsidRPr="009A0E7B">
              <w:rPr>
                <w:rFonts w:ascii="Arial Narrow" w:hAnsi="Arial Narrow"/>
                <w:sz w:val="20"/>
                <w:szCs w:val="20"/>
              </w:rPr>
              <w:t>prospective</w:t>
            </w:r>
            <w:proofErr w:type="gramEnd"/>
            <w:r w:rsidRPr="009A0E7B">
              <w:rPr>
                <w:rFonts w:ascii="Arial Narrow" w:hAnsi="Arial Narrow"/>
                <w:sz w:val="20"/>
                <w:szCs w:val="20"/>
              </w:rPr>
              <w:t xml:space="preserve"> randomized controlled trial and its post-hoc analysis. </w:t>
            </w:r>
          </w:p>
        </w:tc>
        <w:tc>
          <w:tcPr>
            <w:tcW w:w="1237" w:type="pct"/>
          </w:tcPr>
          <w:p w14:paraId="6C0561B7" w14:textId="77777777" w:rsidR="00FA6D3A" w:rsidRPr="009A0E7B" w:rsidRDefault="00FA6D3A" w:rsidP="00405503">
            <w:pPr>
              <w:jc w:val="left"/>
              <w:rPr>
                <w:rFonts w:ascii="Arial Narrow" w:eastAsiaTheme="majorEastAsia" w:hAnsi="Arial Narrow" w:cs="Times New Roman"/>
                <w:bCs/>
                <w:i/>
                <w:sz w:val="20"/>
                <w:szCs w:val="20"/>
              </w:rPr>
            </w:pPr>
            <w:r w:rsidRPr="009A0E7B">
              <w:rPr>
                <w:rFonts w:ascii="Arial Narrow" w:hAnsi="Arial Narrow"/>
                <w:i/>
                <w:iCs/>
                <w:sz w:val="20"/>
                <w:szCs w:val="20"/>
              </w:rPr>
              <w:t>Journal of gastroenterology 2016;</w:t>
            </w:r>
            <w:r w:rsidRPr="009A0E7B">
              <w:rPr>
                <w:rFonts w:ascii="Arial Narrow" w:hAnsi="Arial Narrow"/>
                <w:sz w:val="20"/>
                <w:szCs w:val="20"/>
              </w:rPr>
              <w:t xml:space="preserve"> 51(3):241-51.</w:t>
            </w:r>
          </w:p>
        </w:tc>
      </w:tr>
      <w:tr w:rsidR="00FA6D3A" w:rsidRPr="009A0E7B" w14:paraId="48BE96C3" w14:textId="77777777" w:rsidTr="001859C7">
        <w:tc>
          <w:tcPr>
            <w:tcW w:w="801" w:type="pct"/>
          </w:tcPr>
          <w:p w14:paraId="1D72D5D4" w14:textId="77777777" w:rsidR="00FA6D3A" w:rsidRPr="009A0E7B" w:rsidRDefault="00FA6D3A" w:rsidP="00405503">
            <w:pPr>
              <w:jc w:val="left"/>
              <w:rPr>
                <w:rFonts w:ascii="Arial Narrow" w:hAnsi="Arial Narrow"/>
                <w:sz w:val="20"/>
                <w:szCs w:val="20"/>
              </w:rPr>
            </w:pPr>
            <w:r w:rsidRPr="009A0E7B">
              <w:rPr>
                <w:rFonts w:ascii="Arial Narrow" w:hAnsi="Arial Narrow"/>
                <w:sz w:val="20"/>
                <w:szCs w:val="21"/>
              </w:rPr>
              <w:t>Jiang 2015</w:t>
            </w:r>
          </w:p>
        </w:tc>
        <w:tc>
          <w:tcPr>
            <w:tcW w:w="2962" w:type="pct"/>
          </w:tcPr>
          <w:p w14:paraId="5981E5DA" w14:textId="77777777" w:rsidR="00FA6D3A" w:rsidRPr="009A0E7B" w:rsidRDefault="00FA6D3A" w:rsidP="00405503">
            <w:pPr>
              <w:contextualSpacing/>
              <w:jc w:val="left"/>
              <w:rPr>
                <w:rFonts w:ascii="Arial Narrow" w:hAnsi="Arial Narrow"/>
                <w:sz w:val="20"/>
                <w:szCs w:val="20"/>
              </w:rPr>
            </w:pPr>
            <w:r w:rsidRPr="009A0E7B">
              <w:rPr>
                <w:rFonts w:ascii="Arial Narrow" w:hAnsi="Arial Narrow"/>
                <w:sz w:val="20"/>
                <w:szCs w:val="21"/>
              </w:rPr>
              <w:t xml:space="preserve">Jiang XL, Cui HF, Gao J, Fan H Low-dose Infliximab for Induction and maintenance Treatment in Chinese Patients </w:t>
            </w:r>
            <w:proofErr w:type="gramStart"/>
            <w:r w:rsidRPr="009A0E7B">
              <w:rPr>
                <w:rFonts w:ascii="Arial Narrow" w:hAnsi="Arial Narrow"/>
                <w:sz w:val="20"/>
                <w:szCs w:val="21"/>
              </w:rPr>
              <w:t>With</w:t>
            </w:r>
            <w:proofErr w:type="gramEnd"/>
            <w:r w:rsidRPr="009A0E7B">
              <w:rPr>
                <w:rFonts w:ascii="Arial Narrow" w:hAnsi="Arial Narrow"/>
                <w:sz w:val="20"/>
                <w:szCs w:val="21"/>
              </w:rPr>
              <w:t xml:space="preserve"> Moderate to Severe Active Ulcerative Colitis. </w:t>
            </w:r>
          </w:p>
        </w:tc>
        <w:tc>
          <w:tcPr>
            <w:tcW w:w="1237" w:type="pct"/>
          </w:tcPr>
          <w:p w14:paraId="675BD31B" w14:textId="77777777" w:rsidR="00FA6D3A" w:rsidRPr="009A0E7B" w:rsidRDefault="00FA6D3A" w:rsidP="00405503">
            <w:pPr>
              <w:jc w:val="left"/>
              <w:rPr>
                <w:rFonts w:ascii="Arial Narrow" w:hAnsi="Arial Narrow"/>
                <w:i/>
                <w:iCs/>
                <w:sz w:val="20"/>
                <w:szCs w:val="20"/>
              </w:rPr>
            </w:pPr>
            <w:r w:rsidRPr="009A0E7B">
              <w:rPr>
                <w:rFonts w:ascii="Arial Narrow" w:hAnsi="Arial Narrow"/>
                <w:i/>
                <w:iCs/>
                <w:sz w:val="20"/>
                <w:szCs w:val="21"/>
              </w:rPr>
              <w:t>Journal of Clinical Gastroenterology 2015;</w:t>
            </w:r>
            <w:r w:rsidRPr="009A0E7B">
              <w:rPr>
                <w:rFonts w:ascii="Arial Narrow" w:hAnsi="Arial Narrow"/>
                <w:sz w:val="20"/>
                <w:szCs w:val="21"/>
              </w:rPr>
              <w:t xml:space="preserve"> 49 (7): 582-588.</w:t>
            </w:r>
          </w:p>
        </w:tc>
      </w:tr>
      <w:tr w:rsidR="00FA6D3A" w:rsidRPr="009A0E7B" w14:paraId="11D23AED" w14:textId="77777777" w:rsidTr="001859C7">
        <w:tc>
          <w:tcPr>
            <w:tcW w:w="801" w:type="pct"/>
          </w:tcPr>
          <w:p w14:paraId="52AA9C84" w14:textId="77777777" w:rsidR="00FA6D3A" w:rsidRPr="009A0E7B" w:rsidRDefault="00FA6D3A" w:rsidP="00405503">
            <w:pPr>
              <w:jc w:val="left"/>
              <w:rPr>
                <w:rFonts w:ascii="Arial Narrow" w:hAnsi="Arial Narrow"/>
                <w:sz w:val="20"/>
                <w:szCs w:val="20"/>
              </w:rPr>
            </w:pPr>
            <w:r w:rsidRPr="009A0E7B">
              <w:rPr>
                <w:rFonts w:ascii="Arial Narrow" w:hAnsi="Arial Narrow"/>
                <w:color w:val="222222"/>
                <w:sz w:val="20"/>
                <w:szCs w:val="21"/>
              </w:rPr>
              <w:t>REMICADE (NCT01551290)</w:t>
            </w:r>
          </w:p>
        </w:tc>
        <w:tc>
          <w:tcPr>
            <w:tcW w:w="2962" w:type="pct"/>
          </w:tcPr>
          <w:p w14:paraId="76436072" w14:textId="77777777" w:rsidR="00FA6D3A" w:rsidRPr="009A0E7B" w:rsidRDefault="00FA6D3A" w:rsidP="00405503">
            <w:pPr>
              <w:widowControl w:val="0"/>
              <w:spacing w:before="20"/>
              <w:rPr>
                <w:rFonts w:ascii="Arial Narrow" w:hAnsi="Arial Narrow"/>
                <w:color w:val="222222"/>
                <w:sz w:val="20"/>
                <w:szCs w:val="21"/>
                <w:lang w:eastAsia="en-US"/>
              </w:rPr>
            </w:pPr>
            <w:r w:rsidRPr="009A0E7B">
              <w:rPr>
                <w:rFonts w:ascii="Arial Narrow" w:hAnsi="Arial Narrow"/>
                <w:color w:val="222222"/>
                <w:sz w:val="20"/>
                <w:szCs w:val="21"/>
                <w:lang w:eastAsia="en-US"/>
              </w:rPr>
              <w:t xml:space="preserve">A Phase 3, Multicentre, Randomized, Double-Blind, Placebo-Controlled Study </w:t>
            </w:r>
          </w:p>
          <w:p w14:paraId="11D7F638" w14:textId="77777777" w:rsidR="00FA6D3A" w:rsidRPr="009A0E7B" w:rsidRDefault="00FA6D3A" w:rsidP="00405503">
            <w:pPr>
              <w:contextualSpacing/>
              <w:jc w:val="left"/>
              <w:rPr>
                <w:rFonts w:ascii="Arial Narrow" w:hAnsi="Arial Narrow"/>
                <w:sz w:val="20"/>
                <w:szCs w:val="20"/>
              </w:rPr>
            </w:pPr>
            <w:r w:rsidRPr="009A0E7B">
              <w:rPr>
                <w:rFonts w:ascii="Arial Narrow" w:hAnsi="Arial Narrow"/>
                <w:color w:val="222222"/>
                <w:sz w:val="20"/>
                <w:szCs w:val="21"/>
                <w:lang w:eastAsia="en-US"/>
              </w:rPr>
              <w:t xml:space="preserve">Evaluating the Efficacy and safety of Infliximab in Chinese Subjects </w:t>
            </w:r>
            <w:proofErr w:type="gramStart"/>
            <w:r w:rsidRPr="009A0E7B">
              <w:rPr>
                <w:rFonts w:ascii="Arial Narrow" w:hAnsi="Arial Narrow"/>
                <w:color w:val="222222"/>
                <w:sz w:val="20"/>
                <w:szCs w:val="21"/>
                <w:lang w:eastAsia="en-US"/>
              </w:rPr>
              <w:t>With</w:t>
            </w:r>
            <w:proofErr w:type="gramEnd"/>
            <w:r w:rsidRPr="009A0E7B">
              <w:rPr>
                <w:rFonts w:ascii="Arial Narrow" w:hAnsi="Arial Narrow"/>
                <w:color w:val="222222"/>
                <w:sz w:val="20"/>
                <w:szCs w:val="21"/>
                <w:lang w:eastAsia="en-US"/>
              </w:rPr>
              <w:t xml:space="preserve"> Active Ulcerative Colitis. </w:t>
            </w:r>
          </w:p>
        </w:tc>
        <w:tc>
          <w:tcPr>
            <w:tcW w:w="1237" w:type="pct"/>
          </w:tcPr>
          <w:p w14:paraId="250D7F1D" w14:textId="77777777" w:rsidR="00FA6D3A" w:rsidRPr="009A0E7B" w:rsidRDefault="00FA6D3A" w:rsidP="00405503">
            <w:pPr>
              <w:jc w:val="left"/>
              <w:rPr>
                <w:rFonts w:ascii="Arial Narrow" w:hAnsi="Arial Narrow"/>
                <w:i/>
                <w:iCs/>
                <w:sz w:val="20"/>
                <w:szCs w:val="20"/>
              </w:rPr>
            </w:pPr>
            <w:r w:rsidRPr="009A0E7B">
              <w:rPr>
                <w:rFonts w:ascii="Arial Narrow" w:hAnsi="Arial Narrow"/>
                <w:color w:val="222222"/>
                <w:sz w:val="20"/>
                <w:szCs w:val="21"/>
                <w:lang w:eastAsia="en-US"/>
              </w:rPr>
              <w:t>REMICADE Clinical Study Report Synopsis 21 October2014</w:t>
            </w:r>
          </w:p>
        </w:tc>
      </w:tr>
      <w:tr w:rsidR="00C217A0" w:rsidRPr="009A0E7B" w14:paraId="4FABB584" w14:textId="77777777" w:rsidTr="001859C7">
        <w:tc>
          <w:tcPr>
            <w:tcW w:w="5000" w:type="pct"/>
            <w:gridSpan w:val="3"/>
          </w:tcPr>
          <w:p w14:paraId="4435668B" w14:textId="7B9418D2" w:rsidR="00C217A0" w:rsidRPr="009A0E7B" w:rsidRDefault="00C217A0" w:rsidP="00405503">
            <w:pPr>
              <w:jc w:val="left"/>
              <w:rPr>
                <w:rFonts w:ascii="Arial Narrow" w:hAnsi="Arial Narrow"/>
                <w:b/>
                <w:color w:val="222222"/>
                <w:sz w:val="20"/>
                <w:szCs w:val="21"/>
                <w:lang w:eastAsia="en-US"/>
              </w:rPr>
            </w:pPr>
            <w:r>
              <w:rPr>
                <w:rFonts w:ascii="Arial Narrow" w:hAnsi="Arial Narrow"/>
                <w:b/>
                <w:color w:val="222222"/>
                <w:sz w:val="20"/>
                <w:szCs w:val="21"/>
                <w:lang w:eastAsia="en-US"/>
              </w:rPr>
              <w:t>Secondary comparison</w:t>
            </w:r>
          </w:p>
        </w:tc>
      </w:tr>
      <w:tr w:rsidR="005E44AB" w:rsidRPr="009A0E7B" w14:paraId="5EF7658B" w14:textId="549AC8FD" w:rsidTr="001859C7">
        <w:tc>
          <w:tcPr>
            <w:tcW w:w="5000" w:type="pct"/>
            <w:gridSpan w:val="3"/>
          </w:tcPr>
          <w:p w14:paraId="0311DA7B" w14:textId="61C16DB6" w:rsidR="005E44AB" w:rsidRPr="009A0E7B" w:rsidRDefault="005E44AB" w:rsidP="00405503">
            <w:pPr>
              <w:jc w:val="left"/>
              <w:rPr>
                <w:rFonts w:ascii="Arial Narrow" w:hAnsi="Arial Narrow"/>
                <w:b/>
                <w:color w:val="222222"/>
                <w:sz w:val="20"/>
                <w:szCs w:val="21"/>
                <w:lang w:eastAsia="en-US"/>
              </w:rPr>
            </w:pPr>
            <w:r w:rsidRPr="009A0E7B">
              <w:rPr>
                <w:rFonts w:ascii="Arial Narrow" w:hAnsi="Arial Narrow"/>
                <w:b/>
                <w:color w:val="222222"/>
                <w:sz w:val="20"/>
                <w:szCs w:val="21"/>
                <w:lang w:eastAsia="en-US"/>
              </w:rPr>
              <w:t xml:space="preserve">TOF </w:t>
            </w:r>
            <w:r w:rsidR="00A4760E" w:rsidRPr="009A0E7B">
              <w:rPr>
                <w:rFonts w:ascii="Arial Narrow" w:hAnsi="Arial Narrow"/>
                <w:b/>
                <w:color w:val="222222"/>
                <w:sz w:val="20"/>
                <w:szCs w:val="21"/>
                <w:lang w:eastAsia="en-US"/>
              </w:rPr>
              <w:t>vs.</w:t>
            </w:r>
            <w:r w:rsidRPr="009A0E7B">
              <w:rPr>
                <w:rFonts w:ascii="Arial Narrow" w:hAnsi="Arial Narrow"/>
                <w:b/>
                <w:color w:val="222222"/>
                <w:sz w:val="20"/>
                <w:szCs w:val="21"/>
                <w:lang w:eastAsia="en-US"/>
              </w:rPr>
              <w:t xml:space="preserve"> placebo</w:t>
            </w:r>
          </w:p>
        </w:tc>
      </w:tr>
      <w:tr w:rsidR="005E44AB" w:rsidRPr="009A0E7B" w14:paraId="4FC3E91E" w14:textId="06E82275" w:rsidTr="001859C7">
        <w:tc>
          <w:tcPr>
            <w:tcW w:w="801" w:type="pct"/>
          </w:tcPr>
          <w:p w14:paraId="632D2B74" w14:textId="74842AD6" w:rsidR="005E44AB" w:rsidRPr="009A0E7B" w:rsidRDefault="00037A5E" w:rsidP="00405503">
            <w:pPr>
              <w:jc w:val="left"/>
              <w:rPr>
                <w:rFonts w:ascii="Arial Narrow" w:hAnsi="Arial Narrow"/>
                <w:color w:val="222222"/>
                <w:sz w:val="20"/>
                <w:szCs w:val="21"/>
              </w:rPr>
            </w:pPr>
            <w:r w:rsidRPr="009A0E7B">
              <w:rPr>
                <w:rFonts w:ascii="Arial Narrow" w:hAnsi="Arial Narrow"/>
                <w:color w:val="222222"/>
                <w:sz w:val="20"/>
                <w:szCs w:val="21"/>
              </w:rPr>
              <w:t>Study A3921063</w:t>
            </w:r>
          </w:p>
        </w:tc>
        <w:tc>
          <w:tcPr>
            <w:tcW w:w="2962" w:type="pct"/>
          </w:tcPr>
          <w:p w14:paraId="56E8F4E7" w14:textId="0D6C4BC8" w:rsidR="005E44AB" w:rsidRPr="009A0E7B" w:rsidRDefault="005E44AB" w:rsidP="00405503">
            <w:pPr>
              <w:widowControl w:val="0"/>
              <w:spacing w:before="20"/>
              <w:rPr>
                <w:rFonts w:ascii="Arial Narrow" w:hAnsi="Arial Narrow"/>
                <w:color w:val="222222"/>
                <w:sz w:val="20"/>
                <w:szCs w:val="21"/>
                <w:lang w:eastAsia="en-US"/>
              </w:rPr>
            </w:pPr>
            <w:proofErr w:type="spellStart"/>
            <w:r w:rsidRPr="009A0E7B">
              <w:rPr>
                <w:rFonts w:ascii="Arial Narrow" w:hAnsi="Arial Narrow"/>
                <w:color w:val="222222"/>
                <w:sz w:val="20"/>
                <w:szCs w:val="21"/>
                <w:lang w:eastAsia="en-US"/>
              </w:rPr>
              <w:t>Sandborn</w:t>
            </w:r>
            <w:proofErr w:type="spellEnd"/>
            <w:r w:rsidRPr="009A0E7B">
              <w:rPr>
                <w:rFonts w:ascii="Arial Narrow" w:hAnsi="Arial Narrow"/>
                <w:color w:val="222222"/>
                <w:sz w:val="20"/>
                <w:szCs w:val="21"/>
                <w:lang w:eastAsia="en-US"/>
              </w:rPr>
              <w:t>, W. J., Subrata, G., et. al. Tofacitinib, an Oral Janus Kinase Inhibitor, in Active Ulcerative Colitis.</w:t>
            </w:r>
          </w:p>
        </w:tc>
        <w:tc>
          <w:tcPr>
            <w:tcW w:w="1237" w:type="pct"/>
          </w:tcPr>
          <w:p w14:paraId="4208341C" w14:textId="38649D02" w:rsidR="005E44AB" w:rsidRPr="009A0E7B" w:rsidRDefault="00037A5E" w:rsidP="00405503">
            <w:pPr>
              <w:jc w:val="left"/>
              <w:rPr>
                <w:rFonts w:ascii="Arial Narrow" w:hAnsi="Arial Narrow"/>
                <w:color w:val="222222"/>
                <w:sz w:val="20"/>
                <w:szCs w:val="21"/>
                <w:lang w:eastAsia="en-US"/>
              </w:rPr>
            </w:pPr>
            <w:r w:rsidRPr="009A0E7B">
              <w:rPr>
                <w:rFonts w:ascii="Arial Narrow" w:eastAsiaTheme="majorEastAsia" w:hAnsi="Arial Narrow" w:cs="Times New Roman"/>
                <w:bCs/>
                <w:i/>
                <w:iCs/>
                <w:sz w:val="20"/>
                <w:szCs w:val="20"/>
              </w:rPr>
              <w:t>New England Journal of Medicine</w:t>
            </w:r>
            <w:r w:rsidRPr="009A0E7B">
              <w:rPr>
                <w:rFonts w:ascii="Arial Narrow" w:eastAsiaTheme="majorEastAsia" w:hAnsi="Arial Narrow" w:cs="Times New Roman"/>
                <w:bCs/>
                <w:sz w:val="20"/>
                <w:szCs w:val="20"/>
              </w:rPr>
              <w:t xml:space="preserve"> </w:t>
            </w:r>
            <w:r w:rsidR="005E44AB" w:rsidRPr="009A0E7B">
              <w:rPr>
                <w:rFonts w:ascii="Arial Narrow" w:hAnsi="Arial Narrow"/>
                <w:color w:val="222222"/>
                <w:sz w:val="20"/>
                <w:szCs w:val="21"/>
                <w:lang w:eastAsia="en-US"/>
              </w:rPr>
              <w:t>2012; 367:616-624</w:t>
            </w:r>
          </w:p>
        </w:tc>
      </w:tr>
    </w:tbl>
    <w:p w14:paraId="492B6333" w14:textId="5DB2A6C4" w:rsidR="00FA6D3A" w:rsidRPr="009A0E7B" w:rsidRDefault="00FA6D3A" w:rsidP="00FA6D3A">
      <w:pPr>
        <w:pStyle w:val="TableFigureFooter"/>
      </w:pPr>
      <w:r w:rsidRPr="009A0E7B">
        <w:t>Source: Data extracted from Table 25, pp 56-57 and Table 26, p 58</w:t>
      </w:r>
      <w:r w:rsidR="00037A5E" w:rsidRPr="009A0E7B">
        <w:t xml:space="preserve"> and Table 130, p 171</w:t>
      </w:r>
      <w:r w:rsidRPr="009A0E7B">
        <w:t xml:space="preserve"> of the submission.</w:t>
      </w:r>
    </w:p>
    <w:p w14:paraId="208971D9" w14:textId="29772C83" w:rsidR="00FA6D3A" w:rsidRPr="009A0E7B" w:rsidRDefault="00FA6D3A" w:rsidP="00FA6D3A">
      <w:pPr>
        <w:pStyle w:val="TableFigureFooter"/>
      </w:pPr>
      <w:r w:rsidRPr="009A0E7B">
        <w:t>IFX = infliximab; OZA = ozanimod</w:t>
      </w:r>
      <w:r w:rsidR="00037A5E" w:rsidRPr="009A0E7B">
        <w:t>; TOF = tofacitinib</w:t>
      </w:r>
      <w:r w:rsidRPr="009A0E7B">
        <w:t>.</w:t>
      </w:r>
    </w:p>
    <w:p w14:paraId="03068658" w14:textId="68391976" w:rsidR="002553D8" w:rsidRPr="009A0E7B" w:rsidRDefault="00FA6D3A" w:rsidP="002553D8">
      <w:pPr>
        <w:pStyle w:val="3-BodyText"/>
        <w:rPr>
          <w:color w:val="0066FF"/>
        </w:rPr>
      </w:pPr>
      <w:r w:rsidRPr="009A0E7B">
        <w:t xml:space="preserve">The key features of the included evidence are summarised in </w:t>
      </w:r>
      <w:r w:rsidR="00D70B3A" w:rsidRPr="009A0E7B">
        <w:t>Table 3</w:t>
      </w:r>
      <w:r w:rsidRPr="009A0E7B">
        <w:t xml:space="preserve">. </w:t>
      </w:r>
      <w:bookmarkStart w:id="23" w:name="_Ref92275793"/>
    </w:p>
    <w:p w14:paraId="059CA8D2" w14:textId="5A432A1E" w:rsidR="00FA6D3A" w:rsidRPr="009A0E7B" w:rsidRDefault="00FA6D3A" w:rsidP="00D70B3A">
      <w:pPr>
        <w:pStyle w:val="TableFigureHeading"/>
        <w:keepLines/>
      </w:pPr>
      <w:bookmarkStart w:id="24" w:name="_Ref93373369"/>
      <w:r w:rsidRPr="009A0E7B">
        <w:lastRenderedPageBreak/>
        <w:t xml:space="preserve">Table </w:t>
      </w:r>
      <w:fldSimple w:instr=" SEQ Table \* ARABIC ">
        <w:r w:rsidR="00931536">
          <w:rPr>
            <w:noProof/>
          </w:rPr>
          <w:t>3</w:t>
        </w:r>
      </w:fldSimple>
      <w:bookmarkEnd w:id="23"/>
      <w:bookmarkEnd w:id="24"/>
      <w:r w:rsidRPr="009A0E7B">
        <w:t xml:space="preserve">: </w:t>
      </w:r>
      <w:r w:rsidRPr="009A0E7B">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1325"/>
        <w:gridCol w:w="2384"/>
        <w:gridCol w:w="992"/>
        <w:gridCol w:w="1843"/>
        <w:gridCol w:w="1367"/>
      </w:tblGrid>
      <w:tr w:rsidR="00FA6D3A" w:rsidRPr="009A0E7B" w14:paraId="1C68396F" w14:textId="77777777" w:rsidTr="00B956F4">
        <w:trPr>
          <w:tblHeader/>
        </w:trPr>
        <w:tc>
          <w:tcPr>
            <w:tcW w:w="613" w:type="pct"/>
            <w:vAlign w:val="center"/>
          </w:tcPr>
          <w:p w14:paraId="66053CE7" w14:textId="77777777" w:rsidR="00FA6D3A" w:rsidRPr="009A0E7B" w:rsidRDefault="00FA6D3A" w:rsidP="00D70B3A">
            <w:pPr>
              <w:keepNext/>
              <w:keepLines/>
              <w:jc w:val="left"/>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Trial</w:t>
            </w:r>
          </w:p>
        </w:tc>
        <w:tc>
          <w:tcPr>
            <w:tcW w:w="735" w:type="pct"/>
            <w:vAlign w:val="center"/>
          </w:tcPr>
          <w:p w14:paraId="71FE6818" w14:textId="77777777" w:rsidR="00FA6D3A" w:rsidRPr="009A0E7B" w:rsidRDefault="00FA6D3A" w:rsidP="00D70B3A">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N</w:t>
            </w:r>
          </w:p>
        </w:tc>
        <w:tc>
          <w:tcPr>
            <w:tcW w:w="1322" w:type="pct"/>
            <w:vAlign w:val="center"/>
          </w:tcPr>
          <w:p w14:paraId="47EC5C6D" w14:textId="77777777" w:rsidR="00FA6D3A" w:rsidRPr="009A0E7B" w:rsidRDefault="00FA6D3A" w:rsidP="00D70B3A">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Design/ duration</w:t>
            </w:r>
          </w:p>
        </w:tc>
        <w:tc>
          <w:tcPr>
            <w:tcW w:w="550" w:type="pct"/>
            <w:vAlign w:val="center"/>
          </w:tcPr>
          <w:p w14:paraId="51A2973D" w14:textId="77777777" w:rsidR="00FA6D3A" w:rsidRPr="009A0E7B" w:rsidRDefault="00FA6D3A" w:rsidP="00D70B3A">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Risk of bias</w:t>
            </w:r>
          </w:p>
        </w:tc>
        <w:tc>
          <w:tcPr>
            <w:tcW w:w="1022" w:type="pct"/>
            <w:vAlign w:val="center"/>
          </w:tcPr>
          <w:p w14:paraId="6590F09A" w14:textId="77777777" w:rsidR="00FA6D3A" w:rsidRPr="009A0E7B" w:rsidRDefault="00FA6D3A" w:rsidP="00D70B3A">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Patient population</w:t>
            </w:r>
          </w:p>
        </w:tc>
        <w:tc>
          <w:tcPr>
            <w:tcW w:w="758" w:type="pct"/>
            <w:vAlign w:val="center"/>
          </w:tcPr>
          <w:p w14:paraId="046B1DF0" w14:textId="77777777" w:rsidR="00FA6D3A" w:rsidRPr="009A0E7B" w:rsidRDefault="00FA6D3A" w:rsidP="00D70B3A">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Key outcomes</w:t>
            </w:r>
          </w:p>
        </w:tc>
      </w:tr>
      <w:tr w:rsidR="0073490D" w:rsidRPr="009A0E7B" w14:paraId="58FF7415" w14:textId="77777777" w:rsidTr="000A1996">
        <w:tc>
          <w:tcPr>
            <w:tcW w:w="5000" w:type="pct"/>
            <w:gridSpan w:val="6"/>
            <w:vAlign w:val="center"/>
          </w:tcPr>
          <w:p w14:paraId="504A99EA" w14:textId="3BCD9F23" w:rsidR="0073490D" w:rsidRPr="009A0E7B" w:rsidRDefault="0073490D" w:rsidP="00D70B3A">
            <w:pPr>
              <w:keepNext/>
              <w:keepLines/>
              <w:jc w:val="left"/>
              <w:rPr>
                <w:rFonts w:ascii="Arial Narrow" w:eastAsiaTheme="minorEastAsia" w:hAnsi="Arial Narrow" w:cs="Times New Roman"/>
                <w:b/>
                <w:sz w:val="20"/>
                <w:szCs w:val="20"/>
                <w:lang w:eastAsia="en-US"/>
              </w:rPr>
            </w:pPr>
            <w:r>
              <w:rPr>
                <w:rFonts w:ascii="Arial Narrow" w:eastAsiaTheme="majorEastAsia" w:hAnsi="Arial Narrow" w:cs="Times New Roman"/>
                <w:b/>
                <w:sz w:val="20"/>
              </w:rPr>
              <w:t>Primary comparison</w:t>
            </w:r>
          </w:p>
        </w:tc>
      </w:tr>
      <w:tr w:rsidR="00FA6D3A" w:rsidRPr="009A0E7B" w14:paraId="1ACD78EF" w14:textId="77777777" w:rsidTr="000A1996">
        <w:tc>
          <w:tcPr>
            <w:tcW w:w="5000" w:type="pct"/>
            <w:gridSpan w:val="6"/>
            <w:vAlign w:val="center"/>
          </w:tcPr>
          <w:p w14:paraId="65702878" w14:textId="77777777" w:rsidR="00FA6D3A" w:rsidRPr="009A0E7B" w:rsidRDefault="00FA6D3A" w:rsidP="00D70B3A">
            <w:pPr>
              <w:keepNext/>
              <w:keepLines/>
              <w:jc w:val="left"/>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OZA v PBO</w:t>
            </w:r>
          </w:p>
        </w:tc>
      </w:tr>
      <w:tr w:rsidR="00B956F4" w:rsidRPr="009A0E7B" w14:paraId="5BB652B6" w14:textId="77777777" w:rsidTr="00B956F4">
        <w:tc>
          <w:tcPr>
            <w:tcW w:w="613" w:type="pct"/>
            <w:vAlign w:val="center"/>
          </w:tcPr>
          <w:p w14:paraId="57A52D88"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True North</w:t>
            </w:r>
          </w:p>
        </w:tc>
        <w:tc>
          <w:tcPr>
            <w:tcW w:w="735" w:type="pct"/>
            <w:vAlign w:val="center"/>
          </w:tcPr>
          <w:p w14:paraId="76D0A9E6"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IP: 1012</w:t>
            </w:r>
          </w:p>
          <w:p w14:paraId="3E12C12F"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MP: 526</w:t>
            </w:r>
          </w:p>
        </w:tc>
        <w:tc>
          <w:tcPr>
            <w:tcW w:w="1322" w:type="pct"/>
            <w:vAlign w:val="center"/>
          </w:tcPr>
          <w:p w14:paraId="7089FFD0" w14:textId="384541F2"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P3, MC, R, DB (cohort 1 IP and MP); OL (cohort 2 IP)</w:t>
            </w:r>
          </w:p>
        </w:tc>
        <w:tc>
          <w:tcPr>
            <w:tcW w:w="550" w:type="pct"/>
            <w:vAlign w:val="center"/>
          </w:tcPr>
          <w:p w14:paraId="7927C34C"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Low</w:t>
            </w:r>
          </w:p>
        </w:tc>
        <w:tc>
          <w:tcPr>
            <w:tcW w:w="1022" w:type="pct"/>
            <w:vAlign w:val="center"/>
          </w:tcPr>
          <w:p w14:paraId="057C3AD1"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sz w:val="20"/>
                <w:szCs w:val="20"/>
                <w:lang w:eastAsia="en-US"/>
              </w:rPr>
              <w:t>TNFi</w:t>
            </w:r>
            <w:proofErr w:type="spellEnd"/>
            <w:r w:rsidRPr="009A0E7B">
              <w:rPr>
                <w:rFonts w:ascii="Arial Narrow" w:eastAsiaTheme="minorEastAsia" w:hAnsi="Arial Narrow" w:cs="Times New Roman"/>
                <w:sz w:val="20"/>
                <w:szCs w:val="20"/>
                <w:lang w:eastAsia="en-US"/>
              </w:rPr>
              <w:t xml:space="preserve">-n and </w:t>
            </w:r>
            <w:proofErr w:type="spellStart"/>
            <w:r w:rsidRPr="009A0E7B">
              <w:rPr>
                <w:rFonts w:ascii="Arial Narrow" w:eastAsiaTheme="minorEastAsia" w:hAnsi="Arial Narrow" w:cs="Times New Roman"/>
                <w:sz w:val="20"/>
                <w:szCs w:val="20"/>
                <w:lang w:eastAsia="en-US"/>
              </w:rPr>
              <w:t>TNFi</w:t>
            </w:r>
            <w:proofErr w:type="spellEnd"/>
            <w:r w:rsidRPr="009A0E7B">
              <w:rPr>
                <w:rFonts w:ascii="Arial Narrow" w:eastAsiaTheme="minorEastAsia" w:hAnsi="Arial Narrow" w:cs="Times New Roman"/>
                <w:sz w:val="20"/>
                <w:szCs w:val="20"/>
                <w:lang w:eastAsia="en-US"/>
              </w:rPr>
              <w:t>-e</w:t>
            </w:r>
          </w:p>
          <w:p w14:paraId="09E90F50" w14:textId="77777777" w:rsidR="00B956F4" w:rsidRPr="009A0E7B" w:rsidRDefault="00B956F4" w:rsidP="00D70B3A">
            <w:pPr>
              <w:keepNext/>
              <w:keepLines/>
              <w:jc w:val="center"/>
              <w:rPr>
                <w:rFonts w:ascii="Arial Narrow" w:eastAsiaTheme="minorEastAsia" w:hAnsi="Arial Narrow" w:cs="Times New Roman"/>
                <w:sz w:val="20"/>
                <w:szCs w:val="20"/>
                <w:highlight w:val="yellow"/>
                <w:lang w:eastAsia="en-US"/>
              </w:rPr>
            </w:pPr>
            <w:r w:rsidRPr="009A0E7B">
              <w:rPr>
                <w:rFonts w:ascii="Arial Narrow" w:eastAsiaTheme="minorEastAsia" w:hAnsi="Arial Narrow" w:cs="Times New Roman"/>
                <w:sz w:val="20"/>
                <w:szCs w:val="20"/>
                <w:lang w:eastAsia="en-US"/>
              </w:rPr>
              <w:t>MP: Week 10 responders</w:t>
            </w:r>
          </w:p>
        </w:tc>
        <w:tc>
          <w:tcPr>
            <w:tcW w:w="758" w:type="pct"/>
            <w:vMerge w:val="restart"/>
            <w:vAlign w:val="center"/>
          </w:tcPr>
          <w:p w14:paraId="4CFD2A0E" w14:textId="4AB1F84D" w:rsidR="00B956F4" w:rsidRPr="009A0E7B" w:rsidRDefault="00B956F4" w:rsidP="00D70B3A">
            <w:pPr>
              <w:keepNext/>
              <w:keepLines/>
              <w:jc w:val="left"/>
              <w:rPr>
                <w:rFonts w:ascii="Arial Narrow" w:eastAsiaTheme="minorEastAsia" w:hAnsi="Arial Narrow" w:cs="Times New Roman"/>
                <w:sz w:val="20"/>
                <w:szCs w:val="20"/>
                <w:lang w:eastAsia="en-US"/>
              </w:rPr>
            </w:pPr>
            <w:r>
              <w:rPr>
                <w:rFonts w:ascii="Arial Narrow" w:eastAsiaTheme="minorEastAsia" w:hAnsi="Arial Narrow" w:cs="Times New Roman"/>
                <w:sz w:val="20"/>
                <w:szCs w:val="20"/>
                <w:lang w:eastAsia="en-US"/>
              </w:rPr>
              <w:t>Primary</w:t>
            </w:r>
            <w:r w:rsidRPr="009A0E7B">
              <w:rPr>
                <w:rFonts w:ascii="Arial Narrow" w:eastAsiaTheme="minorEastAsia" w:hAnsi="Arial Narrow" w:cs="Times New Roman"/>
                <w:sz w:val="20"/>
                <w:szCs w:val="20"/>
                <w:lang w:eastAsia="en-US"/>
              </w:rPr>
              <w:t>: clinical remission</w:t>
            </w:r>
          </w:p>
          <w:p w14:paraId="76EE6D9C" w14:textId="77777777" w:rsidR="00B956F4" w:rsidRDefault="00B956F4" w:rsidP="00D70B3A">
            <w:pPr>
              <w:keepNext/>
              <w:keepLines/>
              <w:jc w:val="left"/>
              <w:rPr>
                <w:rFonts w:ascii="Arial Narrow" w:eastAsiaTheme="minorEastAsia" w:hAnsi="Arial Narrow" w:cs="Times New Roman"/>
                <w:sz w:val="20"/>
                <w:szCs w:val="20"/>
                <w:lang w:eastAsia="en-US"/>
              </w:rPr>
            </w:pPr>
          </w:p>
          <w:p w14:paraId="27434B8E" w14:textId="2684FFE1" w:rsidR="00B956F4" w:rsidRPr="009A0E7B" w:rsidRDefault="00B956F4" w:rsidP="00D70B3A">
            <w:pPr>
              <w:keepNext/>
              <w:keepLines/>
              <w:jc w:val="left"/>
              <w:rPr>
                <w:rFonts w:ascii="Arial Narrow" w:eastAsiaTheme="minorEastAsia" w:hAnsi="Arial Narrow" w:cs="Times New Roman"/>
                <w:sz w:val="20"/>
                <w:szCs w:val="20"/>
                <w:lang w:eastAsia="en-US"/>
              </w:rPr>
            </w:pPr>
            <w:r>
              <w:rPr>
                <w:rFonts w:ascii="Arial Narrow" w:eastAsiaTheme="minorEastAsia" w:hAnsi="Arial Narrow" w:cs="Times New Roman"/>
                <w:sz w:val="20"/>
                <w:szCs w:val="20"/>
                <w:lang w:eastAsia="en-US"/>
              </w:rPr>
              <w:t>Secondary</w:t>
            </w:r>
            <w:r w:rsidRPr="009A0E7B">
              <w:rPr>
                <w:rFonts w:ascii="Arial Narrow" w:eastAsiaTheme="minorEastAsia" w:hAnsi="Arial Narrow" w:cs="Times New Roman"/>
                <w:sz w:val="20"/>
                <w:szCs w:val="20"/>
                <w:lang w:eastAsia="en-US"/>
              </w:rPr>
              <w:t>: clinical response</w:t>
            </w:r>
          </w:p>
        </w:tc>
      </w:tr>
      <w:tr w:rsidR="00B956F4" w:rsidRPr="009A0E7B" w14:paraId="4EE57735" w14:textId="77777777" w:rsidTr="00B956F4">
        <w:tc>
          <w:tcPr>
            <w:tcW w:w="613" w:type="pct"/>
            <w:vAlign w:val="center"/>
          </w:tcPr>
          <w:p w14:paraId="7C8FFEEF"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Touchstone</w:t>
            </w:r>
          </w:p>
        </w:tc>
        <w:tc>
          <w:tcPr>
            <w:tcW w:w="735" w:type="pct"/>
            <w:vAlign w:val="center"/>
          </w:tcPr>
          <w:p w14:paraId="3B340977"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197</w:t>
            </w:r>
          </w:p>
        </w:tc>
        <w:tc>
          <w:tcPr>
            <w:tcW w:w="1322" w:type="pct"/>
            <w:vAlign w:val="center"/>
          </w:tcPr>
          <w:p w14:paraId="565BF0C6"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P2, R, DB, PC</w:t>
            </w:r>
          </w:p>
        </w:tc>
        <w:tc>
          <w:tcPr>
            <w:tcW w:w="550" w:type="pct"/>
            <w:vAlign w:val="center"/>
          </w:tcPr>
          <w:p w14:paraId="2030ADE7" w14:textId="1D71ACAE" w:rsidR="00B956F4" w:rsidRPr="009A0E7B" w:rsidRDefault="00B956F4" w:rsidP="00D70B3A">
            <w:pPr>
              <w:keepNext/>
              <w:keepLines/>
              <w:jc w:val="center"/>
              <w:rPr>
                <w:rFonts w:ascii="Arial Narrow" w:eastAsiaTheme="minorEastAsia" w:hAnsi="Arial Narrow" w:cs="Times New Roman"/>
                <w:sz w:val="20"/>
                <w:szCs w:val="20"/>
                <w:vertAlign w:val="superscript"/>
                <w:lang w:eastAsia="en-US"/>
              </w:rPr>
            </w:pPr>
            <w:proofErr w:type="spellStart"/>
            <w:r w:rsidRPr="009A0E7B">
              <w:rPr>
                <w:rFonts w:ascii="Arial Narrow" w:eastAsiaTheme="minorEastAsia" w:hAnsi="Arial Narrow" w:cs="Times New Roman"/>
                <w:sz w:val="20"/>
                <w:szCs w:val="20"/>
                <w:lang w:eastAsia="en-US"/>
              </w:rPr>
              <w:t>Low</w:t>
            </w:r>
            <w:r w:rsidRPr="009A0E7B">
              <w:rPr>
                <w:rFonts w:ascii="Arial Narrow" w:eastAsiaTheme="minorEastAsia" w:hAnsi="Arial Narrow" w:cs="Times New Roman"/>
                <w:sz w:val="20"/>
                <w:szCs w:val="20"/>
                <w:vertAlign w:val="superscript"/>
                <w:lang w:eastAsia="en-US"/>
              </w:rPr>
              <w:t>a</w:t>
            </w:r>
            <w:proofErr w:type="spellEnd"/>
          </w:p>
        </w:tc>
        <w:tc>
          <w:tcPr>
            <w:tcW w:w="1022" w:type="pct"/>
            <w:vAlign w:val="center"/>
          </w:tcPr>
          <w:p w14:paraId="068C45D2"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sz w:val="20"/>
                <w:szCs w:val="20"/>
                <w:lang w:eastAsia="en-US"/>
              </w:rPr>
              <w:t>TNFi</w:t>
            </w:r>
            <w:proofErr w:type="spellEnd"/>
            <w:r w:rsidRPr="009A0E7B">
              <w:rPr>
                <w:rFonts w:ascii="Arial Narrow" w:eastAsiaTheme="minorEastAsia" w:hAnsi="Arial Narrow" w:cs="Times New Roman"/>
                <w:sz w:val="20"/>
                <w:szCs w:val="20"/>
                <w:lang w:eastAsia="en-US"/>
              </w:rPr>
              <w:t xml:space="preserve">-n and </w:t>
            </w:r>
            <w:proofErr w:type="spellStart"/>
            <w:r w:rsidRPr="009A0E7B">
              <w:rPr>
                <w:rFonts w:ascii="Arial Narrow" w:eastAsiaTheme="minorEastAsia" w:hAnsi="Arial Narrow" w:cs="Times New Roman"/>
                <w:sz w:val="20"/>
                <w:szCs w:val="20"/>
                <w:lang w:eastAsia="en-US"/>
              </w:rPr>
              <w:t>TNFi</w:t>
            </w:r>
            <w:proofErr w:type="spellEnd"/>
            <w:r w:rsidRPr="009A0E7B">
              <w:rPr>
                <w:rFonts w:ascii="Arial Narrow" w:eastAsiaTheme="minorEastAsia" w:hAnsi="Arial Narrow" w:cs="Times New Roman"/>
                <w:sz w:val="20"/>
                <w:szCs w:val="20"/>
                <w:lang w:eastAsia="en-US"/>
              </w:rPr>
              <w:t>-e</w:t>
            </w:r>
          </w:p>
          <w:p w14:paraId="4E5F4708" w14:textId="77777777" w:rsidR="00B956F4" w:rsidRPr="009A0E7B" w:rsidRDefault="00B956F4" w:rsidP="00D70B3A">
            <w:pPr>
              <w:keepNext/>
              <w:keepLines/>
              <w:jc w:val="center"/>
              <w:rPr>
                <w:rFonts w:ascii="Arial Narrow" w:eastAsiaTheme="minorEastAsia" w:hAnsi="Arial Narrow" w:cs="Times New Roman"/>
                <w:sz w:val="20"/>
                <w:szCs w:val="20"/>
                <w:highlight w:val="yellow"/>
                <w:lang w:eastAsia="en-US"/>
              </w:rPr>
            </w:pPr>
            <w:r w:rsidRPr="009A0E7B">
              <w:rPr>
                <w:rFonts w:ascii="Arial Narrow" w:eastAsiaTheme="minorEastAsia" w:hAnsi="Arial Narrow" w:cs="Times New Roman"/>
                <w:sz w:val="20"/>
                <w:szCs w:val="20"/>
                <w:lang w:eastAsia="en-US"/>
              </w:rPr>
              <w:t>MP: Week 8 responders</w:t>
            </w:r>
          </w:p>
        </w:tc>
        <w:tc>
          <w:tcPr>
            <w:tcW w:w="758" w:type="pct"/>
            <w:vMerge/>
            <w:vAlign w:val="center"/>
          </w:tcPr>
          <w:p w14:paraId="5C62A1C9" w14:textId="19C639A5" w:rsidR="00B956F4" w:rsidRPr="009A0E7B" w:rsidRDefault="00B956F4" w:rsidP="00D70B3A">
            <w:pPr>
              <w:keepNext/>
              <w:keepLines/>
              <w:jc w:val="left"/>
              <w:rPr>
                <w:rFonts w:ascii="Arial Narrow" w:eastAsiaTheme="minorEastAsia" w:hAnsi="Arial Narrow" w:cs="Times New Roman"/>
                <w:sz w:val="20"/>
                <w:szCs w:val="20"/>
                <w:lang w:eastAsia="en-US"/>
              </w:rPr>
            </w:pPr>
          </w:p>
        </w:tc>
      </w:tr>
      <w:tr w:rsidR="00FA6D3A" w:rsidRPr="009A0E7B" w14:paraId="2C18F4A4" w14:textId="77777777" w:rsidTr="000A1996">
        <w:tc>
          <w:tcPr>
            <w:tcW w:w="5000" w:type="pct"/>
            <w:gridSpan w:val="6"/>
            <w:vAlign w:val="center"/>
          </w:tcPr>
          <w:p w14:paraId="541B0844" w14:textId="77777777" w:rsidR="00FA6D3A" w:rsidRPr="009A0E7B" w:rsidRDefault="00FA6D3A" w:rsidP="00D70B3A">
            <w:pPr>
              <w:keepNext/>
              <w:keepLines/>
              <w:jc w:val="left"/>
              <w:rPr>
                <w:rFonts w:ascii="Arial Narrow" w:eastAsiaTheme="minorEastAsia" w:hAnsi="Arial Narrow" w:cs="Times New Roman"/>
                <w:b/>
                <w:bCs/>
                <w:sz w:val="20"/>
                <w:szCs w:val="20"/>
                <w:lang w:eastAsia="en-US"/>
              </w:rPr>
            </w:pPr>
            <w:r w:rsidRPr="009A0E7B">
              <w:rPr>
                <w:rFonts w:ascii="Arial Narrow" w:eastAsiaTheme="minorEastAsia" w:hAnsi="Arial Narrow" w:cs="Times New Roman"/>
                <w:b/>
                <w:bCs/>
                <w:sz w:val="20"/>
                <w:szCs w:val="20"/>
                <w:lang w:eastAsia="en-US"/>
              </w:rPr>
              <w:t>IFX v PBO</w:t>
            </w:r>
          </w:p>
        </w:tc>
      </w:tr>
      <w:tr w:rsidR="00B956F4" w:rsidRPr="009A0E7B" w14:paraId="7EA47BA8" w14:textId="77777777" w:rsidTr="00B956F4">
        <w:tc>
          <w:tcPr>
            <w:tcW w:w="613" w:type="pct"/>
            <w:vAlign w:val="center"/>
          </w:tcPr>
          <w:p w14:paraId="546E0C8C"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ACT 1</w:t>
            </w:r>
          </w:p>
          <w:p w14:paraId="1CE42FF4"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[induction &amp; maintenance]</w:t>
            </w:r>
          </w:p>
        </w:tc>
        <w:tc>
          <w:tcPr>
            <w:tcW w:w="735" w:type="pct"/>
            <w:vAlign w:val="center"/>
          </w:tcPr>
          <w:p w14:paraId="791055FD"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364</w:t>
            </w:r>
          </w:p>
        </w:tc>
        <w:tc>
          <w:tcPr>
            <w:tcW w:w="1322" w:type="pct"/>
            <w:vAlign w:val="center"/>
          </w:tcPr>
          <w:p w14:paraId="02BFCD84"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P3 MC, R, PC, DB (52wk), 3-arm</w:t>
            </w:r>
          </w:p>
        </w:tc>
        <w:tc>
          <w:tcPr>
            <w:tcW w:w="550" w:type="pct"/>
            <w:vAlign w:val="center"/>
          </w:tcPr>
          <w:p w14:paraId="133BE526" w14:textId="15E2840C"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sz w:val="20"/>
                <w:szCs w:val="20"/>
                <w:lang w:eastAsia="en-US"/>
              </w:rPr>
              <w:t>Low</w:t>
            </w:r>
            <w:r w:rsidRPr="009A0E7B">
              <w:rPr>
                <w:rFonts w:ascii="Arial Narrow" w:eastAsiaTheme="minorEastAsia" w:hAnsi="Arial Narrow" w:cs="Times New Roman"/>
                <w:sz w:val="20"/>
                <w:szCs w:val="20"/>
                <w:vertAlign w:val="superscript"/>
                <w:lang w:eastAsia="en-US"/>
              </w:rPr>
              <w:t>b</w:t>
            </w:r>
            <w:proofErr w:type="spellEnd"/>
          </w:p>
        </w:tc>
        <w:tc>
          <w:tcPr>
            <w:tcW w:w="1022" w:type="pct"/>
            <w:vAlign w:val="center"/>
          </w:tcPr>
          <w:p w14:paraId="7BD28C04"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iCs/>
                <w:sz w:val="20"/>
                <w:szCs w:val="20"/>
                <w:lang w:eastAsia="en-US"/>
              </w:rPr>
              <w:t>TNFi</w:t>
            </w:r>
            <w:proofErr w:type="spellEnd"/>
            <w:r w:rsidRPr="009A0E7B">
              <w:rPr>
                <w:rFonts w:ascii="Arial Narrow" w:eastAsiaTheme="minorEastAsia" w:hAnsi="Arial Narrow" w:cs="Times New Roman"/>
                <w:iCs/>
                <w:sz w:val="20"/>
                <w:szCs w:val="20"/>
                <w:lang w:eastAsia="en-US"/>
              </w:rPr>
              <w:t>-n</w:t>
            </w:r>
          </w:p>
        </w:tc>
        <w:tc>
          <w:tcPr>
            <w:tcW w:w="758" w:type="pct"/>
            <w:vMerge w:val="restart"/>
            <w:vAlign w:val="center"/>
          </w:tcPr>
          <w:p w14:paraId="5752628C" w14:textId="3B7C9D1F" w:rsidR="00B956F4" w:rsidRPr="009A0E7B" w:rsidRDefault="00B956F4" w:rsidP="00D70B3A">
            <w:pPr>
              <w:keepNext/>
              <w:keepLines/>
              <w:jc w:val="left"/>
              <w:rPr>
                <w:rFonts w:ascii="Arial Narrow" w:eastAsiaTheme="minorEastAsia" w:hAnsi="Arial Narrow" w:cs="Times New Roman"/>
                <w:sz w:val="20"/>
                <w:szCs w:val="20"/>
                <w:lang w:eastAsia="en-US"/>
              </w:rPr>
            </w:pPr>
            <w:r>
              <w:rPr>
                <w:rFonts w:ascii="Arial Narrow" w:eastAsiaTheme="minorEastAsia" w:hAnsi="Arial Narrow" w:cs="Times New Roman"/>
                <w:sz w:val="20"/>
                <w:szCs w:val="20"/>
                <w:lang w:eastAsia="en-US"/>
              </w:rPr>
              <w:t>Primary</w:t>
            </w:r>
            <w:r w:rsidRPr="009A0E7B">
              <w:rPr>
                <w:rFonts w:ascii="Arial Narrow" w:eastAsiaTheme="minorEastAsia" w:hAnsi="Arial Narrow" w:cs="Times New Roman"/>
                <w:sz w:val="20"/>
                <w:szCs w:val="20"/>
                <w:lang w:eastAsia="en-US"/>
              </w:rPr>
              <w:t xml:space="preserve">: clinical response </w:t>
            </w:r>
          </w:p>
          <w:p w14:paraId="1CAB3CF5" w14:textId="77777777" w:rsidR="00B956F4" w:rsidRDefault="00B956F4" w:rsidP="00D70B3A">
            <w:pPr>
              <w:keepNext/>
              <w:keepLines/>
              <w:jc w:val="left"/>
              <w:rPr>
                <w:rFonts w:ascii="Arial Narrow" w:eastAsiaTheme="minorEastAsia" w:hAnsi="Arial Narrow" w:cs="Times New Roman"/>
                <w:sz w:val="20"/>
                <w:szCs w:val="20"/>
                <w:lang w:eastAsia="en-US"/>
              </w:rPr>
            </w:pPr>
          </w:p>
          <w:p w14:paraId="0E9B80AF" w14:textId="0EBEB65E" w:rsidR="00B956F4" w:rsidRPr="009A0E7B" w:rsidRDefault="00B956F4" w:rsidP="00F355CC">
            <w:pPr>
              <w:keepNext/>
              <w:keepLines/>
              <w:jc w:val="left"/>
              <w:rPr>
                <w:rFonts w:ascii="Arial Narrow" w:eastAsiaTheme="minorEastAsia" w:hAnsi="Arial Narrow" w:cs="Times New Roman"/>
                <w:sz w:val="20"/>
                <w:szCs w:val="20"/>
                <w:lang w:eastAsia="en-US"/>
              </w:rPr>
            </w:pPr>
            <w:r>
              <w:rPr>
                <w:rFonts w:ascii="Arial Narrow" w:eastAsiaTheme="minorEastAsia" w:hAnsi="Arial Narrow" w:cs="Times New Roman"/>
                <w:sz w:val="20"/>
                <w:szCs w:val="20"/>
                <w:lang w:eastAsia="en-US"/>
              </w:rPr>
              <w:t>Secondary</w:t>
            </w:r>
            <w:r w:rsidRPr="009A0E7B">
              <w:rPr>
                <w:rFonts w:ascii="Arial Narrow" w:eastAsiaTheme="minorEastAsia" w:hAnsi="Arial Narrow" w:cs="Times New Roman"/>
                <w:sz w:val="20"/>
                <w:szCs w:val="20"/>
                <w:lang w:eastAsia="en-US"/>
              </w:rPr>
              <w:t>: clinical remission</w:t>
            </w:r>
          </w:p>
        </w:tc>
      </w:tr>
      <w:tr w:rsidR="00B956F4" w:rsidRPr="009A0E7B" w14:paraId="0D3C036B" w14:textId="77777777" w:rsidTr="00B956F4">
        <w:tc>
          <w:tcPr>
            <w:tcW w:w="613" w:type="pct"/>
            <w:vAlign w:val="center"/>
          </w:tcPr>
          <w:p w14:paraId="0728E42E"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ACT 2</w:t>
            </w:r>
          </w:p>
          <w:p w14:paraId="46C66DD6"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[induction &amp; maintenance]</w:t>
            </w:r>
          </w:p>
        </w:tc>
        <w:tc>
          <w:tcPr>
            <w:tcW w:w="735" w:type="pct"/>
            <w:vAlign w:val="center"/>
          </w:tcPr>
          <w:p w14:paraId="45707C44"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364</w:t>
            </w:r>
          </w:p>
        </w:tc>
        <w:tc>
          <w:tcPr>
            <w:tcW w:w="1322" w:type="pct"/>
            <w:vAlign w:val="center"/>
          </w:tcPr>
          <w:p w14:paraId="075C0829"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P3 MC, R, PC, DB (30wk), 3-arm</w:t>
            </w:r>
          </w:p>
        </w:tc>
        <w:tc>
          <w:tcPr>
            <w:tcW w:w="550" w:type="pct"/>
            <w:vAlign w:val="center"/>
          </w:tcPr>
          <w:p w14:paraId="70B1BCFF" w14:textId="150582B6"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sz w:val="20"/>
                <w:szCs w:val="20"/>
                <w:lang w:eastAsia="en-US"/>
              </w:rPr>
              <w:t>Low</w:t>
            </w:r>
            <w:r w:rsidRPr="009A0E7B">
              <w:rPr>
                <w:rFonts w:ascii="Arial Narrow" w:eastAsiaTheme="minorEastAsia" w:hAnsi="Arial Narrow" w:cs="Times New Roman"/>
                <w:sz w:val="20"/>
                <w:szCs w:val="20"/>
                <w:vertAlign w:val="superscript"/>
                <w:lang w:eastAsia="en-US"/>
              </w:rPr>
              <w:t>b</w:t>
            </w:r>
            <w:proofErr w:type="spellEnd"/>
          </w:p>
        </w:tc>
        <w:tc>
          <w:tcPr>
            <w:tcW w:w="1022" w:type="pct"/>
            <w:vAlign w:val="center"/>
          </w:tcPr>
          <w:p w14:paraId="6DAC7400"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iCs/>
                <w:sz w:val="20"/>
                <w:szCs w:val="20"/>
                <w:lang w:eastAsia="en-US"/>
              </w:rPr>
              <w:t>TNFi</w:t>
            </w:r>
            <w:proofErr w:type="spellEnd"/>
            <w:r w:rsidRPr="009A0E7B">
              <w:rPr>
                <w:rFonts w:ascii="Arial Narrow" w:eastAsiaTheme="minorEastAsia" w:hAnsi="Arial Narrow" w:cs="Times New Roman"/>
                <w:iCs/>
                <w:sz w:val="20"/>
                <w:szCs w:val="20"/>
                <w:lang w:eastAsia="en-US"/>
              </w:rPr>
              <w:t>-n</w:t>
            </w:r>
          </w:p>
        </w:tc>
        <w:tc>
          <w:tcPr>
            <w:tcW w:w="758" w:type="pct"/>
            <w:vMerge/>
            <w:vAlign w:val="center"/>
          </w:tcPr>
          <w:p w14:paraId="55D5FC47" w14:textId="6FD4F150" w:rsidR="00B956F4" w:rsidRPr="009A0E7B" w:rsidRDefault="00B956F4" w:rsidP="00D70B3A">
            <w:pPr>
              <w:keepNext/>
              <w:keepLines/>
              <w:jc w:val="left"/>
              <w:rPr>
                <w:rFonts w:ascii="Arial Narrow" w:eastAsiaTheme="minorEastAsia" w:hAnsi="Arial Narrow" w:cs="Times New Roman"/>
                <w:sz w:val="20"/>
                <w:szCs w:val="20"/>
                <w:lang w:eastAsia="en-US"/>
              </w:rPr>
            </w:pPr>
          </w:p>
        </w:tc>
      </w:tr>
      <w:tr w:rsidR="00B956F4" w:rsidRPr="009A0E7B" w14:paraId="063892AB" w14:textId="77777777" w:rsidTr="00B956F4">
        <w:tc>
          <w:tcPr>
            <w:tcW w:w="613" w:type="pct"/>
            <w:vAlign w:val="center"/>
          </w:tcPr>
          <w:p w14:paraId="525BC842"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Jiang 2015</w:t>
            </w:r>
          </w:p>
          <w:p w14:paraId="261E6225"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[induction &amp; maintenance]</w:t>
            </w:r>
          </w:p>
        </w:tc>
        <w:tc>
          <w:tcPr>
            <w:tcW w:w="735" w:type="pct"/>
            <w:vAlign w:val="center"/>
          </w:tcPr>
          <w:p w14:paraId="76A7FAEE"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123</w:t>
            </w:r>
          </w:p>
        </w:tc>
        <w:tc>
          <w:tcPr>
            <w:tcW w:w="1322" w:type="pct"/>
            <w:vAlign w:val="center"/>
          </w:tcPr>
          <w:p w14:paraId="25528655"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MC, R, PC, DB (30wk), 3-arm</w:t>
            </w:r>
          </w:p>
        </w:tc>
        <w:tc>
          <w:tcPr>
            <w:tcW w:w="550" w:type="pct"/>
            <w:vAlign w:val="center"/>
          </w:tcPr>
          <w:p w14:paraId="69F826BF" w14:textId="1C5464DF"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sz w:val="20"/>
                <w:szCs w:val="20"/>
                <w:lang w:eastAsia="en-US"/>
              </w:rPr>
              <w:t>Low</w:t>
            </w:r>
            <w:r w:rsidRPr="009A0E7B">
              <w:rPr>
                <w:rFonts w:ascii="Arial Narrow" w:eastAsiaTheme="minorEastAsia" w:hAnsi="Arial Narrow" w:cs="Times New Roman"/>
                <w:sz w:val="20"/>
                <w:szCs w:val="20"/>
                <w:vertAlign w:val="superscript"/>
                <w:lang w:eastAsia="en-US"/>
              </w:rPr>
              <w:t>b</w:t>
            </w:r>
            <w:proofErr w:type="spellEnd"/>
          </w:p>
        </w:tc>
        <w:tc>
          <w:tcPr>
            <w:tcW w:w="1022" w:type="pct"/>
            <w:vAlign w:val="center"/>
          </w:tcPr>
          <w:p w14:paraId="6FF34C3E" w14:textId="77777777" w:rsidR="00B956F4" w:rsidRPr="009A0E7B" w:rsidRDefault="00B956F4" w:rsidP="00D70B3A">
            <w:pPr>
              <w:keepNext/>
              <w:keepLines/>
              <w:jc w:val="center"/>
              <w:rPr>
                <w:rFonts w:ascii="Arial Narrow" w:eastAsiaTheme="minorEastAsia" w:hAnsi="Arial Narrow" w:cs="Times New Roman"/>
                <w:iCs/>
                <w:sz w:val="20"/>
                <w:szCs w:val="20"/>
                <w:lang w:eastAsia="en-US"/>
              </w:rPr>
            </w:pPr>
            <w:proofErr w:type="spellStart"/>
            <w:r w:rsidRPr="009A0E7B">
              <w:rPr>
                <w:rFonts w:ascii="Arial Narrow" w:eastAsiaTheme="minorEastAsia" w:hAnsi="Arial Narrow" w:cs="Times New Roman"/>
                <w:iCs/>
                <w:sz w:val="20"/>
                <w:szCs w:val="20"/>
                <w:lang w:eastAsia="en-US"/>
              </w:rPr>
              <w:t>TNFi</w:t>
            </w:r>
            <w:proofErr w:type="spellEnd"/>
            <w:r w:rsidRPr="009A0E7B">
              <w:rPr>
                <w:rFonts w:ascii="Arial Narrow" w:eastAsiaTheme="minorEastAsia" w:hAnsi="Arial Narrow" w:cs="Times New Roman"/>
                <w:iCs/>
                <w:sz w:val="20"/>
                <w:szCs w:val="20"/>
                <w:lang w:eastAsia="en-US"/>
              </w:rPr>
              <w:t>-n</w:t>
            </w:r>
          </w:p>
          <w:p w14:paraId="63C0E513"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iCs/>
                <w:sz w:val="20"/>
                <w:szCs w:val="20"/>
                <w:lang w:eastAsia="en-US"/>
              </w:rPr>
              <w:t>(Chinese)</w:t>
            </w:r>
          </w:p>
        </w:tc>
        <w:tc>
          <w:tcPr>
            <w:tcW w:w="758" w:type="pct"/>
            <w:vMerge/>
            <w:vAlign w:val="center"/>
          </w:tcPr>
          <w:p w14:paraId="5F5CCD30" w14:textId="573A8937" w:rsidR="00B956F4" w:rsidRPr="009A0E7B" w:rsidRDefault="00B956F4" w:rsidP="00D70B3A">
            <w:pPr>
              <w:keepNext/>
              <w:keepLines/>
              <w:jc w:val="left"/>
              <w:rPr>
                <w:rFonts w:ascii="Arial Narrow" w:eastAsiaTheme="minorEastAsia" w:hAnsi="Arial Narrow" w:cs="Times New Roman"/>
                <w:sz w:val="20"/>
                <w:szCs w:val="20"/>
                <w:lang w:eastAsia="en-US"/>
              </w:rPr>
            </w:pPr>
          </w:p>
        </w:tc>
      </w:tr>
      <w:tr w:rsidR="00B956F4" w:rsidRPr="009A0E7B" w14:paraId="0971F50C" w14:textId="77777777" w:rsidTr="00B956F4">
        <w:tc>
          <w:tcPr>
            <w:tcW w:w="613" w:type="pct"/>
            <w:vAlign w:val="center"/>
          </w:tcPr>
          <w:p w14:paraId="435F50A2"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REMICADE</w:t>
            </w:r>
          </w:p>
          <w:p w14:paraId="3AA53EA1"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[induction &amp; maintenance]</w:t>
            </w:r>
          </w:p>
        </w:tc>
        <w:tc>
          <w:tcPr>
            <w:tcW w:w="735" w:type="pct"/>
            <w:vAlign w:val="center"/>
          </w:tcPr>
          <w:p w14:paraId="70606FEA"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99</w:t>
            </w:r>
          </w:p>
        </w:tc>
        <w:tc>
          <w:tcPr>
            <w:tcW w:w="1322" w:type="pct"/>
            <w:vAlign w:val="center"/>
          </w:tcPr>
          <w:p w14:paraId="3EB26483"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P3 MC, R, PC, DB (26wk)</w:t>
            </w:r>
          </w:p>
        </w:tc>
        <w:tc>
          <w:tcPr>
            <w:tcW w:w="550" w:type="pct"/>
            <w:vAlign w:val="center"/>
          </w:tcPr>
          <w:p w14:paraId="5CC6BCD8" w14:textId="3B4BCADE"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sz w:val="20"/>
                <w:szCs w:val="20"/>
                <w:lang w:eastAsia="en-US"/>
              </w:rPr>
              <w:t>Low</w:t>
            </w:r>
            <w:r w:rsidRPr="009A0E7B">
              <w:rPr>
                <w:rFonts w:ascii="Arial Narrow" w:eastAsiaTheme="minorEastAsia" w:hAnsi="Arial Narrow" w:cs="Times New Roman"/>
                <w:sz w:val="20"/>
                <w:szCs w:val="20"/>
                <w:vertAlign w:val="superscript"/>
                <w:lang w:eastAsia="en-US"/>
              </w:rPr>
              <w:t>b</w:t>
            </w:r>
            <w:proofErr w:type="spellEnd"/>
          </w:p>
        </w:tc>
        <w:tc>
          <w:tcPr>
            <w:tcW w:w="1022" w:type="pct"/>
            <w:vAlign w:val="center"/>
          </w:tcPr>
          <w:p w14:paraId="4F47A0B4"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 xml:space="preserve">Prior </w:t>
            </w:r>
            <w:proofErr w:type="spellStart"/>
            <w:r w:rsidRPr="009A0E7B">
              <w:rPr>
                <w:rFonts w:ascii="Arial Narrow" w:eastAsiaTheme="minorEastAsia" w:hAnsi="Arial Narrow" w:cs="Times New Roman"/>
                <w:sz w:val="20"/>
                <w:szCs w:val="20"/>
                <w:lang w:eastAsia="en-US"/>
              </w:rPr>
              <w:t>TNFi</w:t>
            </w:r>
            <w:proofErr w:type="spellEnd"/>
            <w:r w:rsidRPr="009A0E7B">
              <w:rPr>
                <w:rFonts w:ascii="Arial Narrow" w:eastAsiaTheme="minorEastAsia" w:hAnsi="Arial Narrow" w:cs="Times New Roman"/>
                <w:sz w:val="20"/>
                <w:szCs w:val="20"/>
                <w:lang w:eastAsia="en-US"/>
              </w:rPr>
              <w:t xml:space="preserve"> NR</w:t>
            </w:r>
          </w:p>
          <w:p w14:paraId="09ED0B5C"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iCs/>
                <w:sz w:val="20"/>
                <w:szCs w:val="20"/>
                <w:lang w:eastAsia="en-US"/>
              </w:rPr>
              <w:t>(Chinese)</w:t>
            </w:r>
            <w:r w:rsidRPr="009A0E7B">
              <w:rPr>
                <w:rFonts w:ascii="Arial Narrow" w:eastAsiaTheme="minorEastAsia" w:hAnsi="Arial Narrow" w:cs="Times New Roman"/>
                <w:sz w:val="20"/>
                <w:szCs w:val="20"/>
                <w:lang w:eastAsia="en-US"/>
              </w:rPr>
              <w:t xml:space="preserve"> </w:t>
            </w:r>
          </w:p>
        </w:tc>
        <w:tc>
          <w:tcPr>
            <w:tcW w:w="758" w:type="pct"/>
            <w:vMerge/>
            <w:vAlign w:val="center"/>
          </w:tcPr>
          <w:p w14:paraId="650845FD" w14:textId="7BAEE642" w:rsidR="00B956F4" w:rsidRPr="009A0E7B" w:rsidRDefault="00B956F4" w:rsidP="00D70B3A">
            <w:pPr>
              <w:keepNext/>
              <w:keepLines/>
              <w:jc w:val="left"/>
              <w:rPr>
                <w:rFonts w:ascii="Arial Narrow" w:eastAsiaTheme="minorEastAsia" w:hAnsi="Arial Narrow" w:cs="Times New Roman"/>
                <w:sz w:val="20"/>
                <w:szCs w:val="20"/>
                <w:lang w:eastAsia="en-US"/>
              </w:rPr>
            </w:pPr>
          </w:p>
        </w:tc>
      </w:tr>
      <w:tr w:rsidR="00B956F4" w:rsidRPr="009A0E7B" w14:paraId="27C0D1A3" w14:textId="77777777" w:rsidTr="00B956F4">
        <w:tc>
          <w:tcPr>
            <w:tcW w:w="613" w:type="pct"/>
            <w:vAlign w:val="center"/>
          </w:tcPr>
          <w:p w14:paraId="73D283AE"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Kobayashi 2016</w:t>
            </w:r>
          </w:p>
          <w:p w14:paraId="6E129E7F"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[induction &amp; maintenance]</w:t>
            </w:r>
          </w:p>
        </w:tc>
        <w:tc>
          <w:tcPr>
            <w:tcW w:w="735" w:type="pct"/>
            <w:vAlign w:val="center"/>
          </w:tcPr>
          <w:p w14:paraId="5B576ABE"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IP: 208</w:t>
            </w:r>
          </w:p>
          <w:p w14:paraId="43A6D78F"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MP:NR</w:t>
            </w:r>
          </w:p>
        </w:tc>
        <w:tc>
          <w:tcPr>
            <w:tcW w:w="1322" w:type="pct"/>
            <w:vAlign w:val="center"/>
          </w:tcPr>
          <w:p w14:paraId="72A86F4C" w14:textId="77777777" w:rsidR="00B956F4" w:rsidRPr="009A0E7B" w:rsidRDefault="00B956F4"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P3 MC, R, PC, DB (30wk), RWD for maintenance (8wk induction, 22wk maintenance)</w:t>
            </w:r>
          </w:p>
        </w:tc>
        <w:tc>
          <w:tcPr>
            <w:tcW w:w="550" w:type="pct"/>
            <w:vAlign w:val="center"/>
          </w:tcPr>
          <w:p w14:paraId="42C2BB75"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Low</w:t>
            </w:r>
          </w:p>
        </w:tc>
        <w:tc>
          <w:tcPr>
            <w:tcW w:w="1022" w:type="pct"/>
            <w:vAlign w:val="center"/>
          </w:tcPr>
          <w:p w14:paraId="439E534B"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proofErr w:type="spellStart"/>
            <w:r w:rsidRPr="009A0E7B">
              <w:rPr>
                <w:rFonts w:ascii="Arial Narrow" w:eastAsiaTheme="minorEastAsia" w:hAnsi="Arial Narrow" w:cs="Times New Roman"/>
                <w:sz w:val="20"/>
                <w:szCs w:val="20"/>
                <w:lang w:eastAsia="en-US"/>
              </w:rPr>
              <w:t>TNFi</w:t>
            </w:r>
            <w:proofErr w:type="spellEnd"/>
            <w:r w:rsidRPr="009A0E7B">
              <w:rPr>
                <w:rFonts w:ascii="Arial Narrow" w:eastAsiaTheme="minorEastAsia" w:hAnsi="Arial Narrow" w:cs="Times New Roman"/>
                <w:sz w:val="20"/>
                <w:szCs w:val="20"/>
                <w:lang w:eastAsia="en-US"/>
              </w:rPr>
              <w:t>-n</w:t>
            </w:r>
          </w:p>
          <w:p w14:paraId="2BEE2B48"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(Japanese)</w:t>
            </w:r>
          </w:p>
          <w:p w14:paraId="6AFF241F"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 xml:space="preserve">Maintenance: </w:t>
            </w:r>
          </w:p>
          <w:p w14:paraId="5919B797" w14:textId="77777777" w:rsidR="00B956F4" w:rsidRPr="009A0E7B" w:rsidRDefault="00B956F4"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Wk8 responders</w:t>
            </w:r>
          </w:p>
        </w:tc>
        <w:tc>
          <w:tcPr>
            <w:tcW w:w="758" w:type="pct"/>
            <w:vMerge/>
            <w:vAlign w:val="center"/>
          </w:tcPr>
          <w:p w14:paraId="36E26EC8" w14:textId="7FC465AA" w:rsidR="00B956F4" w:rsidRPr="009A0E7B" w:rsidRDefault="00B956F4" w:rsidP="00D70B3A">
            <w:pPr>
              <w:keepNext/>
              <w:keepLines/>
              <w:jc w:val="left"/>
              <w:rPr>
                <w:rFonts w:ascii="Arial Narrow" w:eastAsiaTheme="minorEastAsia" w:hAnsi="Arial Narrow" w:cs="Times New Roman"/>
                <w:sz w:val="20"/>
                <w:szCs w:val="20"/>
                <w:lang w:eastAsia="en-US"/>
              </w:rPr>
            </w:pPr>
          </w:p>
        </w:tc>
      </w:tr>
      <w:tr w:rsidR="0073490D" w:rsidRPr="009A0E7B" w14:paraId="4A56C2EE" w14:textId="77777777" w:rsidTr="000A1996">
        <w:tc>
          <w:tcPr>
            <w:tcW w:w="5000" w:type="pct"/>
            <w:gridSpan w:val="6"/>
            <w:vAlign w:val="center"/>
          </w:tcPr>
          <w:p w14:paraId="33CC9401" w14:textId="1AAACF7F" w:rsidR="0073490D" w:rsidRPr="009A0E7B" w:rsidRDefault="0073490D" w:rsidP="00D70B3A">
            <w:pPr>
              <w:keepNext/>
              <w:keepLines/>
              <w:jc w:val="left"/>
              <w:rPr>
                <w:rFonts w:ascii="Arial Narrow" w:eastAsiaTheme="minorEastAsia" w:hAnsi="Arial Narrow" w:cs="Times New Roman"/>
                <w:b/>
                <w:bCs/>
                <w:sz w:val="20"/>
                <w:szCs w:val="20"/>
                <w:lang w:eastAsia="en-US"/>
              </w:rPr>
            </w:pPr>
            <w:r>
              <w:rPr>
                <w:rFonts w:ascii="Arial Narrow" w:hAnsi="Arial Narrow"/>
                <w:b/>
                <w:color w:val="222222"/>
                <w:sz w:val="20"/>
                <w:szCs w:val="21"/>
                <w:lang w:eastAsia="en-US"/>
              </w:rPr>
              <w:t>Secondary comparison</w:t>
            </w:r>
          </w:p>
        </w:tc>
      </w:tr>
      <w:tr w:rsidR="00037A5E" w:rsidRPr="009A0E7B" w14:paraId="1C239266" w14:textId="77777777" w:rsidTr="000A1996">
        <w:tc>
          <w:tcPr>
            <w:tcW w:w="5000" w:type="pct"/>
            <w:gridSpan w:val="6"/>
            <w:vAlign w:val="center"/>
          </w:tcPr>
          <w:p w14:paraId="5143410E" w14:textId="668678DE" w:rsidR="00037A5E" w:rsidRPr="009A0E7B" w:rsidRDefault="00037A5E" w:rsidP="00D70B3A">
            <w:pPr>
              <w:keepNext/>
              <w:keepLines/>
              <w:jc w:val="left"/>
              <w:rPr>
                <w:rFonts w:ascii="Arial Narrow" w:eastAsiaTheme="minorEastAsia" w:hAnsi="Arial Narrow" w:cs="Times New Roman"/>
                <w:b/>
                <w:bCs/>
                <w:sz w:val="20"/>
                <w:szCs w:val="20"/>
                <w:lang w:eastAsia="en-US"/>
              </w:rPr>
            </w:pPr>
            <w:r w:rsidRPr="009A0E7B">
              <w:rPr>
                <w:rFonts w:ascii="Arial Narrow" w:eastAsiaTheme="minorEastAsia" w:hAnsi="Arial Narrow" w:cs="Times New Roman"/>
                <w:b/>
                <w:bCs/>
                <w:sz w:val="20"/>
                <w:szCs w:val="20"/>
                <w:lang w:eastAsia="en-US"/>
              </w:rPr>
              <w:t>TOF v PBO</w:t>
            </w:r>
          </w:p>
        </w:tc>
      </w:tr>
      <w:tr w:rsidR="00037A5E" w:rsidRPr="009A0E7B" w14:paraId="7E50F416" w14:textId="77777777" w:rsidTr="00B956F4">
        <w:tc>
          <w:tcPr>
            <w:tcW w:w="613" w:type="pct"/>
            <w:vAlign w:val="center"/>
          </w:tcPr>
          <w:p w14:paraId="2E98E8BC" w14:textId="218D4667" w:rsidR="00037A5E" w:rsidRPr="009A0E7B" w:rsidRDefault="00037A5E"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Study A3921063</w:t>
            </w:r>
          </w:p>
        </w:tc>
        <w:tc>
          <w:tcPr>
            <w:tcW w:w="735" w:type="pct"/>
            <w:vAlign w:val="center"/>
          </w:tcPr>
          <w:p w14:paraId="3B25473E" w14:textId="2141EA19" w:rsidR="00037A5E" w:rsidRPr="009A0E7B" w:rsidRDefault="00037A5E"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194</w:t>
            </w:r>
          </w:p>
        </w:tc>
        <w:tc>
          <w:tcPr>
            <w:tcW w:w="1322" w:type="pct"/>
            <w:vAlign w:val="center"/>
          </w:tcPr>
          <w:p w14:paraId="202AF249" w14:textId="78E0A1A6" w:rsidR="00037A5E" w:rsidRPr="009A0E7B" w:rsidRDefault="00037A5E" w:rsidP="00D70B3A">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 xml:space="preserve">P2, MC, R, PC, DB (8 </w:t>
            </w:r>
            <w:proofErr w:type="spellStart"/>
            <w:r w:rsidRPr="009A0E7B">
              <w:rPr>
                <w:rFonts w:ascii="Arial Narrow" w:eastAsiaTheme="minorEastAsia" w:hAnsi="Arial Narrow" w:cs="Times New Roman"/>
                <w:sz w:val="20"/>
                <w:szCs w:val="20"/>
                <w:lang w:eastAsia="en-US"/>
              </w:rPr>
              <w:t>wk</w:t>
            </w:r>
            <w:proofErr w:type="spellEnd"/>
            <w:r w:rsidRPr="009A0E7B">
              <w:rPr>
                <w:rFonts w:ascii="Arial Narrow" w:eastAsiaTheme="minorEastAsia" w:hAnsi="Arial Narrow" w:cs="Times New Roman"/>
                <w:sz w:val="20"/>
                <w:szCs w:val="20"/>
                <w:lang w:eastAsia="en-US"/>
              </w:rPr>
              <w:t>)</w:t>
            </w:r>
          </w:p>
        </w:tc>
        <w:tc>
          <w:tcPr>
            <w:tcW w:w="550" w:type="pct"/>
            <w:vAlign w:val="center"/>
          </w:tcPr>
          <w:p w14:paraId="2A9DAF6A" w14:textId="1A82E179" w:rsidR="00037A5E" w:rsidRPr="009A0E7B" w:rsidRDefault="00037A5E"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Low</w:t>
            </w:r>
          </w:p>
        </w:tc>
        <w:tc>
          <w:tcPr>
            <w:tcW w:w="1022" w:type="pct"/>
            <w:vAlign w:val="center"/>
          </w:tcPr>
          <w:p w14:paraId="7E5F47A0" w14:textId="590C627B" w:rsidR="00037A5E" w:rsidRPr="009A0E7B" w:rsidRDefault="00037A5E" w:rsidP="00D70B3A">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TNF-n and TNF-e</w:t>
            </w:r>
          </w:p>
        </w:tc>
        <w:tc>
          <w:tcPr>
            <w:tcW w:w="758" w:type="pct"/>
            <w:vAlign w:val="center"/>
          </w:tcPr>
          <w:p w14:paraId="3F21E5C2" w14:textId="3DCBF968" w:rsidR="00B956F4" w:rsidRPr="009A0E7B" w:rsidRDefault="00B956F4" w:rsidP="00B956F4">
            <w:pPr>
              <w:keepNext/>
              <w:keepLines/>
              <w:jc w:val="left"/>
              <w:rPr>
                <w:rFonts w:ascii="Arial Narrow" w:eastAsiaTheme="minorEastAsia" w:hAnsi="Arial Narrow" w:cs="Times New Roman"/>
                <w:sz w:val="20"/>
                <w:szCs w:val="20"/>
                <w:lang w:eastAsia="en-US"/>
              </w:rPr>
            </w:pPr>
            <w:r>
              <w:rPr>
                <w:rFonts w:ascii="Arial Narrow" w:eastAsiaTheme="minorEastAsia" w:hAnsi="Arial Narrow" w:cs="Times New Roman"/>
                <w:sz w:val="20"/>
                <w:szCs w:val="20"/>
                <w:lang w:eastAsia="en-US"/>
              </w:rPr>
              <w:t>Primary</w:t>
            </w:r>
            <w:r w:rsidR="00F507A2">
              <w:rPr>
                <w:rFonts w:ascii="Arial Narrow" w:eastAsiaTheme="minorEastAsia" w:hAnsi="Arial Narrow" w:cs="Times New Roman"/>
                <w:sz w:val="20"/>
                <w:szCs w:val="20"/>
                <w:lang w:eastAsia="en-US"/>
              </w:rPr>
              <w:t>: clinical response</w:t>
            </w:r>
          </w:p>
          <w:p w14:paraId="127825A3" w14:textId="77777777" w:rsidR="00B956F4" w:rsidRDefault="00B956F4" w:rsidP="00B956F4">
            <w:pPr>
              <w:keepNext/>
              <w:keepLines/>
              <w:jc w:val="left"/>
              <w:rPr>
                <w:rFonts w:ascii="Arial Narrow" w:eastAsiaTheme="minorEastAsia" w:hAnsi="Arial Narrow" w:cs="Times New Roman"/>
                <w:sz w:val="20"/>
                <w:szCs w:val="20"/>
                <w:lang w:eastAsia="en-US"/>
              </w:rPr>
            </w:pPr>
          </w:p>
          <w:p w14:paraId="284BC854" w14:textId="0BEDF2E6" w:rsidR="00037A5E" w:rsidRPr="009A0E7B" w:rsidRDefault="00B956F4" w:rsidP="00F355CC">
            <w:pPr>
              <w:keepNext/>
              <w:keepLines/>
              <w:jc w:val="left"/>
              <w:rPr>
                <w:rFonts w:ascii="Arial Narrow" w:eastAsiaTheme="minorEastAsia" w:hAnsi="Arial Narrow" w:cs="Times New Roman"/>
                <w:sz w:val="20"/>
                <w:szCs w:val="20"/>
                <w:lang w:eastAsia="en-US"/>
              </w:rPr>
            </w:pPr>
            <w:r>
              <w:rPr>
                <w:rFonts w:ascii="Arial Narrow" w:eastAsiaTheme="minorEastAsia" w:hAnsi="Arial Narrow" w:cs="Times New Roman"/>
                <w:sz w:val="20"/>
                <w:szCs w:val="20"/>
                <w:lang w:eastAsia="en-US"/>
              </w:rPr>
              <w:t>Secondary</w:t>
            </w:r>
            <w:r w:rsidRPr="009A0E7B">
              <w:rPr>
                <w:rFonts w:ascii="Arial Narrow" w:eastAsiaTheme="minorEastAsia" w:hAnsi="Arial Narrow" w:cs="Times New Roman"/>
                <w:sz w:val="20"/>
                <w:szCs w:val="20"/>
                <w:lang w:eastAsia="en-US"/>
              </w:rPr>
              <w:t>: clinical remission</w:t>
            </w:r>
          </w:p>
        </w:tc>
      </w:tr>
    </w:tbl>
    <w:p w14:paraId="2B373208" w14:textId="03709FBB" w:rsidR="00FA6D3A" w:rsidRPr="009A0E7B" w:rsidRDefault="00FA6D3A" w:rsidP="00D70B3A">
      <w:pPr>
        <w:pStyle w:val="TableFigureFooter"/>
        <w:keepNext/>
        <w:keepLines/>
      </w:pPr>
      <w:r w:rsidRPr="009A0E7B">
        <w:t>Source: Compiled during the evaluation based on Sections 2.3-2.4 of the submission.</w:t>
      </w:r>
    </w:p>
    <w:p w14:paraId="3F4647FC" w14:textId="57B1072A" w:rsidR="008F6B71" w:rsidRPr="009A0E7B" w:rsidRDefault="008F6B71" w:rsidP="00D70B3A">
      <w:pPr>
        <w:pStyle w:val="TableFigureFooter"/>
        <w:keepNext/>
        <w:keepLines/>
      </w:pPr>
      <w:r w:rsidRPr="009A0E7B">
        <w:rPr>
          <w:vertAlign w:val="superscript"/>
        </w:rPr>
        <w:t xml:space="preserve">a </w:t>
      </w:r>
      <w:r w:rsidRPr="009A0E7B">
        <w:t>Low risk of bias in the induction phase, but few patients progressed to maintenance (OZA 1 mg N=42; placebo N=25)</w:t>
      </w:r>
      <w:r w:rsidR="003C0923" w:rsidRPr="009A0E7B">
        <w:t xml:space="preserve"> which ma</w:t>
      </w:r>
      <w:r w:rsidR="005843D6" w:rsidRPr="009A0E7B">
        <w:t>de</w:t>
      </w:r>
      <w:r w:rsidR="003C0923" w:rsidRPr="009A0E7B">
        <w:t xml:space="preserve"> maintenance phase data more vulnerable to </w:t>
      </w:r>
      <w:r w:rsidR="005D264D" w:rsidRPr="009A0E7B">
        <w:t>confounders</w:t>
      </w:r>
      <w:r w:rsidRPr="009A0E7B">
        <w:t>.</w:t>
      </w:r>
    </w:p>
    <w:p w14:paraId="2B7ACE77" w14:textId="47ADBC2C" w:rsidR="00F507A2" w:rsidRPr="00702544" w:rsidRDefault="0054058F" w:rsidP="00F507A2">
      <w:pPr>
        <w:pStyle w:val="TableFigureFooter"/>
        <w:keepNext/>
        <w:keepLines/>
      </w:pPr>
      <w:r w:rsidRPr="009A0E7B">
        <w:rPr>
          <w:vertAlign w:val="superscript"/>
        </w:rPr>
        <w:t xml:space="preserve">b </w:t>
      </w:r>
      <w:r w:rsidR="00FA6D3A" w:rsidRPr="009A0E7B">
        <w:t xml:space="preserve">Low risk of bias in the induction phase, but high risk of bias during maintenance </w:t>
      </w:r>
      <w:r w:rsidR="00F57EEB" w:rsidRPr="009A0E7B">
        <w:t xml:space="preserve">phase </w:t>
      </w:r>
      <w:r w:rsidR="00FA6D3A" w:rsidRPr="009A0E7B">
        <w:t>due to high attrition bias.</w:t>
      </w:r>
    </w:p>
    <w:p w14:paraId="009F96D3" w14:textId="0A8DCD4A" w:rsidR="00FA6D3A" w:rsidRPr="009A0E7B" w:rsidRDefault="00FA6D3A" w:rsidP="00D70B3A">
      <w:pPr>
        <w:pStyle w:val="TableFigureFooter"/>
        <w:keepNext/>
        <w:keepLines/>
      </w:pPr>
      <w:r w:rsidRPr="009A0E7B">
        <w:t>DB</w:t>
      </w:r>
      <w:r w:rsidR="00F26C7E" w:rsidRPr="009A0E7B">
        <w:t xml:space="preserve"> </w:t>
      </w:r>
      <w:r w:rsidRPr="009A0E7B">
        <w:t>=</w:t>
      </w:r>
      <w:r w:rsidR="00F26C7E" w:rsidRPr="009A0E7B">
        <w:t xml:space="preserve"> </w:t>
      </w:r>
      <w:r w:rsidRPr="009A0E7B">
        <w:t>double blind; IFX</w:t>
      </w:r>
      <w:r w:rsidR="00F26C7E" w:rsidRPr="009A0E7B">
        <w:t xml:space="preserve"> </w:t>
      </w:r>
      <w:r w:rsidRPr="009A0E7B">
        <w:t>=</w:t>
      </w:r>
      <w:r w:rsidR="00F26C7E" w:rsidRPr="009A0E7B">
        <w:t xml:space="preserve"> </w:t>
      </w:r>
      <w:r w:rsidRPr="009A0E7B">
        <w:t>infliximab, IP</w:t>
      </w:r>
      <w:r w:rsidR="00F26C7E" w:rsidRPr="009A0E7B">
        <w:t xml:space="preserve"> </w:t>
      </w:r>
      <w:r w:rsidRPr="009A0E7B">
        <w:t>=</w:t>
      </w:r>
      <w:r w:rsidR="00F26C7E" w:rsidRPr="009A0E7B">
        <w:t xml:space="preserve"> </w:t>
      </w:r>
      <w:r w:rsidRPr="009A0E7B">
        <w:t>induction phase; MC</w:t>
      </w:r>
      <w:r w:rsidR="00F26C7E" w:rsidRPr="009A0E7B">
        <w:t xml:space="preserve"> </w:t>
      </w:r>
      <w:r w:rsidRPr="009A0E7B">
        <w:t>=</w:t>
      </w:r>
      <w:r w:rsidR="00F26C7E" w:rsidRPr="009A0E7B">
        <w:t xml:space="preserve"> </w:t>
      </w:r>
      <w:r w:rsidRPr="009A0E7B">
        <w:t>multi-centre; MP</w:t>
      </w:r>
      <w:r w:rsidR="00F26C7E" w:rsidRPr="009A0E7B">
        <w:t xml:space="preserve"> </w:t>
      </w:r>
      <w:r w:rsidRPr="009A0E7B">
        <w:t>=</w:t>
      </w:r>
      <w:r w:rsidR="00F26C7E" w:rsidRPr="009A0E7B">
        <w:t xml:space="preserve"> </w:t>
      </w:r>
      <w:r w:rsidRPr="009A0E7B">
        <w:t>maintenance phase; NR = not reported; OL=open label; PBO</w:t>
      </w:r>
      <w:r w:rsidR="00F26C7E" w:rsidRPr="009A0E7B">
        <w:t xml:space="preserve"> </w:t>
      </w:r>
      <w:r w:rsidRPr="009A0E7B">
        <w:t>=</w:t>
      </w:r>
      <w:r w:rsidR="00F26C7E" w:rsidRPr="009A0E7B">
        <w:t xml:space="preserve"> </w:t>
      </w:r>
      <w:r w:rsidRPr="009A0E7B">
        <w:t>placebo; P2 = Phase 2; P3=phase 3; PC = placebo controlled; R</w:t>
      </w:r>
      <w:r w:rsidR="00F26C7E" w:rsidRPr="009A0E7B">
        <w:t xml:space="preserve"> </w:t>
      </w:r>
      <w:r w:rsidRPr="009A0E7B">
        <w:t>=</w:t>
      </w:r>
      <w:r w:rsidR="00F26C7E" w:rsidRPr="009A0E7B">
        <w:t xml:space="preserve"> </w:t>
      </w:r>
      <w:r w:rsidRPr="009A0E7B">
        <w:t>randomised, RWD</w:t>
      </w:r>
      <w:r w:rsidR="00F26C7E" w:rsidRPr="009A0E7B">
        <w:t xml:space="preserve"> </w:t>
      </w:r>
      <w:r w:rsidRPr="009A0E7B">
        <w:t>=</w:t>
      </w:r>
      <w:r w:rsidR="00F26C7E" w:rsidRPr="009A0E7B">
        <w:t xml:space="preserve"> </w:t>
      </w:r>
      <w:r w:rsidRPr="009A0E7B">
        <w:t xml:space="preserve">randomised withdrawal design; </w:t>
      </w:r>
      <w:proofErr w:type="spellStart"/>
      <w:r w:rsidRPr="009A0E7B">
        <w:t>TNFi</w:t>
      </w:r>
      <w:proofErr w:type="spellEnd"/>
      <w:r w:rsidRPr="009A0E7B">
        <w:t>-e</w:t>
      </w:r>
      <w:r w:rsidR="00F26C7E" w:rsidRPr="009A0E7B">
        <w:t xml:space="preserve"> </w:t>
      </w:r>
      <w:r w:rsidRPr="009A0E7B">
        <w:t>=</w:t>
      </w:r>
      <w:r w:rsidR="00F26C7E" w:rsidRPr="009A0E7B">
        <w:t xml:space="preserve"> </w:t>
      </w:r>
      <w:r w:rsidRPr="009A0E7B">
        <w:t xml:space="preserve">tumour necrosis factor inhibitor experience, </w:t>
      </w:r>
      <w:proofErr w:type="spellStart"/>
      <w:r w:rsidRPr="009A0E7B">
        <w:t>TNFi</w:t>
      </w:r>
      <w:proofErr w:type="spellEnd"/>
      <w:r w:rsidRPr="009A0E7B">
        <w:t>-n</w:t>
      </w:r>
      <w:r w:rsidR="00F26C7E" w:rsidRPr="009A0E7B">
        <w:t xml:space="preserve"> </w:t>
      </w:r>
      <w:r w:rsidRPr="009A0E7B">
        <w:t>=</w:t>
      </w:r>
      <w:r w:rsidR="00F26C7E" w:rsidRPr="009A0E7B">
        <w:t xml:space="preserve"> </w:t>
      </w:r>
      <w:r w:rsidRPr="009A0E7B">
        <w:t>tumour necrosis factor inhibitor naïve</w:t>
      </w:r>
      <w:r w:rsidR="00CA54F6" w:rsidRPr="009A0E7B">
        <w:t>, TOF</w:t>
      </w:r>
      <w:r w:rsidR="00F26C7E" w:rsidRPr="009A0E7B">
        <w:t xml:space="preserve"> </w:t>
      </w:r>
      <w:r w:rsidR="00CA54F6" w:rsidRPr="009A0E7B">
        <w:t>=</w:t>
      </w:r>
      <w:r w:rsidR="00F26C7E" w:rsidRPr="009A0E7B">
        <w:t xml:space="preserve"> </w:t>
      </w:r>
      <w:r w:rsidR="00CA54F6" w:rsidRPr="009A0E7B">
        <w:t>tofacitinib</w:t>
      </w:r>
      <w:r w:rsidRPr="009A0E7B">
        <w:t>.</w:t>
      </w:r>
    </w:p>
    <w:p w14:paraId="68BD1FCF" w14:textId="6425F5E0" w:rsidR="007D46F6" w:rsidRPr="009A0E7B" w:rsidRDefault="00550297" w:rsidP="007D46F6">
      <w:pPr>
        <w:pStyle w:val="3-BodyText"/>
      </w:pPr>
      <w:r w:rsidRPr="009A0E7B">
        <w:rPr>
          <w:iCs/>
        </w:rPr>
        <w:t>There was a</w:t>
      </w:r>
      <w:r w:rsidR="007D46F6" w:rsidRPr="009A0E7B">
        <w:rPr>
          <w:iCs/>
        </w:rPr>
        <w:t xml:space="preserve"> high risk</w:t>
      </w:r>
      <w:r w:rsidR="00DD2BAF" w:rsidRPr="009A0E7B">
        <w:rPr>
          <w:iCs/>
        </w:rPr>
        <w:t xml:space="preserve"> of bias</w:t>
      </w:r>
      <w:r w:rsidR="007D46F6" w:rsidRPr="009A0E7B">
        <w:rPr>
          <w:iCs/>
        </w:rPr>
        <w:t xml:space="preserve"> due to attrition bias noted for four of the IFX trials in the maintenance phase. These IFX trials had a higher proportion of patients who were lost to follow-up (2-40%) and discontinued (15–60%) compared to the OZA trials (1-3% and 7-45% respectively). Paucity of available detail for Jiang 2015 meant risk of bias was unclear in some domains.</w:t>
      </w:r>
    </w:p>
    <w:p w14:paraId="3A7A3A04" w14:textId="39C9FAF2" w:rsidR="007D46F6" w:rsidRPr="009A0E7B" w:rsidRDefault="007D46F6" w:rsidP="007D46F6">
      <w:pPr>
        <w:pStyle w:val="3-BodyText"/>
        <w:rPr>
          <w:iCs/>
        </w:rPr>
      </w:pPr>
      <w:bookmarkStart w:id="25" w:name="_Ref95299108"/>
      <w:r w:rsidRPr="009A0E7B">
        <w:rPr>
          <w:iCs/>
        </w:rPr>
        <w:t xml:space="preserve">One key differentiating factor between these trials is that in the two OZA trials and the Kobayashi 2016 IFX trial, only patients who responded to treatment during the </w:t>
      </w:r>
      <w:r w:rsidR="00E80EB3" w:rsidRPr="009A0E7B">
        <w:rPr>
          <w:iCs/>
        </w:rPr>
        <w:t>induction</w:t>
      </w:r>
      <w:r w:rsidRPr="009A0E7B">
        <w:rPr>
          <w:iCs/>
        </w:rPr>
        <w:t xml:space="preserve"> phase could continue treatment in the </w:t>
      </w:r>
      <w:r w:rsidR="00E80EB3" w:rsidRPr="009A0E7B">
        <w:rPr>
          <w:iCs/>
        </w:rPr>
        <w:t>maintenance</w:t>
      </w:r>
      <w:r w:rsidRPr="009A0E7B">
        <w:rPr>
          <w:iCs/>
        </w:rPr>
        <w:t xml:space="preserve"> phase; the other IFX trials did not require response to continue. This means that the OZA and Kobayashi 2016 trials had a selected population of responders in their ‘maintenance’ phases, compared to the other IFX trials. Further,</w:t>
      </w:r>
      <w:r w:rsidR="00EC23BD">
        <w:rPr>
          <w:iCs/>
        </w:rPr>
        <w:t xml:space="preserve"> while</w:t>
      </w:r>
      <w:r w:rsidRPr="009A0E7B">
        <w:rPr>
          <w:iCs/>
        </w:rPr>
        <w:t xml:space="preserve"> the Kobayashi 2016 and Touchstone </w:t>
      </w:r>
      <w:r w:rsidRPr="009A0E7B">
        <w:rPr>
          <w:iCs/>
        </w:rPr>
        <w:lastRenderedPageBreak/>
        <w:t>trials used the ITT-principle, where non-responders from the initiation phase were still counted as non-responders in the maintenance phase</w:t>
      </w:r>
      <w:r w:rsidR="00EC23BD">
        <w:rPr>
          <w:iCs/>
        </w:rPr>
        <w:t>,</w:t>
      </w:r>
      <w:r w:rsidRPr="009A0E7B">
        <w:rPr>
          <w:iCs/>
        </w:rPr>
        <w:t xml:space="preserve"> </w:t>
      </w:r>
      <w:r w:rsidR="00EC23BD">
        <w:rPr>
          <w:iCs/>
        </w:rPr>
        <w:t xml:space="preserve">the </w:t>
      </w:r>
      <w:r w:rsidRPr="009A0E7B">
        <w:rPr>
          <w:iCs/>
        </w:rPr>
        <w:t>True North</w:t>
      </w:r>
      <w:r w:rsidR="00EC23BD">
        <w:rPr>
          <w:iCs/>
        </w:rPr>
        <w:t xml:space="preserve"> trial</w:t>
      </w:r>
      <w:r w:rsidRPr="009A0E7B">
        <w:rPr>
          <w:iCs/>
        </w:rPr>
        <w:t xml:space="preserve"> measured efficacy in the maintenance period as a proportion of patients who entered the maintenance phase. The PBAC ha</w:t>
      </w:r>
      <w:r w:rsidR="00550297" w:rsidRPr="009A0E7B">
        <w:rPr>
          <w:iCs/>
        </w:rPr>
        <w:t>s</w:t>
      </w:r>
      <w:r w:rsidRPr="009A0E7B">
        <w:rPr>
          <w:iCs/>
        </w:rPr>
        <w:t xml:space="preserve"> previously not been presented with indirect comparisons that contain these differences in trial design, due to concerns of bias that would favour TOF over IFX (Paragraph 6.11, </w:t>
      </w:r>
      <w:r w:rsidR="00DD2BAF" w:rsidRPr="009A0E7B">
        <w:rPr>
          <w:iCs/>
        </w:rPr>
        <w:t>t</w:t>
      </w:r>
      <w:r w:rsidRPr="009A0E7B">
        <w:rPr>
          <w:iCs/>
        </w:rPr>
        <w:t>ofacitinib</w:t>
      </w:r>
      <w:r w:rsidR="00EE0358" w:rsidRPr="009A0E7B">
        <w:rPr>
          <w:iCs/>
        </w:rPr>
        <w:t xml:space="preserve"> (MSUC)</w:t>
      </w:r>
      <w:r w:rsidRPr="009A0E7B">
        <w:rPr>
          <w:iCs/>
        </w:rPr>
        <w:t xml:space="preserve"> PSD, November 2020 PBAC meeting). Therefore, there is a high risk of bias</w:t>
      </w:r>
      <w:r w:rsidR="002E2AA0" w:rsidRPr="009A0E7B">
        <w:rPr>
          <w:iCs/>
        </w:rPr>
        <w:t xml:space="preserve"> (favouring OZA)</w:t>
      </w:r>
      <w:r w:rsidRPr="009A0E7B">
        <w:rPr>
          <w:iCs/>
        </w:rPr>
        <w:t xml:space="preserve"> in the indirect treatment comparison comparing OZA and IFX.</w:t>
      </w:r>
      <w:bookmarkEnd w:id="25"/>
      <w:r w:rsidRPr="009A0E7B">
        <w:rPr>
          <w:iCs/>
        </w:rPr>
        <w:t xml:space="preserve"> </w:t>
      </w:r>
    </w:p>
    <w:p w14:paraId="1866ED0F" w14:textId="5621ED7E" w:rsidR="00FA2D60" w:rsidRPr="006F24ED" w:rsidRDefault="00971BED" w:rsidP="007D46F6">
      <w:pPr>
        <w:pStyle w:val="3-BodyText"/>
        <w:rPr>
          <w:iCs/>
        </w:rPr>
      </w:pPr>
      <w:r w:rsidRPr="006F24ED">
        <w:rPr>
          <w:iCs/>
        </w:rPr>
        <w:t>The PSCR acknowledged the</w:t>
      </w:r>
      <w:r w:rsidR="00E478E1" w:rsidRPr="006F24ED">
        <w:rPr>
          <w:iCs/>
        </w:rPr>
        <w:t xml:space="preserve"> limitations of the indirect comparisons of OZA and IFX due to differences in trial design, however noted the design of the True North trial was consistent with other more </w:t>
      </w:r>
      <w:r w:rsidR="00C2521D" w:rsidRPr="006F24ED">
        <w:rPr>
          <w:iCs/>
        </w:rPr>
        <w:t>recently conducted</w:t>
      </w:r>
      <w:r w:rsidR="00B705CB" w:rsidRPr="006F24ED">
        <w:rPr>
          <w:iCs/>
        </w:rPr>
        <w:t xml:space="preserve"> trials in MSUC including those </w:t>
      </w:r>
      <w:r w:rsidR="00B705CB" w:rsidRPr="001B7DDA">
        <w:rPr>
          <w:iCs/>
        </w:rPr>
        <w:t>involving TOF, GOL and VED.</w:t>
      </w:r>
      <w:r w:rsidR="00E478E1" w:rsidRPr="001B7DDA">
        <w:rPr>
          <w:iCs/>
        </w:rPr>
        <w:t xml:space="preserve"> T</w:t>
      </w:r>
      <w:r w:rsidR="00C607C9" w:rsidRPr="001B7DDA">
        <w:rPr>
          <w:iCs/>
        </w:rPr>
        <w:t>he PSCR also presented additional sensitivity analyses</w:t>
      </w:r>
      <w:r w:rsidR="00C2521D" w:rsidRPr="001B7DDA">
        <w:rPr>
          <w:iCs/>
        </w:rPr>
        <w:t xml:space="preserve"> for the indirect comparison versus IFX </w:t>
      </w:r>
      <w:r w:rsidR="00FA2D60" w:rsidRPr="001B7DDA">
        <w:rPr>
          <w:iCs/>
        </w:rPr>
        <w:t>that</w:t>
      </w:r>
      <w:r w:rsidR="00C2521D" w:rsidRPr="001B7DDA">
        <w:rPr>
          <w:iCs/>
        </w:rPr>
        <w:t xml:space="preserve"> excluded the True North trial</w:t>
      </w:r>
      <w:r w:rsidR="00B705CB" w:rsidRPr="001B7DDA">
        <w:rPr>
          <w:iCs/>
        </w:rPr>
        <w:t xml:space="preserve"> (</w:t>
      </w:r>
      <w:r w:rsidR="00A84D36" w:rsidRPr="001B7DDA">
        <w:rPr>
          <w:iCs/>
        </w:rPr>
        <w:t xml:space="preserve">see </w:t>
      </w:r>
      <w:r w:rsidR="00B705CB" w:rsidRPr="001B7DDA">
        <w:rPr>
          <w:iCs/>
        </w:rPr>
        <w:t>paragraph 6.2</w:t>
      </w:r>
      <w:r w:rsidR="001B7DDA" w:rsidRPr="001B7DDA">
        <w:rPr>
          <w:iCs/>
        </w:rPr>
        <w:t>8 below</w:t>
      </w:r>
      <w:r w:rsidR="00B705CB" w:rsidRPr="006F24ED">
        <w:rPr>
          <w:iCs/>
        </w:rPr>
        <w:t>)</w:t>
      </w:r>
      <w:r w:rsidR="00C2521D" w:rsidRPr="006F24ED">
        <w:rPr>
          <w:iCs/>
        </w:rPr>
        <w:t xml:space="preserve">. </w:t>
      </w:r>
    </w:p>
    <w:p w14:paraId="7E1081EB" w14:textId="39A20A03" w:rsidR="007D46F6" w:rsidRPr="009A0E7B" w:rsidRDefault="007D46F6" w:rsidP="007D46F6">
      <w:pPr>
        <w:pStyle w:val="3-BodyText"/>
      </w:pPr>
      <w:r w:rsidRPr="009A0E7B">
        <w:t>The clinically relevant outcomes were clinical remission and clinical response, as assessed using the 4-</w:t>
      </w:r>
      <w:r w:rsidR="008C3519" w:rsidRPr="009A0E7B">
        <w:t>component</w:t>
      </w:r>
      <w:r w:rsidRPr="009A0E7B">
        <w:t xml:space="preserve"> Mayo score. </w:t>
      </w:r>
      <w:r w:rsidRPr="009A0E7B">
        <w:rPr>
          <w:iCs/>
        </w:rPr>
        <w:t>The PBAC previously accepted these outcomes when considering biological therapies for MSUC (Infliximab PSD, March 2014 PBAC meeting; Adalimumab PSD, July 2014 PBAC meeting; Vedolizumab PSD, July 2014 PBAC meeting; Tofacitinib</w:t>
      </w:r>
      <w:r w:rsidR="00414B97" w:rsidRPr="009A0E7B">
        <w:rPr>
          <w:iCs/>
        </w:rPr>
        <w:t xml:space="preserve"> (MSUC)</w:t>
      </w:r>
      <w:r w:rsidRPr="009A0E7B">
        <w:rPr>
          <w:iCs/>
        </w:rPr>
        <w:t xml:space="preserve"> PSD, November 2020 PBAC meeting).</w:t>
      </w:r>
    </w:p>
    <w:p w14:paraId="55B82E0A" w14:textId="6ACB136F" w:rsidR="006F24ED" w:rsidRPr="009A2DEA" w:rsidRDefault="007D46F6" w:rsidP="009A2DEA">
      <w:pPr>
        <w:pStyle w:val="3-BodyText"/>
        <w:rPr>
          <w:i/>
          <w:iCs/>
        </w:rPr>
      </w:pPr>
      <w:r w:rsidRPr="009A0E7B">
        <w:t>The</w:t>
      </w:r>
      <w:r w:rsidR="002E2AA0" w:rsidRPr="009A0E7B">
        <w:t xml:space="preserve"> requested OZA listing for MSUC is consistent with current PBS restrictions and required prior failure of 5-aminosalicylate and at least one of either </w:t>
      </w:r>
      <w:proofErr w:type="gramStart"/>
      <w:r w:rsidR="002E2AA0" w:rsidRPr="009A0E7B">
        <w:t>corticosteroids</w:t>
      </w:r>
      <w:proofErr w:type="gramEnd"/>
      <w:r w:rsidR="002E2AA0" w:rsidRPr="009A0E7B">
        <w:t>, azathioprine or mercaptopurine therapies.</w:t>
      </w:r>
      <w:r w:rsidRPr="009A0E7B">
        <w:t xml:space="preserve"> The submission did not state what proportion of patients in True North would have</w:t>
      </w:r>
      <w:r w:rsidR="0080229B">
        <w:t xml:space="preserve"> qualified for PBS-funded </w:t>
      </w:r>
      <w:r w:rsidRPr="009A0E7B">
        <w:t>DMARD therapy;</w:t>
      </w:r>
      <w:r w:rsidR="002E2AA0" w:rsidRPr="009A0E7B">
        <w:t xml:space="preserve"> however,</w:t>
      </w:r>
      <w:r w:rsidRPr="009A0E7B">
        <w:t xml:space="preserve"> 73-80% of patients in True North had failed prior </w:t>
      </w:r>
      <w:proofErr w:type="spellStart"/>
      <w:r w:rsidRPr="009A0E7B">
        <w:t>aminosalicylates</w:t>
      </w:r>
      <w:proofErr w:type="spellEnd"/>
      <w:r w:rsidRPr="009A0E7B">
        <w:t xml:space="preserve">, 38-47% of patients had failed prior steroids, 13-26% of participants had failed to respond to prior azathioprine, and only 5-7% had failed to respond to prior mercaptopurine. This means </w:t>
      </w:r>
      <w:proofErr w:type="gramStart"/>
      <w:r w:rsidRPr="009A0E7B">
        <w:t>the majority of</w:t>
      </w:r>
      <w:proofErr w:type="gramEnd"/>
      <w:r w:rsidRPr="009A0E7B">
        <w:t xml:space="preserve"> patients in True North had not failed oral corticosteroids, and were naïve to thiopurines, and may have responded to these therapies, which would pre</w:t>
      </w:r>
      <w:r w:rsidR="0080229B">
        <w:t xml:space="preserve">clude them from qualifying for </w:t>
      </w:r>
      <w:r w:rsidRPr="009A0E7B">
        <w:t>DMARD therapy. Further, even fewer patients in True North may</w:t>
      </w:r>
      <w:r w:rsidR="0080229B">
        <w:t xml:space="preserve"> have qualified for PBS-funded </w:t>
      </w:r>
      <w:r w:rsidRPr="009A0E7B">
        <w:t xml:space="preserve">DMARD therapy, as the definition of prior treatment failure employed by True North required less exposure to lower doses of therapy compared to the PBS restriction, as shown in </w:t>
      </w:r>
      <w:r w:rsidR="00064499">
        <w:t>Table </w:t>
      </w:r>
      <w:r w:rsidR="00D70B3A" w:rsidRPr="009A0E7B">
        <w:t>4</w:t>
      </w:r>
      <w:r w:rsidRPr="009A0E7B">
        <w:t>.</w:t>
      </w:r>
      <w:r w:rsidR="00103BA4" w:rsidRPr="009A0E7B">
        <w:t xml:space="preserve"> </w:t>
      </w:r>
      <w:r w:rsidR="00103BA4" w:rsidRPr="006F24ED">
        <w:rPr>
          <w:iCs/>
        </w:rPr>
        <w:t xml:space="preserve">The PSCR noted that there were additional patients in the trials who were intolerant of earlier-line </w:t>
      </w:r>
      <w:r w:rsidR="00103BA4" w:rsidRPr="00064499">
        <w:rPr>
          <w:iCs/>
        </w:rPr>
        <w:t>therapies (paragraph 3.5), but the</w:t>
      </w:r>
      <w:r w:rsidR="00103BA4" w:rsidRPr="006F24ED">
        <w:rPr>
          <w:iCs/>
        </w:rPr>
        <w:t xml:space="preserve"> ESC noted that even taking this into account, patients in True North may not be representative of the proposed PBS population.</w:t>
      </w:r>
      <w:r w:rsidR="00103BA4" w:rsidRPr="009A0E7B">
        <w:rPr>
          <w:i/>
        </w:rPr>
        <w:t xml:space="preserve"> </w:t>
      </w:r>
      <w:r w:rsidR="007858ED" w:rsidRPr="007858ED">
        <w:rPr>
          <w:iCs/>
        </w:rPr>
        <w:t>The Pre-PBAC Response acknowledged the requested PBS restriction was narrower than the</w:t>
      </w:r>
      <w:r w:rsidR="007858ED">
        <w:rPr>
          <w:i/>
        </w:rPr>
        <w:t xml:space="preserve"> </w:t>
      </w:r>
      <w:r w:rsidR="007858ED">
        <w:rPr>
          <w:iCs/>
        </w:rPr>
        <w:t>inclusion criteria of the key OZA clinical trials, however stated the restriction was reques</w:t>
      </w:r>
      <w:r w:rsidR="0080229B">
        <w:rPr>
          <w:iCs/>
        </w:rPr>
        <w:t xml:space="preserve">ted for consistency with other </w:t>
      </w:r>
      <w:r w:rsidR="007858ED">
        <w:rPr>
          <w:iCs/>
        </w:rPr>
        <w:t>DMARD listings. To further address the issues with differences between the trial design and recruited populations, the Pre-PBAC Response presented additional subgroup analysis (</w:t>
      </w:r>
      <w:r w:rsidR="007858ED" w:rsidRPr="00BD2E48">
        <w:rPr>
          <w:iCs/>
        </w:rPr>
        <w:t xml:space="preserve">discussed in </w:t>
      </w:r>
      <w:r w:rsidR="00083AD0" w:rsidRPr="00BD2E48">
        <w:rPr>
          <w:iCs/>
        </w:rPr>
        <w:t>paragraph</w:t>
      </w:r>
      <w:r w:rsidR="007858ED" w:rsidRPr="00BD2E48">
        <w:rPr>
          <w:iCs/>
        </w:rPr>
        <w:t xml:space="preserve"> </w:t>
      </w:r>
      <w:r w:rsidR="003C6242" w:rsidRPr="00BD2E48">
        <w:rPr>
          <w:iCs/>
        </w:rPr>
        <w:fldChar w:fldCharType="begin"/>
      </w:r>
      <w:r w:rsidR="003C6242" w:rsidRPr="00BD2E48">
        <w:rPr>
          <w:iCs/>
        </w:rPr>
        <w:instrText xml:space="preserve"> REF _Ref98397770 \r \h </w:instrText>
      </w:r>
      <w:r w:rsidR="00F92DC3" w:rsidRPr="00BD2E48">
        <w:rPr>
          <w:iCs/>
        </w:rPr>
        <w:instrText xml:space="preserve"> \* MERGEFORMAT </w:instrText>
      </w:r>
      <w:r w:rsidR="003C6242" w:rsidRPr="00BD2E48">
        <w:rPr>
          <w:iCs/>
        </w:rPr>
      </w:r>
      <w:r w:rsidR="003C6242" w:rsidRPr="00BD2E48">
        <w:rPr>
          <w:iCs/>
        </w:rPr>
        <w:fldChar w:fldCharType="separate"/>
      </w:r>
      <w:r w:rsidR="00931536">
        <w:rPr>
          <w:iCs/>
        </w:rPr>
        <w:t>6.29</w:t>
      </w:r>
      <w:r w:rsidR="003C6242" w:rsidRPr="00BD2E48">
        <w:rPr>
          <w:iCs/>
        </w:rPr>
        <w:fldChar w:fldCharType="end"/>
      </w:r>
      <w:r w:rsidR="003C6242" w:rsidRPr="00BD2E48">
        <w:rPr>
          <w:iCs/>
        </w:rPr>
        <w:t>).</w:t>
      </w:r>
    </w:p>
    <w:p w14:paraId="467E4C7A" w14:textId="6BAB7C18" w:rsidR="00F4680E" w:rsidRPr="009A0E7B" w:rsidRDefault="00F4680E" w:rsidP="00F4680E">
      <w:pPr>
        <w:pStyle w:val="TableFigureHeading"/>
      </w:pPr>
      <w:r w:rsidRPr="009A0E7B">
        <w:lastRenderedPageBreak/>
        <w:t xml:space="preserve">Table </w:t>
      </w:r>
      <w:fldSimple w:instr=" SEQ Table \* ARABIC ">
        <w:r w:rsidR="00931536">
          <w:rPr>
            <w:noProof/>
          </w:rPr>
          <w:t>4</w:t>
        </w:r>
      </w:fldSimple>
      <w:r w:rsidRPr="009A0E7B">
        <w:t>: Comparison of different definitions of ‘treatment failure’ used by True North and the target PBS populatio</w:t>
      </w:r>
      <w:r w:rsidR="00A84461" w:rsidRPr="009A0E7B">
        <w:t>n</w:t>
      </w:r>
    </w:p>
    <w:tbl>
      <w:tblPr>
        <w:tblStyle w:val="TableGrid"/>
        <w:tblW w:w="0" w:type="auto"/>
        <w:tblLook w:val="04A0" w:firstRow="1" w:lastRow="0" w:firstColumn="1" w:lastColumn="0" w:noHBand="0" w:noVBand="1"/>
      </w:tblPr>
      <w:tblGrid>
        <w:gridCol w:w="2254"/>
        <w:gridCol w:w="3128"/>
        <w:gridCol w:w="3635"/>
      </w:tblGrid>
      <w:tr w:rsidR="00D33568" w:rsidRPr="009A0E7B" w14:paraId="6B5D11D9" w14:textId="77777777" w:rsidTr="00D33568">
        <w:tc>
          <w:tcPr>
            <w:tcW w:w="2254" w:type="dxa"/>
          </w:tcPr>
          <w:p w14:paraId="57AE084A" w14:textId="78F7E0A0" w:rsidR="00D33568" w:rsidRPr="009A0E7B" w:rsidRDefault="00D33568" w:rsidP="00F4680E">
            <w:pPr>
              <w:pStyle w:val="TableText0"/>
              <w:rPr>
                <w:b/>
                <w:bCs w:val="0"/>
              </w:rPr>
            </w:pPr>
            <w:r w:rsidRPr="009A0E7B">
              <w:rPr>
                <w:b/>
                <w:bCs w:val="0"/>
              </w:rPr>
              <w:t>Prior therapy</w:t>
            </w:r>
          </w:p>
        </w:tc>
        <w:tc>
          <w:tcPr>
            <w:tcW w:w="3128" w:type="dxa"/>
          </w:tcPr>
          <w:p w14:paraId="4A80D9B2" w14:textId="51A3F8A3" w:rsidR="00D33568" w:rsidRPr="009A0E7B" w:rsidRDefault="00D33568" w:rsidP="00F4680E">
            <w:pPr>
              <w:pStyle w:val="TableText0"/>
              <w:rPr>
                <w:b/>
                <w:bCs w:val="0"/>
              </w:rPr>
            </w:pPr>
            <w:r w:rsidRPr="009A0E7B">
              <w:rPr>
                <w:b/>
                <w:bCs w:val="0"/>
              </w:rPr>
              <w:t>True North definition of</w:t>
            </w:r>
            <w:r w:rsidR="006979F4" w:rsidRPr="009A0E7B">
              <w:rPr>
                <w:b/>
                <w:bCs w:val="0"/>
              </w:rPr>
              <w:t xml:space="preserve"> prior treatment</w:t>
            </w:r>
            <w:r w:rsidRPr="009A0E7B">
              <w:rPr>
                <w:b/>
                <w:bCs w:val="0"/>
              </w:rPr>
              <w:t xml:space="preserve"> failure</w:t>
            </w:r>
          </w:p>
        </w:tc>
        <w:tc>
          <w:tcPr>
            <w:tcW w:w="3635" w:type="dxa"/>
          </w:tcPr>
          <w:p w14:paraId="5D99ABB4" w14:textId="4CADE067" w:rsidR="00D33568" w:rsidRPr="009A0E7B" w:rsidRDefault="00D33568" w:rsidP="00F4680E">
            <w:pPr>
              <w:pStyle w:val="TableText0"/>
              <w:rPr>
                <w:b/>
                <w:bCs w:val="0"/>
                <w:i/>
                <w:iCs/>
              </w:rPr>
            </w:pPr>
            <w:r w:rsidRPr="009A0E7B">
              <w:rPr>
                <w:b/>
                <w:bCs w:val="0"/>
              </w:rPr>
              <w:t xml:space="preserve">Proposed PBS restriction definition of </w:t>
            </w:r>
            <w:r w:rsidR="006979F4" w:rsidRPr="009A0E7B">
              <w:rPr>
                <w:b/>
                <w:bCs w:val="0"/>
              </w:rPr>
              <w:t xml:space="preserve">prior treatment </w:t>
            </w:r>
            <w:r w:rsidRPr="009A0E7B">
              <w:rPr>
                <w:b/>
                <w:bCs w:val="0"/>
              </w:rPr>
              <w:t>failure</w:t>
            </w:r>
          </w:p>
        </w:tc>
      </w:tr>
      <w:tr w:rsidR="00D33568" w:rsidRPr="009A0E7B" w14:paraId="6A3E3E08" w14:textId="77777777" w:rsidTr="00D33568">
        <w:tc>
          <w:tcPr>
            <w:tcW w:w="2254" w:type="dxa"/>
          </w:tcPr>
          <w:p w14:paraId="6C829C87" w14:textId="409950DE" w:rsidR="00D33568" w:rsidRPr="009A0E7B" w:rsidRDefault="00BF2466" w:rsidP="00F4680E">
            <w:pPr>
              <w:pStyle w:val="TableText0"/>
            </w:pPr>
            <w:r w:rsidRPr="009A0E7B">
              <w:t>5-</w:t>
            </w:r>
            <w:r w:rsidR="00D33568" w:rsidRPr="009A0E7B">
              <w:t>Aminosalicylates</w:t>
            </w:r>
          </w:p>
        </w:tc>
        <w:tc>
          <w:tcPr>
            <w:tcW w:w="3128" w:type="dxa"/>
          </w:tcPr>
          <w:p w14:paraId="69BBDA0E" w14:textId="6AF2B0B4" w:rsidR="00D33568" w:rsidRPr="009A0E7B" w:rsidRDefault="00BF2466" w:rsidP="00F4680E">
            <w:pPr>
              <w:pStyle w:val="TableText0"/>
            </w:pPr>
            <w:r w:rsidRPr="009A0E7B">
              <w:t xml:space="preserve">Dose of </w:t>
            </w:r>
            <w:r w:rsidRPr="009A0E7B">
              <w:rPr>
                <w:rFonts w:cstheme="minorHAnsi"/>
              </w:rPr>
              <w:t>≥</w:t>
            </w:r>
            <w:r w:rsidRPr="009A0E7B">
              <w:t xml:space="preserve"> 2.4 g daily for at least 8 weeks.</w:t>
            </w:r>
          </w:p>
        </w:tc>
        <w:tc>
          <w:tcPr>
            <w:tcW w:w="3635" w:type="dxa"/>
          </w:tcPr>
          <w:p w14:paraId="06B1B375" w14:textId="6DAA5C78" w:rsidR="00D33568" w:rsidRPr="009A0E7B" w:rsidRDefault="00EA1900" w:rsidP="00F4680E">
            <w:pPr>
              <w:pStyle w:val="TableText0"/>
            </w:pPr>
            <w:r w:rsidRPr="009A0E7B">
              <w:t>Standard dose for 3 or more consecutive months.</w:t>
            </w:r>
          </w:p>
        </w:tc>
      </w:tr>
      <w:tr w:rsidR="00D33568" w:rsidRPr="009A0E7B" w14:paraId="77B37570" w14:textId="77777777" w:rsidTr="00D33568">
        <w:tc>
          <w:tcPr>
            <w:tcW w:w="2254" w:type="dxa"/>
          </w:tcPr>
          <w:p w14:paraId="70DEB163" w14:textId="0DC3BBDB" w:rsidR="00D33568" w:rsidRPr="009A0E7B" w:rsidRDefault="00D33568" w:rsidP="00F4680E">
            <w:pPr>
              <w:pStyle w:val="TableText0"/>
            </w:pPr>
            <w:r w:rsidRPr="009A0E7B">
              <w:t>Corticosteroids</w:t>
            </w:r>
          </w:p>
        </w:tc>
        <w:tc>
          <w:tcPr>
            <w:tcW w:w="3128" w:type="dxa"/>
          </w:tcPr>
          <w:p w14:paraId="2A48262A" w14:textId="5B79E09A" w:rsidR="00D33568" w:rsidRPr="009A0E7B" w:rsidRDefault="00EA1900" w:rsidP="00F4680E">
            <w:pPr>
              <w:pStyle w:val="TableText0"/>
            </w:pPr>
            <w:r w:rsidRPr="009A0E7B">
              <w:t xml:space="preserve">Dose of oral prednisone </w:t>
            </w:r>
            <w:r w:rsidRPr="009A0E7B">
              <w:rPr>
                <w:rFonts w:cstheme="minorHAnsi"/>
              </w:rPr>
              <w:t>≥</w:t>
            </w:r>
            <w:r w:rsidRPr="009A0E7B">
              <w:t xml:space="preserve"> 30 mg for at least 2 weeks.</w:t>
            </w:r>
          </w:p>
        </w:tc>
        <w:tc>
          <w:tcPr>
            <w:tcW w:w="3635" w:type="dxa"/>
          </w:tcPr>
          <w:p w14:paraId="19875423" w14:textId="7F3687B4" w:rsidR="00D33568" w:rsidRPr="009A0E7B" w:rsidRDefault="00EA1900" w:rsidP="00F4680E">
            <w:pPr>
              <w:pStyle w:val="TableText0"/>
            </w:pPr>
            <w:r w:rsidRPr="009A0E7B">
              <w:t>Tapered course of oral steroids, starting at a dose of at least 40 mg prednisone, over a 6</w:t>
            </w:r>
            <w:r w:rsidR="00F4680E" w:rsidRPr="009A0E7B">
              <w:t>-</w:t>
            </w:r>
            <w:r w:rsidRPr="009A0E7B">
              <w:t>week period.</w:t>
            </w:r>
          </w:p>
        </w:tc>
      </w:tr>
      <w:tr w:rsidR="00D33568" w:rsidRPr="009A0E7B" w14:paraId="6B9BBF60" w14:textId="77777777" w:rsidTr="00D33568">
        <w:tc>
          <w:tcPr>
            <w:tcW w:w="2254" w:type="dxa"/>
          </w:tcPr>
          <w:p w14:paraId="3AAD48C4" w14:textId="3FD4014E" w:rsidR="00D33568" w:rsidRPr="009A0E7B" w:rsidRDefault="00EA1900" w:rsidP="00F4680E">
            <w:pPr>
              <w:pStyle w:val="TableText0"/>
            </w:pPr>
            <w:r w:rsidRPr="009A0E7B">
              <w:t>Immunomodulators</w:t>
            </w:r>
          </w:p>
        </w:tc>
        <w:tc>
          <w:tcPr>
            <w:tcW w:w="3128" w:type="dxa"/>
          </w:tcPr>
          <w:p w14:paraId="060B912C" w14:textId="77777777" w:rsidR="00BF2466" w:rsidRPr="009A0E7B" w:rsidRDefault="00BF2466" w:rsidP="00F4680E">
            <w:pPr>
              <w:pStyle w:val="TableText0"/>
            </w:pPr>
            <w:r w:rsidRPr="009A0E7B">
              <w:t xml:space="preserve">Azathioprine </w:t>
            </w:r>
            <w:r w:rsidRPr="009A0E7B">
              <w:rPr>
                <w:rFonts w:cstheme="minorHAnsi"/>
              </w:rPr>
              <w:t>≥</w:t>
            </w:r>
            <w:r w:rsidRPr="009A0E7B">
              <w:t xml:space="preserve"> 1.5 mg/kg daily OR </w:t>
            </w:r>
          </w:p>
          <w:p w14:paraId="24CD6371" w14:textId="47223301" w:rsidR="00D33568" w:rsidRPr="009A0E7B" w:rsidRDefault="00BF2466" w:rsidP="00F4680E">
            <w:pPr>
              <w:pStyle w:val="TableText0"/>
            </w:pPr>
            <w:r w:rsidRPr="009A0E7B">
              <w:t xml:space="preserve">6-mercaptopurine </w:t>
            </w:r>
            <w:r w:rsidRPr="009A0E7B">
              <w:rPr>
                <w:rFonts w:cstheme="minorHAnsi"/>
              </w:rPr>
              <w:t>≥</w:t>
            </w:r>
            <w:r w:rsidRPr="009A0E7B">
              <w:t xml:space="preserve"> 0.75 mg/kg for at least 8 weeks.</w:t>
            </w:r>
          </w:p>
        </w:tc>
        <w:tc>
          <w:tcPr>
            <w:tcW w:w="3635" w:type="dxa"/>
          </w:tcPr>
          <w:p w14:paraId="354518AA" w14:textId="04CCF65E" w:rsidR="00BF2466" w:rsidRPr="009A0E7B" w:rsidRDefault="00EA1900" w:rsidP="00F4680E">
            <w:pPr>
              <w:pStyle w:val="TableText0"/>
            </w:pPr>
            <w:r w:rsidRPr="009A0E7B">
              <w:t xml:space="preserve">Azathioprine </w:t>
            </w:r>
            <w:r w:rsidRPr="009A0E7B">
              <w:rPr>
                <w:rFonts w:cstheme="minorHAnsi"/>
              </w:rPr>
              <w:t>≥</w:t>
            </w:r>
            <w:r w:rsidRPr="009A0E7B">
              <w:t xml:space="preserve"> 2 mg per kg daily</w:t>
            </w:r>
            <w:r w:rsidR="00BF2466" w:rsidRPr="009A0E7B">
              <w:t xml:space="preserve"> OR </w:t>
            </w:r>
          </w:p>
          <w:p w14:paraId="42BD1A03" w14:textId="46141C29" w:rsidR="00EA1900" w:rsidRPr="009A0E7B" w:rsidRDefault="00BF2466" w:rsidP="00F4680E">
            <w:pPr>
              <w:pStyle w:val="TableText0"/>
            </w:pPr>
            <w:r w:rsidRPr="009A0E7B">
              <w:t xml:space="preserve">6-mercaptopurine </w:t>
            </w:r>
            <w:r w:rsidRPr="009A0E7B">
              <w:rPr>
                <w:rFonts w:cstheme="minorHAnsi"/>
              </w:rPr>
              <w:t>≥</w:t>
            </w:r>
            <w:r w:rsidRPr="009A0E7B">
              <w:t xml:space="preserve"> 1 mg per kg daily</w:t>
            </w:r>
            <w:r w:rsidR="00EA1900" w:rsidRPr="009A0E7B">
              <w:t xml:space="preserve"> for </w:t>
            </w:r>
            <w:r w:rsidR="00EA1900" w:rsidRPr="009A0E7B">
              <w:rPr>
                <w:rFonts w:cstheme="minorHAnsi"/>
              </w:rPr>
              <w:t>≥</w:t>
            </w:r>
            <w:r w:rsidR="00EA1900" w:rsidRPr="009A0E7B">
              <w:t xml:space="preserve"> 3 consecutive months.</w:t>
            </w:r>
          </w:p>
        </w:tc>
      </w:tr>
    </w:tbl>
    <w:p w14:paraId="50B65126" w14:textId="7D53FF29" w:rsidR="00954FA7" w:rsidRPr="009A0E7B" w:rsidRDefault="00EA1900" w:rsidP="00954FA7">
      <w:pPr>
        <w:pStyle w:val="TableFigureFooter"/>
      </w:pPr>
      <w:r w:rsidRPr="009A0E7B">
        <w:t>Source: Compiled during the evaluation, with data extracted from Table 3, pp 44-47 of the True North CSR; Table 18, p 43 of the submission.</w:t>
      </w:r>
    </w:p>
    <w:p w14:paraId="6E7733ED" w14:textId="218B3097" w:rsidR="00FA6D3A" w:rsidRPr="009A0E7B" w:rsidRDefault="00FA6D3A" w:rsidP="007D46F6">
      <w:pPr>
        <w:pStyle w:val="3-BodyText"/>
        <w:rPr>
          <w:i/>
        </w:rPr>
      </w:pPr>
      <w:r w:rsidRPr="009A0E7B">
        <w:t>The submission noted that the PBAC ha</w:t>
      </w:r>
      <w:r w:rsidR="00B5228D">
        <w:t>s</w:t>
      </w:r>
      <w:r w:rsidRPr="009A0E7B">
        <w:t xml:space="preserve"> not previously defined a non-inferiority margin for outcomes when considering treatments for MSUC, </w:t>
      </w:r>
      <w:r w:rsidR="00B5228D">
        <w:t xml:space="preserve">and </w:t>
      </w:r>
      <w:r w:rsidRPr="009A0E7B">
        <w:t>so nominated a lack of statistically significant differences between OZA and IFX</w:t>
      </w:r>
      <w:r w:rsidR="0068617A" w:rsidRPr="009A0E7B">
        <w:t xml:space="preserve"> (p &lt;</w:t>
      </w:r>
      <w:r w:rsidR="004A7AC8" w:rsidRPr="009A0E7B">
        <w:t>0.05)</w:t>
      </w:r>
      <w:r w:rsidRPr="009A0E7B">
        <w:t xml:space="preserve">. </w:t>
      </w:r>
      <w:r w:rsidR="00F57EEB" w:rsidRPr="009A0E7B">
        <w:t xml:space="preserve"> </w:t>
      </w:r>
      <w:r w:rsidR="00F57EEB" w:rsidRPr="000F284B">
        <w:rPr>
          <w:iCs/>
        </w:rPr>
        <w:t xml:space="preserve">The ESC noted that a lack of statistically significant difference may not be adequate to support a claim of non-inferiority.  </w:t>
      </w:r>
    </w:p>
    <w:p w14:paraId="4366F925" w14:textId="250417E3" w:rsidR="00856A9A" w:rsidRPr="009A0E7B" w:rsidRDefault="00856A9A" w:rsidP="00856A9A">
      <w:pPr>
        <w:pStyle w:val="3-BodyText"/>
      </w:pPr>
      <w:r w:rsidRPr="009A0E7B">
        <w:t>The submission performed ITCs against the nominated secondary comparators TOF, VED, ADA and GOL. The PBAC ha</w:t>
      </w:r>
      <w:r w:rsidR="00A84D36" w:rsidRPr="009A0E7B">
        <w:t>s</w:t>
      </w:r>
      <w:r w:rsidRPr="009A0E7B">
        <w:t xml:space="preserve"> previously evaluated the relevant trials used by the submission, apart from the TOF study A3921063</w:t>
      </w:r>
      <w:r w:rsidRPr="002827BC">
        <w:rPr>
          <w:vertAlign w:val="superscript"/>
        </w:rPr>
        <w:footnoteReference w:id="2"/>
      </w:r>
      <w:r w:rsidR="00EB3E32" w:rsidRPr="002827BC">
        <w:rPr>
          <w:vertAlign w:val="superscript"/>
        </w:rPr>
        <w:t xml:space="preserve"> </w:t>
      </w:r>
      <w:r w:rsidR="00EB3E32" w:rsidRPr="009A0E7B">
        <w:t xml:space="preserve">(a </w:t>
      </w:r>
      <w:r w:rsidRPr="009A0E7B">
        <w:rPr>
          <w:iCs/>
        </w:rPr>
        <w:t>double-blind, placebo-controlled trial which examined induction-phase therapy of 192 patients</w:t>
      </w:r>
      <w:r w:rsidR="00EB3E32" w:rsidRPr="009A0E7B">
        <w:rPr>
          <w:iCs/>
        </w:rPr>
        <w:t>)</w:t>
      </w:r>
      <w:r w:rsidRPr="009A0E7B">
        <w:rPr>
          <w:iCs/>
        </w:rPr>
        <w:t>. This t</w:t>
      </w:r>
      <w:r w:rsidR="00A84D36" w:rsidRPr="009A0E7B">
        <w:rPr>
          <w:iCs/>
        </w:rPr>
        <w:t>rial was determined to have a ‘l</w:t>
      </w:r>
      <w:r w:rsidRPr="009A0E7B">
        <w:rPr>
          <w:iCs/>
        </w:rPr>
        <w:t>ow’ risk of bia</w:t>
      </w:r>
      <w:r w:rsidR="003B2FAE" w:rsidRPr="009A0E7B">
        <w:rPr>
          <w:iCs/>
        </w:rPr>
        <w:t>s</w:t>
      </w:r>
      <w:r w:rsidRPr="009A0E7B">
        <w:rPr>
          <w:iCs/>
        </w:rPr>
        <w:t xml:space="preserve">. </w:t>
      </w:r>
    </w:p>
    <w:p w14:paraId="6070C839" w14:textId="73D3C8C0" w:rsidR="00856A9A" w:rsidRPr="009A0E7B" w:rsidRDefault="00856A9A" w:rsidP="00856A9A">
      <w:pPr>
        <w:pStyle w:val="3-BodyText"/>
      </w:pPr>
      <w:proofErr w:type="gramStart"/>
      <w:r w:rsidRPr="009A0E7B">
        <w:t>A number of</w:t>
      </w:r>
      <w:proofErr w:type="gramEnd"/>
      <w:r w:rsidRPr="009A0E7B">
        <w:t xml:space="preserve"> the secondary comparator trials also re-randomised patients who responded to active treatment in the induction phase; these were PURSUIT-M (GOL), PURSUIT-J (GOL), GEMINI 1 (VED), VISIBLE 1 (VED), OCTAVE-SUSTAIN (TOF), and </w:t>
      </w:r>
      <w:proofErr w:type="spellStart"/>
      <w:r w:rsidRPr="009A0E7B">
        <w:t>Motoya</w:t>
      </w:r>
      <w:proofErr w:type="spellEnd"/>
      <w:r w:rsidRPr="009A0E7B">
        <w:t xml:space="preserve"> 2019 (VED). </w:t>
      </w:r>
      <w:r w:rsidRPr="009A0E7B">
        <w:rPr>
          <w:iCs/>
        </w:rPr>
        <w:t>These trial designs are more comparable to True North</w:t>
      </w:r>
      <w:r w:rsidRPr="009A0E7B">
        <w:t xml:space="preserve">, however OCTAVE-SUSTAIN included responders to either TOF or placebo during induction treatment, while in True North, 100% of the ‘responder’ population had demonstrated </w:t>
      </w:r>
      <w:r w:rsidR="003915B0">
        <w:t>a</w:t>
      </w:r>
      <w:r w:rsidR="003915B0" w:rsidRPr="009A0E7B">
        <w:t xml:space="preserve"> </w:t>
      </w:r>
      <w:r w:rsidRPr="009A0E7B">
        <w:t>response to OZA</w:t>
      </w:r>
      <w:r w:rsidRPr="009A0E7B">
        <w:rPr>
          <w:iCs/>
        </w:rPr>
        <w:t xml:space="preserve">. The submission noted that the ADA trials did not re-randomise induction phase responders for its maintenance phase, so conducted the ITC of OZA </w:t>
      </w:r>
      <w:r w:rsidR="00A4760E" w:rsidRPr="009A0E7B">
        <w:rPr>
          <w:iCs/>
        </w:rPr>
        <w:t>vs.</w:t>
      </w:r>
      <w:r w:rsidRPr="009A0E7B">
        <w:rPr>
          <w:iCs/>
        </w:rPr>
        <w:t xml:space="preserve"> ADA as a sensitivity analysis using only Touchstone OZA data. </w:t>
      </w:r>
    </w:p>
    <w:p w14:paraId="3BC127F2" w14:textId="77D86C87" w:rsidR="00856A9A" w:rsidRPr="009A0E7B" w:rsidRDefault="00856A9A" w:rsidP="00856A9A">
      <w:pPr>
        <w:pStyle w:val="3-BodyText"/>
      </w:pPr>
      <w:r w:rsidRPr="009A0E7B">
        <w:rPr>
          <w:iCs/>
        </w:rPr>
        <w:t xml:space="preserve">Generally, the secondary comparator trials specified patients with moderate to severe disease, previous treatment failures of corticosteroids and/or immunomodulators or anti-TNF agents, and the TOF trials excluded patients with </w:t>
      </w:r>
      <w:r w:rsidR="00666DD3" w:rsidRPr="009A0E7B">
        <w:rPr>
          <w:iCs/>
        </w:rPr>
        <w:t>ulcerative colitis</w:t>
      </w:r>
      <w:r w:rsidRPr="009A0E7B">
        <w:rPr>
          <w:iCs/>
        </w:rPr>
        <w:t xml:space="preserve"> limited to the distal 15 cm of the colon. In this regard, the populations of the secondary comparators are more </w:t>
      </w:r>
      <w:proofErr w:type="gramStart"/>
      <w:r w:rsidRPr="009A0E7B">
        <w:rPr>
          <w:iCs/>
        </w:rPr>
        <w:t>similar to</w:t>
      </w:r>
      <w:proofErr w:type="gramEnd"/>
      <w:r w:rsidRPr="009A0E7B">
        <w:rPr>
          <w:iCs/>
        </w:rPr>
        <w:t xml:space="preserve"> the IFX trial populations than the OZA trial populations.</w:t>
      </w:r>
    </w:p>
    <w:p w14:paraId="6E0FEDC7" w14:textId="77777777" w:rsidR="00FA6D3A" w:rsidRPr="009A0E7B" w:rsidRDefault="00FA6D3A" w:rsidP="00FA6D3A">
      <w:pPr>
        <w:pStyle w:val="4-SubsectionHeading"/>
      </w:pPr>
      <w:bookmarkStart w:id="26" w:name="_Toc22897641"/>
      <w:bookmarkStart w:id="27" w:name="_Toc22898853"/>
      <w:bookmarkStart w:id="28" w:name="_Toc93489238"/>
      <w:r w:rsidRPr="009A0E7B">
        <w:t>Comparative effectiveness</w:t>
      </w:r>
      <w:bookmarkEnd w:id="26"/>
      <w:bookmarkEnd w:id="27"/>
      <w:bookmarkEnd w:id="28"/>
    </w:p>
    <w:p w14:paraId="38B09ACC" w14:textId="18AA1092" w:rsidR="002553D8" w:rsidRPr="009A0E7B" w:rsidRDefault="00FA6D3A" w:rsidP="00635952">
      <w:pPr>
        <w:pStyle w:val="3-BodyText"/>
      </w:pPr>
      <w:r w:rsidRPr="009A0E7B">
        <w:t xml:space="preserve">The efficacy results for clinical remission and clinical response in the induction and maintenance phases of the OZA trials are </w:t>
      </w:r>
      <w:r w:rsidR="00591522" w:rsidRPr="009A0E7B">
        <w:t>shown in Tables 5 and 6, respectively</w:t>
      </w:r>
      <w:r w:rsidRPr="009A0E7B">
        <w:t>.</w:t>
      </w:r>
      <w:r w:rsidR="00B9196F" w:rsidRPr="009A0E7B">
        <w:t xml:space="preserve"> </w:t>
      </w:r>
      <w:r w:rsidR="00635952" w:rsidRPr="009A0E7B">
        <w:rPr>
          <w:iCs/>
        </w:rPr>
        <w:t xml:space="preserve">The </w:t>
      </w:r>
      <w:r w:rsidR="00635952" w:rsidRPr="009A0E7B">
        <w:rPr>
          <w:iCs/>
        </w:rPr>
        <w:lastRenderedPageBreak/>
        <w:t>True North assessment in the maintenance period only performed statistical comparisons between the re-randomised cohort and excluded the patients who had been in the placebo group from the induction through to maintenance phase.</w:t>
      </w:r>
    </w:p>
    <w:p w14:paraId="69F39E9A" w14:textId="77777777" w:rsidR="002553D8" w:rsidRPr="009A0E7B" w:rsidRDefault="002553D8" w:rsidP="002553D8">
      <w:pPr>
        <w:pStyle w:val="TableFigureHeading"/>
        <w:keepNext w:val="0"/>
      </w:pPr>
    </w:p>
    <w:p w14:paraId="79D3CF5D" w14:textId="11B52119" w:rsidR="00635952" w:rsidRPr="009A0E7B" w:rsidRDefault="00635952" w:rsidP="00591522">
      <w:pPr>
        <w:pStyle w:val="TableFigureHeading"/>
        <w:keepLines/>
      </w:pPr>
      <w:r w:rsidRPr="009A0E7B">
        <w:t xml:space="preserve">Table </w:t>
      </w:r>
      <w:fldSimple w:instr=" SEQ Table \* ARABIC ">
        <w:r w:rsidR="00931536">
          <w:rPr>
            <w:noProof/>
          </w:rPr>
          <w:t>5</w:t>
        </w:r>
      </w:fldSimple>
      <w:r w:rsidRPr="009A0E7B">
        <w:t>: Proportion of patients who had a clinical response or remission during the induction phase, OZA key trials</w:t>
      </w:r>
    </w:p>
    <w:tbl>
      <w:tblPr>
        <w:tblStyle w:val="TableGrid"/>
        <w:tblW w:w="5000" w:type="pct"/>
        <w:tblLook w:val="04A0" w:firstRow="1" w:lastRow="0" w:firstColumn="1" w:lastColumn="0" w:noHBand="0" w:noVBand="1"/>
      </w:tblPr>
      <w:tblGrid>
        <w:gridCol w:w="4588"/>
        <w:gridCol w:w="1452"/>
        <w:gridCol w:w="72"/>
        <w:gridCol w:w="1381"/>
        <w:gridCol w:w="1524"/>
      </w:tblGrid>
      <w:tr w:rsidR="00635952" w:rsidRPr="009A0E7B" w14:paraId="6A87E1D0" w14:textId="77777777" w:rsidTr="00B34F9E">
        <w:tc>
          <w:tcPr>
            <w:tcW w:w="5000" w:type="pct"/>
            <w:gridSpan w:val="5"/>
          </w:tcPr>
          <w:p w14:paraId="4DC71BF2"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Clinical Response</w:t>
            </w:r>
          </w:p>
        </w:tc>
      </w:tr>
      <w:tr w:rsidR="00635952" w:rsidRPr="009A0E7B" w14:paraId="592E895F" w14:textId="77777777" w:rsidTr="00B34F9E">
        <w:tc>
          <w:tcPr>
            <w:tcW w:w="5000" w:type="pct"/>
            <w:gridSpan w:val="5"/>
          </w:tcPr>
          <w:p w14:paraId="79EECCAA" w14:textId="77777777" w:rsidR="00635952" w:rsidRPr="009A0E7B" w:rsidRDefault="00635952" w:rsidP="00591522">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True North – measured at Week 10, ITT population, Non-Responder imputation</w:t>
            </w:r>
          </w:p>
        </w:tc>
      </w:tr>
      <w:tr w:rsidR="00635952" w:rsidRPr="009A0E7B" w14:paraId="2131B0BF" w14:textId="77777777" w:rsidTr="00B34F9E">
        <w:tc>
          <w:tcPr>
            <w:tcW w:w="2544" w:type="pct"/>
            <w:vMerge w:val="restart"/>
          </w:tcPr>
          <w:p w14:paraId="6958E5D7" w14:textId="77777777" w:rsidR="00635952" w:rsidRPr="009A0E7B" w:rsidRDefault="00635952" w:rsidP="00591522">
            <w:pPr>
              <w:keepNext/>
              <w:keepLines/>
              <w:rPr>
                <w:rFonts w:ascii="Arial Narrow" w:eastAsia="Calibri" w:hAnsi="Arial Narrow" w:cs="Times New Roman"/>
                <w:snapToGrid w:val="0"/>
                <w:sz w:val="20"/>
                <w:szCs w:val="20"/>
              </w:rPr>
            </w:pPr>
          </w:p>
        </w:tc>
        <w:tc>
          <w:tcPr>
            <w:tcW w:w="1611" w:type="pct"/>
            <w:gridSpan w:val="3"/>
          </w:tcPr>
          <w:p w14:paraId="12764B44"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Cohort 1</w:t>
            </w:r>
          </w:p>
        </w:tc>
        <w:tc>
          <w:tcPr>
            <w:tcW w:w="845" w:type="pct"/>
          </w:tcPr>
          <w:p w14:paraId="5F32213B"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Cohort 2</w:t>
            </w:r>
          </w:p>
        </w:tc>
      </w:tr>
      <w:tr w:rsidR="00635952" w:rsidRPr="009A0E7B" w14:paraId="6DA40DD9" w14:textId="77777777" w:rsidTr="00B34F9E">
        <w:tc>
          <w:tcPr>
            <w:tcW w:w="2544" w:type="pct"/>
            <w:vMerge/>
          </w:tcPr>
          <w:p w14:paraId="0A5660D6" w14:textId="77777777" w:rsidR="00635952" w:rsidRPr="009A0E7B" w:rsidRDefault="00635952" w:rsidP="00591522">
            <w:pPr>
              <w:keepNext/>
              <w:keepLines/>
              <w:rPr>
                <w:rFonts w:ascii="Arial Narrow" w:eastAsia="Calibri" w:hAnsi="Arial Narrow" w:cs="Times New Roman"/>
                <w:snapToGrid w:val="0"/>
                <w:sz w:val="20"/>
                <w:szCs w:val="20"/>
              </w:rPr>
            </w:pPr>
          </w:p>
        </w:tc>
        <w:tc>
          <w:tcPr>
            <w:tcW w:w="845" w:type="pct"/>
            <w:gridSpan w:val="2"/>
          </w:tcPr>
          <w:p w14:paraId="2ECDB63A"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0.92 mg</w:t>
            </w:r>
          </w:p>
          <w:p w14:paraId="24D4A9A9"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N=429</w:t>
            </w:r>
          </w:p>
        </w:tc>
        <w:tc>
          <w:tcPr>
            <w:tcW w:w="766" w:type="pct"/>
          </w:tcPr>
          <w:p w14:paraId="0D7D8307"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Placebo</w:t>
            </w:r>
          </w:p>
          <w:p w14:paraId="231853B9"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N=216</w:t>
            </w:r>
          </w:p>
        </w:tc>
        <w:tc>
          <w:tcPr>
            <w:tcW w:w="845" w:type="pct"/>
          </w:tcPr>
          <w:p w14:paraId="7750B22D"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0.92 mg</w:t>
            </w:r>
          </w:p>
          <w:p w14:paraId="6DD05D9C"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N=367</w:t>
            </w:r>
          </w:p>
        </w:tc>
      </w:tr>
      <w:tr w:rsidR="00635952" w:rsidRPr="009A0E7B" w14:paraId="07DEA1F2" w14:textId="77777777" w:rsidTr="00B34F9E">
        <w:tc>
          <w:tcPr>
            <w:tcW w:w="2544" w:type="pct"/>
          </w:tcPr>
          <w:p w14:paraId="49B4387D"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Subjects in clinical response, n (</w:t>
            </w:r>
            <w:proofErr w:type="gramStart"/>
            <w:r w:rsidRPr="009A0E7B">
              <w:rPr>
                <w:rFonts w:ascii="Arial Narrow" w:eastAsia="Calibri" w:hAnsi="Arial Narrow" w:cs="Times New Roman"/>
                <w:snapToGrid w:val="0"/>
                <w:sz w:val="20"/>
                <w:szCs w:val="20"/>
              </w:rPr>
              <w:t>%)</w:t>
            </w:r>
            <w:r w:rsidRPr="009A0E7B">
              <w:rPr>
                <w:rFonts w:ascii="Arial Narrow" w:eastAsia="Calibri" w:hAnsi="Arial Narrow" w:cs="Times New Roman"/>
                <w:snapToGrid w:val="0"/>
                <w:sz w:val="20"/>
                <w:szCs w:val="20"/>
                <w:vertAlign w:val="superscript"/>
              </w:rPr>
              <w:t>a</w:t>
            </w:r>
            <w:proofErr w:type="gramEnd"/>
          </w:p>
        </w:tc>
        <w:tc>
          <w:tcPr>
            <w:tcW w:w="845" w:type="pct"/>
            <w:gridSpan w:val="2"/>
          </w:tcPr>
          <w:p w14:paraId="21E7FA97"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222 (51.7)</w:t>
            </w:r>
          </w:p>
        </w:tc>
        <w:tc>
          <w:tcPr>
            <w:tcW w:w="766" w:type="pct"/>
          </w:tcPr>
          <w:p w14:paraId="5B852AE7"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55 (25.5)</w:t>
            </w:r>
          </w:p>
        </w:tc>
        <w:tc>
          <w:tcPr>
            <w:tcW w:w="845" w:type="pct"/>
          </w:tcPr>
          <w:p w14:paraId="1ECBB4AA"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209 (56.9)</w:t>
            </w:r>
          </w:p>
        </w:tc>
      </w:tr>
      <w:tr w:rsidR="00635952" w:rsidRPr="009A0E7B" w14:paraId="4513B6F9" w14:textId="77777777" w:rsidTr="00B34F9E">
        <w:tc>
          <w:tcPr>
            <w:tcW w:w="2544" w:type="pct"/>
          </w:tcPr>
          <w:p w14:paraId="02F77FA2"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 xml:space="preserve">Odds ratio (95% </w:t>
            </w:r>
            <w:proofErr w:type="gramStart"/>
            <w:r w:rsidRPr="009A0E7B">
              <w:rPr>
                <w:rFonts w:ascii="Arial Narrow" w:eastAsia="Calibri" w:hAnsi="Arial Narrow" w:cs="Times New Roman"/>
                <w:snapToGrid w:val="0"/>
                <w:sz w:val="20"/>
                <w:szCs w:val="20"/>
              </w:rPr>
              <w:t>CI)</w:t>
            </w:r>
            <w:r w:rsidRPr="009A0E7B">
              <w:rPr>
                <w:rFonts w:ascii="Arial Narrow" w:eastAsia="Calibri" w:hAnsi="Arial Narrow" w:cs="Times New Roman"/>
                <w:snapToGrid w:val="0"/>
                <w:sz w:val="20"/>
                <w:szCs w:val="20"/>
                <w:vertAlign w:val="superscript"/>
              </w:rPr>
              <w:t>b</w:t>
            </w:r>
            <w:proofErr w:type="gramEnd"/>
          </w:p>
        </w:tc>
        <w:tc>
          <w:tcPr>
            <w:tcW w:w="1611" w:type="pct"/>
            <w:gridSpan w:val="3"/>
          </w:tcPr>
          <w:p w14:paraId="6BE81E99"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3.213 (2.232, 4.626)</w:t>
            </w:r>
          </w:p>
        </w:tc>
        <w:tc>
          <w:tcPr>
            <w:tcW w:w="845" w:type="pct"/>
          </w:tcPr>
          <w:p w14:paraId="42EACEFE"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w:t>
            </w:r>
          </w:p>
        </w:tc>
      </w:tr>
      <w:tr w:rsidR="00635952" w:rsidRPr="009A0E7B" w14:paraId="19392E5C" w14:textId="77777777" w:rsidTr="00B34F9E">
        <w:tc>
          <w:tcPr>
            <w:tcW w:w="2544" w:type="pct"/>
          </w:tcPr>
          <w:p w14:paraId="205F39FD"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Difference in proportions (95% CI)</w:t>
            </w:r>
          </w:p>
        </w:tc>
        <w:tc>
          <w:tcPr>
            <w:tcW w:w="1611" w:type="pct"/>
            <w:gridSpan w:val="3"/>
          </w:tcPr>
          <w:p w14:paraId="004055FD"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0.263 (0.189, 0.337)</w:t>
            </w:r>
          </w:p>
        </w:tc>
        <w:tc>
          <w:tcPr>
            <w:tcW w:w="845" w:type="pct"/>
          </w:tcPr>
          <w:p w14:paraId="3F2F6B6E"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w:t>
            </w:r>
          </w:p>
        </w:tc>
      </w:tr>
      <w:tr w:rsidR="00635952" w:rsidRPr="009A0E7B" w14:paraId="339AB242" w14:textId="77777777" w:rsidTr="00B34F9E">
        <w:tc>
          <w:tcPr>
            <w:tcW w:w="2544" w:type="pct"/>
          </w:tcPr>
          <w:p w14:paraId="41B447A7"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p-value</w:t>
            </w:r>
          </w:p>
        </w:tc>
        <w:tc>
          <w:tcPr>
            <w:tcW w:w="1611" w:type="pct"/>
            <w:gridSpan w:val="3"/>
          </w:tcPr>
          <w:p w14:paraId="3C2DAF67"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&lt; 0.0001</w:t>
            </w:r>
          </w:p>
        </w:tc>
        <w:tc>
          <w:tcPr>
            <w:tcW w:w="845" w:type="pct"/>
          </w:tcPr>
          <w:p w14:paraId="3FAEE52C"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w:t>
            </w:r>
          </w:p>
        </w:tc>
      </w:tr>
      <w:tr w:rsidR="00635952" w:rsidRPr="009A0E7B" w14:paraId="5B8A6104" w14:textId="77777777" w:rsidTr="00B34F9E">
        <w:tc>
          <w:tcPr>
            <w:tcW w:w="5000" w:type="pct"/>
            <w:gridSpan w:val="5"/>
          </w:tcPr>
          <w:p w14:paraId="50B56FAF" w14:textId="77777777" w:rsidR="00635952" w:rsidRPr="009A0E7B" w:rsidRDefault="00635952" w:rsidP="00591522">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Touchstone– measured at Week 8, ITT population, missing data classified as no response</w:t>
            </w:r>
          </w:p>
        </w:tc>
      </w:tr>
      <w:tr w:rsidR="00635952" w:rsidRPr="009A0E7B" w14:paraId="5D37FBA5" w14:textId="77777777" w:rsidTr="00B34F9E">
        <w:tc>
          <w:tcPr>
            <w:tcW w:w="2544" w:type="pct"/>
          </w:tcPr>
          <w:p w14:paraId="66B8CB7D" w14:textId="77777777" w:rsidR="00635952" w:rsidRPr="009A0E7B" w:rsidRDefault="00635952" w:rsidP="00591522">
            <w:pPr>
              <w:keepNext/>
              <w:keepLines/>
              <w:rPr>
                <w:rFonts w:ascii="Arial Narrow" w:eastAsia="Calibri" w:hAnsi="Arial Narrow" w:cs="Times New Roman"/>
                <w:snapToGrid w:val="0"/>
                <w:sz w:val="20"/>
                <w:szCs w:val="20"/>
              </w:rPr>
            </w:pPr>
          </w:p>
        </w:tc>
        <w:tc>
          <w:tcPr>
            <w:tcW w:w="805" w:type="pct"/>
          </w:tcPr>
          <w:p w14:paraId="5A636FF9"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0.46 mg</w:t>
            </w:r>
          </w:p>
          <w:p w14:paraId="33CB7D13"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 xml:space="preserve">N=65 </w:t>
            </w:r>
          </w:p>
        </w:tc>
        <w:tc>
          <w:tcPr>
            <w:tcW w:w="806" w:type="pct"/>
            <w:gridSpan w:val="2"/>
          </w:tcPr>
          <w:p w14:paraId="2089FEAC"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0.92 mg</w:t>
            </w:r>
          </w:p>
          <w:p w14:paraId="68FBCBDF"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 xml:space="preserve">N=67 </w:t>
            </w:r>
          </w:p>
        </w:tc>
        <w:tc>
          <w:tcPr>
            <w:tcW w:w="845" w:type="pct"/>
          </w:tcPr>
          <w:p w14:paraId="1EC91D7B"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Placebo</w:t>
            </w:r>
          </w:p>
          <w:p w14:paraId="247CA7A4"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N=65</w:t>
            </w:r>
          </w:p>
        </w:tc>
      </w:tr>
      <w:tr w:rsidR="00635952" w:rsidRPr="009A0E7B" w14:paraId="068EC7FE" w14:textId="77777777" w:rsidTr="00B34F9E">
        <w:tc>
          <w:tcPr>
            <w:tcW w:w="2544" w:type="pct"/>
          </w:tcPr>
          <w:p w14:paraId="47BDC434"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Subjects in clinical response, n (%)</w:t>
            </w:r>
          </w:p>
        </w:tc>
        <w:tc>
          <w:tcPr>
            <w:tcW w:w="805" w:type="pct"/>
          </w:tcPr>
          <w:p w14:paraId="561CE1DF"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35 (54)</w:t>
            </w:r>
          </w:p>
        </w:tc>
        <w:tc>
          <w:tcPr>
            <w:tcW w:w="806" w:type="pct"/>
            <w:gridSpan w:val="2"/>
          </w:tcPr>
          <w:p w14:paraId="2D11FFD4"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38 (57)</w:t>
            </w:r>
          </w:p>
        </w:tc>
        <w:tc>
          <w:tcPr>
            <w:tcW w:w="845" w:type="pct"/>
          </w:tcPr>
          <w:p w14:paraId="26903D5C"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24 (37)</w:t>
            </w:r>
          </w:p>
        </w:tc>
      </w:tr>
      <w:tr w:rsidR="00635952" w:rsidRPr="009A0E7B" w14:paraId="07555D5E" w14:textId="77777777" w:rsidTr="00B34F9E">
        <w:tc>
          <w:tcPr>
            <w:tcW w:w="2544" w:type="pct"/>
          </w:tcPr>
          <w:p w14:paraId="2E9B1F62" w14:textId="39B24B42"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p-value (</w:t>
            </w:r>
            <w:r w:rsidR="00A4760E" w:rsidRPr="009A0E7B">
              <w:rPr>
                <w:rFonts w:ascii="Arial Narrow" w:eastAsia="Calibri" w:hAnsi="Arial Narrow" w:cs="Times New Roman"/>
                <w:snapToGrid w:val="0"/>
                <w:sz w:val="20"/>
                <w:szCs w:val="20"/>
              </w:rPr>
              <w:t>vs.</w:t>
            </w:r>
            <w:r w:rsidRPr="009A0E7B">
              <w:rPr>
                <w:rFonts w:ascii="Arial Narrow" w:eastAsia="Calibri" w:hAnsi="Arial Narrow" w:cs="Times New Roman"/>
                <w:snapToGrid w:val="0"/>
                <w:sz w:val="20"/>
                <w:szCs w:val="20"/>
              </w:rPr>
              <w:t xml:space="preserve"> placebo)</w:t>
            </w:r>
          </w:p>
        </w:tc>
        <w:tc>
          <w:tcPr>
            <w:tcW w:w="805" w:type="pct"/>
          </w:tcPr>
          <w:p w14:paraId="100FD0B7"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0.06</w:t>
            </w:r>
          </w:p>
        </w:tc>
        <w:tc>
          <w:tcPr>
            <w:tcW w:w="806" w:type="pct"/>
            <w:gridSpan w:val="2"/>
          </w:tcPr>
          <w:p w14:paraId="49C6B55A"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0.02</w:t>
            </w:r>
          </w:p>
        </w:tc>
        <w:tc>
          <w:tcPr>
            <w:tcW w:w="845" w:type="pct"/>
          </w:tcPr>
          <w:p w14:paraId="6728125D"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w:t>
            </w:r>
          </w:p>
        </w:tc>
      </w:tr>
      <w:tr w:rsidR="00635952" w:rsidRPr="009A0E7B" w14:paraId="1AB21B4A" w14:textId="77777777" w:rsidTr="00B34F9E">
        <w:tc>
          <w:tcPr>
            <w:tcW w:w="5000" w:type="pct"/>
            <w:gridSpan w:val="5"/>
          </w:tcPr>
          <w:p w14:paraId="70EBA1FB"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Clinical Remission</w:t>
            </w:r>
          </w:p>
        </w:tc>
      </w:tr>
      <w:tr w:rsidR="00635952" w:rsidRPr="009A0E7B" w14:paraId="1353322A" w14:textId="77777777" w:rsidTr="00B34F9E">
        <w:tc>
          <w:tcPr>
            <w:tcW w:w="5000" w:type="pct"/>
            <w:gridSpan w:val="5"/>
          </w:tcPr>
          <w:p w14:paraId="3DCD9829" w14:textId="77777777" w:rsidR="00635952" w:rsidRPr="009A0E7B" w:rsidRDefault="00635952" w:rsidP="00591522">
            <w:pPr>
              <w:keepNext/>
              <w:keepLines/>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True North – measured at Week 10, ITT population, Non-Responder imputation</w:t>
            </w:r>
          </w:p>
        </w:tc>
      </w:tr>
      <w:tr w:rsidR="00635952" w:rsidRPr="009A0E7B" w14:paraId="237650AD" w14:textId="77777777" w:rsidTr="00B34F9E">
        <w:tc>
          <w:tcPr>
            <w:tcW w:w="2544" w:type="pct"/>
            <w:vMerge w:val="restart"/>
          </w:tcPr>
          <w:p w14:paraId="79B843DB" w14:textId="77777777" w:rsidR="00635952" w:rsidRPr="009A0E7B" w:rsidRDefault="00635952" w:rsidP="00591522">
            <w:pPr>
              <w:keepNext/>
              <w:keepLines/>
              <w:rPr>
                <w:rFonts w:ascii="Arial Narrow" w:eastAsia="Calibri" w:hAnsi="Arial Narrow" w:cs="Times New Roman"/>
                <w:snapToGrid w:val="0"/>
                <w:sz w:val="20"/>
                <w:szCs w:val="20"/>
              </w:rPr>
            </w:pPr>
          </w:p>
        </w:tc>
        <w:tc>
          <w:tcPr>
            <w:tcW w:w="1611" w:type="pct"/>
            <w:gridSpan w:val="3"/>
          </w:tcPr>
          <w:p w14:paraId="2D101727"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Cohort 1</w:t>
            </w:r>
          </w:p>
        </w:tc>
        <w:tc>
          <w:tcPr>
            <w:tcW w:w="845" w:type="pct"/>
            <w:vMerge w:val="restart"/>
          </w:tcPr>
          <w:p w14:paraId="5D5510E7"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Cohort 2</w:t>
            </w:r>
          </w:p>
        </w:tc>
      </w:tr>
      <w:tr w:rsidR="00635952" w:rsidRPr="009A0E7B" w14:paraId="1A12502C" w14:textId="77777777" w:rsidTr="00B34F9E">
        <w:tc>
          <w:tcPr>
            <w:tcW w:w="2544" w:type="pct"/>
            <w:vMerge/>
          </w:tcPr>
          <w:p w14:paraId="0D01BFC3" w14:textId="77777777" w:rsidR="00635952" w:rsidRPr="009A0E7B" w:rsidRDefault="00635952" w:rsidP="00591522">
            <w:pPr>
              <w:keepNext/>
              <w:keepLines/>
              <w:rPr>
                <w:rFonts w:ascii="Arial Narrow" w:eastAsia="Calibri" w:hAnsi="Arial Narrow" w:cs="Times New Roman"/>
                <w:snapToGrid w:val="0"/>
                <w:sz w:val="20"/>
                <w:szCs w:val="20"/>
              </w:rPr>
            </w:pPr>
          </w:p>
        </w:tc>
        <w:tc>
          <w:tcPr>
            <w:tcW w:w="845" w:type="pct"/>
            <w:gridSpan w:val="2"/>
          </w:tcPr>
          <w:p w14:paraId="17265730" w14:textId="77777777" w:rsidR="00635952" w:rsidRPr="009A0E7B" w:rsidRDefault="00635952" w:rsidP="00591522">
            <w:pPr>
              <w:pStyle w:val="Tabletext"/>
              <w:keepNext/>
              <w:keepLines/>
              <w:jc w:val="center"/>
              <w:rPr>
                <w:rFonts w:eastAsia="Calibri"/>
                <w:b/>
                <w:bCs/>
                <w:szCs w:val="20"/>
              </w:rPr>
            </w:pPr>
            <w:r w:rsidRPr="009A0E7B">
              <w:rPr>
                <w:rFonts w:eastAsia="Calibri"/>
                <w:b/>
                <w:bCs/>
                <w:szCs w:val="20"/>
              </w:rPr>
              <w:t>OZA 0.92 mg</w:t>
            </w:r>
          </w:p>
          <w:p w14:paraId="34EB7A85"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N=429</w:t>
            </w:r>
          </w:p>
        </w:tc>
        <w:tc>
          <w:tcPr>
            <w:tcW w:w="766" w:type="pct"/>
          </w:tcPr>
          <w:p w14:paraId="48C80EFE" w14:textId="77777777" w:rsidR="00635952" w:rsidRPr="009A0E7B" w:rsidRDefault="00635952" w:rsidP="00591522">
            <w:pPr>
              <w:pStyle w:val="Tabletext"/>
              <w:keepNext/>
              <w:keepLines/>
              <w:jc w:val="center"/>
              <w:rPr>
                <w:rFonts w:eastAsia="Calibri"/>
                <w:b/>
                <w:bCs/>
                <w:szCs w:val="20"/>
              </w:rPr>
            </w:pPr>
            <w:r w:rsidRPr="009A0E7B">
              <w:rPr>
                <w:rFonts w:eastAsia="Calibri"/>
                <w:b/>
                <w:bCs/>
                <w:szCs w:val="20"/>
              </w:rPr>
              <w:t>Placebo</w:t>
            </w:r>
          </w:p>
          <w:p w14:paraId="3DF3F579"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N=216</w:t>
            </w:r>
          </w:p>
        </w:tc>
        <w:tc>
          <w:tcPr>
            <w:tcW w:w="845" w:type="pct"/>
            <w:vMerge/>
          </w:tcPr>
          <w:p w14:paraId="531CFC92" w14:textId="77777777" w:rsidR="00635952" w:rsidRPr="009A0E7B" w:rsidRDefault="00635952" w:rsidP="00591522">
            <w:pPr>
              <w:keepNext/>
              <w:keepLines/>
              <w:jc w:val="center"/>
              <w:rPr>
                <w:rFonts w:ascii="Arial Narrow" w:eastAsia="Calibri" w:hAnsi="Arial Narrow" w:cs="Times New Roman"/>
                <w:snapToGrid w:val="0"/>
                <w:sz w:val="20"/>
                <w:szCs w:val="20"/>
              </w:rPr>
            </w:pPr>
          </w:p>
        </w:tc>
      </w:tr>
      <w:tr w:rsidR="00635952" w:rsidRPr="009A0E7B" w14:paraId="4BCB37B4" w14:textId="77777777" w:rsidTr="00B34F9E">
        <w:tc>
          <w:tcPr>
            <w:tcW w:w="2544" w:type="pct"/>
          </w:tcPr>
          <w:p w14:paraId="4B9A6760"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snapToGrid w:val="0"/>
                <w:sz w:val="20"/>
                <w:szCs w:val="20"/>
              </w:rPr>
              <w:t>Subjects in clinical remission, n (</w:t>
            </w:r>
            <w:proofErr w:type="gramStart"/>
            <w:r w:rsidRPr="009A0E7B">
              <w:rPr>
                <w:rFonts w:ascii="Arial Narrow" w:eastAsia="Calibri" w:hAnsi="Arial Narrow"/>
                <w:snapToGrid w:val="0"/>
                <w:sz w:val="20"/>
                <w:szCs w:val="20"/>
              </w:rPr>
              <w:t>%)</w:t>
            </w:r>
            <w:r w:rsidRPr="009A0E7B">
              <w:rPr>
                <w:rFonts w:ascii="Arial Narrow" w:eastAsia="Calibri" w:hAnsi="Arial Narrow"/>
                <w:snapToGrid w:val="0"/>
                <w:sz w:val="20"/>
                <w:szCs w:val="20"/>
                <w:vertAlign w:val="superscript"/>
              </w:rPr>
              <w:t>c</w:t>
            </w:r>
            <w:proofErr w:type="gramEnd"/>
          </w:p>
        </w:tc>
        <w:tc>
          <w:tcPr>
            <w:tcW w:w="845" w:type="pct"/>
            <w:gridSpan w:val="2"/>
          </w:tcPr>
          <w:p w14:paraId="7D7C9AF9"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50 (11.7)</w:t>
            </w:r>
          </w:p>
        </w:tc>
        <w:tc>
          <w:tcPr>
            <w:tcW w:w="766" w:type="pct"/>
          </w:tcPr>
          <w:p w14:paraId="30523F24"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10 (4.6)</w:t>
            </w:r>
          </w:p>
        </w:tc>
        <w:tc>
          <w:tcPr>
            <w:tcW w:w="845" w:type="pct"/>
          </w:tcPr>
          <w:p w14:paraId="5E4D0525"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62 (16.9)</w:t>
            </w:r>
          </w:p>
        </w:tc>
      </w:tr>
      <w:tr w:rsidR="00635952" w:rsidRPr="009A0E7B" w14:paraId="6F029390" w14:textId="77777777" w:rsidTr="00B34F9E">
        <w:tc>
          <w:tcPr>
            <w:tcW w:w="2544" w:type="pct"/>
          </w:tcPr>
          <w:p w14:paraId="4E24D75F" w14:textId="3BB69DB3"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snapToGrid w:val="0"/>
                <w:sz w:val="20"/>
                <w:szCs w:val="20"/>
              </w:rPr>
              <w:t xml:space="preserve">Odds ratio (95% </w:t>
            </w:r>
            <w:proofErr w:type="gramStart"/>
            <w:r w:rsidRPr="009A0E7B">
              <w:rPr>
                <w:rFonts w:ascii="Arial Narrow" w:eastAsia="Calibri" w:hAnsi="Arial Narrow"/>
                <w:snapToGrid w:val="0"/>
                <w:sz w:val="20"/>
                <w:szCs w:val="20"/>
              </w:rPr>
              <w:t>CI)</w:t>
            </w:r>
            <w:r w:rsidR="007E483D" w:rsidRPr="009A0E7B">
              <w:rPr>
                <w:rFonts w:ascii="Arial Narrow" w:eastAsia="Calibri" w:hAnsi="Arial Narrow"/>
                <w:snapToGrid w:val="0"/>
                <w:sz w:val="20"/>
                <w:szCs w:val="20"/>
                <w:vertAlign w:val="superscript"/>
              </w:rPr>
              <w:t>b</w:t>
            </w:r>
            <w:proofErr w:type="gramEnd"/>
          </w:p>
        </w:tc>
        <w:tc>
          <w:tcPr>
            <w:tcW w:w="1611" w:type="pct"/>
            <w:gridSpan w:val="3"/>
          </w:tcPr>
          <w:p w14:paraId="76672F53"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2.718 (1.351, 5.467)</w:t>
            </w:r>
          </w:p>
        </w:tc>
        <w:tc>
          <w:tcPr>
            <w:tcW w:w="845" w:type="pct"/>
          </w:tcPr>
          <w:p w14:paraId="6F8F7EDB"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w:t>
            </w:r>
          </w:p>
        </w:tc>
      </w:tr>
      <w:tr w:rsidR="00635952" w:rsidRPr="009A0E7B" w14:paraId="6CC54753" w14:textId="77777777" w:rsidTr="00B34F9E">
        <w:tc>
          <w:tcPr>
            <w:tcW w:w="2544" w:type="pct"/>
          </w:tcPr>
          <w:p w14:paraId="50E3ECD4"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snapToGrid w:val="0"/>
                <w:sz w:val="20"/>
                <w:szCs w:val="20"/>
              </w:rPr>
              <w:t>Difference in proportions (95% CI)</w:t>
            </w:r>
          </w:p>
        </w:tc>
        <w:tc>
          <w:tcPr>
            <w:tcW w:w="1611" w:type="pct"/>
            <w:gridSpan w:val="3"/>
          </w:tcPr>
          <w:p w14:paraId="5301620C"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0.070 (0.029, 0.111)</w:t>
            </w:r>
          </w:p>
        </w:tc>
        <w:tc>
          <w:tcPr>
            <w:tcW w:w="845" w:type="pct"/>
          </w:tcPr>
          <w:p w14:paraId="771B48D0"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w:t>
            </w:r>
          </w:p>
        </w:tc>
      </w:tr>
      <w:tr w:rsidR="00635952" w:rsidRPr="009A0E7B" w14:paraId="31E8A08E" w14:textId="77777777" w:rsidTr="00B34F9E">
        <w:tc>
          <w:tcPr>
            <w:tcW w:w="2544" w:type="pct"/>
          </w:tcPr>
          <w:p w14:paraId="674E2D6A"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Calibri" w:hAnsi="Arial Narrow"/>
                <w:snapToGrid w:val="0"/>
                <w:sz w:val="20"/>
                <w:szCs w:val="20"/>
              </w:rPr>
              <w:t>p-</w:t>
            </w:r>
            <w:proofErr w:type="spellStart"/>
            <w:r w:rsidRPr="009A0E7B">
              <w:rPr>
                <w:rFonts w:ascii="Arial Narrow" w:eastAsia="Calibri" w:hAnsi="Arial Narrow"/>
                <w:snapToGrid w:val="0"/>
                <w:sz w:val="20"/>
                <w:szCs w:val="20"/>
              </w:rPr>
              <w:t>value</w:t>
            </w:r>
            <w:r w:rsidRPr="009A0E7B">
              <w:rPr>
                <w:rFonts w:ascii="Arial Narrow" w:eastAsia="Calibri" w:hAnsi="Arial Narrow"/>
                <w:snapToGrid w:val="0"/>
                <w:sz w:val="20"/>
                <w:szCs w:val="20"/>
                <w:vertAlign w:val="superscript"/>
              </w:rPr>
              <w:t>b</w:t>
            </w:r>
            <w:proofErr w:type="spellEnd"/>
          </w:p>
        </w:tc>
        <w:tc>
          <w:tcPr>
            <w:tcW w:w="1611" w:type="pct"/>
            <w:gridSpan w:val="3"/>
          </w:tcPr>
          <w:p w14:paraId="3D313BDC"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0.0037</w:t>
            </w:r>
          </w:p>
        </w:tc>
        <w:tc>
          <w:tcPr>
            <w:tcW w:w="845" w:type="pct"/>
          </w:tcPr>
          <w:p w14:paraId="24D24688"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snapToGrid w:val="0"/>
                <w:sz w:val="20"/>
                <w:szCs w:val="20"/>
              </w:rPr>
              <w:t>-</w:t>
            </w:r>
          </w:p>
        </w:tc>
      </w:tr>
      <w:tr w:rsidR="00635952" w:rsidRPr="009A0E7B" w14:paraId="538DF705" w14:textId="77777777" w:rsidTr="00B34F9E">
        <w:tc>
          <w:tcPr>
            <w:tcW w:w="5000" w:type="pct"/>
            <w:gridSpan w:val="5"/>
          </w:tcPr>
          <w:p w14:paraId="4464368F" w14:textId="77777777" w:rsidR="00635952" w:rsidRPr="009A0E7B" w:rsidRDefault="00635952" w:rsidP="00591522">
            <w:pPr>
              <w:keepNext/>
              <w:keepLines/>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Touchstone– measured at Week 8, ITT population, missing data classified as no response</w:t>
            </w:r>
          </w:p>
        </w:tc>
      </w:tr>
      <w:tr w:rsidR="00635952" w:rsidRPr="009A0E7B" w14:paraId="70DE0DD5" w14:textId="77777777" w:rsidTr="00B34F9E">
        <w:tc>
          <w:tcPr>
            <w:tcW w:w="2544" w:type="pct"/>
          </w:tcPr>
          <w:p w14:paraId="084A6A50" w14:textId="77777777" w:rsidR="00635952" w:rsidRPr="009A0E7B" w:rsidRDefault="00635952" w:rsidP="00591522">
            <w:pPr>
              <w:keepNext/>
              <w:keepLines/>
              <w:rPr>
                <w:rFonts w:ascii="Arial Narrow" w:eastAsia="Calibri" w:hAnsi="Arial Narrow" w:cs="Times New Roman"/>
                <w:snapToGrid w:val="0"/>
                <w:sz w:val="20"/>
                <w:szCs w:val="20"/>
              </w:rPr>
            </w:pPr>
          </w:p>
        </w:tc>
        <w:tc>
          <w:tcPr>
            <w:tcW w:w="805" w:type="pct"/>
          </w:tcPr>
          <w:p w14:paraId="29DD3D54"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0.46 mg</w:t>
            </w:r>
          </w:p>
          <w:p w14:paraId="2786972F"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 xml:space="preserve">N=65 </w:t>
            </w:r>
          </w:p>
        </w:tc>
        <w:tc>
          <w:tcPr>
            <w:tcW w:w="806" w:type="pct"/>
            <w:gridSpan w:val="2"/>
          </w:tcPr>
          <w:p w14:paraId="7162AD7A"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0.92 mg</w:t>
            </w:r>
          </w:p>
          <w:p w14:paraId="71A6257E"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 xml:space="preserve">N=67 </w:t>
            </w:r>
          </w:p>
        </w:tc>
        <w:tc>
          <w:tcPr>
            <w:tcW w:w="845" w:type="pct"/>
          </w:tcPr>
          <w:p w14:paraId="0DF93C80" w14:textId="77777777" w:rsidR="00635952" w:rsidRPr="009A0E7B" w:rsidRDefault="00635952" w:rsidP="00591522">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Placebo</w:t>
            </w:r>
          </w:p>
          <w:p w14:paraId="2D92B95E"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N=65</w:t>
            </w:r>
          </w:p>
        </w:tc>
      </w:tr>
      <w:tr w:rsidR="00635952" w:rsidRPr="009A0E7B" w14:paraId="7F018D69" w14:textId="77777777" w:rsidTr="00B34F9E">
        <w:tc>
          <w:tcPr>
            <w:tcW w:w="2544" w:type="pct"/>
          </w:tcPr>
          <w:p w14:paraId="11C5978C" w14:textId="77777777"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Subjects in clinical remission, n (%)</w:t>
            </w:r>
          </w:p>
        </w:tc>
        <w:tc>
          <w:tcPr>
            <w:tcW w:w="805" w:type="pct"/>
          </w:tcPr>
          <w:p w14:paraId="64539060"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9 (14)</w:t>
            </w:r>
          </w:p>
        </w:tc>
        <w:tc>
          <w:tcPr>
            <w:tcW w:w="806" w:type="pct"/>
            <w:gridSpan w:val="2"/>
          </w:tcPr>
          <w:p w14:paraId="74D6ADC1"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11 (16)</w:t>
            </w:r>
          </w:p>
        </w:tc>
        <w:tc>
          <w:tcPr>
            <w:tcW w:w="845" w:type="pct"/>
          </w:tcPr>
          <w:p w14:paraId="6AD4C11E"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4 (6)</w:t>
            </w:r>
          </w:p>
        </w:tc>
      </w:tr>
      <w:tr w:rsidR="00635952" w:rsidRPr="009A0E7B" w14:paraId="5E10E8E0" w14:textId="77777777" w:rsidTr="00B34F9E">
        <w:tc>
          <w:tcPr>
            <w:tcW w:w="2544" w:type="pct"/>
          </w:tcPr>
          <w:p w14:paraId="799AFC89" w14:textId="355D1529" w:rsidR="00635952" w:rsidRPr="009A0E7B" w:rsidRDefault="00635952" w:rsidP="00591522">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p-value (</w:t>
            </w:r>
            <w:r w:rsidR="00A4760E" w:rsidRPr="009A0E7B">
              <w:rPr>
                <w:rFonts w:ascii="Arial Narrow" w:eastAsiaTheme="minorHAnsi" w:hAnsi="Arial Narrow"/>
                <w:sz w:val="20"/>
                <w:szCs w:val="20"/>
              </w:rPr>
              <w:t>vs.</w:t>
            </w:r>
            <w:r w:rsidRPr="009A0E7B">
              <w:rPr>
                <w:rFonts w:ascii="Arial Narrow" w:eastAsiaTheme="minorHAnsi" w:hAnsi="Arial Narrow"/>
                <w:sz w:val="20"/>
                <w:szCs w:val="20"/>
              </w:rPr>
              <w:t xml:space="preserve"> placebo)</w:t>
            </w:r>
          </w:p>
        </w:tc>
        <w:tc>
          <w:tcPr>
            <w:tcW w:w="805" w:type="pct"/>
          </w:tcPr>
          <w:p w14:paraId="49D71CAA"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0.14</w:t>
            </w:r>
          </w:p>
        </w:tc>
        <w:tc>
          <w:tcPr>
            <w:tcW w:w="806" w:type="pct"/>
            <w:gridSpan w:val="2"/>
          </w:tcPr>
          <w:p w14:paraId="5C737A33"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0.048</w:t>
            </w:r>
          </w:p>
        </w:tc>
        <w:tc>
          <w:tcPr>
            <w:tcW w:w="845" w:type="pct"/>
          </w:tcPr>
          <w:p w14:paraId="5523EB90" w14:textId="77777777" w:rsidR="00635952" w:rsidRPr="009A0E7B" w:rsidRDefault="00635952" w:rsidP="00591522">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w:t>
            </w:r>
          </w:p>
        </w:tc>
      </w:tr>
    </w:tbl>
    <w:p w14:paraId="49C2B2FD" w14:textId="62213A69" w:rsidR="00635952" w:rsidRPr="009A0E7B" w:rsidRDefault="00635952" w:rsidP="00591522">
      <w:pPr>
        <w:pStyle w:val="TableFigureFooter"/>
        <w:keepNext/>
        <w:keepLines/>
      </w:pPr>
      <w:r w:rsidRPr="009A0E7B">
        <w:t>Source: Constructed during the evaluation. Data extracted from Table</w:t>
      </w:r>
      <w:r w:rsidR="00CA7D96" w:rsidRPr="009A0E7B">
        <w:t>s</w:t>
      </w:r>
      <w:r w:rsidRPr="009A0E7B">
        <w:t xml:space="preserve"> 43 &amp; 44, p 103; Table</w:t>
      </w:r>
      <w:r w:rsidR="00CA7D96" w:rsidRPr="009A0E7B">
        <w:t>s</w:t>
      </w:r>
      <w:r w:rsidRPr="009A0E7B">
        <w:t xml:space="preserve"> 5</w:t>
      </w:r>
      <w:r w:rsidR="00CA7D96" w:rsidRPr="009A0E7B">
        <w:t>7</w:t>
      </w:r>
      <w:r w:rsidRPr="009A0E7B">
        <w:t xml:space="preserve"> &amp; 5</w:t>
      </w:r>
      <w:r w:rsidR="00CA7D96" w:rsidRPr="009A0E7B">
        <w:t>8</w:t>
      </w:r>
      <w:r w:rsidRPr="009A0E7B">
        <w:t>, p</w:t>
      </w:r>
      <w:r w:rsidR="00CA7D96" w:rsidRPr="009A0E7B">
        <w:t>p</w:t>
      </w:r>
      <w:r w:rsidRPr="009A0E7B">
        <w:t xml:space="preserve"> 10</w:t>
      </w:r>
      <w:r w:rsidR="00CA7D96" w:rsidRPr="009A0E7B">
        <w:t>7-108</w:t>
      </w:r>
      <w:r w:rsidRPr="009A0E7B">
        <w:t xml:space="preserve"> of the submission.</w:t>
      </w:r>
    </w:p>
    <w:p w14:paraId="4D59770A" w14:textId="77777777" w:rsidR="00635952" w:rsidRPr="009A0E7B" w:rsidRDefault="00635952" w:rsidP="00591522">
      <w:pPr>
        <w:pStyle w:val="TableFigureFooter"/>
        <w:keepNext/>
        <w:keepLines/>
      </w:pPr>
      <w:r w:rsidRPr="009A0E7B">
        <w:t xml:space="preserve">CI = confidence interval; CMH = Cochran-Mantel-Haenszel; ITT = Intent-to-Treat; RBS = rectal bleeding </w:t>
      </w:r>
      <w:proofErr w:type="spellStart"/>
      <w:r w:rsidRPr="009A0E7B">
        <w:t>subscore</w:t>
      </w:r>
      <w:proofErr w:type="spellEnd"/>
      <w:r w:rsidRPr="009A0E7B">
        <w:t xml:space="preserve">; OZA = ozanimod; SFS = stool frequency </w:t>
      </w:r>
      <w:proofErr w:type="spellStart"/>
      <w:r w:rsidRPr="009A0E7B">
        <w:t>subscore</w:t>
      </w:r>
      <w:proofErr w:type="spellEnd"/>
      <w:r w:rsidRPr="009A0E7B">
        <w:t>; TNF = tumour necrosis factor.</w:t>
      </w:r>
    </w:p>
    <w:p w14:paraId="7C38A062" w14:textId="270EDF71" w:rsidR="00635952" w:rsidRPr="009A0E7B" w:rsidRDefault="00635952" w:rsidP="00591522">
      <w:pPr>
        <w:pStyle w:val="TableFigureFooter"/>
        <w:keepNext/>
        <w:keepLines/>
      </w:pPr>
      <w:r w:rsidRPr="009A0E7B">
        <w:rPr>
          <w:vertAlign w:val="superscript"/>
        </w:rPr>
        <w:t>a</w:t>
      </w:r>
      <w:r w:rsidRPr="009A0E7B">
        <w:t xml:space="preserve"> Clinical response is defined as: A reduction from </w:t>
      </w:r>
      <w:r w:rsidR="00702544">
        <w:t>b</w:t>
      </w:r>
      <w:r w:rsidRPr="009A0E7B">
        <w:t xml:space="preserve">aseline in the 4-component Mayo score of ≥3 points and ≥30%, and a reduction from </w:t>
      </w:r>
      <w:r w:rsidR="00702544">
        <w:t>b</w:t>
      </w:r>
      <w:r w:rsidRPr="009A0E7B">
        <w:t>aseline in the RBS of ≥1 point or an absolute RBS of ≤1 point.</w:t>
      </w:r>
    </w:p>
    <w:p w14:paraId="236DC311" w14:textId="77777777" w:rsidR="00635952" w:rsidRPr="009A0E7B" w:rsidRDefault="00635952" w:rsidP="00591522">
      <w:pPr>
        <w:pStyle w:val="TableFigureFooter"/>
        <w:keepNext/>
        <w:keepLines/>
      </w:pPr>
      <w:r w:rsidRPr="009A0E7B">
        <w:rPr>
          <w:vertAlign w:val="superscript"/>
        </w:rPr>
        <w:t xml:space="preserve">b </w:t>
      </w:r>
      <w:r w:rsidRPr="009A0E7B">
        <w:t>Odds ratio (active/placebo), treatment difference, 2-sided 95% Wald CI and p-value for comparison between the Cohort 1 ozanimod and placebo group are based on the CMH test, stratified by corticosteroid use at screening and prior anti-TNF use (yes or no).</w:t>
      </w:r>
    </w:p>
    <w:p w14:paraId="1803BC9D" w14:textId="009EBF15" w:rsidR="007E483D" w:rsidRPr="009A0E7B" w:rsidRDefault="00635952" w:rsidP="00591522">
      <w:pPr>
        <w:pStyle w:val="TableFigureFooter"/>
        <w:keepNext/>
        <w:keepLines/>
      </w:pPr>
      <w:r w:rsidRPr="009A0E7B">
        <w:rPr>
          <w:vertAlign w:val="superscript"/>
        </w:rPr>
        <w:t>c</w:t>
      </w:r>
      <w:r w:rsidRPr="009A0E7B">
        <w:t xml:space="preserve"> Clinical remission is defined as: 4-component Mayo score of ≤2 points and with no individual </w:t>
      </w:r>
      <w:proofErr w:type="spellStart"/>
      <w:r w:rsidRPr="009A0E7B">
        <w:t>subscore</w:t>
      </w:r>
      <w:proofErr w:type="spellEnd"/>
      <w:r w:rsidRPr="009A0E7B">
        <w:t xml:space="preserve"> of &gt;1 point</w:t>
      </w:r>
    </w:p>
    <w:p w14:paraId="7E0E620A" w14:textId="5F21A991" w:rsidR="00635952" w:rsidRPr="009A0E7B" w:rsidRDefault="00635952" w:rsidP="00591522">
      <w:pPr>
        <w:pStyle w:val="TableFigureFooter"/>
        <w:keepNext/>
        <w:keepLines/>
      </w:pPr>
      <w:r w:rsidRPr="009A0E7B">
        <w:t xml:space="preserve">Note: In True North, 4-component Mayo score (0-12): Sum of the Rectal Bleeding </w:t>
      </w:r>
      <w:proofErr w:type="spellStart"/>
      <w:r w:rsidRPr="009A0E7B">
        <w:t>subscore</w:t>
      </w:r>
      <w:proofErr w:type="spellEnd"/>
      <w:r w:rsidRPr="009A0E7B">
        <w:t xml:space="preserve">, Stool Frequency </w:t>
      </w:r>
      <w:proofErr w:type="spellStart"/>
      <w:r w:rsidRPr="009A0E7B">
        <w:t>subscore</w:t>
      </w:r>
      <w:proofErr w:type="spellEnd"/>
      <w:r w:rsidRPr="009A0E7B">
        <w:t xml:space="preserve">, Physician Global Assessment </w:t>
      </w:r>
      <w:proofErr w:type="spellStart"/>
      <w:r w:rsidRPr="009A0E7B">
        <w:t>subscore</w:t>
      </w:r>
      <w:proofErr w:type="spellEnd"/>
      <w:r w:rsidRPr="009A0E7B">
        <w:t xml:space="preserve">, and the endoscopy </w:t>
      </w:r>
      <w:proofErr w:type="spellStart"/>
      <w:r w:rsidRPr="009A0E7B">
        <w:t>subscore</w:t>
      </w:r>
      <w:proofErr w:type="spellEnd"/>
      <w:r w:rsidRPr="009A0E7B">
        <w:t xml:space="preserve">. Subjects with any of the Mayo </w:t>
      </w:r>
      <w:proofErr w:type="spellStart"/>
      <w:r w:rsidRPr="009A0E7B">
        <w:t>subscores</w:t>
      </w:r>
      <w:proofErr w:type="spellEnd"/>
      <w:r w:rsidRPr="009A0E7B">
        <w:t xml:space="preserve"> missing at Week 10 for induction, or Week 52 for maintenance, are classified as non-remitters</w:t>
      </w:r>
      <w:r w:rsidR="00702544">
        <w:t>.</w:t>
      </w:r>
    </w:p>
    <w:p w14:paraId="027FDB2C" w14:textId="279884E1" w:rsidR="00536933" w:rsidRPr="009A0E7B" w:rsidRDefault="00536933">
      <w:pPr>
        <w:jc w:val="left"/>
        <w:rPr>
          <w:rFonts w:ascii="Arial Narrow" w:eastAsiaTheme="majorEastAsia" w:hAnsi="Arial Narrow" w:cstheme="majorBidi"/>
          <w:b/>
          <w:bCs/>
          <w:sz w:val="20"/>
        </w:rPr>
      </w:pPr>
      <w:bookmarkStart w:id="29" w:name="_Ref92236154"/>
    </w:p>
    <w:p w14:paraId="13960B80" w14:textId="69B4D316" w:rsidR="00635952" w:rsidRPr="009A0E7B" w:rsidRDefault="00635952" w:rsidP="002E2B49">
      <w:pPr>
        <w:pStyle w:val="TableFigureHeading"/>
        <w:keepLines/>
      </w:pPr>
      <w:bookmarkStart w:id="30" w:name="_Ref96426642"/>
      <w:r w:rsidRPr="009A0E7B">
        <w:lastRenderedPageBreak/>
        <w:t xml:space="preserve">Table </w:t>
      </w:r>
      <w:fldSimple w:instr=" SEQ Table \* ARABIC ">
        <w:r w:rsidR="00931536">
          <w:rPr>
            <w:noProof/>
          </w:rPr>
          <w:t>6</w:t>
        </w:r>
      </w:fldSimple>
      <w:bookmarkEnd w:id="29"/>
      <w:bookmarkEnd w:id="30"/>
      <w:r w:rsidRPr="009A0E7B">
        <w:t>: Proportion of patients who demonstrated a response or remission during the maintenance period in the OZA trials</w:t>
      </w:r>
    </w:p>
    <w:tbl>
      <w:tblPr>
        <w:tblStyle w:val="TableGrid"/>
        <w:tblW w:w="5000" w:type="pct"/>
        <w:tblLook w:val="04A0" w:firstRow="1" w:lastRow="0" w:firstColumn="1" w:lastColumn="0" w:noHBand="0" w:noVBand="1"/>
      </w:tblPr>
      <w:tblGrid>
        <w:gridCol w:w="4588"/>
        <w:gridCol w:w="1452"/>
        <w:gridCol w:w="72"/>
        <w:gridCol w:w="1381"/>
        <w:gridCol w:w="1524"/>
      </w:tblGrid>
      <w:tr w:rsidR="00635952" w:rsidRPr="009A0E7B" w14:paraId="0E28DC57" w14:textId="77777777" w:rsidTr="00B34F9E">
        <w:tc>
          <w:tcPr>
            <w:tcW w:w="5000" w:type="pct"/>
            <w:gridSpan w:val="5"/>
          </w:tcPr>
          <w:p w14:paraId="7E43E804"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Clinical Response</w:t>
            </w:r>
          </w:p>
        </w:tc>
      </w:tr>
      <w:tr w:rsidR="00635952" w:rsidRPr="009A0E7B" w14:paraId="3157638B" w14:textId="77777777" w:rsidTr="00B34F9E">
        <w:tc>
          <w:tcPr>
            <w:tcW w:w="5000" w:type="pct"/>
            <w:gridSpan w:val="5"/>
          </w:tcPr>
          <w:p w14:paraId="5099A4E2" w14:textId="56E14E3F" w:rsidR="00635952" w:rsidRPr="009A0E7B" w:rsidRDefault="00635952" w:rsidP="002E2B49">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True North – measured at Week 52,</w:t>
            </w:r>
            <w:r w:rsidR="00A757E4" w:rsidRPr="009A0E7B">
              <w:rPr>
                <w:rFonts w:ascii="Arial Narrow" w:eastAsia="Calibri" w:hAnsi="Arial Narrow" w:cs="Times New Roman"/>
                <w:b/>
                <w:bCs/>
                <w:snapToGrid w:val="0"/>
                <w:sz w:val="20"/>
                <w:szCs w:val="20"/>
              </w:rPr>
              <w:t xml:space="preserve"> re-randomised</w:t>
            </w:r>
            <w:r w:rsidRPr="009A0E7B">
              <w:rPr>
                <w:rFonts w:ascii="Arial Narrow" w:eastAsia="Calibri" w:hAnsi="Arial Narrow" w:cs="Times New Roman"/>
                <w:b/>
                <w:bCs/>
                <w:snapToGrid w:val="0"/>
                <w:sz w:val="20"/>
                <w:szCs w:val="20"/>
              </w:rPr>
              <w:t xml:space="preserve"> </w:t>
            </w:r>
            <w:r w:rsidR="00791C83" w:rsidRPr="009A0E7B">
              <w:rPr>
                <w:rFonts w:ascii="Arial Narrow" w:eastAsia="Calibri" w:hAnsi="Arial Narrow" w:cs="Times New Roman"/>
                <w:b/>
                <w:bCs/>
                <w:snapToGrid w:val="0"/>
                <w:sz w:val="20"/>
                <w:szCs w:val="20"/>
              </w:rPr>
              <w:t xml:space="preserve">responder </w:t>
            </w:r>
            <w:r w:rsidRPr="009A0E7B">
              <w:rPr>
                <w:rFonts w:ascii="Arial Narrow" w:eastAsia="Calibri" w:hAnsi="Arial Narrow" w:cs="Times New Roman"/>
                <w:b/>
                <w:bCs/>
                <w:snapToGrid w:val="0"/>
                <w:sz w:val="20"/>
                <w:szCs w:val="20"/>
              </w:rPr>
              <w:t>population, Non-Responder imputation</w:t>
            </w:r>
          </w:p>
        </w:tc>
      </w:tr>
      <w:tr w:rsidR="00635952" w:rsidRPr="009A0E7B" w14:paraId="0D4DCED6" w14:textId="77777777" w:rsidTr="00B34F9E">
        <w:tc>
          <w:tcPr>
            <w:tcW w:w="2544" w:type="pct"/>
            <w:vMerge w:val="restart"/>
          </w:tcPr>
          <w:p w14:paraId="0092A57D" w14:textId="77777777" w:rsidR="00635952" w:rsidRPr="009A0E7B" w:rsidRDefault="00635952" w:rsidP="002E2B49">
            <w:pPr>
              <w:keepNext/>
              <w:keepLines/>
              <w:rPr>
                <w:rFonts w:ascii="Arial Narrow" w:eastAsia="Calibri" w:hAnsi="Arial Narrow" w:cs="Times New Roman"/>
                <w:snapToGrid w:val="0"/>
                <w:sz w:val="20"/>
                <w:szCs w:val="20"/>
              </w:rPr>
            </w:pPr>
          </w:p>
        </w:tc>
        <w:tc>
          <w:tcPr>
            <w:tcW w:w="1611" w:type="pct"/>
            <w:gridSpan w:val="3"/>
          </w:tcPr>
          <w:p w14:paraId="14E365A9" w14:textId="0540BBE1"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Cohort 1 (re-</w:t>
            </w:r>
            <w:proofErr w:type="gramStart"/>
            <w:r w:rsidRPr="009A0E7B">
              <w:rPr>
                <w:rFonts w:ascii="Arial Narrow" w:eastAsia="Calibri" w:hAnsi="Arial Narrow" w:cs="Times New Roman"/>
                <w:b/>
                <w:bCs/>
                <w:snapToGrid w:val="0"/>
                <w:sz w:val="20"/>
                <w:szCs w:val="20"/>
              </w:rPr>
              <w:t>randomised)</w:t>
            </w:r>
            <w:r w:rsidR="007E483D" w:rsidRPr="009A0E7B">
              <w:rPr>
                <w:rFonts w:ascii="Arial Narrow" w:eastAsia="Calibri" w:hAnsi="Arial Narrow" w:cs="Times New Roman"/>
                <w:b/>
                <w:bCs/>
                <w:snapToGrid w:val="0"/>
                <w:sz w:val="20"/>
                <w:szCs w:val="20"/>
                <w:vertAlign w:val="superscript"/>
              </w:rPr>
              <w:t>d</w:t>
            </w:r>
            <w:proofErr w:type="gramEnd"/>
          </w:p>
        </w:tc>
        <w:tc>
          <w:tcPr>
            <w:tcW w:w="845" w:type="pct"/>
            <w:vMerge w:val="restart"/>
          </w:tcPr>
          <w:p w14:paraId="72BFAF2D"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Placebo</w:t>
            </w:r>
          </w:p>
          <w:p w14:paraId="3EB05230"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N=69</w:t>
            </w:r>
          </w:p>
        </w:tc>
      </w:tr>
      <w:tr w:rsidR="00635952" w:rsidRPr="009A0E7B" w14:paraId="48005536" w14:textId="77777777" w:rsidTr="00B34F9E">
        <w:tc>
          <w:tcPr>
            <w:tcW w:w="2544" w:type="pct"/>
            <w:vMerge/>
          </w:tcPr>
          <w:p w14:paraId="7D04A195" w14:textId="77777777" w:rsidR="00635952" w:rsidRPr="009A0E7B" w:rsidRDefault="00635952" w:rsidP="002E2B49">
            <w:pPr>
              <w:keepNext/>
              <w:keepLines/>
              <w:rPr>
                <w:rFonts w:ascii="Arial Narrow" w:eastAsia="Calibri" w:hAnsi="Arial Narrow" w:cs="Times New Roman"/>
                <w:snapToGrid w:val="0"/>
                <w:sz w:val="20"/>
                <w:szCs w:val="20"/>
              </w:rPr>
            </w:pPr>
          </w:p>
        </w:tc>
        <w:tc>
          <w:tcPr>
            <w:tcW w:w="845" w:type="pct"/>
            <w:gridSpan w:val="2"/>
          </w:tcPr>
          <w:p w14:paraId="35B7DA06"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OZA 0.92 mg – OZA 0.92 mg </w:t>
            </w:r>
          </w:p>
          <w:p w14:paraId="6933EC9F"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N=230</w:t>
            </w:r>
          </w:p>
        </w:tc>
        <w:tc>
          <w:tcPr>
            <w:tcW w:w="766" w:type="pct"/>
          </w:tcPr>
          <w:p w14:paraId="080984CE"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OZA 0.92 mg – placebo </w:t>
            </w:r>
          </w:p>
          <w:p w14:paraId="70387BAB"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N=227</w:t>
            </w:r>
          </w:p>
        </w:tc>
        <w:tc>
          <w:tcPr>
            <w:tcW w:w="845" w:type="pct"/>
            <w:vMerge/>
          </w:tcPr>
          <w:p w14:paraId="41ED4F19" w14:textId="77777777" w:rsidR="00635952" w:rsidRPr="009A0E7B" w:rsidRDefault="00635952" w:rsidP="002E2B49">
            <w:pPr>
              <w:keepNext/>
              <w:keepLines/>
              <w:jc w:val="center"/>
              <w:rPr>
                <w:rFonts w:ascii="Arial Narrow" w:eastAsia="Calibri" w:hAnsi="Arial Narrow" w:cs="Times New Roman"/>
                <w:b/>
                <w:bCs/>
                <w:snapToGrid w:val="0"/>
                <w:sz w:val="20"/>
                <w:szCs w:val="20"/>
              </w:rPr>
            </w:pPr>
          </w:p>
        </w:tc>
      </w:tr>
      <w:tr w:rsidR="00635952" w:rsidRPr="009A0E7B" w14:paraId="5553F6E3" w14:textId="77777777" w:rsidTr="00B34F9E">
        <w:tc>
          <w:tcPr>
            <w:tcW w:w="2544" w:type="pct"/>
          </w:tcPr>
          <w:p w14:paraId="4FD1DE5F"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Subjects in clinical response, n (</w:t>
            </w:r>
            <w:proofErr w:type="gramStart"/>
            <w:r w:rsidRPr="009A0E7B">
              <w:rPr>
                <w:rFonts w:ascii="Arial Narrow" w:eastAsia="Calibri" w:hAnsi="Arial Narrow" w:cs="Times New Roman"/>
                <w:snapToGrid w:val="0"/>
                <w:sz w:val="20"/>
                <w:szCs w:val="20"/>
              </w:rPr>
              <w:t>%)</w:t>
            </w:r>
            <w:r w:rsidRPr="009A0E7B">
              <w:rPr>
                <w:rFonts w:ascii="Arial Narrow" w:eastAsia="Calibri" w:hAnsi="Arial Narrow" w:cs="Times New Roman"/>
                <w:snapToGrid w:val="0"/>
                <w:sz w:val="20"/>
                <w:szCs w:val="20"/>
                <w:vertAlign w:val="superscript"/>
              </w:rPr>
              <w:t>a</w:t>
            </w:r>
            <w:proofErr w:type="gramEnd"/>
          </w:p>
        </w:tc>
        <w:tc>
          <w:tcPr>
            <w:tcW w:w="845" w:type="pct"/>
            <w:gridSpan w:val="2"/>
          </w:tcPr>
          <w:p w14:paraId="414CAF9D"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145 (63.0)</w:t>
            </w:r>
          </w:p>
        </w:tc>
        <w:tc>
          <w:tcPr>
            <w:tcW w:w="766" w:type="pct"/>
          </w:tcPr>
          <w:p w14:paraId="35F9F05A"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97 (42.7)</w:t>
            </w:r>
          </w:p>
        </w:tc>
        <w:tc>
          <w:tcPr>
            <w:tcW w:w="845" w:type="pct"/>
          </w:tcPr>
          <w:p w14:paraId="50869020"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28 (40.6)</w:t>
            </w:r>
          </w:p>
        </w:tc>
      </w:tr>
      <w:tr w:rsidR="00635952" w:rsidRPr="009A0E7B" w14:paraId="21F291F0" w14:textId="77777777" w:rsidTr="00B34F9E">
        <w:tc>
          <w:tcPr>
            <w:tcW w:w="2544" w:type="pct"/>
          </w:tcPr>
          <w:p w14:paraId="11334573"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 xml:space="preserve">Odds ratio (95% </w:t>
            </w:r>
            <w:proofErr w:type="gramStart"/>
            <w:r w:rsidRPr="009A0E7B">
              <w:rPr>
                <w:rFonts w:ascii="Arial Narrow" w:eastAsia="Calibri" w:hAnsi="Arial Narrow" w:cs="Times New Roman"/>
                <w:snapToGrid w:val="0"/>
                <w:sz w:val="20"/>
                <w:szCs w:val="20"/>
              </w:rPr>
              <w:t>CI)</w:t>
            </w:r>
            <w:r w:rsidRPr="009A0E7B">
              <w:rPr>
                <w:rFonts w:ascii="Arial Narrow" w:eastAsia="Calibri" w:hAnsi="Arial Narrow" w:cs="Times New Roman"/>
                <w:snapToGrid w:val="0"/>
                <w:sz w:val="20"/>
                <w:szCs w:val="20"/>
                <w:vertAlign w:val="superscript"/>
              </w:rPr>
              <w:t>b</w:t>
            </w:r>
            <w:proofErr w:type="gramEnd"/>
          </w:p>
        </w:tc>
        <w:tc>
          <w:tcPr>
            <w:tcW w:w="1611" w:type="pct"/>
            <w:gridSpan w:val="3"/>
          </w:tcPr>
          <w:p w14:paraId="76FBFE3A"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2.370 (1.615, 3.477)</w:t>
            </w:r>
          </w:p>
        </w:tc>
        <w:tc>
          <w:tcPr>
            <w:tcW w:w="845" w:type="pct"/>
          </w:tcPr>
          <w:p w14:paraId="3C54F2C7" w14:textId="77777777" w:rsidR="00635952" w:rsidRPr="009A0E7B" w:rsidRDefault="00635952" w:rsidP="002E2B49">
            <w:pPr>
              <w:keepNext/>
              <w:keepLines/>
              <w:jc w:val="center"/>
              <w:rPr>
                <w:rFonts w:ascii="Arial Narrow" w:eastAsia="Calibri" w:hAnsi="Arial Narrow" w:cs="Times New Roman"/>
                <w:snapToGrid w:val="0"/>
                <w:sz w:val="20"/>
                <w:szCs w:val="20"/>
              </w:rPr>
            </w:pPr>
          </w:p>
        </w:tc>
      </w:tr>
      <w:tr w:rsidR="00635952" w:rsidRPr="009A0E7B" w14:paraId="03DC51AB" w14:textId="77777777" w:rsidTr="00B34F9E">
        <w:tc>
          <w:tcPr>
            <w:tcW w:w="2544" w:type="pct"/>
          </w:tcPr>
          <w:p w14:paraId="71D56F43"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Difference in proportions (95% CI)</w:t>
            </w:r>
          </w:p>
        </w:tc>
        <w:tc>
          <w:tcPr>
            <w:tcW w:w="1611" w:type="pct"/>
            <w:gridSpan w:val="3"/>
          </w:tcPr>
          <w:p w14:paraId="241A5DB2"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0.205 (0.116, 0.293)</w:t>
            </w:r>
          </w:p>
        </w:tc>
        <w:tc>
          <w:tcPr>
            <w:tcW w:w="845" w:type="pct"/>
          </w:tcPr>
          <w:p w14:paraId="22892EFD" w14:textId="77777777" w:rsidR="00635952" w:rsidRPr="009A0E7B" w:rsidRDefault="00635952" w:rsidP="002E2B49">
            <w:pPr>
              <w:keepNext/>
              <w:keepLines/>
              <w:jc w:val="center"/>
              <w:rPr>
                <w:rFonts w:ascii="Arial Narrow" w:eastAsia="Calibri" w:hAnsi="Arial Narrow" w:cs="Times New Roman"/>
                <w:snapToGrid w:val="0"/>
                <w:sz w:val="20"/>
                <w:szCs w:val="20"/>
              </w:rPr>
            </w:pPr>
          </w:p>
        </w:tc>
      </w:tr>
      <w:tr w:rsidR="00635952" w:rsidRPr="009A0E7B" w14:paraId="3A2DDE09" w14:textId="77777777" w:rsidTr="00B34F9E">
        <w:tc>
          <w:tcPr>
            <w:tcW w:w="2544" w:type="pct"/>
          </w:tcPr>
          <w:p w14:paraId="3635B19D"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p-value</w:t>
            </w:r>
          </w:p>
        </w:tc>
        <w:tc>
          <w:tcPr>
            <w:tcW w:w="1611" w:type="pct"/>
            <w:gridSpan w:val="3"/>
          </w:tcPr>
          <w:p w14:paraId="44EB991E"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&lt; 0.0001</w:t>
            </w:r>
          </w:p>
        </w:tc>
        <w:tc>
          <w:tcPr>
            <w:tcW w:w="845" w:type="pct"/>
          </w:tcPr>
          <w:p w14:paraId="1D5DFFDF" w14:textId="77777777" w:rsidR="00635952" w:rsidRPr="009A0E7B" w:rsidRDefault="00635952" w:rsidP="002E2B49">
            <w:pPr>
              <w:keepNext/>
              <w:keepLines/>
              <w:jc w:val="center"/>
              <w:rPr>
                <w:rFonts w:ascii="Arial Narrow" w:eastAsia="Calibri" w:hAnsi="Arial Narrow" w:cs="Times New Roman"/>
                <w:snapToGrid w:val="0"/>
                <w:sz w:val="20"/>
                <w:szCs w:val="20"/>
              </w:rPr>
            </w:pPr>
          </w:p>
        </w:tc>
      </w:tr>
      <w:tr w:rsidR="00635952" w:rsidRPr="009A0E7B" w14:paraId="37A9595D" w14:textId="77777777" w:rsidTr="00B34F9E">
        <w:tc>
          <w:tcPr>
            <w:tcW w:w="5000" w:type="pct"/>
            <w:gridSpan w:val="5"/>
          </w:tcPr>
          <w:p w14:paraId="0CABD8D0" w14:textId="77777777" w:rsidR="00635952" w:rsidRPr="009A0E7B" w:rsidRDefault="00635952" w:rsidP="002E2B49">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Touchstone – measured at Week 32, ITT population, missing data classified as no response</w:t>
            </w:r>
          </w:p>
        </w:tc>
      </w:tr>
      <w:tr w:rsidR="00635952" w:rsidRPr="009A0E7B" w14:paraId="3CB4C572" w14:textId="77777777" w:rsidTr="00B34F9E">
        <w:tc>
          <w:tcPr>
            <w:tcW w:w="2544" w:type="pct"/>
          </w:tcPr>
          <w:p w14:paraId="76D6084B" w14:textId="77777777" w:rsidR="00635952" w:rsidRPr="009A0E7B" w:rsidRDefault="00635952" w:rsidP="002E2B49">
            <w:pPr>
              <w:keepNext/>
              <w:keepLines/>
              <w:rPr>
                <w:rFonts w:ascii="Arial Narrow" w:eastAsia="Calibri" w:hAnsi="Arial Narrow" w:cs="Times New Roman"/>
                <w:snapToGrid w:val="0"/>
                <w:sz w:val="20"/>
                <w:szCs w:val="20"/>
              </w:rPr>
            </w:pPr>
          </w:p>
        </w:tc>
        <w:tc>
          <w:tcPr>
            <w:tcW w:w="805" w:type="pct"/>
          </w:tcPr>
          <w:p w14:paraId="0C091857"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0.46 mg</w:t>
            </w:r>
          </w:p>
          <w:p w14:paraId="53F77515"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 xml:space="preserve">N=65 </w:t>
            </w:r>
          </w:p>
        </w:tc>
        <w:tc>
          <w:tcPr>
            <w:tcW w:w="806" w:type="pct"/>
            <w:gridSpan w:val="2"/>
          </w:tcPr>
          <w:p w14:paraId="5753784D"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OZA 0.92 mg</w:t>
            </w:r>
          </w:p>
          <w:p w14:paraId="383AFB5D"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 xml:space="preserve">N=67 </w:t>
            </w:r>
          </w:p>
        </w:tc>
        <w:tc>
          <w:tcPr>
            <w:tcW w:w="845" w:type="pct"/>
          </w:tcPr>
          <w:p w14:paraId="49C9ED03"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Placebo</w:t>
            </w:r>
          </w:p>
          <w:p w14:paraId="629657D7"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b/>
                <w:bCs/>
                <w:snapToGrid w:val="0"/>
                <w:sz w:val="20"/>
                <w:szCs w:val="20"/>
              </w:rPr>
              <w:t>N=65</w:t>
            </w:r>
          </w:p>
        </w:tc>
      </w:tr>
      <w:tr w:rsidR="00635952" w:rsidRPr="009A0E7B" w14:paraId="38BD5674" w14:textId="77777777" w:rsidTr="00B34F9E">
        <w:tc>
          <w:tcPr>
            <w:tcW w:w="2544" w:type="pct"/>
          </w:tcPr>
          <w:p w14:paraId="7E07874B"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Subjects in clinical response, n (%)</w:t>
            </w:r>
          </w:p>
        </w:tc>
        <w:tc>
          <w:tcPr>
            <w:tcW w:w="805" w:type="pct"/>
          </w:tcPr>
          <w:p w14:paraId="01DE4322"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23 (35)</w:t>
            </w:r>
          </w:p>
        </w:tc>
        <w:tc>
          <w:tcPr>
            <w:tcW w:w="806" w:type="pct"/>
            <w:gridSpan w:val="2"/>
          </w:tcPr>
          <w:p w14:paraId="46C21EA2"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34 (51)</w:t>
            </w:r>
          </w:p>
        </w:tc>
        <w:tc>
          <w:tcPr>
            <w:tcW w:w="845" w:type="pct"/>
          </w:tcPr>
          <w:p w14:paraId="201DF7EF"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13 (20)</w:t>
            </w:r>
          </w:p>
        </w:tc>
      </w:tr>
      <w:tr w:rsidR="00635952" w:rsidRPr="009A0E7B" w14:paraId="55D3BD40" w14:textId="77777777" w:rsidTr="00B34F9E">
        <w:tc>
          <w:tcPr>
            <w:tcW w:w="2544" w:type="pct"/>
          </w:tcPr>
          <w:p w14:paraId="52AA76AF" w14:textId="0A17FAF8"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p-value (</w:t>
            </w:r>
            <w:r w:rsidR="00A4760E" w:rsidRPr="009A0E7B">
              <w:rPr>
                <w:rFonts w:ascii="Arial Narrow" w:eastAsia="Calibri" w:hAnsi="Arial Narrow" w:cs="Times New Roman"/>
                <w:snapToGrid w:val="0"/>
                <w:sz w:val="20"/>
                <w:szCs w:val="20"/>
              </w:rPr>
              <w:t>vs.</w:t>
            </w:r>
            <w:r w:rsidRPr="009A0E7B">
              <w:rPr>
                <w:rFonts w:ascii="Arial Narrow" w:eastAsia="Calibri" w:hAnsi="Arial Narrow" w:cs="Times New Roman"/>
                <w:snapToGrid w:val="0"/>
                <w:sz w:val="20"/>
                <w:szCs w:val="20"/>
              </w:rPr>
              <w:t xml:space="preserve"> placebo)</w:t>
            </w:r>
          </w:p>
        </w:tc>
        <w:tc>
          <w:tcPr>
            <w:tcW w:w="805" w:type="pct"/>
          </w:tcPr>
          <w:p w14:paraId="7097E98B"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0.06</w:t>
            </w:r>
          </w:p>
        </w:tc>
        <w:tc>
          <w:tcPr>
            <w:tcW w:w="806" w:type="pct"/>
            <w:gridSpan w:val="2"/>
          </w:tcPr>
          <w:p w14:paraId="0EE76EC3"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&lt;0.001</w:t>
            </w:r>
          </w:p>
        </w:tc>
        <w:tc>
          <w:tcPr>
            <w:tcW w:w="845" w:type="pct"/>
          </w:tcPr>
          <w:p w14:paraId="5F90ECA7"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w:t>
            </w:r>
          </w:p>
        </w:tc>
      </w:tr>
      <w:tr w:rsidR="00635952" w:rsidRPr="009A0E7B" w14:paraId="00B72B2B" w14:textId="77777777" w:rsidTr="00B34F9E">
        <w:tc>
          <w:tcPr>
            <w:tcW w:w="5000" w:type="pct"/>
            <w:gridSpan w:val="5"/>
          </w:tcPr>
          <w:p w14:paraId="37102062"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b/>
                <w:bCs/>
                <w:snapToGrid w:val="0"/>
                <w:sz w:val="20"/>
                <w:szCs w:val="20"/>
              </w:rPr>
              <w:t>Clinical Remission</w:t>
            </w:r>
          </w:p>
        </w:tc>
      </w:tr>
      <w:tr w:rsidR="00635952" w:rsidRPr="009A0E7B" w14:paraId="27DF0716" w14:textId="77777777" w:rsidTr="00B34F9E">
        <w:tc>
          <w:tcPr>
            <w:tcW w:w="5000" w:type="pct"/>
            <w:gridSpan w:val="5"/>
          </w:tcPr>
          <w:p w14:paraId="0DFFC2C0" w14:textId="5FADDE3D" w:rsidR="00635952" w:rsidRPr="009A0E7B" w:rsidRDefault="00635952" w:rsidP="002E2B49">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True North – measured at Week 52, </w:t>
            </w:r>
            <w:r w:rsidR="00791C83" w:rsidRPr="009A0E7B">
              <w:rPr>
                <w:rFonts w:ascii="Arial Narrow" w:eastAsia="Calibri" w:hAnsi="Arial Narrow" w:cs="Times New Roman"/>
                <w:b/>
                <w:bCs/>
                <w:snapToGrid w:val="0"/>
                <w:sz w:val="20"/>
                <w:szCs w:val="20"/>
              </w:rPr>
              <w:t xml:space="preserve">re-randomised responder </w:t>
            </w:r>
            <w:r w:rsidRPr="009A0E7B">
              <w:rPr>
                <w:rFonts w:ascii="Arial Narrow" w:eastAsia="Calibri" w:hAnsi="Arial Narrow" w:cs="Times New Roman"/>
                <w:b/>
                <w:bCs/>
                <w:snapToGrid w:val="0"/>
                <w:sz w:val="20"/>
                <w:szCs w:val="20"/>
              </w:rPr>
              <w:t>population, Non-Responder imputation</w:t>
            </w:r>
          </w:p>
        </w:tc>
      </w:tr>
      <w:tr w:rsidR="00635952" w:rsidRPr="009A0E7B" w14:paraId="781A2D6B" w14:textId="77777777" w:rsidTr="00B34F9E">
        <w:tc>
          <w:tcPr>
            <w:tcW w:w="2544" w:type="pct"/>
            <w:vMerge w:val="restart"/>
          </w:tcPr>
          <w:p w14:paraId="321F92F9" w14:textId="77777777" w:rsidR="00635952" w:rsidRPr="009A0E7B" w:rsidRDefault="00635952" w:rsidP="002E2B49">
            <w:pPr>
              <w:keepNext/>
              <w:keepLines/>
              <w:rPr>
                <w:rFonts w:ascii="Arial Narrow" w:eastAsia="Calibri" w:hAnsi="Arial Narrow" w:cs="Times New Roman"/>
                <w:snapToGrid w:val="0"/>
                <w:sz w:val="20"/>
                <w:szCs w:val="20"/>
              </w:rPr>
            </w:pPr>
          </w:p>
        </w:tc>
        <w:tc>
          <w:tcPr>
            <w:tcW w:w="1611" w:type="pct"/>
            <w:gridSpan w:val="3"/>
          </w:tcPr>
          <w:p w14:paraId="00563097" w14:textId="4C849CC0"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Cohort 1 (re-</w:t>
            </w:r>
            <w:proofErr w:type="gramStart"/>
            <w:r w:rsidRPr="009A0E7B">
              <w:rPr>
                <w:rFonts w:ascii="Arial Narrow" w:eastAsia="Calibri" w:hAnsi="Arial Narrow" w:cs="Times New Roman"/>
                <w:b/>
                <w:bCs/>
                <w:snapToGrid w:val="0"/>
                <w:sz w:val="20"/>
                <w:szCs w:val="20"/>
              </w:rPr>
              <w:t>randomised)</w:t>
            </w:r>
            <w:r w:rsidR="007E483D" w:rsidRPr="009A0E7B">
              <w:rPr>
                <w:rFonts w:ascii="Arial Narrow" w:eastAsia="Calibri" w:hAnsi="Arial Narrow" w:cs="Times New Roman"/>
                <w:b/>
                <w:bCs/>
                <w:snapToGrid w:val="0"/>
                <w:sz w:val="20"/>
                <w:szCs w:val="20"/>
                <w:vertAlign w:val="superscript"/>
              </w:rPr>
              <w:t>d</w:t>
            </w:r>
            <w:proofErr w:type="gramEnd"/>
          </w:p>
        </w:tc>
        <w:tc>
          <w:tcPr>
            <w:tcW w:w="845" w:type="pct"/>
            <w:vMerge w:val="restart"/>
          </w:tcPr>
          <w:p w14:paraId="0592CFB0"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Placebo</w:t>
            </w:r>
          </w:p>
          <w:p w14:paraId="6C363EF5"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N=69</w:t>
            </w:r>
          </w:p>
        </w:tc>
      </w:tr>
      <w:tr w:rsidR="00635952" w:rsidRPr="009A0E7B" w14:paraId="51D363CF" w14:textId="77777777" w:rsidTr="00B34F9E">
        <w:tc>
          <w:tcPr>
            <w:tcW w:w="2544" w:type="pct"/>
            <w:vMerge/>
          </w:tcPr>
          <w:p w14:paraId="1F4D4D3F" w14:textId="77777777" w:rsidR="00635952" w:rsidRPr="009A0E7B" w:rsidRDefault="00635952" w:rsidP="002E2B49">
            <w:pPr>
              <w:keepNext/>
              <w:keepLines/>
              <w:rPr>
                <w:rFonts w:ascii="Arial Narrow" w:eastAsia="Calibri" w:hAnsi="Arial Narrow" w:cs="Times New Roman"/>
                <w:snapToGrid w:val="0"/>
                <w:sz w:val="20"/>
                <w:szCs w:val="20"/>
              </w:rPr>
            </w:pPr>
          </w:p>
        </w:tc>
        <w:tc>
          <w:tcPr>
            <w:tcW w:w="845" w:type="pct"/>
            <w:gridSpan w:val="2"/>
          </w:tcPr>
          <w:p w14:paraId="73992899"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OZA 0.92 mg – OZA 0.92 mg </w:t>
            </w:r>
          </w:p>
          <w:p w14:paraId="55B7770F"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N=230</w:t>
            </w:r>
          </w:p>
        </w:tc>
        <w:tc>
          <w:tcPr>
            <w:tcW w:w="766" w:type="pct"/>
          </w:tcPr>
          <w:p w14:paraId="7A5F4F7D"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OZA 0.92 mg – placebo </w:t>
            </w:r>
          </w:p>
          <w:p w14:paraId="357974D5" w14:textId="77777777" w:rsidR="00635952" w:rsidRPr="009A0E7B" w:rsidRDefault="00635952" w:rsidP="002E2B49">
            <w:pPr>
              <w:keepNext/>
              <w:keepLines/>
              <w:jc w:val="center"/>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N=227</w:t>
            </w:r>
          </w:p>
        </w:tc>
        <w:tc>
          <w:tcPr>
            <w:tcW w:w="845" w:type="pct"/>
            <w:vMerge/>
          </w:tcPr>
          <w:p w14:paraId="0F83E420" w14:textId="77777777" w:rsidR="00635952" w:rsidRPr="009A0E7B" w:rsidRDefault="00635952" w:rsidP="002E2B49">
            <w:pPr>
              <w:keepNext/>
              <w:keepLines/>
              <w:jc w:val="center"/>
              <w:rPr>
                <w:rFonts w:ascii="Arial Narrow" w:eastAsia="Calibri" w:hAnsi="Arial Narrow" w:cs="Times New Roman"/>
                <w:b/>
                <w:bCs/>
                <w:snapToGrid w:val="0"/>
                <w:sz w:val="20"/>
                <w:szCs w:val="20"/>
              </w:rPr>
            </w:pPr>
          </w:p>
        </w:tc>
      </w:tr>
      <w:tr w:rsidR="00635952" w:rsidRPr="009A0E7B" w14:paraId="75C74435" w14:textId="77777777" w:rsidTr="00B34F9E">
        <w:tc>
          <w:tcPr>
            <w:tcW w:w="2544" w:type="pct"/>
          </w:tcPr>
          <w:p w14:paraId="35A8E147" w14:textId="2D1D8E8A"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Subjects in clinical remission, n (</w:t>
            </w:r>
            <w:proofErr w:type="gramStart"/>
            <w:r w:rsidRPr="009A0E7B">
              <w:rPr>
                <w:rFonts w:ascii="Arial Narrow" w:eastAsiaTheme="minorHAnsi" w:hAnsi="Arial Narrow"/>
                <w:sz w:val="20"/>
                <w:szCs w:val="20"/>
              </w:rPr>
              <w:t>%)</w:t>
            </w:r>
            <w:r w:rsidR="007E483D" w:rsidRPr="009A0E7B">
              <w:rPr>
                <w:rFonts w:ascii="Arial Narrow" w:eastAsiaTheme="minorHAnsi" w:hAnsi="Arial Narrow"/>
                <w:sz w:val="20"/>
                <w:szCs w:val="20"/>
                <w:vertAlign w:val="superscript"/>
              </w:rPr>
              <w:t>c</w:t>
            </w:r>
            <w:proofErr w:type="gramEnd"/>
          </w:p>
        </w:tc>
        <w:tc>
          <w:tcPr>
            <w:tcW w:w="845" w:type="pct"/>
            <w:gridSpan w:val="2"/>
          </w:tcPr>
          <w:p w14:paraId="2AD73BE8"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88 (38.3)</w:t>
            </w:r>
          </w:p>
        </w:tc>
        <w:tc>
          <w:tcPr>
            <w:tcW w:w="766" w:type="pct"/>
          </w:tcPr>
          <w:p w14:paraId="1E220854"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42 (18.5)</w:t>
            </w:r>
          </w:p>
        </w:tc>
        <w:tc>
          <w:tcPr>
            <w:tcW w:w="845" w:type="pct"/>
          </w:tcPr>
          <w:p w14:paraId="1AA63837"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17 (24.6)</w:t>
            </w:r>
          </w:p>
        </w:tc>
      </w:tr>
      <w:tr w:rsidR="00635952" w:rsidRPr="009A0E7B" w14:paraId="07BD5643" w14:textId="77777777" w:rsidTr="00B34F9E">
        <w:tc>
          <w:tcPr>
            <w:tcW w:w="2544" w:type="pct"/>
          </w:tcPr>
          <w:p w14:paraId="7890A83A" w14:textId="3D693F43"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 xml:space="preserve">Odds ratio (95% </w:t>
            </w:r>
            <w:proofErr w:type="gramStart"/>
            <w:r w:rsidRPr="009A0E7B">
              <w:rPr>
                <w:rFonts w:ascii="Arial Narrow" w:eastAsiaTheme="minorHAnsi" w:hAnsi="Arial Narrow"/>
                <w:sz w:val="20"/>
                <w:szCs w:val="20"/>
              </w:rPr>
              <w:t>CI)</w:t>
            </w:r>
            <w:r w:rsidR="007E483D" w:rsidRPr="009A0E7B">
              <w:rPr>
                <w:rFonts w:ascii="Arial Narrow" w:eastAsiaTheme="minorHAnsi" w:hAnsi="Arial Narrow"/>
                <w:sz w:val="20"/>
                <w:szCs w:val="20"/>
                <w:vertAlign w:val="superscript"/>
              </w:rPr>
              <w:t>b</w:t>
            </w:r>
            <w:proofErr w:type="gramEnd"/>
          </w:p>
        </w:tc>
        <w:tc>
          <w:tcPr>
            <w:tcW w:w="1611" w:type="pct"/>
            <w:gridSpan w:val="3"/>
          </w:tcPr>
          <w:p w14:paraId="6092A664"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2.876 (1.854, 4.461)</w:t>
            </w:r>
          </w:p>
        </w:tc>
        <w:tc>
          <w:tcPr>
            <w:tcW w:w="845" w:type="pct"/>
          </w:tcPr>
          <w:p w14:paraId="750624C3"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w:t>
            </w:r>
          </w:p>
        </w:tc>
      </w:tr>
      <w:tr w:rsidR="00635952" w:rsidRPr="009A0E7B" w14:paraId="009FBC79" w14:textId="77777777" w:rsidTr="00B34F9E">
        <w:tc>
          <w:tcPr>
            <w:tcW w:w="2544" w:type="pct"/>
          </w:tcPr>
          <w:p w14:paraId="05A300EA"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Difference in proportions (95% CI)</w:t>
            </w:r>
          </w:p>
        </w:tc>
        <w:tc>
          <w:tcPr>
            <w:tcW w:w="1611" w:type="pct"/>
            <w:gridSpan w:val="3"/>
          </w:tcPr>
          <w:p w14:paraId="5966C9CD"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0.199 (0.120, 0.278)</w:t>
            </w:r>
          </w:p>
        </w:tc>
        <w:tc>
          <w:tcPr>
            <w:tcW w:w="845" w:type="pct"/>
          </w:tcPr>
          <w:p w14:paraId="5758B189"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w:t>
            </w:r>
          </w:p>
        </w:tc>
      </w:tr>
      <w:tr w:rsidR="00635952" w:rsidRPr="009A0E7B" w14:paraId="6F677F81" w14:textId="77777777" w:rsidTr="00B34F9E">
        <w:tc>
          <w:tcPr>
            <w:tcW w:w="2544" w:type="pct"/>
          </w:tcPr>
          <w:p w14:paraId="0B0E306C"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p-value</w:t>
            </w:r>
          </w:p>
        </w:tc>
        <w:tc>
          <w:tcPr>
            <w:tcW w:w="1611" w:type="pct"/>
            <w:gridSpan w:val="3"/>
          </w:tcPr>
          <w:p w14:paraId="3A645722"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&lt; 0.0001</w:t>
            </w:r>
          </w:p>
        </w:tc>
        <w:tc>
          <w:tcPr>
            <w:tcW w:w="845" w:type="pct"/>
          </w:tcPr>
          <w:p w14:paraId="366F85A9"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w:t>
            </w:r>
          </w:p>
        </w:tc>
      </w:tr>
      <w:tr w:rsidR="00635952" w:rsidRPr="009A0E7B" w14:paraId="63B9FE33" w14:textId="77777777" w:rsidTr="00B34F9E">
        <w:tc>
          <w:tcPr>
            <w:tcW w:w="5000" w:type="pct"/>
            <w:gridSpan w:val="5"/>
          </w:tcPr>
          <w:p w14:paraId="70937344" w14:textId="77777777" w:rsidR="00635952" w:rsidRPr="009A0E7B" w:rsidRDefault="00635952" w:rsidP="002E2B49">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Touchstone – measured at Week 32, ITT population, missing data classified as no response</w:t>
            </w:r>
          </w:p>
        </w:tc>
      </w:tr>
      <w:tr w:rsidR="00635952" w:rsidRPr="009A0E7B" w14:paraId="312B0716" w14:textId="77777777" w:rsidTr="00B34F9E">
        <w:tc>
          <w:tcPr>
            <w:tcW w:w="2544" w:type="pct"/>
          </w:tcPr>
          <w:p w14:paraId="7159C629" w14:textId="77777777" w:rsidR="00635952" w:rsidRPr="009A0E7B" w:rsidRDefault="00635952" w:rsidP="002E2B49">
            <w:pPr>
              <w:keepNext/>
              <w:keepLines/>
              <w:rPr>
                <w:rFonts w:ascii="Arial Narrow" w:eastAsia="Calibri" w:hAnsi="Arial Narrow" w:cs="Times New Roman"/>
                <w:snapToGrid w:val="0"/>
                <w:sz w:val="20"/>
                <w:szCs w:val="20"/>
              </w:rPr>
            </w:pPr>
          </w:p>
        </w:tc>
        <w:tc>
          <w:tcPr>
            <w:tcW w:w="805" w:type="pct"/>
          </w:tcPr>
          <w:p w14:paraId="1C1418B8" w14:textId="77777777" w:rsidR="00635952" w:rsidRPr="009A0E7B" w:rsidRDefault="00635952" w:rsidP="002E2B49">
            <w:pPr>
              <w:pStyle w:val="Tabletext"/>
              <w:keepNext/>
              <w:keepLines/>
              <w:jc w:val="center"/>
              <w:rPr>
                <w:rFonts w:eastAsiaTheme="minorHAnsi"/>
                <w:b/>
                <w:bCs/>
                <w:szCs w:val="20"/>
              </w:rPr>
            </w:pPr>
            <w:r w:rsidRPr="009A0E7B">
              <w:rPr>
                <w:rFonts w:eastAsiaTheme="minorHAnsi"/>
                <w:b/>
                <w:bCs/>
                <w:szCs w:val="20"/>
              </w:rPr>
              <w:t>OZA 0.46 mg</w:t>
            </w:r>
          </w:p>
          <w:p w14:paraId="4A050E34"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b/>
                <w:bCs/>
                <w:sz w:val="20"/>
                <w:szCs w:val="20"/>
              </w:rPr>
              <w:t xml:space="preserve">N=65 </w:t>
            </w:r>
          </w:p>
        </w:tc>
        <w:tc>
          <w:tcPr>
            <w:tcW w:w="806" w:type="pct"/>
            <w:gridSpan w:val="2"/>
          </w:tcPr>
          <w:p w14:paraId="3EFEC60B" w14:textId="77777777" w:rsidR="00635952" w:rsidRPr="009A0E7B" w:rsidRDefault="00635952" w:rsidP="002E2B49">
            <w:pPr>
              <w:pStyle w:val="Tabletext"/>
              <w:keepNext/>
              <w:keepLines/>
              <w:jc w:val="center"/>
              <w:rPr>
                <w:rFonts w:eastAsiaTheme="minorHAnsi"/>
                <w:b/>
                <w:bCs/>
                <w:szCs w:val="20"/>
              </w:rPr>
            </w:pPr>
            <w:r w:rsidRPr="009A0E7B">
              <w:rPr>
                <w:rFonts w:eastAsiaTheme="minorHAnsi"/>
                <w:b/>
                <w:bCs/>
                <w:szCs w:val="20"/>
              </w:rPr>
              <w:t>OZA 0.92 mg</w:t>
            </w:r>
          </w:p>
          <w:p w14:paraId="4F007614"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b/>
                <w:bCs/>
                <w:sz w:val="20"/>
                <w:szCs w:val="20"/>
              </w:rPr>
              <w:t xml:space="preserve">N=67 </w:t>
            </w:r>
          </w:p>
        </w:tc>
        <w:tc>
          <w:tcPr>
            <w:tcW w:w="845" w:type="pct"/>
          </w:tcPr>
          <w:p w14:paraId="5FBEAE30" w14:textId="77777777" w:rsidR="00635952" w:rsidRPr="009A0E7B" w:rsidRDefault="00635952" w:rsidP="002E2B49">
            <w:pPr>
              <w:pStyle w:val="Tabletext"/>
              <w:keepNext/>
              <w:keepLines/>
              <w:jc w:val="center"/>
              <w:rPr>
                <w:rFonts w:eastAsiaTheme="minorHAnsi"/>
                <w:b/>
                <w:bCs/>
                <w:szCs w:val="20"/>
              </w:rPr>
            </w:pPr>
            <w:r w:rsidRPr="009A0E7B">
              <w:rPr>
                <w:rFonts w:eastAsiaTheme="minorHAnsi"/>
                <w:b/>
                <w:bCs/>
                <w:szCs w:val="20"/>
              </w:rPr>
              <w:t>Placebo</w:t>
            </w:r>
          </w:p>
          <w:p w14:paraId="312D47DF"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b/>
                <w:bCs/>
                <w:sz w:val="20"/>
                <w:szCs w:val="20"/>
              </w:rPr>
              <w:t>N=65</w:t>
            </w:r>
          </w:p>
        </w:tc>
      </w:tr>
      <w:tr w:rsidR="00635952" w:rsidRPr="009A0E7B" w14:paraId="0B5005A5" w14:textId="77777777" w:rsidTr="00B34F9E">
        <w:tc>
          <w:tcPr>
            <w:tcW w:w="2544" w:type="pct"/>
          </w:tcPr>
          <w:p w14:paraId="5ABB9EFF" w14:textId="77777777"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Subjects in clinical remission, n (%)</w:t>
            </w:r>
          </w:p>
        </w:tc>
        <w:tc>
          <w:tcPr>
            <w:tcW w:w="805" w:type="pct"/>
          </w:tcPr>
          <w:p w14:paraId="6ACF8BD4"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17 (26)</w:t>
            </w:r>
          </w:p>
        </w:tc>
        <w:tc>
          <w:tcPr>
            <w:tcW w:w="806" w:type="pct"/>
            <w:gridSpan w:val="2"/>
          </w:tcPr>
          <w:p w14:paraId="37343323"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14 (21)</w:t>
            </w:r>
          </w:p>
        </w:tc>
        <w:tc>
          <w:tcPr>
            <w:tcW w:w="845" w:type="pct"/>
          </w:tcPr>
          <w:p w14:paraId="689A8793"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4 (6)</w:t>
            </w:r>
          </w:p>
        </w:tc>
      </w:tr>
      <w:tr w:rsidR="00635952" w:rsidRPr="009A0E7B" w14:paraId="3765CBD6" w14:textId="77777777" w:rsidTr="00B34F9E">
        <w:tc>
          <w:tcPr>
            <w:tcW w:w="2544" w:type="pct"/>
          </w:tcPr>
          <w:p w14:paraId="17F54C5B" w14:textId="07094185" w:rsidR="00635952" w:rsidRPr="009A0E7B" w:rsidRDefault="00635952" w:rsidP="002E2B49">
            <w:pPr>
              <w:keepNext/>
              <w:keepLines/>
              <w:rPr>
                <w:rFonts w:ascii="Arial Narrow" w:eastAsia="Calibri" w:hAnsi="Arial Narrow" w:cs="Times New Roman"/>
                <w:snapToGrid w:val="0"/>
                <w:sz w:val="20"/>
                <w:szCs w:val="20"/>
              </w:rPr>
            </w:pPr>
            <w:r w:rsidRPr="009A0E7B">
              <w:rPr>
                <w:rFonts w:ascii="Arial Narrow" w:eastAsiaTheme="minorHAnsi" w:hAnsi="Arial Narrow"/>
                <w:sz w:val="20"/>
                <w:szCs w:val="20"/>
              </w:rPr>
              <w:t>p-value (</w:t>
            </w:r>
            <w:r w:rsidR="00A4760E" w:rsidRPr="009A0E7B">
              <w:rPr>
                <w:rFonts w:ascii="Arial Narrow" w:eastAsiaTheme="minorHAnsi" w:hAnsi="Arial Narrow"/>
                <w:sz w:val="20"/>
                <w:szCs w:val="20"/>
              </w:rPr>
              <w:t>vs.</w:t>
            </w:r>
            <w:r w:rsidRPr="009A0E7B">
              <w:rPr>
                <w:rFonts w:ascii="Arial Narrow" w:eastAsiaTheme="minorHAnsi" w:hAnsi="Arial Narrow"/>
                <w:sz w:val="20"/>
                <w:szCs w:val="20"/>
              </w:rPr>
              <w:t xml:space="preserve"> placebo)</w:t>
            </w:r>
          </w:p>
        </w:tc>
        <w:tc>
          <w:tcPr>
            <w:tcW w:w="805" w:type="pct"/>
          </w:tcPr>
          <w:p w14:paraId="387F087D"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0.002</w:t>
            </w:r>
          </w:p>
        </w:tc>
        <w:tc>
          <w:tcPr>
            <w:tcW w:w="806" w:type="pct"/>
            <w:gridSpan w:val="2"/>
          </w:tcPr>
          <w:p w14:paraId="7C757D8C"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0.01</w:t>
            </w:r>
          </w:p>
        </w:tc>
        <w:tc>
          <w:tcPr>
            <w:tcW w:w="845" w:type="pct"/>
          </w:tcPr>
          <w:p w14:paraId="425E5168" w14:textId="77777777" w:rsidR="00635952" w:rsidRPr="009A0E7B" w:rsidRDefault="00635952" w:rsidP="002E2B49">
            <w:pPr>
              <w:keepNext/>
              <w:keepLines/>
              <w:jc w:val="center"/>
              <w:rPr>
                <w:rFonts w:ascii="Arial Narrow" w:eastAsia="Calibri" w:hAnsi="Arial Narrow" w:cs="Times New Roman"/>
                <w:snapToGrid w:val="0"/>
                <w:sz w:val="20"/>
                <w:szCs w:val="20"/>
              </w:rPr>
            </w:pPr>
            <w:r w:rsidRPr="009A0E7B">
              <w:rPr>
                <w:rFonts w:ascii="Arial Narrow" w:eastAsiaTheme="minorHAnsi" w:hAnsi="Arial Narrow"/>
                <w:sz w:val="20"/>
                <w:szCs w:val="20"/>
              </w:rPr>
              <w:t>-</w:t>
            </w:r>
          </w:p>
        </w:tc>
      </w:tr>
    </w:tbl>
    <w:p w14:paraId="5749AE67" w14:textId="626247B8" w:rsidR="00635952" w:rsidRPr="009A0E7B" w:rsidRDefault="00635952" w:rsidP="002E2B49">
      <w:pPr>
        <w:pStyle w:val="TableFigureFooter"/>
        <w:keepNext/>
        <w:keepLines/>
      </w:pPr>
      <w:r w:rsidRPr="009A0E7B">
        <w:t>Source: Constructed during the evaluation. Data extracted from</w:t>
      </w:r>
      <w:r w:rsidR="00CA7D96" w:rsidRPr="009A0E7B">
        <w:t xml:space="preserve"> Tables 50 &amp; 51, p 105;</w:t>
      </w:r>
      <w:r w:rsidRPr="009A0E7B">
        <w:t xml:space="preserve"> Table</w:t>
      </w:r>
      <w:r w:rsidR="00CA7D96" w:rsidRPr="009A0E7B">
        <w:t>s</w:t>
      </w:r>
      <w:r w:rsidRPr="009A0E7B">
        <w:t xml:space="preserve"> </w:t>
      </w:r>
      <w:r w:rsidR="00CA7D96" w:rsidRPr="009A0E7B">
        <w:t>66 &amp; 67</w:t>
      </w:r>
      <w:r w:rsidRPr="009A0E7B">
        <w:t>, p</w:t>
      </w:r>
      <w:r w:rsidR="00CA7D96" w:rsidRPr="009A0E7B">
        <w:t>p</w:t>
      </w:r>
      <w:r w:rsidRPr="009A0E7B">
        <w:t xml:space="preserve"> 1</w:t>
      </w:r>
      <w:r w:rsidR="00CA7D96" w:rsidRPr="009A0E7B">
        <w:t>10-111</w:t>
      </w:r>
      <w:r w:rsidRPr="009A0E7B">
        <w:t xml:space="preserve"> of the submission.</w:t>
      </w:r>
    </w:p>
    <w:p w14:paraId="40B48135" w14:textId="77777777" w:rsidR="00635952" w:rsidRPr="009A0E7B" w:rsidRDefault="00635952" w:rsidP="002E2B49">
      <w:pPr>
        <w:pStyle w:val="TableFigureFooter"/>
        <w:keepNext/>
        <w:keepLines/>
      </w:pPr>
      <w:r w:rsidRPr="009A0E7B">
        <w:t xml:space="preserve">CI = confidence interval; ITT = Intent-to-Treat; OZA = ozanimod; RBS = rectal bleeding </w:t>
      </w:r>
      <w:proofErr w:type="spellStart"/>
      <w:r w:rsidRPr="009A0E7B">
        <w:t>subscore</w:t>
      </w:r>
      <w:proofErr w:type="spellEnd"/>
    </w:p>
    <w:p w14:paraId="67CD9549" w14:textId="77777777" w:rsidR="00635952" w:rsidRPr="009A0E7B" w:rsidRDefault="00635952" w:rsidP="002E2B49">
      <w:pPr>
        <w:pStyle w:val="TableFigureFooter"/>
        <w:keepNext/>
        <w:keepLines/>
      </w:pPr>
      <w:r w:rsidRPr="009A0E7B">
        <w:rPr>
          <w:vertAlign w:val="superscript"/>
        </w:rPr>
        <w:t>a</w:t>
      </w:r>
      <w:r w:rsidRPr="009A0E7B">
        <w:t xml:space="preserve"> Clinical response is defined as: A reduction from Baseline in the 4-component Mayo score of ≥3 points and ≥30%, and a reduction from Baseline in the RBS of ≥1 point or an absolute RBS of ≤1 point.</w:t>
      </w:r>
    </w:p>
    <w:p w14:paraId="6E456D29" w14:textId="4311B084" w:rsidR="00635952" w:rsidRPr="009A0E7B" w:rsidRDefault="007E483D" w:rsidP="002E2B49">
      <w:pPr>
        <w:pStyle w:val="TableFigureFooter"/>
        <w:keepNext/>
        <w:keepLines/>
      </w:pPr>
      <w:r w:rsidRPr="009A0E7B">
        <w:rPr>
          <w:vertAlign w:val="superscript"/>
        </w:rPr>
        <w:t>b</w:t>
      </w:r>
      <w:r w:rsidR="00635952" w:rsidRPr="009A0E7B">
        <w:t xml:space="preserve"> Odds ratio (active/placebo), treatment difference, and 2-sided 95% Wald CI and p-value for comparison between the ozanimod 0.92 mg - ozanimod 0.92 mg and ozanimod 0.92 mg — Placebo groups are based on the CMH test, stratified by remission status at Week 10 and corticosteroid use at Week 10 (yes or no).</w:t>
      </w:r>
    </w:p>
    <w:p w14:paraId="7879A12C" w14:textId="1D69AE2E" w:rsidR="00635952" w:rsidRPr="009A0E7B" w:rsidRDefault="007E483D" w:rsidP="002E2B49">
      <w:pPr>
        <w:pStyle w:val="TableFigureFooter"/>
        <w:keepNext/>
        <w:keepLines/>
      </w:pPr>
      <w:r w:rsidRPr="009A0E7B">
        <w:rPr>
          <w:vertAlign w:val="superscript"/>
        </w:rPr>
        <w:t>c</w:t>
      </w:r>
      <w:r w:rsidR="00635952" w:rsidRPr="009A0E7B">
        <w:t xml:space="preserve"> Clinical remission is defined as: 4-component Mayo score of ≤2 points and with no individual </w:t>
      </w:r>
      <w:proofErr w:type="spellStart"/>
      <w:r w:rsidR="00635952" w:rsidRPr="009A0E7B">
        <w:t>subscore</w:t>
      </w:r>
      <w:proofErr w:type="spellEnd"/>
      <w:r w:rsidR="00635952" w:rsidRPr="009A0E7B">
        <w:t xml:space="preserve"> of &gt; 1 point</w:t>
      </w:r>
    </w:p>
    <w:p w14:paraId="6D2908BF" w14:textId="49C47283" w:rsidR="00635952" w:rsidRPr="009A0E7B" w:rsidRDefault="007E483D" w:rsidP="002E2B49">
      <w:pPr>
        <w:pStyle w:val="TableFigureFooter"/>
        <w:keepNext/>
        <w:keepLines/>
      </w:pPr>
      <w:r w:rsidRPr="009A0E7B">
        <w:rPr>
          <w:vertAlign w:val="superscript"/>
        </w:rPr>
        <w:t>d</w:t>
      </w:r>
      <w:r w:rsidR="00635952" w:rsidRPr="009A0E7B">
        <w:t xml:space="preserve"> Cohort 1 and Cohort 2 were re-randomised to form the newly labelled ‘Cohort 1’.</w:t>
      </w:r>
    </w:p>
    <w:p w14:paraId="5A4179A7" w14:textId="77777777" w:rsidR="00635952" w:rsidRPr="009A0E7B" w:rsidRDefault="00635952" w:rsidP="002E2B49">
      <w:pPr>
        <w:pStyle w:val="TableFigureFooter"/>
        <w:keepNext/>
        <w:keepLines/>
      </w:pPr>
      <w:r w:rsidRPr="009A0E7B">
        <w:t xml:space="preserve">Note: In True North, 4-component Mayo score (0-12): Sum of the Rectal Bleeding </w:t>
      </w:r>
      <w:proofErr w:type="spellStart"/>
      <w:r w:rsidRPr="009A0E7B">
        <w:t>subscore</w:t>
      </w:r>
      <w:proofErr w:type="spellEnd"/>
      <w:r w:rsidRPr="009A0E7B">
        <w:t xml:space="preserve">, Stool Frequency </w:t>
      </w:r>
      <w:proofErr w:type="spellStart"/>
      <w:r w:rsidRPr="009A0E7B">
        <w:t>subscore</w:t>
      </w:r>
      <w:proofErr w:type="spellEnd"/>
      <w:r w:rsidRPr="009A0E7B">
        <w:t xml:space="preserve">, Physician Global Assessment </w:t>
      </w:r>
      <w:proofErr w:type="spellStart"/>
      <w:r w:rsidRPr="009A0E7B">
        <w:t>subscore</w:t>
      </w:r>
      <w:proofErr w:type="spellEnd"/>
      <w:r w:rsidRPr="009A0E7B">
        <w:t xml:space="preserve">, and the endoscopy </w:t>
      </w:r>
      <w:proofErr w:type="spellStart"/>
      <w:r w:rsidRPr="009A0E7B">
        <w:t>subscore</w:t>
      </w:r>
      <w:proofErr w:type="spellEnd"/>
      <w:r w:rsidRPr="009A0E7B">
        <w:t xml:space="preserve">. Subjects with any of the Mayo </w:t>
      </w:r>
      <w:proofErr w:type="spellStart"/>
      <w:r w:rsidRPr="009A0E7B">
        <w:t>subscores</w:t>
      </w:r>
      <w:proofErr w:type="spellEnd"/>
      <w:r w:rsidRPr="009A0E7B">
        <w:t xml:space="preserve"> missing at Week 10 for induction, or Week 52 for maintenance, are classified as non-remitters</w:t>
      </w:r>
    </w:p>
    <w:p w14:paraId="30821EDA" w14:textId="7216A032" w:rsidR="00FA6D3A" w:rsidRPr="009A0E7B" w:rsidRDefault="00FA6D3A" w:rsidP="00FA6D3A">
      <w:pPr>
        <w:pStyle w:val="3-BodyText"/>
        <w:rPr>
          <w:iCs/>
        </w:rPr>
      </w:pPr>
      <w:r w:rsidRPr="009A0E7B">
        <w:rPr>
          <w:iCs/>
        </w:rPr>
        <w:t>Patients treated with OZA 0.92</w:t>
      </w:r>
      <w:r w:rsidR="00BB4350" w:rsidRPr="009A0E7B">
        <w:rPr>
          <w:iCs/>
        </w:rPr>
        <w:t xml:space="preserve"> </w:t>
      </w:r>
      <w:r w:rsidRPr="009A0E7B">
        <w:rPr>
          <w:iCs/>
        </w:rPr>
        <w:t>mg (the proposed dose in the draft PI) achieved a statistically higher clinical remission and clinical response rates than those in the placebo group in both the induction and maintenance phases across True North and Touchstone trials.</w:t>
      </w:r>
      <w:r w:rsidR="00436470" w:rsidRPr="009A0E7B">
        <w:t xml:space="preserve"> </w:t>
      </w:r>
    </w:p>
    <w:p w14:paraId="29E265D2" w14:textId="18A52F25" w:rsidR="00FA6D3A" w:rsidRPr="009A0E7B" w:rsidRDefault="00DD79FD" w:rsidP="003249A9">
      <w:pPr>
        <w:pStyle w:val="3-BodyText"/>
        <w:rPr>
          <w:iCs/>
        </w:rPr>
      </w:pPr>
      <w:r>
        <w:rPr>
          <w:iCs/>
        </w:rPr>
        <w:t>As stated, t</w:t>
      </w:r>
      <w:r w:rsidR="00170C51" w:rsidRPr="009A0E7B">
        <w:rPr>
          <w:iCs/>
        </w:rPr>
        <w:t xml:space="preserve">he IFX trials have been previously evaluated by the </w:t>
      </w:r>
      <w:r w:rsidR="00170C51" w:rsidRPr="000F04D4">
        <w:rPr>
          <w:iCs/>
        </w:rPr>
        <w:t>PBAC</w:t>
      </w:r>
      <w:r w:rsidRPr="000F04D4">
        <w:rPr>
          <w:iCs/>
        </w:rPr>
        <w:t xml:space="preserve"> (</w:t>
      </w:r>
      <w:r w:rsidR="000F04D4" w:rsidRPr="000F04D4">
        <w:rPr>
          <w:iCs/>
        </w:rPr>
        <w:t>paragraph 6.9</w:t>
      </w:r>
      <w:r w:rsidRPr="000F04D4">
        <w:rPr>
          <w:iCs/>
        </w:rPr>
        <w:t>)</w:t>
      </w:r>
      <w:r w:rsidR="00170C51" w:rsidRPr="000F04D4">
        <w:rPr>
          <w:iCs/>
        </w:rPr>
        <w:t>.</w:t>
      </w:r>
      <w:r w:rsidR="00170C51" w:rsidRPr="009A0E7B">
        <w:rPr>
          <w:iCs/>
        </w:rPr>
        <w:t xml:space="preserve"> They all demonstrated a statistically significant response in IFX 5 mg/kg over placebo in both induction and maintenance</w:t>
      </w:r>
      <w:r w:rsidR="000E0073" w:rsidRPr="009A0E7B">
        <w:rPr>
          <w:iCs/>
        </w:rPr>
        <w:t xml:space="preserve"> phases</w:t>
      </w:r>
      <w:r w:rsidR="00170C51" w:rsidRPr="009A0E7B">
        <w:rPr>
          <w:iCs/>
        </w:rPr>
        <w:t xml:space="preserve">, except for REMICADE which failed to demonstrate statistically significant remission in the induction phase, and response in </w:t>
      </w:r>
      <w:r w:rsidR="00170C51" w:rsidRPr="009A0E7B">
        <w:rPr>
          <w:iCs/>
        </w:rPr>
        <w:lastRenderedPageBreak/>
        <w:t>the maintenance phase. The Kobayashi 2016</w:t>
      </w:r>
      <w:r w:rsidR="00790560" w:rsidRPr="009A0E7B">
        <w:rPr>
          <w:iCs/>
        </w:rPr>
        <w:t xml:space="preserve"> trial also failed to demonstrate statistical significance</w:t>
      </w:r>
      <w:r w:rsidR="00952671" w:rsidRPr="009A0E7B">
        <w:rPr>
          <w:iCs/>
        </w:rPr>
        <w:t xml:space="preserve"> in the maintenance phase</w:t>
      </w:r>
      <w:r w:rsidR="00790560" w:rsidRPr="009A0E7B">
        <w:rPr>
          <w:iCs/>
        </w:rPr>
        <w:t>, but this trial investigated</w:t>
      </w:r>
      <w:r w:rsidR="003C3252" w:rsidRPr="009A0E7B">
        <w:rPr>
          <w:iCs/>
        </w:rPr>
        <w:t xml:space="preserve"> the predictive value of serum trough levels of IFX and</w:t>
      </w:r>
      <w:r w:rsidR="00790560" w:rsidRPr="009A0E7B">
        <w:rPr>
          <w:iCs/>
        </w:rPr>
        <w:t xml:space="preserve"> short-term induction therap</w:t>
      </w:r>
      <w:r w:rsidR="00BC7789" w:rsidRPr="009A0E7B">
        <w:rPr>
          <w:iCs/>
        </w:rPr>
        <w:t>y; this has been recognised in Paragraph 6.6, T</w:t>
      </w:r>
      <w:r w:rsidR="00790560" w:rsidRPr="009A0E7B">
        <w:rPr>
          <w:iCs/>
        </w:rPr>
        <w:t>ofac</w:t>
      </w:r>
      <w:r w:rsidR="00BC7789" w:rsidRPr="009A0E7B">
        <w:rPr>
          <w:iCs/>
        </w:rPr>
        <w:t>i</w:t>
      </w:r>
      <w:r w:rsidR="00790560" w:rsidRPr="009A0E7B">
        <w:rPr>
          <w:iCs/>
        </w:rPr>
        <w:t>tinib PSD, November 2020 PBAC meeting</w:t>
      </w:r>
      <w:r w:rsidR="00E43EAB" w:rsidRPr="009A0E7B">
        <w:rPr>
          <w:iCs/>
        </w:rPr>
        <w:t>.</w:t>
      </w:r>
    </w:p>
    <w:p w14:paraId="2E1AFDBF" w14:textId="0C77D2E3" w:rsidR="0011486A" w:rsidRPr="009A0E7B" w:rsidRDefault="0011486A" w:rsidP="00163403">
      <w:pPr>
        <w:pStyle w:val="3-BodyText"/>
        <w:rPr>
          <w:iCs/>
        </w:rPr>
      </w:pPr>
      <w:r w:rsidRPr="009A0E7B">
        <w:rPr>
          <w:iCs/>
        </w:rPr>
        <w:t xml:space="preserve">There were </w:t>
      </w:r>
      <w:proofErr w:type="gramStart"/>
      <w:r w:rsidRPr="009A0E7B">
        <w:rPr>
          <w:iCs/>
        </w:rPr>
        <w:t>a number of</w:t>
      </w:r>
      <w:proofErr w:type="gramEnd"/>
      <w:r w:rsidRPr="009A0E7B">
        <w:rPr>
          <w:iCs/>
        </w:rPr>
        <w:t xml:space="preserve"> differences between the</w:t>
      </w:r>
      <w:r w:rsidR="00163403" w:rsidRPr="009A0E7B">
        <w:rPr>
          <w:iCs/>
        </w:rPr>
        <w:t xml:space="preserve"> patient populations in the</w:t>
      </w:r>
      <w:r w:rsidRPr="009A0E7B">
        <w:rPr>
          <w:iCs/>
        </w:rPr>
        <w:t xml:space="preserve"> OZA and IFX</w:t>
      </w:r>
      <w:r w:rsidR="00163403" w:rsidRPr="009A0E7B">
        <w:rPr>
          <w:iCs/>
        </w:rPr>
        <w:t xml:space="preserve"> trials.</w:t>
      </w:r>
      <w:r w:rsidR="000E0073" w:rsidRPr="009A0E7B">
        <w:rPr>
          <w:iCs/>
        </w:rPr>
        <w:t xml:space="preserve"> </w:t>
      </w:r>
      <w:r w:rsidR="00163403" w:rsidRPr="009A0E7B">
        <w:rPr>
          <w:iCs/>
        </w:rPr>
        <w:t>This resulted in</w:t>
      </w:r>
      <w:r w:rsidRPr="009A0E7B">
        <w:rPr>
          <w:iCs/>
        </w:rPr>
        <w:t xml:space="preserve"> substantial differences in baseline </w:t>
      </w:r>
      <w:r w:rsidR="00956FDD" w:rsidRPr="009A0E7B">
        <w:rPr>
          <w:iCs/>
        </w:rPr>
        <w:t xml:space="preserve">disease </w:t>
      </w:r>
      <w:r w:rsidRPr="009A0E7B">
        <w:rPr>
          <w:iCs/>
        </w:rPr>
        <w:t>characteristics,</w:t>
      </w:r>
      <w:r w:rsidR="00163403" w:rsidRPr="009A0E7B">
        <w:rPr>
          <w:iCs/>
        </w:rPr>
        <w:t xml:space="preserve"> disease severity and concomitant therapy,</w:t>
      </w:r>
      <w:r w:rsidRPr="009A0E7B">
        <w:rPr>
          <w:iCs/>
        </w:rPr>
        <w:t xml:space="preserve"> and</w:t>
      </w:r>
      <w:r w:rsidR="00163403" w:rsidRPr="009A0E7B">
        <w:rPr>
          <w:iCs/>
        </w:rPr>
        <w:t xml:space="preserve"> led to</w:t>
      </w:r>
      <w:r w:rsidRPr="009A0E7B">
        <w:rPr>
          <w:iCs/>
        </w:rPr>
        <w:t xml:space="preserve"> transitivity</w:t>
      </w:r>
      <w:r w:rsidR="00D1461A" w:rsidRPr="009A0E7B">
        <w:rPr>
          <w:iCs/>
        </w:rPr>
        <w:t xml:space="preserve"> </w:t>
      </w:r>
      <w:r w:rsidR="00A63A16" w:rsidRPr="009A0E7B">
        <w:rPr>
          <w:iCs/>
        </w:rPr>
        <w:t xml:space="preserve">and </w:t>
      </w:r>
      <w:r w:rsidR="00D1461A" w:rsidRPr="009A0E7B">
        <w:rPr>
          <w:iCs/>
        </w:rPr>
        <w:t>applicability</w:t>
      </w:r>
      <w:r w:rsidRPr="009A0E7B">
        <w:rPr>
          <w:iCs/>
        </w:rPr>
        <w:t xml:space="preserve"> issues when performing an unadjusted, anchored ITC. These include</w:t>
      </w:r>
      <w:r w:rsidR="000E0073" w:rsidRPr="009A0E7B">
        <w:rPr>
          <w:iCs/>
        </w:rPr>
        <w:t>d</w:t>
      </w:r>
      <w:r w:rsidRPr="009A0E7B">
        <w:rPr>
          <w:iCs/>
        </w:rPr>
        <w:t>:</w:t>
      </w:r>
    </w:p>
    <w:p w14:paraId="5E94A9F2" w14:textId="1CB166B1" w:rsidR="0011486A" w:rsidRPr="009A0E7B" w:rsidRDefault="0011486A" w:rsidP="009573AD">
      <w:pPr>
        <w:pStyle w:val="3-BodyText"/>
        <w:numPr>
          <w:ilvl w:val="0"/>
          <w:numId w:val="9"/>
        </w:numPr>
        <w:rPr>
          <w:iCs/>
        </w:rPr>
      </w:pPr>
      <w:r w:rsidRPr="009A0E7B">
        <w:t>The OZA trials enrolled patients with less pre-treated, and less severe disease compared to the IFX trials</w:t>
      </w:r>
      <w:r w:rsidR="002624D6" w:rsidRPr="009A0E7B">
        <w:t xml:space="preserve"> </w:t>
      </w:r>
      <w:r w:rsidR="002624D6" w:rsidRPr="000F284B">
        <w:t>(</w:t>
      </w:r>
      <w:r w:rsidR="002624D6" w:rsidRPr="008657B1">
        <w:t xml:space="preserve">paragraphs 3.5 and </w:t>
      </w:r>
      <w:r w:rsidR="008657B1" w:rsidRPr="008657B1">
        <w:t>6.16</w:t>
      </w:r>
      <w:r w:rsidR="002624D6" w:rsidRPr="008657B1">
        <w:t>)</w:t>
      </w:r>
      <w:r w:rsidRPr="008657B1">
        <w:t>.</w:t>
      </w:r>
      <w:r w:rsidRPr="009A0E7B">
        <w:t xml:space="preserve"> True North explicitly excluded patients with ‘severe extensive colitis’. The OZA trials did not require prior treatment </w:t>
      </w:r>
      <w:proofErr w:type="gramStart"/>
      <w:r w:rsidRPr="009A0E7B">
        <w:t>failure</w:t>
      </w:r>
      <w:r w:rsidR="006126CB" w:rsidRPr="009A0E7B">
        <w:t>s</w:t>
      </w:r>
      <w:r w:rsidRPr="009A0E7B">
        <w:t>, but</w:t>
      </w:r>
      <w:proofErr w:type="gramEnd"/>
      <w:r w:rsidRPr="009A0E7B">
        <w:t xml:space="preserve"> did require at least one of concomitant oral </w:t>
      </w:r>
      <w:proofErr w:type="spellStart"/>
      <w:r w:rsidRPr="009A0E7B">
        <w:t>aminosalicylates</w:t>
      </w:r>
      <w:proofErr w:type="spellEnd"/>
      <w:r w:rsidRPr="009A0E7B">
        <w:t xml:space="preserve"> or steroids. In contrast, the IFX trials enrolled patients with moderate to severe disease with inadequate response to corticosteroids and/or azathioprine or mercaptopurine.</w:t>
      </w:r>
      <w:r w:rsidR="00053824" w:rsidRPr="009A0E7B">
        <w:rPr>
          <w:iCs/>
        </w:rPr>
        <w:t xml:space="preserve"> </w:t>
      </w:r>
    </w:p>
    <w:p w14:paraId="0349A707" w14:textId="5494767F" w:rsidR="00376D25" w:rsidRPr="009A0E7B" w:rsidRDefault="00956FDD" w:rsidP="009573AD">
      <w:pPr>
        <w:pStyle w:val="ListParagraph"/>
        <w:numPr>
          <w:ilvl w:val="0"/>
          <w:numId w:val="9"/>
        </w:numPr>
      </w:pPr>
      <w:r w:rsidRPr="009A0E7B">
        <w:t xml:space="preserve">Approximately 38% of patients in the OZA trials had extensive disease (a predictor of aggressive </w:t>
      </w:r>
      <w:r w:rsidR="00666DD3" w:rsidRPr="009A0E7B">
        <w:t>ulcerative colitis</w:t>
      </w:r>
      <w:r w:rsidRPr="009A0E7B">
        <w:rPr>
          <w:rStyle w:val="FootnoteReference"/>
        </w:rPr>
        <w:footnoteReference w:id="3"/>
      </w:r>
      <w:r w:rsidRPr="009A0E7B">
        <w:t xml:space="preserve">), compared to 45-80% of patients in the IFX trials. There were fewer baseline concomitant corticosteroids required in the OZA cohorts compared to the IFX cohorts (30-40% </w:t>
      </w:r>
      <w:r w:rsidR="00A4760E" w:rsidRPr="009A0E7B">
        <w:t>vs.</w:t>
      </w:r>
      <w:r w:rsidRPr="009A0E7B">
        <w:t xml:space="preserve"> 50-80%). Despite these differences, the baseline mean Mayo scores were similar between </w:t>
      </w:r>
      <w:r w:rsidR="00B17A6B" w:rsidRPr="009A0E7B">
        <w:t>the OZA and IFX trials</w:t>
      </w:r>
      <w:r w:rsidRPr="009A0E7B">
        <w:t>; this suggests the patients enrolled in the OZA trials may have had poorly controlled disease, while the patients in the IFX trials were more likely to have</w:t>
      </w:r>
      <w:r w:rsidR="000C3658" w:rsidRPr="009A0E7B">
        <w:t xml:space="preserve"> severe,</w:t>
      </w:r>
      <w:r w:rsidRPr="009A0E7B">
        <w:t xml:space="preserve"> treatment refractory disease.</w:t>
      </w:r>
    </w:p>
    <w:p w14:paraId="1A64F165" w14:textId="2D3FA33B" w:rsidR="00F0105A" w:rsidRPr="00F0105A" w:rsidRDefault="00AD28BE" w:rsidP="00F0105A">
      <w:pPr>
        <w:pStyle w:val="3-BodyText"/>
        <w:rPr>
          <w:iCs/>
        </w:rPr>
      </w:pPr>
      <w:bookmarkStart w:id="31" w:name="_Ref95299109"/>
      <w:r w:rsidRPr="00F0105A">
        <w:rPr>
          <w:bCs/>
          <w:iCs/>
        </w:rPr>
        <w:t>The PSCR presented additional sub-group analyses as evidence for the wider applicability of the trial data, including for variables such as prior anti-TNF use, baseline Mayo score an</w:t>
      </w:r>
      <w:r w:rsidR="002624D6" w:rsidRPr="00F0105A">
        <w:rPr>
          <w:bCs/>
          <w:iCs/>
        </w:rPr>
        <w:t>d</w:t>
      </w:r>
      <w:r w:rsidRPr="00F0105A">
        <w:rPr>
          <w:bCs/>
          <w:iCs/>
        </w:rPr>
        <w:t xml:space="preserve"> extent of colitis. The ESC noted that several results of the sub-group analyses had lower point estimates for the outcomes analysed of both induction and maintenance phases</w:t>
      </w:r>
      <w:r w:rsidR="00281A56" w:rsidRPr="00F0105A">
        <w:rPr>
          <w:bCs/>
          <w:iCs/>
        </w:rPr>
        <w:t xml:space="preserve">, including for a range of secondary variables including </w:t>
      </w:r>
      <w:r w:rsidR="006F5648" w:rsidRPr="00F0105A">
        <w:rPr>
          <w:bCs/>
          <w:iCs/>
        </w:rPr>
        <w:t>endoscopic improvement and mucosal healing</w:t>
      </w:r>
      <w:r w:rsidRPr="00F0105A">
        <w:rPr>
          <w:bCs/>
          <w:iCs/>
        </w:rPr>
        <w:t xml:space="preserve">. </w:t>
      </w:r>
      <w:bookmarkEnd w:id="31"/>
    </w:p>
    <w:p w14:paraId="1104317F" w14:textId="53811A88" w:rsidR="00376D25" w:rsidRPr="009A0E7B" w:rsidRDefault="00376D25" w:rsidP="00376D25">
      <w:pPr>
        <w:pStyle w:val="3-BodyText"/>
      </w:pPr>
      <w:r w:rsidRPr="009A0E7B">
        <w:t>The submission’s ITC was based on the results of meta-analyses it conducted for the two OZA trials and the IFX trials, restricted to the arms which used the</w:t>
      </w:r>
      <w:r w:rsidR="006D6DCB" w:rsidRPr="009A0E7B">
        <w:t xml:space="preserve"> proposed OZA 0.</w:t>
      </w:r>
      <w:r w:rsidR="003624BF" w:rsidRPr="009A0E7B">
        <w:t>92 mg/k</w:t>
      </w:r>
      <w:r w:rsidR="006D6DCB" w:rsidRPr="009A0E7B">
        <w:t>g and</w:t>
      </w:r>
      <w:r w:rsidRPr="009A0E7B">
        <w:t xml:space="preserve"> PBS-listed IFX 5 mg/kg doses. </w:t>
      </w:r>
    </w:p>
    <w:p w14:paraId="44054E58" w14:textId="159D33F5" w:rsidR="00376D25" w:rsidRPr="009A0E7B" w:rsidRDefault="00376D25" w:rsidP="003624BF">
      <w:pPr>
        <w:pStyle w:val="3-BodyText"/>
      </w:pPr>
      <w:r w:rsidRPr="009A0E7B">
        <w:t xml:space="preserve">A summary of the ITC results of OZA </w:t>
      </w:r>
      <w:r w:rsidR="00A4760E" w:rsidRPr="009A0E7B">
        <w:t>vs.</w:t>
      </w:r>
      <w:r w:rsidRPr="009A0E7B">
        <w:t xml:space="preserve"> IFX is presented in </w:t>
      </w:r>
      <w:r w:rsidR="00D70B3A" w:rsidRPr="009A0E7B">
        <w:t>Table 7</w:t>
      </w:r>
      <w:r w:rsidR="008541A5" w:rsidRPr="009A0E7B">
        <w:t>; risk ratios (RR)</w:t>
      </w:r>
      <w:r w:rsidR="00ED349D" w:rsidRPr="009A0E7B">
        <w:t xml:space="preserve"> &gt;1</w:t>
      </w:r>
      <w:r w:rsidR="008541A5" w:rsidRPr="009A0E7B">
        <w:t xml:space="preserve"> and risk differences (RD)</w:t>
      </w:r>
      <w:r w:rsidR="00ED349D" w:rsidRPr="009A0E7B">
        <w:t xml:space="preserve"> &gt;0</w:t>
      </w:r>
      <w:r w:rsidR="008541A5" w:rsidRPr="009A0E7B">
        <w:t xml:space="preserve"> favoured OZA treatment</w:t>
      </w:r>
      <w:r w:rsidRPr="009A0E7B">
        <w:t xml:space="preserve">. </w:t>
      </w:r>
      <w:r w:rsidRPr="009A0E7B">
        <w:rPr>
          <w:iCs/>
        </w:rPr>
        <w:t>No statistically significant differences were identified, apart from</w:t>
      </w:r>
      <w:r w:rsidR="003624BF" w:rsidRPr="009A0E7B">
        <w:rPr>
          <w:iCs/>
        </w:rPr>
        <w:t xml:space="preserve"> the RD of</w:t>
      </w:r>
      <w:r w:rsidRPr="009A0E7B">
        <w:rPr>
          <w:iCs/>
        </w:rPr>
        <w:t xml:space="preserve"> clinical remission at induction</w:t>
      </w:r>
      <w:r w:rsidR="006A521C" w:rsidRPr="009A0E7B">
        <w:rPr>
          <w:iCs/>
        </w:rPr>
        <w:t xml:space="preserve"> which favoured </w:t>
      </w:r>
      <w:proofErr w:type="gramStart"/>
      <w:r w:rsidR="006A521C" w:rsidRPr="009A0E7B">
        <w:rPr>
          <w:iCs/>
        </w:rPr>
        <w:t>IFX</w:t>
      </w:r>
      <w:r w:rsidRPr="009A0E7B">
        <w:rPr>
          <w:iCs/>
        </w:rPr>
        <w:t xml:space="preserve">, </w:t>
      </w:r>
      <w:r w:rsidR="006A521C" w:rsidRPr="009A0E7B">
        <w:rPr>
          <w:iCs/>
        </w:rPr>
        <w:t>and</w:t>
      </w:r>
      <w:proofErr w:type="gramEnd"/>
      <w:r w:rsidR="006A521C" w:rsidRPr="009A0E7B">
        <w:rPr>
          <w:iCs/>
        </w:rPr>
        <w:t xml:space="preserve"> is </w:t>
      </w:r>
      <w:r w:rsidRPr="009A0E7B">
        <w:rPr>
          <w:iCs/>
        </w:rPr>
        <w:t xml:space="preserve">likely due </w:t>
      </w:r>
      <w:r w:rsidRPr="009A0E7B">
        <w:t>to a low event rate in the OZA studies.</w:t>
      </w:r>
      <w:r w:rsidRPr="009A0E7B">
        <w:rPr>
          <w:iCs/>
        </w:rPr>
        <w:t xml:space="preserve"> </w:t>
      </w:r>
      <w:r w:rsidR="008541A5" w:rsidRPr="009A0E7B">
        <w:rPr>
          <w:iCs/>
        </w:rPr>
        <w:t xml:space="preserve">The point estimates in the maintenance phase favoured OZA over IFX; this phase compared an </w:t>
      </w:r>
      <w:r w:rsidR="008541A5" w:rsidRPr="009A0E7B">
        <w:rPr>
          <w:iCs/>
        </w:rPr>
        <w:lastRenderedPageBreak/>
        <w:t xml:space="preserve">enriched (100% responder) population from True North with the ITT populations of </w:t>
      </w:r>
      <w:r w:rsidR="002C4364" w:rsidRPr="009A0E7B">
        <w:rPr>
          <w:iCs/>
        </w:rPr>
        <w:t xml:space="preserve">the </w:t>
      </w:r>
      <w:r w:rsidR="008541A5" w:rsidRPr="009A0E7B">
        <w:rPr>
          <w:iCs/>
        </w:rPr>
        <w:t>IFX</w:t>
      </w:r>
      <w:r w:rsidR="002C4364" w:rsidRPr="009A0E7B">
        <w:rPr>
          <w:iCs/>
        </w:rPr>
        <w:t xml:space="preserve"> trials</w:t>
      </w:r>
      <w:r w:rsidR="007567EA" w:rsidRPr="009A0E7B">
        <w:rPr>
          <w:iCs/>
        </w:rPr>
        <w:t xml:space="preserve">, which would likely have biased the results in favour of </w:t>
      </w:r>
      <w:r w:rsidR="003B0E95" w:rsidRPr="009A0E7B">
        <w:rPr>
          <w:iCs/>
        </w:rPr>
        <w:t>OZA</w:t>
      </w:r>
      <w:r w:rsidR="008541A5" w:rsidRPr="009A0E7B">
        <w:rPr>
          <w:iCs/>
        </w:rPr>
        <w:t>.</w:t>
      </w:r>
      <w:r w:rsidR="00D25A5F" w:rsidRPr="009A0E7B">
        <w:rPr>
          <w:iCs/>
        </w:rPr>
        <w:t xml:space="preserve"> </w:t>
      </w:r>
    </w:p>
    <w:p w14:paraId="0D4739D3" w14:textId="1C6FD107" w:rsidR="004E00B1" w:rsidRPr="009A0E7B" w:rsidRDefault="00862734" w:rsidP="002E2B49">
      <w:pPr>
        <w:pStyle w:val="TableFigureHeading"/>
        <w:keepLines/>
      </w:pPr>
      <w:r w:rsidRPr="009A0E7B">
        <w:t>Table</w:t>
      </w:r>
      <w:r w:rsidR="002E2B49">
        <w:t xml:space="preserve"> 7</w:t>
      </w:r>
      <w:r w:rsidR="004E00B1" w:rsidRPr="009A0E7B">
        <w:t xml:space="preserve">: Results of the indirect comparison for OZA </w:t>
      </w:r>
      <w:r w:rsidR="00A4760E" w:rsidRPr="009A0E7B">
        <w:t>vs.</w:t>
      </w:r>
      <w:r w:rsidR="004E00B1" w:rsidRPr="009A0E7B">
        <w:t xml:space="preserve"> IFX – ITT populations</w:t>
      </w:r>
    </w:p>
    <w:tbl>
      <w:tblPr>
        <w:tblStyle w:val="TableGrid"/>
        <w:tblW w:w="5000" w:type="pct"/>
        <w:tblLook w:val="04A0" w:firstRow="1" w:lastRow="0" w:firstColumn="1" w:lastColumn="0" w:noHBand="0" w:noVBand="1"/>
      </w:tblPr>
      <w:tblGrid>
        <w:gridCol w:w="6005"/>
        <w:gridCol w:w="3012"/>
      </w:tblGrid>
      <w:tr w:rsidR="004E00B1" w:rsidRPr="009A0E7B" w14:paraId="1A326DD0" w14:textId="77777777" w:rsidTr="00B34F9E">
        <w:tc>
          <w:tcPr>
            <w:tcW w:w="5000" w:type="pct"/>
            <w:gridSpan w:val="2"/>
          </w:tcPr>
          <w:p w14:paraId="00821A2A" w14:textId="24BD3286" w:rsidR="004E00B1" w:rsidRPr="009A0E7B" w:rsidRDefault="004E00B1" w:rsidP="002E2B49">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Clinical </w:t>
            </w:r>
            <w:r w:rsidR="00090DDF">
              <w:rPr>
                <w:rFonts w:ascii="Arial Narrow" w:eastAsia="Calibri" w:hAnsi="Arial Narrow" w:cs="Times New Roman"/>
                <w:b/>
                <w:bCs/>
                <w:snapToGrid w:val="0"/>
                <w:sz w:val="20"/>
                <w:szCs w:val="20"/>
              </w:rPr>
              <w:t>r</w:t>
            </w:r>
            <w:r w:rsidRPr="009A0E7B">
              <w:rPr>
                <w:rFonts w:ascii="Arial Narrow" w:eastAsia="Calibri" w:hAnsi="Arial Narrow" w:cs="Times New Roman"/>
                <w:b/>
                <w:bCs/>
                <w:snapToGrid w:val="0"/>
                <w:sz w:val="20"/>
                <w:szCs w:val="20"/>
              </w:rPr>
              <w:t xml:space="preserve">esponse at </w:t>
            </w:r>
            <w:r w:rsidR="00090DDF">
              <w:rPr>
                <w:rFonts w:ascii="Arial Narrow" w:eastAsia="Calibri" w:hAnsi="Arial Narrow" w:cs="Times New Roman"/>
                <w:b/>
                <w:bCs/>
                <w:snapToGrid w:val="0"/>
                <w:sz w:val="20"/>
                <w:szCs w:val="20"/>
              </w:rPr>
              <w:t>i</w:t>
            </w:r>
            <w:r w:rsidRPr="009A0E7B">
              <w:rPr>
                <w:rFonts w:ascii="Arial Narrow" w:eastAsia="Calibri" w:hAnsi="Arial Narrow" w:cs="Times New Roman"/>
                <w:b/>
                <w:bCs/>
                <w:snapToGrid w:val="0"/>
                <w:sz w:val="20"/>
                <w:szCs w:val="20"/>
              </w:rPr>
              <w:t>nduction</w:t>
            </w:r>
          </w:p>
        </w:tc>
      </w:tr>
      <w:tr w:rsidR="004E00B1" w:rsidRPr="009A0E7B" w14:paraId="7D495382" w14:textId="77777777" w:rsidTr="00B34F9E">
        <w:tc>
          <w:tcPr>
            <w:tcW w:w="3330" w:type="pct"/>
          </w:tcPr>
          <w:p w14:paraId="1BAB9304" w14:textId="7E5704C0"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 xml:space="preserve">ITC of OZA </w:t>
            </w:r>
            <w:r w:rsidR="00A4760E" w:rsidRPr="009A0E7B">
              <w:rPr>
                <w:rFonts w:ascii="Arial Narrow" w:eastAsia="Calibri" w:hAnsi="Arial Narrow" w:cs="Times New Roman"/>
                <w:snapToGrid w:val="0"/>
                <w:sz w:val="20"/>
                <w:szCs w:val="20"/>
              </w:rPr>
              <w:t>vs.</w:t>
            </w:r>
            <w:r w:rsidRPr="009A0E7B">
              <w:rPr>
                <w:rFonts w:ascii="Arial Narrow" w:eastAsia="Calibri" w:hAnsi="Arial Narrow" w:cs="Times New Roman"/>
                <w:snapToGrid w:val="0"/>
                <w:sz w:val="20"/>
                <w:szCs w:val="20"/>
              </w:rPr>
              <w:t xml:space="preserve"> IFX (RR)</w:t>
            </w:r>
          </w:p>
        </w:tc>
        <w:tc>
          <w:tcPr>
            <w:tcW w:w="1670" w:type="pct"/>
          </w:tcPr>
          <w:p w14:paraId="2033C640" w14:textId="77777777"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0.968 (0.715, 1.312); p=0.8360</w:t>
            </w:r>
          </w:p>
        </w:tc>
      </w:tr>
      <w:tr w:rsidR="004E00B1" w:rsidRPr="009A0E7B" w14:paraId="514E17A8" w14:textId="77777777" w:rsidTr="00B34F9E">
        <w:tc>
          <w:tcPr>
            <w:tcW w:w="3330" w:type="pct"/>
          </w:tcPr>
          <w:p w14:paraId="0115AB03" w14:textId="1580DE64"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 xml:space="preserve">ITC of OZA </w:t>
            </w:r>
            <w:r w:rsidR="00A4760E" w:rsidRPr="009A0E7B">
              <w:rPr>
                <w:rFonts w:ascii="Arial Narrow" w:eastAsia="Calibri" w:hAnsi="Arial Narrow" w:cs="Times New Roman"/>
                <w:snapToGrid w:val="0"/>
                <w:sz w:val="20"/>
                <w:szCs w:val="20"/>
              </w:rPr>
              <w:t>vs.</w:t>
            </w:r>
            <w:r w:rsidRPr="009A0E7B">
              <w:rPr>
                <w:rFonts w:ascii="Arial Narrow" w:eastAsia="Calibri" w:hAnsi="Arial Narrow" w:cs="Times New Roman"/>
                <w:snapToGrid w:val="0"/>
                <w:sz w:val="20"/>
                <w:szCs w:val="20"/>
              </w:rPr>
              <w:t xml:space="preserve"> IFX (RD)</w:t>
            </w:r>
          </w:p>
        </w:tc>
        <w:tc>
          <w:tcPr>
            <w:tcW w:w="1670" w:type="pct"/>
          </w:tcPr>
          <w:p w14:paraId="374E48DD" w14:textId="77777777"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-0.06 (-0.159, 0.039); p=0.2349</w:t>
            </w:r>
          </w:p>
        </w:tc>
      </w:tr>
      <w:tr w:rsidR="004E00B1" w:rsidRPr="009A0E7B" w14:paraId="46667491" w14:textId="77777777" w:rsidTr="00B34F9E">
        <w:tc>
          <w:tcPr>
            <w:tcW w:w="5000" w:type="pct"/>
            <w:gridSpan w:val="2"/>
          </w:tcPr>
          <w:p w14:paraId="3BEE7760" w14:textId="2C352B42" w:rsidR="004E00B1" w:rsidRPr="009A0E7B" w:rsidRDefault="004E00B1" w:rsidP="002E2B49">
            <w:pPr>
              <w:keepNext/>
              <w:keepLines/>
              <w:rPr>
                <w:rFonts w:ascii="Arial Narrow" w:eastAsia="Calibri" w:hAnsi="Arial Narrow" w:cs="Times New Roman"/>
                <w:b/>
                <w:bCs/>
                <w:snapToGrid w:val="0"/>
                <w:sz w:val="20"/>
                <w:szCs w:val="20"/>
              </w:rPr>
            </w:pPr>
            <w:r w:rsidRPr="009A0E7B">
              <w:rPr>
                <w:rFonts w:ascii="Arial Narrow" w:hAnsi="Arial Narrow"/>
                <w:b/>
                <w:bCs/>
                <w:sz w:val="20"/>
                <w:szCs w:val="20"/>
              </w:rPr>
              <w:t xml:space="preserve">Clinical </w:t>
            </w:r>
            <w:r w:rsidR="00090DDF">
              <w:rPr>
                <w:rFonts w:ascii="Arial Narrow" w:hAnsi="Arial Narrow"/>
                <w:b/>
                <w:bCs/>
                <w:sz w:val="20"/>
                <w:szCs w:val="20"/>
              </w:rPr>
              <w:t>r</w:t>
            </w:r>
            <w:r w:rsidRPr="009A0E7B">
              <w:rPr>
                <w:rFonts w:ascii="Arial Narrow" w:hAnsi="Arial Narrow"/>
                <w:b/>
                <w:bCs/>
                <w:sz w:val="20"/>
                <w:szCs w:val="20"/>
              </w:rPr>
              <w:t xml:space="preserve">emission at </w:t>
            </w:r>
            <w:r w:rsidR="00090DDF">
              <w:rPr>
                <w:rFonts w:ascii="Arial Narrow" w:hAnsi="Arial Narrow"/>
                <w:b/>
                <w:bCs/>
                <w:sz w:val="20"/>
                <w:szCs w:val="20"/>
              </w:rPr>
              <w:t>i</w:t>
            </w:r>
            <w:r w:rsidRPr="009A0E7B">
              <w:rPr>
                <w:rFonts w:ascii="Arial Narrow" w:hAnsi="Arial Narrow"/>
                <w:b/>
                <w:bCs/>
                <w:sz w:val="20"/>
                <w:szCs w:val="20"/>
              </w:rPr>
              <w:t>nduction</w:t>
            </w:r>
          </w:p>
        </w:tc>
      </w:tr>
      <w:tr w:rsidR="004E00B1" w:rsidRPr="009A0E7B" w14:paraId="790461A8" w14:textId="77777777" w:rsidTr="00B34F9E">
        <w:tc>
          <w:tcPr>
            <w:tcW w:w="3330" w:type="pct"/>
          </w:tcPr>
          <w:p w14:paraId="6392BE95" w14:textId="3C3C63FC"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hAnsi="Arial Narrow"/>
                <w:sz w:val="20"/>
                <w:szCs w:val="20"/>
              </w:rPr>
              <w:t xml:space="preserve">ITC of OZA </w:t>
            </w:r>
            <w:r w:rsidR="00A4760E" w:rsidRPr="009A0E7B">
              <w:rPr>
                <w:rFonts w:ascii="Arial Narrow" w:hAnsi="Arial Narrow"/>
                <w:sz w:val="20"/>
                <w:szCs w:val="20"/>
              </w:rPr>
              <w:t>vs.</w:t>
            </w:r>
            <w:r w:rsidRPr="009A0E7B">
              <w:rPr>
                <w:rFonts w:ascii="Arial Narrow" w:hAnsi="Arial Narrow"/>
                <w:sz w:val="20"/>
                <w:szCs w:val="20"/>
              </w:rPr>
              <w:t xml:space="preserve"> IFX (RR)</w:t>
            </w:r>
          </w:p>
        </w:tc>
        <w:tc>
          <w:tcPr>
            <w:tcW w:w="1670" w:type="pct"/>
          </w:tcPr>
          <w:p w14:paraId="0FA64727" w14:textId="77777777"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hAnsi="Arial Narrow"/>
                <w:sz w:val="20"/>
                <w:szCs w:val="20"/>
              </w:rPr>
              <w:t>0.941 (0.482, 1.838); p=0.8591</w:t>
            </w:r>
          </w:p>
        </w:tc>
      </w:tr>
      <w:tr w:rsidR="004E00B1" w:rsidRPr="009A0E7B" w14:paraId="21C7C281" w14:textId="77777777" w:rsidTr="00B34F9E">
        <w:tc>
          <w:tcPr>
            <w:tcW w:w="3330" w:type="pct"/>
          </w:tcPr>
          <w:p w14:paraId="3823569A" w14:textId="3E501FFF"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hAnsi="Arial Narrow"/>
                <w:sz w:val="20"/>
                <w:szCs w:val="20"/>
              </w:rPr>
              <w:t xml:space="preserve">ITC of OZA </w:t>
            </w:r>
            <w:r w:rsidR="00A4760E" w:rsidRPr="009A0E7B">
              <w:rPr>
                <w:rFonts w:ascii="Arial Narrow" w:hAnsi="Arial Narrow"/>
                <w:sz w:val="20"/>
                <w:szCs w:val="20"/>
              </w:rPr>
              <w:t>vs.</w:t>
            </w:r>
            <w:r w:rsidRPr="009A0E7B">
              <w:rPr>
                <w:rFonts w:ascii="Arial Narrow" w:hAnsi="Arial Narrow"/>
                <w:sz w:val="20"/>
                <w:szCs w:val="20"/>
              </w:rPr>
              <w:t xml:space="preserve"> IFX (RD)</w:t>
            </w:r>
          </w:p>
        </w:tc>
        <w:tc>
          <w:tcPr>
            <w:tcW w:w="1670" w:type="pct"/>
          </w:tcPr>
          <w:p w14:paraId="3EBE336D" w14:textId="77777777" w:rsidR="004E00B1" w:rsidRPr="009A0E7B" w:rsidRDefault="004E00B1" w:rsidP="002E2B49">
            <w:pPr>
              <w:keepNext/>
              <w:keepLines/>
              <w:rPr>
                <w:rFonts w:ascii="Arial Narrow" w:eastAsia="Calibri" w:hAnsi="Arial Narrow" w:cs="Times New Roman"/>
                <w:b/>
                <w:bCs/>
                <w:snapToGrid w:val="0"/>
                <w:sz w:val="20"/>
                <w:szCs w:val="20"/>
              </w:rPr>
            </w:pPr>
            <w:r w:rsidRPr="009A0E7B">
              <w:rPr>
                <w:rFonts w:ascii="Arial Narrow" w:hAnsi="Arial Narrow"/>
                <w:b/>
                <w:bCs/>
                <w:sz w:val="20"/>
                <w:szCs w:val="20"/>
              </w:rPr>
              <w:t>-0.13 (-0.222, -0.038</w:t>
            </w:r>
            <w:r w:rsidRPr="009A0E7B">
              <w:rPr>
                <w:rFonts w:ascii="Arial Narrow" w:hAnsi="Arial Narrow"/>
                <w:b/>
                <w:bCs/>
                <w:sz w:val="20"/>
                <w:szCs w:val="20"/>
                <w:vertAlign w:val="superscript"/>
              </w:rPr>
              <w:t>a</w:t>
            </w:r>
            <w:r w:rsidRPr="009A0E7B">
              <w:rPr>
                <w:rFonts w:ascii="Arial Narrow" w:hAnsi="Arial Narrow"/>
                <w:b/>
                <w:bCs/>
                <w:sz w:val="20"/>
                <w:szCs w:val="20"/>
              </w:rPr>
              <w:t>); p=0.0056</w:t>
            </w:r>
          </w:p>
        </w:tc>
      </w:tr>
      <w:tr w:rsidR="004E00B1" w:rsidRPr="009A0E7B" w14:paraId="752C1335" w14:textId="77777777" w:rsidTr="00B34F9E">
        <w:tc>
          <w:tcPr>
            <w:tcW w:w="5000" w:type="pct"/>
            <w:gridSpan w:val="2"/>
          </w:tcPr>
          <w:p w14:paraId="077D838B" w14:textId="5DF1EFFC" w:rsidR="004E00B1" w:rsidRPr="009A0E7B" w:rsidRDefault="004E00B1" w:rsidP="002E2B49">
            <w:pPr>
              <w:keepNext/>
              <w:keepLines/>
              <w:rPr>
                <w:rFonts w:ascii="Arial Narrow" w:eastAsia="Calibri" w:hAnsi="Arial Narrow" w:cs="Times New Roman"/>
                <w:b/>
                <w:bCs/>
                <w:snapToGrid w:val="0"/>
                <w:sz w:val="20"/>
                <w:szCs w:val="20"/>
              </w:rPr>
            </w:pPr>
            <w:r w:rsidRPr="009A0E7B">
              <w:rPr>
                <w:rFonts w:ascii="Arial Narrow" w:hAnsi="Arial Narrow"/>
                <w:b/>
                <w:bCs/>
                <w:sz w:val="20"/>
                <w:szCs w:val="20"/>
              </w:rPr>
              <w:t xml:space="preserve">Clinical </w:t>
            </w:r>
            <w:r w:rsidR="00090DDF">
              <w:rPr>
                <w:rFonts w:ascii="Arial Narrow" w:hAnsi="Arial Narrow"/>
                <w:b/>
                <w:bCs/>
                <w:sz w:val="20"/>
                <w:szCs w:val="20"/>
              </w:rPr>
              <w:t>r</w:t>
            </w:r>
            <w:r w:rsidRPr="009A0E7B">
              <w:rPr>
                <w:rFonts w:ascii="Arial Narrow" w:hAnsi="Arial Narrow"/>
                <w:b/>
                <w:bCs/>
                <w:sz w:val="20"/>
                <w:szCs w:val="20"/>
              </w:rPr>
              <w:t xml:space="preserve">esponse at </w:t>
            </w:r>
            <w:r w:rsidR="00090DDF">
              <w:rPr>
                <w:rFonts w:ascii="Arial Narrow" w:hAnsi="Arial Narrow"/>
                <w:b/>
                <w:bCs/>
                <w:sz w:val="20"/>
                <w:szCs w:val="20"/>
              </w:rPr>
              <w:t>m</w:t>
            </w:r>
            <w:r w:rsidRPr="009A0E7B">
              <w:rPr>
                <w:rFonts w:ascii="Arial Narrow" w:hAnsi="Arial Narrow"/>
                <w:b/>
                <w:bCs/>
                <w:sz w:val="20"/>
                <w:szCs w:val="20"/>
              </w:rPr>
              <w:t>aintenance</w:t>
            </w:r>
          </w:p>
        </w:tc>
      </w:tr>
      <w:tr w:rsidR="004E00B1" w:rsidRPr="009A0E7B" w14:paraId="45AD0E80" w14:textId="77777777" w:rsidTr="00B34F9E">
        <w:tc>
          <w:tcPr>
            <w:tcW w:w="3330" w:type="pct"/>
          </w:tcPr>
          <w:p w14:paraId="36E9BC6F" w14:textId="47AEABC8"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hAnsi="Arial Narrow"/>
                <w:sz w:val="20"/>
                <w:szCs w:val="20"/>
              </w:rPr>
              <w:t xml:space="preserve">ITC of OZA </w:t>
            </w:r>
            <w:r w:rsidR="00A4760E" w:rsidRPr="009A0E7B">
              <w:rPr>
                <w:rFonts w:ascii="Arial Narrow" w:hAnsi="Arial Narrow"/>
                <w:sz w:val="20"/>
                <w:szCs w:val="20"/>
              </w:rPr>
              <w:t>vs.</w:t>
            </w:r>
            <w:r w:rsidRPr="009A0E7B">
              <w:rPr>
                <w:rFonts w:ascii="Arial Narrow" w:hAnsi="Arial Narrow"/>
                <w:sz w:val="20"/>
                <w:szCs w:val="20"/>
              </w:rPr>
              <w:t xml:space="preserve"> IFX (RR)</w:t>
            </w:r>
          </w:p>
        </w:tc>
        <w:tc>
          <w:tcPr>
            <w:tcW w:w="1670" w:type="pct"/>
          </w:tcPr>
          <w:p w14:paraId="3FEEC29E" w14:textId="77777777"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hAnsi="Arial Narrow"/>
                <w:sz w:val="20"/>
                <w:szCs w:val="20"/>
              </w:rPr>
              <w:t>1.077 (0.592, 1.958); p=0.8081</w:t>
            </w:r>
          </w:p>
        </w:tc>
      </w:tr>
      <w:tr w:rsidR="004E00B1" w:rsidRPr="009A0E7B" w14:paraId="04905DAF" w14:textId="77777777" w:rsidTr="00B34F9E">
        <w:tc>
          <w:tcPr>
            <w:tcW w:w="3330" w:type="pct"/>
          </w:tcPr>
          <w:p w14:paraId="1B121BF2" w14:textId="285F8E3D"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hAnsi="Arial Narrow"/>
                <w:sz w:val="20"/>
                <w:szCs w:val="20"/>
              </w:rPr>
              <w:t xml:space="preserve">ITC of OZA </w:t>
            </w:r>
            <w:r w:rsidR="00A4760E" w:rsidRPr="009A0E7B">
              <w:rPr>
                <w:rFonts w:ascii="Arial Narrow" w:hAnsi="Arial Narrow"/>
                <w:sz w:val="20"/>
                <w:szCs w:val="20"/>
              </w:rPr>
              <w:t>vs.</w:t>
            </w:r>
            <w:r w:rsidRPr="009A0E7B">
              <w:rPr>
                <w:rFonts w:ascii="Arial Narrow" w:hAnsi="Arial Narrow"/>
                <w:sz w:val="20"/>
                <w:szCs w:val="20"/>
              </w:rPr>
              <w:t xml:space="preserve"> IFX (RD)</w:t>
            </w:r>
          </w:p>
        </w:tc>
        <w:tc>
          <w:tcPr>
            <w:tcW w:w="1670" w:type="pct"/>
          </w:tcPr>
          <w:p w14:paraId="20C6C56B" w14:textId="77777777" w:rsidR="004E00B1" w:rsidRPr="009A0E7B" w:rsidRDefault="004E00B1" w:rsidP="002E2B49">
            <w:pPr>
              <w:keepNext/>
              <w:keepLines/>
              <w:rPr>
                <w:rFonts w:ascii="Arial Narrow" w:eastAsia="Calibri" w:hAnsi="Arial Narrow" w:cs="Times New Roman"/>
                <w:b/>
                <w:bCs/>
                <w:snapToGrid w:val="0"/>
                <w:sz w:val="20"/>
                <w:szCs w:val="20"/>
              </w:rPr>
            </w:pPr>
            <w:r w:rsidRPr="009A0E7B">
              <w:rPr>
                <w:rFonts w:ascii="Arial Narrow" w:hAnsi="Arial Narrow"/>
                <w:sz w:val="20"/>
                <w:szCs w:val="20"/>
              </w:rPr>
              <w:t>0.03 (-0.101, 0.161); p=0.6532</w:t>
            </w:r>
          </w:p>
        </w:tc>
      </w:tr>
      <w:tr w:rsidR="004E00B1" w:rsidRPr="009A0E7B" w14:paraId="4E9928EB" w14:textId="77777777" w:rsidTr="00B34F9E">
        <w:tc>
          <w:tcPr>
            <w:tcW w:w="5000" w:type="pct"/>
            <w:gridSpan w:val="2"/>
          </w:tcPr>
          <w:p w14:paraId="3166C4D0" w14:textId="32FD6313" w:rsidR="004E00B1" w:rsidRPr="009A0E7B" w:rsidRDefault="004E00B1" w:rsidP="002E2B49">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Clinical </w:t>
            </w:r>
            <w:r w:rsidR="00090DDF">
              <w:rPr>
                <w:rFonts w:ascii="Arial Narrow" w:eastAsia="Calibri" w:hAnsi="Arial Narrow" w:cs="Times New Roman"/>
                <w:b/>
                <w:bCs/>
                <w:snapToGrid w:val="0"/>
                <w:sz w:val="20"/>
                <w:szCs w:val="20"/>
              </w:rPr>
              <w:t>r</w:t>
            </w:r>
            <w:r w:rsidRPr="009A0E7B">
              <w:rPr>
                <w:rFonts w:ascii="Arial Narrow" w:eastAsia="Calibri" w:hAnsi="Arial Narrow" w:cs="Times New Roman"/>
                <w:b/>
                <w:bCs/>
                <w:snapToGrid w:val="0"/>
                <w:sz w:val="20"/>
                <w:szCs w:val="20"/>
              </w:rPr>
              <w:t xml:space="preserve">emission at </w:t>
            </w:r>
            <w:r w:rsidR="00090DDF">
              <w:rPr>
                <w:rFonts w:ascii="Arial Narrow" w:eastAsia="Calibri" w:hAnsi="Arial Narrow" w:cs="Times New Roman"/>
                <w:b/>
                <w:bCs/>
                <w:snapToGrid w:val="0"/>
                <w:sz w:val="20"/>
                <w:szCs w:val="20"/>
              </w:rPr>
              <w:t>m</w:t>
            </w:r>
            <w:r w:rsidRPr="009A0E7B">
              <w:rPr>
                <w:rFonts w:ascii="Arial Narrow" w:eastAsia="Calibri" w:hAnsi="Arial Narrow" w:cs="Times New Roman"/>
                <w:b/>
                <w:bCs/>
                <w:snapToGrid w:val="0"/>
                <w:sz w:val="20"/>
                <w:szCs w:val="20"/>
              </w:rPr>
              <w:t>aintenance</w:t>
            </w:r>
          </w:p>
        </w:tc>
      </w:tr>
      <w:tr w:rsidR="004E00B1" w:rsidRPr="009A0E7B" w14:paraId="6253E600" w14:textId="77777777" w:rsidTr="00B34F9E">
        <w:tc>
          <w:tcPr>
            <w:tcW w:w="3330" w:type="pct"/>
          </w:tcPr>
          <w:p w14:paraId="64C3928A" w14:textId="642DB19B"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 xml:space="preserve">ITC of OZA </w:t>
            </w:r>
            <w:r w:rsidR="00A4760E" w:rsidRPr="009A0E7B">
              <w:rPr>
                <w:rFonts w:ascii="Arial Narrow" w:eastAsia="Calibri" w:hAnsi="Arial Narrow" w:cs="Times New Roman"/>
                <w:snapToGrid w:val="0"/>
                <w:sz w:val="20"/>
                <w:szCs w:val="20"/>
              </w:rPr>
              <w:t>vs.</w:t>
            </w:r>
            <w:r w:rsidRPr="009A0E7B">
              <w:rPr>
                <w:rFonts w:ascii="Arial Narrow" w:eastAsia="Calibri" w:hAnsi="Arial Narrow" w:cs="Times New Roman"/>
                <w:snapToGrid w:val="0"/>
                <w:sz w:val="20"/>
                <w:szCs w:val="20"/>
              </w:rPr>
              <w:t xml:space="preserve"> IFX (RR)</w:t>
            </w:r>
          </w:p>
        </w:tc>
        <w:tc>
          <w:tcPr>
            <w:tcW w:w="1670" w:type="pct"/>
          </w:tcPr>
          <w:p w14:paraId="3DD9A9CD" w14:textId="77777777"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1.085 (0.725, 1.626); p=0.6910</w:t>
            </w:r>
          </w:p>
        </w:tc>
      </w:tr>
      <w:tr w:rsidR="004E00B1" w:rsidRPr="009A0E7B" w14:paraId="781B3152" w14:textId="77777777" w:rsidTr="00B34F9E">
        <w:tc>
          <w:tcPr>
            <w:tcW w:w="3330" w:type="pct"/>
          </w:tcPr>
          <w:p w14:paraId="47AB879C" w14:textId="45D2338B"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 xml:space="preserve">ITC of OZA </w:t>
            </w:r>
            <w:r w:rsidR="00A4760E" w:rsidRPr="009A0E7B">
              <w:rPr>
                <w:rFonts w:ascii="Arial Narrow" w:eastAsia="Calibri" w:hAnsi="Arial Narrow" w:cs="Times New Roman"/>
                <w:snapToGrid w:val="0"/>
                <w:sz w:val="20"/>
                <w:szCs w:val="20"/>
              </w:rPr>
              <w:t>vs.</w:t>
            </w:r>
            <w:r w:rsidRPr="009A0E7B">
              <w:rPr>
                <w:rFonts w:ascii="Arial Narrow" w:eastAsia="Calibri" w:hAnsi="Arial Narrow" w:cs="Times New Roman"/>
                <w:snapToGrid w:val="0"/>
                <w:sz w:val="20"/>
                <w:szCs w:val="20"/>
              </w:rPr>
              <w:t xml:space="preserve"> IFX (RD)</w:t>
            </w:r>
          </w:p>
        </w:tc>
        <w:tc>
          <w:tcPr>
            <w:tcW w:w="1670" w:type="pct"/>
          </w:tcPr>
          <w:p w14:paraId="1A7E3DF2" w14:textId="77777777" w:rsidR="004E00B1" w:rsidRPr="009A0E7B" w:rsidRDefault="004E00B1" w:rsidP="002E2B49">
            <w:pPr>
              <w:keepNext/>
              <w:keepLines/>
              <w:rPr>
                <w:rFonts w:ascii="Arial Narrow" w:eastAsia="Calibri" w:hAnsi="Arial Narrow" w:cs="Times New Roman"/>
                <w:snapToGrid w:val="0"/>
                <w:sz w:val="20"/>
                <w:szCs w:val="20"/>
              </w:rPr>
            </w:pPr>
            <w:r w:rsidRPr="009A0E7B">
              <w:rPr>
                <w:rFonts w:ascii="Arial Narrow" w:eastAsia="Calibri" w:hAnsi="Arial Narrow" w:cs="Times New Roman"/>
                <w:snapToGrid w:val="0"/>
                <w:sz w:val="20"/>
                <w:szCs w:val="20"/>
              </w:rPr>
              <w:t>0.03 (-0.062, 0.122); p=0.5224</w:t>
            </w:r>
          </w:p>
        </w:tc>
      </w:tr>
    </w:tbl>
    <w:p w14:paraId="464010C6" w14:textId="77777777" w:rsidR="004E00B1" w:rsidRPr="009A0E7B" w:rsidRDefault="004E00B1" w:rsidP="002E2B49">
      <w:pPr>
        <w:pStyle w:val="TableFigureFooter"/>
        <w:keepNext/>
        <w:keepLines/>
        <w:rPr>
          <w:rFonts w:eastAsiaTheme="minorHAnsi"/>
        </w:rPr>
      </w:pPr>
      <w:r w:rsidRPr="009A0E7B">
        <w:rPr>
          <w:rFonts w:eastAsiaTheme="minorHAnsi"/>
        </w:rPr>
        <w:t>Source: Constructed during the evaluation, using data extracted from Tables 110, 111, 112 and 130 of the submission.</w:t>
      </w:r>
    </w:p>
    <w:p w14:paraId="22D04AAE" w14:textId="77777777" w:rsidR="004E00B1" w:rsidRPr="009A0E7B" w:rsidRDefault="004E00B1" w:rsidP="002E2B49">
      <w:pPr>
        <w:pStyle w:val="TableFigureFooter"/>
        <w:keepNext/>
        <w:keepLines/>
        <w:rPr>
          <w:rFonts w:eastAsiaTheme="minorHAnsi"/>
        </w:rPr>
      </w:pPr>
      <w:r w:rsidRPr="009A0E7B">
        <w:rPr>
          <w:rFonts w:eastAsiaTheme="minorHAnsi"/>
        </w:rPr>
        <w:t xml:space="preserve">CI = confidence interval; IFX = infliximab; OZA = ozanimod; RD = risk difference; RR = relative risk </w:t>
      </w:r>
    </w:p>
    <w:p w14:paraId="2BCDCB61" w14:textId="075EB468" w:rsidR="004E00B1" w:rsidRPr="009A0E7B" w:rsidRDefault="004E00B1" w:rsidP="002E2B49">
      <w:pPr>
        <w:pStyle w:val="TableFigureFooter"/>
        <w:keepNext/>
        <w:keepLines/>
        <w:rPr>
          <w:rFonts w:eastAsiaTheme="minorHAnsi"/>
        </w:rPr>
      </w:pPr>
      <w:r w:rsidRPr="009A0E7B">
        <w:rPr>
          <w:rFonts w:eastAsiaTheme="minorHAnsi"/>
          <w:vertAlign w:val="superscript"/>
        </w:rPr>
        <w:t>a</w:t>
      </w:r>
      <w:r w:rsidRPr="009A0E7B">
        <w:rPr>
          <w:rFonts w:eastAsiaTheme="minorHAnsi"/>
        </w:rPr>
        <w:t xml:space="preserve"> This is a correction of an error made in the submission, which listed this number as ‘0.038’. </w:t>
      </w:r>
    </w:p>
    <w:p w14:paraId="11001DBC" w14:textId="77777777" w:rsidR="004E00B1" w:rsidRPr="009A0E7B" w:rsidRDefault="004E00B1" w:rsidP="002E2B49">
      <w:pPr>
        <w:pStyle w:val="TableFigureFooter"/>
        <w:keepNext/>
        <w:keepLines/>
        <w:rPr>
          <w:rFonts w:eastAsiaTheme="minorHAnsi"/>
        </w:rPr>
      </w:pPr>
      <w:r w:rsidRPr="009A0E7B">
        <w:rPr>
          <w:rFonts w:eastAsiaTheme="minorHAnsi"/>
        </w:rPr>
        <w:t xml:space="preserve">Note: A </w:t>
      </w:r>
      <w:r w:rsidRPr="009A0E7B">
        <w:t>RR or RD &gt;1 favours OZA, and a RR or RD &lt; 1 favours IFX.</w:t>
      </w:r>
    </w:p>
    <w:p w14:paraId="14E25C21" w14:textId="198D8735" w:rsidR="00702C99" w:rsidRPr="009A0E7B" w:rsidRDefault="004E00B1" w:rsidP="002E2B49">
      <w:pPr>
        <w:pStyle w:val="TableFigureFooter"/>
        <w:keepNext/>
        <w:keepLines/>
        <w:rPr>
          <w:rFonts w:eastAsiaTheme="minorHAnsi"/>
        </w:rPr>
      </w:pPr>
      <w:r w:rsidRPr="009A0E7B">
        <w:rPr>
          <w:rFonts w:eastAsiaTheme="minorHAnsi"/>
          <w:b/>
          <w:bCs/>
        </w:rPr>
        <w:t>Bold</w:t>
      </w:r>
      <w:r w:rsidRPr="009A0E7B">
        <w:rPr>
          <w:rFonts w:eastAsiaTheme="minorHAnsi"/>
        </w:rPr>
        <w:t xml:space="preserve"> indicates stati</w:t>
      </w:r>
      <w:r w:rsidR="00856A9A" w:rsidRPr="009A0E7B">
        <w:rPr>
          <w:rFonts w:eastAsiaTheme="minorHAnsi"/>
        </w:rPr>
        <w:t>stically significant difference.</w:t>
      </w:r>
    </w:p>
    <w:p w14:paraId="27472916" w14:textId="7D65E1AD" w:rsidR="00C2521D" w:rsidRPr="00F0105A" w:rsidRDefault="00C2521D" w:rsidP="002553D8">
      <w:pPr>
        <w:pStyle w:val="3-BodyText"/>
        <w:rPr>
          <w:iCs/>
        </w:rPr>
      </w:pPr>
      <w:bookmarkStart w:id="32" w:name="_Ref95299118"/>
      <w:r w:rsidRPr="00F0105A">
        <w:rPr>
          <w:iCs/>
        </w:rPr>
        <w:t>The PSCR presented additional sensitivity analyses for the indirect comparison versus</w:t>
      </w:r>
      <w:r w:rsidR="00ED0ED8" w:rsidRPr="00F0105A">
        <w:rPr>
          <w:iCs/>
        </w:rPr>
        <w:t xml:space="preserve"> IFX</w:t>
      </w:r>
      <w:r w:rsidRPr="00F0105A">
        <w:rPr>
          <w:iCs/>
        </w:rPr>
        <w:t>, excluding the results of the True North trial (</w:t>
      </w:r>
      <w:proofErr w:type="gramStart"/>
      <w:r w:rsidRPr="00F0105A">
        <w:rPr>
          <w:iCs/>
        </w:rPr>
        <w:t>i.e.</w:t>
      </w:r>
      <w:proofErr w:type="gramEnd"/>
      <w:r w:rsidRPr="00F0105A">
        <w:rPr>
          <w:iCs/>
        </w:rPr>
        <w:t xml:space="preserve"> indirect comparisons of OZA and IFX based only on the Touchstone trial), to examine the impact of the differences in trial designs and patient flows, especially in the maintenance phase.</w:t>
      </w:r>
      <w:r w:rsidR="001E767D" w:rsidRPr="00F0105A">
        <w:rPr>
          <w:iCs/>
        </w:rPr>
        <w:t xml:space="preserve"> </w:t>
      </w:r>
      <w:bookmarkEnd w:id="32"/>
    </w:p>
    <w:p w14:paraId="019D3C73" w14:textId="488FA27B" w:rsidR="00F0105A" w:rsidRPr="002B6291" w:rsidRDefault="00F0105A" w:rsidP="00F0105A">
      <w:pPr>
        <w:pStyle w:val="3-BodyText"/>
        <w:rPr>
          <w:i/>
          <w:iCs/>
        </w:rPr>
      </w:pPr>
      <w:bookmarkStart w:id="33" w:name="_Ref98397770"/>
      <w:r>
        <w:rPr>
          <w:iCs/>
        </w:rPr>
        <w:t>The Pre-PBAC Response presented additional sensitivity analyses for two subgroups:</w:t>
      </w:r>
      <w:bookmarkEnd w:id="33"/>
    </w:p>
    <w:p w14:paraId="0824B1AA" w14:textId="77777777" w:rsidR="00F0105A" w:rsidRPr="002B6291" w:rsidRDefault="00F0105A" w:rsidP="009573AD">
      <w:pPr>
        <w:pStyle w:val="3-BodyText"/>
        <w:numPr>
          <w:ilvl w:val="0"/>
          <w:numId w:val="16"/>
        </w:numPr>
        <w:ind w:left="1134"/>
        <w:rPr>
          <w:i/>
        </w:rPr>
      </w:pPr>
      <w:r>
        <w:t>The subgroup of patients who had failed or were intolerant to prior systemic immunomodulator therapies (excluding methotrexate) from the True North trial; and</w:t>
      </w:r>
    </w:p>
    <w:p w14:paraId="02C08ED8" w14:textId="6B690C8D" w:rsidR="00F0105A" w:rsidRPr="009106AD" w:rsidRDefault="00F0105A" w:rsidP="009573AD">
      <w:pPr>
        <w:pStyle w:val="3-BodyText"/>
        <w:numPr>
          <w:ilvl w:val="0"/>
          <w:numId w:val="16"/>
        </w:numPr>
        <w:ind w:left="1134"/>
        <w:rPr>
          <w:i/>
        </w:rPr>
      </w:pPr>
      <w:r>
        <w:t>The subgroup of patients identified as having ‘no moderate disease’ from the True North trial. These analyses are presented in the table below.</w:t>
      </w:r>
    </w:p>
    <w:p w14:paraId="38135E7B" w14:textId="610FCF74" w:rsidR="009106AD" w:rsidRPr="002E2B49" w:rsidRDefault="009106AD" w:rsidP="009106AD">
      <w:pPr>
        <w:pStyle w:val="3-BodyText"/>
        <w:numPr>
          <w:ilvl w:val="0"/>
          <w:numId w:val="0"/>
        </w:numPr>
        <w:ind w:left="774"/>
        <w:rPr>
          <w:i/>
        </w:rPr>
      </w:pPr>
      <w:r>
        <w:t>The subgroup analyses found no statistically significant differences for the outcomes of clinical response or clinical remission in either the induction or maintenance phases, versus IFX, however for some analyses, the width of the 95% confidence intervals was very wide. The PBAC considered the additional subgroup analyses were informative, however noted they had not been evaluated as they were submitted at the Pre-PBAC Response stage.</w:t>
      </w:r>
    </w:p>
    <w:p w14:paraId="61116394" w14:textId="474DA278" w:rsidR="002553D8" w:rsidRPr="009A0E7B" w:rsidRDefault="000E5C59" w:rsidP="002553D8">
      <w:pPr>
        <w:pStyle w:val="3-BodyText"/>
        <w:rPr>
          <w:iCs/>
        </w:rPr>
      </w:pPr>
      <w:r w:rsidRPr="009A0E7B">
        <w:t xml:space="preserve">The results of the ITC with secondary </w:t>
      </w:r>
      <w:r w:rsidRPr="003C6242">
        <w:t>comparators</w:t>
      </w:r>
      <w:r w:rsidR="00076633" w:rsidRPr="003C6242">
        <w:t xml:space="preserve"> for response and remission</w:t>
      </w:r>
      <w:r w:rsidRPr="003C6242">
        <w:t xml:space="preserve"> are presented in </w:t>
      </w:r>
      <w:r w:rsidR="00D70B3A" w:rsidRPr="003C6242">
        <w:t>Tables 8 and 9</w:t>
      </w:r>
      <w:r w:rsidR="00076633" w:rsidRPr="003C6242">
        <w:t>, respectively</w:t>
      </w:r>
      <w:r w:rsidRPr="003C6242">
        <w:t xml:space="preserve">. </w:t>
      </w:r>
      <w:r w:rsidR="00744E5E" w:rsidRPr="003C6242">
        <w:t xml:space="preserve">A </w:t>
      </w:r>
      <w:r w:rsidR="00D63077" w:rsidRPr="003C6242">
        <w:t xml:space="preserve">RR &gt;1 </w:t>
      </w:r>
      <w:r w:rsidR="007D1F3C" w:rsidRPr="003C6242">
        <w:t>and</w:t>
      </w:r>
      <w:r w:rsidR="007D1F3C" w:rsidRPr="009A0E7B">
        <w:rPr>
          <w:iCs/>
        </w:rPr>
        <w:t xml:space="preserve"> </w:t>
      </w:r>
      <w:r w:rsidR="00D63077" w:rsidRPr="009A0E7B">
        <w:rPr>
          <w:iCs/>
        </w:rPr>
        <w:t>RD &gt;0 favoured OZA treatment.</w:t>
      </w:r>
    </w:p>
    <w:p w14:paraId="0DF5D6D0" w14:textId="34D57F0C" w:rsidR="00536933" w:rsidRPr="009A0E7B" w:rsidRDefault="00536933">
      <w:pPr>
        <w:jc w:val="left"/>
        <w:rPr>
          <w:rFonts w:ascii="Arial Narrow" w:eastAsiaTheme="majorEastAsia" w:hAnsi="Arial Narrow" w:cstheme="majorBidi"/>
          <w:b/>
          <w:bCs/>
          <w:sz w:val="20"/>
        </w:rPr>
      </w:pPr>
    </w:p>
    <w:p w14:paraId="36EE70B3" w14:textId="3A3A6EDB" w:rsidR="000E5C59" w:rsidRPr="009A0E7B" w:rsidRDefault="000E5C59" w:rsidP="00090DDF">
      <w:pPr>
        <w:pStyle w:val="TableFigureHeading"/>
        <w:keepLines/>
      </w:pPr>
      <w:r w:rsidRPr="009A0E7B">
        <w:lastRenderedPageBreak/>
        <w:t>Table</w:t>
      </w:r>
      <w:r w:rsidR="002E2B49">
        <w:t xml:space="preserve"> 8</w:t>
      </w:r>
      <w:r w:rsidRPr="009A0E7B">
        <w:t xml:space="preserve">: Overview of results for RR and RD of the indirect comparison for OZA </w:t>
      </w:r>
      <w:r w:rsidR="00A4760E" w:rsidRPr="009A0E7B">
        <w:t>vs.</w:t>
      </w:r>
      <w:r w:rsidRPr="009A0E7B">
        <w:t xml:space="preserve"> secondary comparators clinical response at </w:t>
      </w:r>
      <w:r w:rsidR="00D229FA" w:rsidRPr="009A0E7B">
        <w:t>i</w:t>
      </w:r>
      <w:r w:rsidRPr="009A0E7B">
        <w:t>nduction and maintenance - ITT population</w:t>
      </w:r>
    </w:p>
    <w:tbl>
      <w:tblPr>
        <w:tblStyle w:val="LashStyleTable1"/>
        <w:tblW w:w="5000" w:type="pct"/>
        <w:tblLook w:val="04A0" w:firstRow="1" w:lastRow="0" w:firstColumn="1" w:lastColumn="0" w:noHBand="0" w:noVBand="1"/>
      </w:tblPr>
      <w:tblGrid>
        <w:gridCol w:w="1309"/>
        <w:gridCol w:w="1643"/>
        <w:gridCol w:w="1643"/>
        <w:gridCol w:w="2211"/>
        <w:gridCol w:w="2211"/>
      </w:tblGrid>
      <w:tr w:rsidR="000E5C59" w:rsidRPr="009A0E7B" w14:paraId="70F07850" w14:textId="77777777" w:rsidTr="00D97E11">
        <w:trPr>
          <w:tblHeader/>
        </w:trPr>
        <w:tc>
          <w:tcPr>
            <w:tcW w:w="726" w:type="pct"/>
          </w:tcPr>
          <w:p w14:paraId="74665931" w14:textId="77777777" w:rsidR="000E5C59" w:rsidRPr="009A0E7B" w:rsidRDefault="000E5C59" w:rsidP="00090DDF">
            <w:pPr>
              <w:keepNext/>
              <w:keepLines/>
              <w:rPr>
                <w:rFonts w:ascii="Arial Narrow" w:hAnsi="Arial Narrow"/>
                <w:b/>
                <w:color w:val="000000" w:themeColor="text1"/>
                <w:sz w:val="20"/>
                <w:szCs w:val="20"/>
              </w:rPr>
            </w:pPr>
            <w:r w:rsidRPr="009A0E7B">
              <w:rPr>
                <w:rFonts w:ascii="Arial Narrow" w:hAnsi="Arial Narrow"/>
                <w:b/>
                <w:color w:val="000000" w:themeColor="text1"/>
                <w:sz w:val="20"/>
                <w:szCs w:val="20"/>
              </w:rPr>
              <w:t>OZA/ Comparator</w:t>
            </w:r>
          </w:p>
        </w:tc>
        <w:tc>
          <w:tcPr>
            <w:tcW w:w="911" w:type="pct"/>
          </w:tcPr>
          <w:p w14:paraId="1578A8A9" w14:textId="799AEFD3" w:rsidR="000E5C59" w:rsidRPr="009A0E7B" w:rsidRDefault="000E5C59" w:rsidP="00090DDF">
            <w:pPr>
              <w:keepNext/>
              <w:keepLines/>
              <w:rPr>
                <w:rFonts w:ascii="Arial Narrow" w:hAnsi="Arial Narrow"/>
                <w:b/>
                <w:color w:val="000000" w:themeColor="text1"/>
                <w:sz w:val="20"/>
                <w:szCs w:val="20"/>
              </w:rPr>
            </w:pPr>
            <w:r w:rsidRPr="009A0E7B">
              <w:rPr>
                <w:rFonts w:ascii="Arial Narrow" w:hAnsi="Arial Narrow"/>
                <w:b/>
                <w:color w:val="000000" w:themeColor="text1"/>
                <w:sz w:val="20"/>
                <w:szCs w:val="20"/>
              </w:rPr>
              <w:t>Pooled RR (95% CI)</w:t>
            </w:r>
            <w:r w:rsidR="0074130E" w:rsidRPr="009A0E7B">
              <w:rPr>
                <w:rFonts w:ascii="Arial Narrow" w:hAnsi="Arial Narrow"/>
                <w:b/>
                <w:color w:val="000000" w:themeColor="text1"/>
                <w:sz w:val="20"/>
                <w:szCs w:val="20"/>
              </w:rPr>
              <w:t xml:space="preserve"> </w:t>
            </w:r>
            <w:r w:rsidR="00A4760E" w:rsidRPr="009A0E7B">
              <w:rPr>
                <w:rFonts w:ascii="Arial Narrow" w:hAnsi="Arial Narrow"/>
                <w:b/>
                <w:color w:val="000000" w:themeColor="text1"/>
                <w:sz w:val="20"/>
                <w:szCs w:val="20"/>
              </w:rPr>
              <w:t>vs.</w:t>
            </w:r>
            <w:r w:rsidR="0074130E" w:rsidRPr="009A0E7B">
              <w:rPr>
                <w:rFonts w:ascii="Arial Narrow" w:hAnsi="Arial Narrow"/>
                <w:b/>
                <w:color w:val="000000" w:themeColor="text1"/>
                <w:sz w:val="20"/>
                <w:szCs w:val="20"/>
              </w:rPr>
              <w:t xml:space="preserve"> placebo</w:t>
            </w:r>
          </w:p>
        </w:tc>
        <w:tc>
          <w:tcPr>
            <w:tcW w:w="911" w:type="pct"/>
          </w:tcPr>
          <w:p w14:paraId="50EB189C" w14:textId="48516BE8" w:rsidR="000E5C59" w:rsidRPr="009A0E7B" w:rsidRDefault="000E5C59" w:rsidP="00090DDF">
            <w:pPr>
              <w:keepNext/>
              <w:keepLines/>
              <w:rPr>
                <w:rFonts w:ascii="Arial Narrow" w:hAnsi="Arial Narrow"/>
                <w:b/>
                <w:color w:val="000000" w:themeColor="text1"/>
                <w:sz w:val="20"/>
                <w:szCs w:val="20"/>
              </w:rPr>
            </w:pPr>
            <w:r w:rsidRPr="009A0E7B">
              <w:rPr>
                <w:rFonts w:ascii="Arial Narrow" w:hAnsi="Arial Narrow"/>
                <w:b/>
                <w:color w:val="000000" w:themeColor="text1"/>
                <w:sz w:val="20"/>
                <w:szCs w:val="20"/>
              </w:rPr>
              <w:t>Pooled RD (95% CI)</w:t>
            </w:r>
            <w:r w:rsidR="0074130E" w:rsidRPr="009A0E7B">
              <w:rPr>
                <w:rFonts w:ascii="Arial Narrow" w:hAnsi="Arial Narrow"/>
                <w:b/>
                <w:color w:val="000000" w:themeColor="text1"/>
                <w:sz w:val="20"/>
                <w:szCs w:val="20"/>
              </w:rPr>
              <w:t xml:space="preserve"> </w:t>
            </w:r>
            <w:r w:rsidR="00A4760E" w:rsidRPr="009A0E7B">
              <w:rPr>
                <w:rFonts w:ascii="Arial Narrow" w:hAnsi="Arial Narrow"/>
                <w:b/>
                <w:color w:val="000000" w:themeColor="text1"/>
                <w:sz w:val="20"/>
                <w:szCs w:val="20"/>
              </w:rPr>
              <w:t>vs.</w:t>
            </w:r>
            <w:r w:rsidR="0074130E" w:rsidRPr="009A0E7B">
              <w:rPr>
                <w:rFonts w:ascii="Arial Narrow" w:hAnsi="Arial Narrow"/>
                <w:b/>
                <w:color w:val="000000" w:themeColor="text1"/>
                <w:sz w:val="20"/>
                <w:szCs w:val="20"/>
              </w:rPr>
              <w:t xml:space="preserve"> placebo</w:t>
            </w:r>
          </w:p>
        </w:tc>
        <w:tc>
          <w:tcPr>
            <w:tcW w:w="1226" w:type="pct"/>
          </w:tcPr>
          <w:p w14:paraId="661C01DF" w14:textId="48B79DA9" w:rsidR="000E5C59" w:rsidRPr="009A0E7B" w:rsidRDefault="000E5C59" w:rsidP="00090DD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 xml:space="preserve">Indirect comparison of pooled RR (95% CI); p-value (OZA </w:t>
            </w:r>
            <w:r w:rsidR="00A4760E" w:rsidRPr="009A0E7B">
              <w:rPr>
                <w:rFonts w:ascii="Arial Narrow" w:hAnsi="Arial Narrow"/>
                <w:b/>
                <w:color w:val="000000" w:themeColor="text1"/>
                <w:sz w:val="20"/>
                <w:szCs w:val="20"/>
              </w:rPr>
              <w:t>vs.</w:t>
            </w:r>
            <w:r w:rsidRPr="009A0E7B">
              <w:rPr>
                <w:rFonts w:ascii="Arial Narrow" w:hAnsi="Arial Narrow"/>
                <w:b/>
                <w:color w:val="000000" w:themeColor="text1"/>
                <w:sz w:val="20"/>
                <w:szCs w:val="20"/>
              </w:rPr>
              <w:t xml:space="preserve"> comparator)</w:t>
            </w:r>
          </w:p>
        </w:tc>
        <w:tc>
          <w:tcPr>
            <w:tcW w:w="1226" w:type="pct"/>
          </w:tcPr>
          <w:p w14:paraId="5B80A2C0" w14:textId="6FB7CACF" w:rsidR="000E5C59" w:rsidRPr="009A0E7B" w:rsidRDefault="000E5C59" w:rsidP="00090DD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 xml:space="preserve">Indirect comparison of pooled RD (95% CI); p-value (OZA </w:t>
            </w:r>
            <w:r w:rsidR="00A4760E" w:rsidRPr="009A0E7B">
              <w:rPr>
                <w:rFonts w:ascii="Arial Narrow" w:hAnsi="Arial Narrow"/>
                <w:b/>
                <w:color w:val="000000" w:themeColor="text1"/>
                <w:sz w:val="20"/>
                <w:szCs w:val="20"/>
              </w:rPr>
              <w:t>vs.</w:t>
            </w:r>
            <w:r w:rsidRPr="009A0E7B">
              <w:rPr>
                <w:rFonts w:ascii="Arial Narrow" w:hAnsi="Arial Narrow"/>
                <w:b/>
                <w:color w:val="000000" w:themeColor="text1"/>
                <w:sz w:val="20"/>
                <w:szCs w:val="20"/>
              </w:rPr>
              <w:t xml:space="preserve"> comparator)</w:t>
            </w:r>
          </w:p>
        </w:tc>
      </w:tr>
      <w:tr w:rsidR="000E5C59" w:rsidRPr="009A0E7B" w14:paraId="6464775D" w14:textId="77777777" w:rsidTr="00BC7789">
        <w:tc>
          <w:tcPr>
            <w:tcW w:w="5000" w:type="pct"/>
            <w:gridSpan w:val="5"/>
          </w:tcPr>
          <w:p w14:paraId="544489BA" w14:textId="77777777" w:rsidR="000E5C59" w:rsidRPr="009A0E7B" w:rsidRDefault="000E5C59" w:rsidP="00090DDF">
            <w:pPr>
              <w:keepNext/>
              <w:keepLines/>
              <w:jc w:val="center"/>
              <w:rPr>
                <w:rFonts w:ascii="Arial Narrow" w:hAnsi="Arial Narrow"/>
                <w:b/>
                <w:color w:val="000000" w:themeColor="text1"/>
                <w:sz w:val="20"/>
                <w:szCs w:val="20"/>
              </w:rPr>
            </w:pPr>
            <w:r w:rsidRPr="009A0E7B">
              <w:rPr>
                <w:rFonts w:ascii="Arial Narrow" w:hAnsi="Arial Narrow"/>
                <w:b/>
                <w:color w:val="000000" w:themeColor="text1"/>
                <w:sz w:val="20"/>
                <w:szCs w:val="20"/>
              </w:rPr>
              <w:t>Induction</w:t>
            </w:r>
          </w:p>
        </w:tc>
      </w:tr>
      <w:tr w:rsidR="000E5C59" w:rsidRPr="009A0E7B" w14:paraId="4A937242" w14:textId="77777777" w:rsidTr="00BC7789">
        <w:tc>
          <w:tcPr>
            <w:tcW w:w="726" w:type="pct"/>
          </w:tcPr>
          <w:p w14:paraId="70DB80A4" w14:textId="77777777" w:rsidR="000E5C59"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OZA</w:t>
            </w:r>
          </w:p>
          <w:p w14:paraId="7D441FF8" w14:textId="110E68EA" w:rsidR="00090DDF" w:rsidRPr="00090DDF" w:rsidRDefault="00090DDF" w:rsidP="00090DDF">
            <w:pPr>
              <w:keepNext/>
              <w:keepLines/>
              <w:rPr>
                <w:rFonts w:ascii="Arial Narrow" w:hAnsi="Arial Narrow"/>
                <w:b/>
                <w:bCs/>
                <w:color w:val="000000" w:themeColor="text1"/>
                <w:sz w:val="20"/>
                <w:szCs w:val="20"/>
              </w:rPr>
            </w:pPr>
          </w:p>
        </w:tc>
        <w:tc>
          <w:tcPr>
            <w:tcW w:w="911" w:type="pct"/>
          </w:tcPr>
          <w:p w14:paraId="398B7098"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1.84 (1.41, 2.40)</w:t>
            </w:r>
          </w:p>
        </w:tc>
        <w:tc>
          <w:tcPr>
            <w:tcW w:w="911" w:type="pct"/>
          </w:tcPr>
          <w:p w14:paraId="356B48AB"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0.25 (0.18, 0.32)</w:t>
            </w:r>
          </w:p>
        </w:tc>
        <w:tc>
          <w:tcPr>
            <w:tcW w:w="1226" w:type="pct"/>
            <w:shd w:val="clear" w:color="auto" w:fill="auto"/>
          </w:tcPr>
          <w:p w14:paraId="6FCF8C9A"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N/a</w:t>
            </w:r>
          </w:p>
        </w:tc>
        <w:tc>
          <w:tcPr>
            <w:tcW w:w="1226" w:type="pct"/>
            <w:shd w:val="clear" w:color="auto" w:fill="auto"/>
          </w:tcPr>
          <w:p w14:paraId="0851F0E7"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N/a</w:t>
            </w:r>
          </w:p>
        </w:tc>
      </w:tr>
      <w:tr w:rsidR="000E5C59" w:rsidRPr="009A0E7B" w14:paraId="64761BE8" w14:textId="77777777" w:rsidTr="00BC7789">
        <w:tc>
          <w:tcPr>
            <w:tcW w:w="726" w:type="pct"/>
          </w:tcPr>
          <w:p w14:paraId="15932B7D" w14:textId="77777777"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VED</w:t>
            </w:r>
          </w:p>
        </w:tc>
        <w:tc>
          <w:tcPr>
            <w:tcW w:w="911" w:type="pct"/>
          </w:tcPr>
          <w:p w14:paraId="49F82843"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1.51 (0.99, 2.29)</w:t>
            </w:r>
          </w:p>
        </w:tc>
        <w:tc>
          <w:tcPr>
            <w:tcW w:w="911" w:type="pct"/>
          </w:tcPr>
          <w:p w14:paraId="502D619D"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0.15 (0.00, 0.29)</w:t>
            </w:r>
          </w:p>
        </w:tc>
        <w:tc>
          <w:tcPr>
            <w:tcW w:w="1226" w:type="pct"/>
          </w:tcPr>
          <w:p w14:paraId="7806A49D"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1.219 (0.742, 2.002); p=0.4353</w:t>
            </w:r>
          </w:p>
        </w:tc>
        <w:tc>
          <w:tcPr>
            <w:tcW w:w="1226" w:type="pct"/>
          </w:tcPr>
          <w:p w14:paraId="31E62069"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0.1 (-0.061, 0.261); p=0.2235</w:t>
            </w:r>
          </w:p>
        </w:tc>
      </w:tr>
      <w:tr w:rsidR="000E5C59" w:rsidRPr="009A0E7B" w14:paraId="12F4B7FA" w14:textId="77777777" w:rsidTr="00BC7789">
        <w:tc>
          <w:tcPr>
            <w:tcW w:w="726" w:type="pct"/>
          </w:tcPr>
          <w:p w14:paraId="2219833A" w14:textId="77777777"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TOF</w:t>
            </w:r>
          </w:p>
        </w:tc>
        <w:tc>
          <w:tcPr>
            <w:tcW w:w="911" w:type="pct"/>
          </w:tcPr>
          <w:p w14:paraId="47CC09C8"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1.79 (1.49, 2.14)</w:t>
            </w:r>
          </w:p>
        </w:tc>
        <w:tc>
          <w:tcPr>
            <w:tcW w:w="911" w:type="pct"/>
          </w:tcPr>
          <w:p w14:paraId="79A022F5"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0.26 (0.20, 0.33)</w:t>
            </w:r>
          </w:p>
        </w:tc>
        <w:tc>
          <w:tcPr>
            <w:tcW w:w="1226" w:type="pct"/>
          </w:tcPr>
          <w:p w14:paraId="0F6A0106"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1.028 (0.745, 1.418); p=0.8667</w:t>
            </w:r>
          </w:p>
        </w:tc>
        <w:tc>
          <w:tcPr>
            <w:tcW w:w="1226" w:type="pct"/>
          </w:tcPr>
          <w:p w14:paraId="70B60BEF"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-0.01 (-0.106, 0.086); p=0.8374</w:t>
            </w:r>
          </w:p>
        </w:tc>
      </w:tr>
      <w:tr w:rsidR="000E5C59" w:rsidRPr="009A0E7B" w14:paraId="522B9D3C" w14:textId="77777777" w:rsidTr="00BC7789">
        <w:tc>
          <w:tcPr>
            <w:tcW w:w="726" w:type="pct"/>
          </w:tcPr>
          <w:p w14:paraId="5142B7E1" w14:textId="77777777"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GOL</w:t>
            </w:r>
          </w:p>
        </w:tc>
        <w:tc>
          <w:tcPr>
            <w:tcW w:w="911" w:type="pct"/>
          </w:tcPr>
          <w:p w14:paraId="07950636"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1.68 (1.35, 2.11)</w:t>
            </w:r>
          </w:p>
        </w:tc>
        <w:tc>
          <w:tcPr>
            <w:tcW w:w="911" w:type="pct"/>
          </w:tcPr>
          <w:p w14:paraId="7B1C066D"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0.21 (0.12, 0.29)</w:t>
            </w:r>
          </w:p>
        </w:tc>
        <w:tc>
          <w:tcPr>
            <w:tcW w:w="1226" w:type="pct"/>
          </w:tcPr>
          <w:p w14:paraId="7D2F885E"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1.095 (0.774, 1.55); p=0.6076</w:t>
            </w:r>
          </w:p>
        </w:tc>
        <w:tc>
          <w:tcPr>
            <w:tcW w:w="1226" w:type="pct"/>
          </w:tcPr>
          <w:p w14:paraId="238F7942"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0.04 (-0.07, 0.15); p=0.4765</w:t>
            </w:r>
          </w:p>
        </w:tc>
      </w:tr>
      <w:tr w:rsidR="000E5C59" w:rsidRPr="009A0E7B" w14:paraId="31EA7260" w14:textId="77777777" w:rsidTr="00BC7789">
        <w:tc>
          <w:tcPr>
            <w:tcW w:w="726" w:type="pct"/>
          </w:tcPr>
          <w:p w14:paraId="6E3BF2D7" w14:textId="77777777"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ADA</w:t>
            </w:r>
          </w:p>
        </w:tc>
        <w:tc>
          <w:tcPr>
            <w:tcW w:w="911" w:type="pct"/>
          </w:tcPr>
          <w:p w14:paraId="0CE01F77"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1.36 (1.18, 1.58)</w:t>
            </w:r>
          </w:p>
        </w:tc>
        <w:tc>
          <w:tcPr>
            <w:tcW w:w="911" w:type="pct"/>
          </w:tcPr>
          <w:p w14:paraId="0D23C75D"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0.14 (0.08, 0.20)</w:t>
            </w:r>
          </w:p>
        </w:tc>
        <w:tc>
          <w:tcPr>
            <w:tcW w:w="1226" w:type="pct"/>
          </w:tcPr>
          <w:p w14:paraId="30A3F7EE"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1.353 (0.999, 1.832); p=0.0508</w:t>
            </w:r>
          </w:p>
        </w:tc>
        <w:tc>
          <w:tcPr>
            <w:tcW w:w="1226" w:type="pct"/>
          </w:tcPr>
          <w:p w14:paraId="1D6B2155" w14:textId="77777777" w:rsidR="000E5C59" w:rsidRPr="009A0E7B" w:rsidRDefault="000E5C59" w:rsidP="00090DD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0.11 (0.018, 0.202); p=0.0194</w:t>
            </w:r>
          </w:p>
        </w:tc>
      </w:tr>
      <w:tr w:rsidR="000E5C59" w:rsidRPr="009A0E7B" w14:paraId="53F34EFF" w14:textId="77777777" w:rsidTr="00BC7789">
        <w:tc>
          <w:tcPr>
            <w:tcW w:w="5000" w:type="pct"/>
            <w:gridSpan w:val="5"/>
          </w:tcPr>
          <w:p w14:paraId="0A32A512" w14:textId="77777777" w:rsidR="000E5C59" w:rsidRPr="009A0E7B" w:rsidRDefault="000E5C59" w:rsidP="00090DDF">
            <w:pPr>
              <w:keepNext/>
              <w:keepLines/>
              <w:jc w:val="center"/>
              <w:rPr>
                <w:rFonts w:ascii="Arial Narrow" w:hAnsi="Arial Narrow"/>
                <w:b/>
                <w:color w:val="000000" w:themeColor="text1"/>
                <w:sz w:val="20"/>
                <w:szCs w:val="20"/>
              </w:rPr>
            </w:pPr>
            <w:r w:rsidRPr="009A0E7B">
              <w:rPr>
                <w:rFonts w:ascii="Arial Narrow" w:hAnsi="Arial Narrow"/>
                <w:b/>
                <w:color w:val="000000" w:themeColor="text1"/>
                <w:sz w:val="20"/>
                <w:szCs w:val="20"/>
              </w:rPr>
              <w:t>Maintenance</w:t>
            </w:r>
          </w:p>
        </w:tc>
      </w:tr>
      <w:tr w:rsidR="000E5C59" w:rsidRPr="009A0E7B" w14:paraId="08B1771D" w14:textId="77777777" w:rsidTr="00BC7789">
        <w:tc>
          <w:tcPr>
            <w:tcW w:w="726" w:type="pct"/>
          </w:tcPr>
          <w:p w14:paraId="0A0943AE" w14:textId="77777777" w:rsidR="000E5C59"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OZA</w:t>
            </w:r>
          </w:p>
          <w:p w14:paraId="382A73F7" w14:textId="3B5A15F6" w:rsidR="00090DDF" w:rsidRPr="00090DDF" w:rsidRDefault="00090DDF" w:rsidP="00090DDF">
            <w:pPr>
              <w:keepNext/>
              <w:keepLines/>
              <w:rPr>
                <w:rFonts w:ascii="Arial Narrow" w:hAnsi="Arial Narrow"/>
                <w:b/>
                <w:bCs/>
                <w:color w:val="000000" w:themeColor="text1"/>
                <w:sz w:val="20"/>
                <w:szCs w:val="20"/>
              </w:rPr>
            </w:pPr>
          </w:p>
        </w:tc>
        <w:tc>
          <w:tcPr>
            <w:tcW w:w="911" w:type="pct"/>
          </w:tcPr>
          <w:p w14:paraId="4FAF90B6"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1.48 (1.23, 1.77)</w:t>
            </w:r>
          </w:p>
        </w:tc>
        <w:tc>
          <w:tcPr>
            <w:tcW w:w="911" w:type="pct"/>
          </w:tcPr>
          <w:p w14:paraId="1D4F88FC"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0.20 (0.11, 0.29)</w:t>
            </w:r>
          </w:p>
        </w:tc>
        <w:tc>
          <w:tcPr>
            <w:tcW w:w="1226" w:type="pct"/>
          </w:tcPr>
          <w:p w14:paraId="0F46F07C"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N/a</w:t>
            </w:r>
          </w:p>
        </w:tc>
        <w:tc>
          <w:tcPr>
            <w:tcW w:w="1226" w:type="pct"/>
          </w:tcPr>
          <w:p w14:paraId="2F847CB8" w14:textId="77777777" w:rsidR="000E5C59" w:rsidRPr="009A0E7B" w:rsidRDefault="000E5C59" w:rsidP="00090DDF">
            <w:pPr>
              <w:keepNext/>
              <w:keepLines/>
              <w:rPr>
                <w:rFonts w:ascii="Arial Narrow" w:hAnsi="Arial Narrow"/>
                <w:b/>
                <w:color w:val="000000" w:themeColor="text1"/>
                <w:sz w:val="20"/>
                <w:szCs w:val="20"/>
              </w:rPr>
            </w:pPr>
            <w:r w:rsidRPr="009A0E7B">
              <w:rPr>
                <w:rFonts w:ascii="Arial Narrow" w:hAnsi="Arial Narrow"/>
                <w:bCs/>
                <w:color w:val="000000" w:themeColor="text1"/>
                <w:sz w:val="20"/>
                <w:szCs w:val="20"/>
              </w:rPr>
              <w:t>N/a</w:t>
            </w:r>
          </w:p>
        </w:tc>
      </w:tr>
      <w:tr w:rsidR="000E5C59" w:rsidRPr="009A0E7B" w14:paraId="456D3E2B" w14:textId="77777777" w:rsidTr="00BC7789">
        <w:tc>
          <w:tcPr>
            <w:tcW w:w="726" w:type="pct"/>
          </w:tcPr>
          <w:p w14:paraId="1B3345F7" w14:textId="77777777"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VED</w:t>
            </w:r>
          </w:p>
        </w:tc>
        <w:tc>
          <w:tcPr>
            <w:tcW w:w="911" w:type="pct"/>
          </w:tcPr>
          <w:p w14:paraId="190FD193"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2.22 (1.76, 2.80)</w:t>
            </w:r>
          </w:p>
        </w:tc>
        <w:tc>
          <w:tcPr>
            <w:tcW w:w="911" w:type="pct"/>
          </w:tcPr>
          <w:p w14:paraId="0EE7BAC3"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0.34 (0.26, 0.42)</w:t>
            </w:r>
          </w:p>
        </w:tc>
        <w:tc>
          <w:tcPr>
            <w:tcW w:w="1226" w:type="pct"/>
          </w:tcPr>
          <w:p w14:paraId="6AF493D1"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
                <w:color w:val="000000" w:themeColor="text1"/>
                <w:sz w:val="20"/>
                <w:szCs w:val="20"/>
              </w:rPr>
              <w:t>0.667 (0.496, 0.895); p=0.0071</w:t>
            </w:r>
          </w:p>
        </w:tc>
        <w:tc>
          <w:tcPr>
            <w:tcW w:w="1226" w:type="pct"/>
          </w:tcPr>
          <w:p w14:paraId="43D7B5FB" w14:textId="77777777" w:rsidR="000E5C59" w:rsidRPr="009A0E7B" w:rsidRDefault="000E5C59" w:rsidP="00090DD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-0.14 (-0.26, -0.02); p=0.0227</w:t>
            </w:r>
          </w:p>
        </w:tc>
      </w:tr>
      <w:tr w:rsidR="000E5C59" w:rsidRPr="009A0E7B" w14:paraId="00C5ED80" w14:textId="77777777" w:rsidTr="00BC7789">
        <w:tc>
          <w:tcPr>
            <w:tcW w:w="726" w:type="pct"/>
          </w:tcPr>
          <w:p w14:paraId="0AF6C540" w14:textId="59108E33"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TOF 5</w:t>
            </w:r>
            <w:r w:rsidR="00AD2CEF" w:rsidRPr="00090DDF">
              <w:rPr>
                <w:rFonts w:ascii="Arial Narrow" w:hAnsi="Arial Narrow"/>
                <w:b/>
                <w:bCs/>
                <w:color w:val="000000" w:themeColor="text1"/>
                <w:sz w:val="20"/>
                <w:szCs w:val="20"/>
              </w:rPr>
              <w:t xml:space="preserve"> </w:t>
            </w:r>
            <w:r w:rsidRPr="00090DDF">
              <w:rPr>
                <w:rFonts w:ascii="Arial Narrow" w:hAnsi="Arial Narrow"/>
                <w:b/>
                <w:bCs/>
                <w:color w:val="000000" w:themeColor="text1"/>
                <w:sz w:val="20"/>
                <w:szCs w:val="20"/>
              </w:rPr>
              <w:t>mg</w:t>
            </w:r>
          </w:p>
        </w:tc>
        <w:tc>
          <w:tcPr>
            <w:tcW w:w="911" w:type="pct"/>
          </w:tcPr>
          <w:p w14:paraId="37F9E29F"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2.55 (1.86, 3.51)</w:t>
            </w:r>
          </w:p>
        </w:tc>
        <w:tc>
          <w:tcPr>
            <w:tcW w:w="911" w:type="pct"/>
          </w:tcPr>
          <w:p w14:paraId="0877B459"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0.30 (0.21, 0.39)</w:t>
            </w:r>
          </w:p>
        </w:tc>
        <w:tc>
          <w:tcPr>
            <w:tcW w:w="1226" w:type="pct"/>
          </w:tcPr>
          <w:p w14:paraId="734E71DA"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
                <w:color w:val="000000" w:themeColor="text1"/>
                <w:sz w:val="20"/>
                <w:szCs w:val="20"/>
              </w:rPr>
              <w:t>0.58 (0.403, 0.837); p=0.0036</w:t>
            </w:r>
          </w:p>
        </w:tc>
        <w:tc>
          <w:tcPr>
            <w:tcW w:w="1226" w:type="pct"/>
          </w:tcPr>
          <w:p w14:paraId="2372A8E4" w14:textId="77777777" w:rsidR="000E5C59" w:rsidRPr="009A0E7B" w:rsidRDefault="000E5C59" w:rsidP="00090DDF">
            <w:pPr>
              <w:keepNext/>
              <w:keepLines/>
              <w:jc w:val="left"/>
              <w:rPr>
                <w:rFonts w:ascii="Arial Narrow" w:hAnsi="Arial Narrow"/>
                <w:b/>
                <w:color w:val="000000" w:themeColor="text1"/>
                <w:sz w:val="20"/>
                <w:szCs w:val="20"/>
              </w:rPr>
            </w:pPr>
            <w:r w:rsidRPr="009A0E7B">
              <w:rPr>
                <w:rFonts w:ascii="Arial Narrow" w:hAnsi="Arial Narrow"/>
                <w:bCs/>
                <w:color w:val="000000" w:themeColor="text1"/>
                <w:sz w:val="20"/>
                <w:szCs w:val="20"/>
              </w:rPr>
              <w:t>-0.1 (-0.227, 0.027); p=0.1236</w:t>
            </w:r>
          </w:p>
        </w:tc>
      </w:tr>
      <w:tr w:rsidR="000E5C59" w:rsidRPr="009A0E7B" w14:paraId="792FE3B6" w14:textId="77777777" w:rsidTr="00BC7789">
        <w:tc>
          <w:tcPr>
            <w:tcW w:w="726" w:type="pct"/>
          </w:tcPr>
          <w:p w14:paraId="44350398" w14:textId="6FAE162B"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TOF 10</w:t>
            </w:r>
            <w:r w:rsidR="00AD2CEF" w:rsidRPr="00090DDF">
              <w:rPr>
                <w:rFonts w:ascii="Arial Narrow" w:hAnsi="Arial Narrow"/>
                <w:b/>
                <w:bCs/>
                <w:color w:val="000000" w:themeColor="text1"/>
                <w:sz w:val="20"/>
                <w:szCs w:val="20"/>
              </w:rPr>
              <w:t xml:space="preserve"> </w:t>
            </w:r>
            <w:r w:rsidRPr="00090DDF">
              <w:rPr>
                <w:rFonts w:ascii="Arial Narrow" w:hAnsi="Arial Narrow"/>
                <w:b/>
                <w:bCs/>
                <w:color w:val="000000" w:themeColor="text1"/>
                <w:sz w:val="20"/>
                <w:szCs w:val="20"/>
              </w:rPr>
              <w:t>mg</w:t>
            </w:r>
          </w:p>
        </w:tc>
        <w:tc>
          <w:tcPr>
            <w:tcW w:w="911" w:type="pct"/>
          </w:tcPr>
          <w:p w14:paraId="40D7AB9F"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3.09 (2.27, 4.21)</w:t>
            </w:r>
          </w:p>
        </w:tc>
        <w:tc>
          <w:tcPr>
            <w:tcW w:w="911" w:type="pct"/>
          </w:tcPr>
          <w:p w14:paraId="2CDFCA0E"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0.40 (0.31, 0.49)</w:t>
            </w:r>
          </w:p>
        </w:tc>
        <w:tc>
          <w:tcPr>
            <w:tcW w:w="1226" w:type="pct"/>
          </w:tcPr>
          <w:p w14:paraId="20574604"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
                <w:color w:val="000000" w:themeColor="text1"/>
                <w:sz w:val="20"/>
                <w:szCs w:val="20"/>
              </w:rPr>
              <w:t>0.479 (0.335, 0.685); p=0.0001</w:t>
            </w:r>
          </w:p>
        </w:tc>
        <w:tc>
          <w:tcPr>
            <w:tcW w:w="1226" w:type="pct"/>
          </w:tcPr>
          <w:p w14:paraId="4F25D381" w14:textId="77777777" w:rsidR="000E5C59" w:rsidRPr="009A0E7B" w:rsidRDefault="000E5C59" w:rsidP="00090DD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-0.2 (-0.327, -0.073); p=0.0021</w:t>
            </w:r>
          </w:p>
        </w:tc>
      </w:tr>
      <w:tr w:rsidR="000E5C59" w:rsidRPr="009A0E7B" w14:paraId="446E5B14" w14:textId="77777777" w:rsidTr="00BC7789">
        <w:tc>
          <w:tcPr>
            <w:tcW w:w="726" w:type="pct"/>
          </w:tcPr>
          <w:p w14:paraId="3D3FB3E1" w14:textId="77777777" w:rsidR="000E5C59" w:rsidRPr="00090DDF" w:rsidRDefault="000E5C59" w:rsidP="00090DDF">
            <w:pPr>
              <w:keepNext/>
              <w:keepLines/>
              <w:rPr>
                <w:rFonts w:ascii="Arial Narrow" w:hAnsi="Arial Narrow"/>
                <w:b/>
                <w:bCs/>
                <w:color w:val="000000" w:themeColor="text1"/>
                <w:sz w:val="20"/>
                <w:szCs w:val="20"/>
              </w:rPr>
            </w:pPr>
            <w:r w:rsidRPr="00090DDF">
              <w:rPr>
                <w:rFonts w:ascii="Arial Narrow" w:hAnsi="Arial Narrow"/>
                <w:b/>
                <w:bCs/>
                <w:color w:val="000000" w:themeColor="text1"/>
                <w:sz w:val="20"/>
                <w:szCs w:val="20"/>
              </w:rPr>
              <w:t>GOL</w:t>
            </w:r>
          </w:p>
        </w:tc>
        <w:tc>
          <w:tcPr>
            <w:tcW w:w="911" w:type="pct"/>
          </w:tcPr>
          <w:p w14:paraId="4FE494D5"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1.92 (1.11, 3.32)</w:t>
            </w:r>
          </w:p>
        </w:tc>
        <w:tc>
          <w:tcPr>
            <w:tcW w:w="911" w:type="pct"/>
          </w:tcPr>
          <w:p w14:paraId="0F2E7DE8" w14:textId="77777777" w:rsidR="000E5C59" w:rsidRPr="009A0E7B" w:rsidRDefault="000E5C59"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0.25 (0.08, 0.42)</w:t>
            </w:r>
          </w:p>
        </w:tc>
        <w:tc>
          <w:tcPr>
            <w:tcW w:w="1226" w:type="pct"/>
          </w:tcPr>
          <w:p w14:paraId="05A0EE8C" w14:textId="77777777" w:rsidR="000E5C59" w:rsidRPr="009A0E7B" w:rsidRDefault="000E5C59"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0.771 (0.433, 1.373); p=0.3768</w:t>
            </w:r>
          </w:p>
        </w:tc>
        <w:tc>
          <w:tcPr>
            <w:tcW w:w="1226" w:type="pct"/>
          </w:tcPr>
          <w:p w14:paraId="09EC2C5B" w14:textId="77777777" w:rsidR="000E5C59" w:rsidRPr="009A0E7B" w:rsidRDefault="000E5C59" w:rsidP="00090DDF">
            <w:pPr>
              <w:keepNext/>
              <w:keepLines/>
              <w:jc w:val="left"/>
              <w:rPr>
                <w:rFonts w:ascii="Arial Narrow" w:hAnsi="Arial Narrow"/>
                <w:b/>
                <w:color w:val="000000" w:themeColor="text1"/>
                <w:sz w:val="20"/>
                <w:szCs w:val="20"/>
              </w:rPr>
            </w:pPr>
            <w:r w:rsidRPr="009A0E7B">
              <w:rPr>
                <w:rFonts w:ascii="Arial Narrow" w:hAnsi="Arial Narrow"/>
                <w:bCs/>
                <w:color w:val="000000" w:themeColor="text1"/>
                <w:sz w:val="20"/>
                <w:szCs w:val="20"/>
              </w:rPr>
              <w:t>-0.05 (-0.242, 0.142); p=0.6104</w:t>
            </w:r>
          </w:p>
        </w:tc>
      </w:tr>
      <w:tr w:rsidR="00ED349D" w:rsidRPr="009A0E7B" w14:paraId="67E7AE58" w14:textId="77777777" w:rsidTr="00BC7789">
        <w:tc>
          <w:tcPr>
            <w:tcW w:w="726" w:type="pct"/>
          </w:tcPr>
          <w:p w14:paraId="2F55767C" w14:textId="27EE6BA0" w:rsidR="00ED349D" w:rsidRPr="00090DDF" w:rsidRDefault="00ED349D" w:rsidP="00090DDF">
            <w:pPr>
              <w:keepNext/>
              <w:keepLines/>
              <w:rPr>
                <w:rFonts w:ascii="Arial Narrow" w:hAnsi="Arial Narrow"/>
                <w:b/>
                <w:bCs/>
                <w:color w:val="000000" w:themeColor="text1"/>
                <w:sz w:val="20"/>
                <w:szCs w:val="20"/>
              </w:rPr>
            </w:pPr>
            <w:proofErr w:type="spellStart"/>
            <w:r w:rsidRPr="00090DDF">
              <w:rPr>
                <w:rFonts w:ascii="Arial Narrow" w:hAnsi="Arial Narrow"/>
                <w:b/>
                <w:bCs/>
                <w:color w:val="000000" w:themeColor="text1"/>
                <w:sz w:val="20"/>
                <w:szCs w:val="20"/>
              </w:rPr>
              <w:t>ADA</w:t>
            </w:r>
            <w:r w:rsidR="00125171" w:rsidRPr="00090DDF">
              <w:rPr>
                <w:rFonts w:ascii="Arial Narrow" w:hAnsi="Arial Narrow"/>
                <w:b/>
                <w:bCs/>
                <w:color w:val="000000" w:themeColor="text1"/>
                <w:sz w:val="20"/>
                <w:szCs w:val="20"/>
                <w:vertAlign w:val="superscript"/>
              </w:rPr>
              <w:t>a</w:t>
            </w:r>
            <w:proofErr w:type="spellEnd"/>
          </w:p>
        </w:tc>
        <w:tc>
          <w:tcPr>
            <w:tcW w:w="911" w:type="pct"/>
          </w:tcPr>
          <w:p w14:paraId="7CAF4A56" w14:textId="06FA892C" w:rsidR="00ED349D" w:rsidRPr="009A0E7B" w:rsidRDefault="00ED349D"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1.68 (1.29, 2.21)</w:t>
            </w:r>
          </w:p>
        </w:tc>
        <w:tc>
          <w:tcPr>
            <w:tcW w:w="911" w:type="pct"/>
          </w:tcPr>
          <w:p w14:paraId="6BC3B688" w14:textId="607E1C3B" w:rsidR="00ED349D" w:rsidRPr="009A0E7B" w:rsidRDefault="00ED349D" w:rsidP="00090DD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0.12 (0.06, 0.18)</w:t>
            </w:r>
          </w:p>
        </w:tc>
        <w:tc>
          <w:tcPr>
            <w:tcW w:w="1226" w:type="pct"/>
          </w:tcPr>
          <w:p w14:paraId="4E3E71D2" w14:textId="513CF89A" w:rsidR="00ED349D" w:rsidRPr="009A0E7B" w:rsidRDefault="00ED349D" w:rsidP="00090DD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1.512 (0.827, 2.765)</w:t>
            </w:r>
            <w:r w:rsidR="00ED0ED8" w:rsidRPr="009A0E7B">
              <w:rPr>
                <w:rFonts w:ascii="Arial Narrow" w:hAnsi="Arial Narrow"/>
                <w:bCs/>
                <w:color w:val="000000" w:themeColor="text1"/>
                <w:sz w:val="20"/>
                <w:szCs w:val="20"/>
              </w:rPr>
              <w:t>;</w:t>
            </w:r>
            <w:r w:rsidRPr="009A0E7B">
              <w:rPr>
                <w:rFonts w:ascii="Arial Narrow" w:hAnsi="Arial Narrow"/>
                <w:bCs/>
                <w:color w:val="000000" w:themeColor="text1"/>
                <w:sz w:val="20"/>
                <w:szCs w:val="20"/>
              </w:rPr>
              <w:t xml:space="preserve"> p=0.1795</w:t>
            </w:r>
          </w:p>
        </w:tc>
        <w:tc>
          <w:tcPr>
            <w:tcW w:w="1226" w:type="pct"/>
          </w:tcPr>
          <w:p w14:paraId="4CA16D37" w14:textId="12DB9902" w:rsidR="00ED349D" w:rsidRPr="009A0E7B" w:rsidRDefault="00ED349D" w:rsidP="00090DDF">
            <w:pPr>
              <w:keepNext/>
              <w:keepLines/>
              <w:jc w:val="left"/>
              <w:rPr>
                <w:rFonts w:ascii="Arial Narrow" w:hAnsi="Arial Narrow"/>
                <w:bCs/>
                <w:color w:val="000000" w:themeColor="text1"/>
                <w:sz w:val="20"/>
                <w:szCs w:val="20"/>
              </w:rPr>
            </w:pPr>
            <w:r w:rsidRPr="009A0E7B">
              <w:rPr>
                <w:rFonts w:ascii="Arial Narrow" w:hAnsi="Arial Narrow"/>
                <w:b/>
                <w:color w:val="000000" w:themeColor="text1"/>
                <w:sz w:val="20"/>
                <w:szCs w:val="20"/>
              </w:rPr>
              <w:t>0.19 (0.024, 0.356)</w:t>
            </w:r>
            <w:r w:rsidR="00ED0ED8" w:rsidRPr="009A0E7B">
              <w:rPr>
                <w:rFonts w:ascii="Arial Narrow" w:hAnsi="Arial Narrow"/>
                <w:b/>
                <w:color w:val="000000" w:themeColor="text1"/>
                <w:sz w:val="20"/>
                <w:szCs w:val="20"/>
              </w:rPr>
              <w:t>;</w:t>
            </w:r>
            <w:r w:rsidRPr="009A0E7B">
              <w:rPr>
                <w:rFonts w:ascii="Arial Narrow" w:hAnsi="Arial Narrow"/>
                <w:b/>
                <w:color w:val="000000" w:themeColor="text1"/>
                <w:sz w:val="20"/>
                <w:szCs w:val="20"/>
              </w:rPr>
              <w:t xml:space="preserve"> p=0.0251</w:t>
            </w:r>
          </w:p>
        </w:tc>
      </w:tr>
    </w:tbl>
    <w:p w14:paraId="58A8D4B2" w14:textId="66CA2A70" w:rsidR="000E5C59" w:rsidRPr="009A0E7B" w:rsidRDefault="000E5C59" w:rsidP="00090DDF">
      <w:pPr>
        <w:pStyle w:val="TableFigureFooter"/>
        <w:keepNext/>
        <w:keepLines/>
      </w:pPr>
      <w:r w:rsidRPr="009A0E7B">
        <w:t>Source: Compiled during the evaluation, data extracted from Table 154, p 233 &amp; Table 156, p 235</w:t>
      </w:r>
      <w:r w:rsidR="00ED349D" w:rsidRPr="009A0E7B">
        <w:t>; Table 150, p 220</w:t>
      </w:r>
      <w:r w:rsidRPr="009A0E7B">
        <w:t xml:space="preserve"> of the submission.</w:t>
      </w:r>
    </w:p>
    <w:p w14:paraId="5FF4A6F9" w14:textId="77777777" w:rsidR="000E5C59" w:rsidRPr="009A0E7B" w:rsidRDefault="000E5C59" w:rsidP="00090DDF">
      <w:pPr>
        <w:pStyle w:val="TableFigureFooter"/>
        <w:keepNext/>
        <w:keepLines/>
        <w:rPr>
          <w:rFonts w:eastAsiaTheme="minorHAnsi"/>
        </w:rPr>
      </w:pPr>
      <w:r w:rsidRPr="009A0E7B">
        <w:rPr>
          <w:rFonts w:eastAsiaTheme="minorHAnsi"/>
        </w:rPr>
        <w:t xml:space="preserve">ADA = adalimumab; CI = confidence interval; GOL = golimumab; </w:t>
      </w:r>
      <w:r w:rsidRPr="009A0E7B">
        <w:t>ITT = intention-to-treat; N/a = not applicable</w:t>
      </w:r>
      <w:r w:rsidRPr="009A0E7B">
        <w:rPr>
          <w:rFonts w:eastAsiaTheme="minorHAnsi"/>
        </w:rPr>
        <w:t xml:space="preserve">; OZA = ozanimod; </w:t>
      </w:r>
      <w:r w:rsidRPr="009A0E7B">
        <w:t>RD = risk difference; RR = relative risk</w:t>
      </w:r>
      <w:r w:rsidRPr="009A0E7B">
        <w:rPr>
          <w:rFonts w:eastAsiaTheme="minorHAnsi"/>
        </w:rPr>
        <w:t>; TOF = tofacitinib; VED = vedolizumab</w:t>
      </w:r>
    </w:p>
    <w:p w14:paraId="47B69764" w14:textId="00A3B225" w:rsidR="000E5C59" w:rsidRPr="009A0E7B" w:rsidRDefault="000E5C59" w:rsidP="00090DDF">
      <w:pPr>
        <w:pStyle w:val="TableFigureFooter"/>
        <w:keepNext/>
        <w:keepLines/>
      </w:pPr>
      <w:r w:rsidRPr="009A0E7B">
        <w:rPr>
          <w:b/>
          <w:bCs/>
        </w:rPr>
        <w:t>Bold</w:t>
      </w:r>
      <w:r w:rsidRPr="009A0E7B">
        <w:t xml:space="preserve"> indicates statistically significant difference.</w:t>
      </w:r>
    </w:p>
    <w:p w14:paraId="22F5E0D4" w14:textId="695A1CAF" w:rsidR="00125171" w:rsidRPr="009A0E7B" w:rsidRDefault="00125171" w:rsidP="00090DDF">
      <w:pPr>
        <w:pStyle w:val="TableFigureFooter"/>
        <w:keepNext/>
        <w:keepLines/>
      </w:pPr>
      <w:proofErr w:type="spellStart"/>
      <w:r w:rsidRPr="009A0E7B">
        <w:rPr>
          <w:vertAlign w:val="superscript"/>
        </w:rPr>
        <w:t>a</w:t>
      </w:r>
      <w:proofErr w:type="spellEnd"/>
      <w:r w:rsidRPr="009A0E7B">
        <w:t xml:space="preserve"> The ITC with ADA was conducted as a sensitivity analysis</w:t>
      </w:r>
      <w:r w:rsidR="00F1534B" w:rsidRPr="009A0E7B">
        <w:t xml:space="preserve"> using only Touchstone OZA data</w:t>
      </w:r>
      <w:r w:rsidRPr="009A0E7B">
        <w:t xml:space="preserve">, due to concerns about differences in trial design which favour OZA precluding </w:t>
      </w:r>
      <w:r w:rsidR="00574B5E" w:rsidRPr="009A0E7B">
        <w:t>accurate comparison</w:t>
      </w:r>
      <w:r w:rsidRPr="009A0E7B">
        <w:t xml:space="preserve">, as </w:t>
      </w:r>
      <w:r w:rsidR="007B6F56" w:rsidRPr="009A0E7B">
        <w:t>True North re-randomised responders from its induction phase for maintenance phase evaluation</w:t>
      </w:r>
      <w:r w:rsidR="006B5CBD" w:rsidRPr="009A0E7B">
        <w:t xml:space="preserve"> and the ADA trials did not</w:t>
      </w:r>
      <w:r w:rsidR="007B6F56" w:rsidRPr="009A0E7B">
        <w:t>.</w:t>
      </w:r>
      <w:r w:rsidR="000266D7" w:rsidRPr="009A0E7B">
        <w:t xml:space="preserve"> Touchstone had low numbers who progressed to </w:t>
      </w:r>
      <w:r w:rsidR="00C7529F" w:rsidRPr="009A0E7B">
        <w:t xml:space="preserve">the </w:t>
      </w:r>
      <w:r w:rsidR="000266D7" w:rsidRPr="009A0E7B">
        <w:t xml:space="preserve">maintenance </w:t>
      </w:r>
      <w:r w:rsidR="00C7529F" w:rsidRPr="009A0E7B">
        <w:t xml:space="preserve">phase </w:t>
      </w:r>
      <w:r w:rsidR="000266D7" w:rsidRPr="009A0E7B">
        <w:t>(OZA 1 mg N=</w:t>
      </w:r>
      <w:proofErr w:type="gramStart"/>
      <w:r w:rsidR="000266D7" w:rsidRPr="009A0E7B">
        <w:t>42;</w:t>
      </w:r>
      <w:proofErr w:type="gramEnd"/>
      <w:r w:rsidR="000266D7" w:rsidRPr="009A0E7B">
        <w:t xml:space="preserve"> placebo N=25).</w:t>
      </w:r>
    </w:p>
    <w:p w14:paraId="23B845A7" w14:textId="77777777" w:rsidR="002553D8" w:rsidRPr="009A0E7B" w:rsidRDefault="002553D8" w:rsidP="00BA0EF7"/>
    <w:p w14:paraId="0095BFFC" w14:textId="7EDDCE86" w:rsidR="000E5C59" w:rsidRPr="009A0E7B" w:rsidRDefault="000E5C59" w:rsidP="00AD2CEF">
      <w:pPr>
        <w:pStyle w:val="TableFigureHeading"/>
        <w:keepLines/>
      </w:pPr>
      <w:r w:rsidRPr="009A0E7B">
        <w:lastRenderedPageBreak/>
        <w:t>Table</w:t>
      </w:r>
      <w:r w:rsidR="002E2B49">
        <w:t xml:space="preserve"> 9</w:t>
      </w:r>
      <w:r w:rsidRPr="009A0E7B">
        <w:t xml:space="preserve">: Overview of results for RR and RD of the indirect comparison for OZA </w:t>
      </w:r>
      <w:r w:rsidR="00A4760E" w:rsidRPr="009A0E7B">
        <w:t>vs.</w:t>
      </w:r>
      <w:r w:rsidRPr="009A0E7B">
        <w:t xml:space="preserve"> secondary comparators clinical remission at </w:t>
      </w:r>
      <w:r w:rsidR="00D229FA" w:rsidRPr="009A0E7B">
        <w:t>i</w:t>
      </w:r>
      <w:r w:rsidRPr="009A0E7B">
        <w:t>nduction and maintenance - ITT population</w:t>
      </w:r>
    </w:p>
    <w:tbl>
      <w:tblPr>
        <w:tblStyle w:val="LashStyleTable1"/>
        <w:tblW w:w="5000" w:type="pct"/>
        <w:tblLook w:val="04A0" w:firstRow="1" w:lastRow="0" w:firstColumn="1" w:lastColumn="0" w:noHBand="0" w:noVBand="1"/>
      </w:tblPr>
      <w:tblGrid>
        <w:gridCol w:w="1309"/>
        <w:gridCol w:w="1643"/>
        <w:gridCol w:w="1643"/>
        <w:gridCol w:w="2211"/>
        <w:gridCol w:w="2211"/>
      </w:tblGrid>
      <w:tr w:rsidR="000E5C59" w:rsidRPr="009A0E7B" w14:paraId="63B98A1B" w14:textId="77777777" w:rsidTr="00BC7789">
        <w:tc>
          <w:tcPr>
            <w:tcW w:w="726" w:type="pct"/>
          </w:tcPr>
          <w:p w14:paraId="0BF2C4D2" w14:textId="77777777" w:rsidR="000E5C59" w:rsidRPr="009A0E7B" w:rsidRDefault="000E5C59" w:rsidP="00AD2CEF">
            <w:pPr>
              <w:keepNext/>
              <w:keepLines/>
              <w:rPr>
                <w:rFonts w:ascii="Arial Narrow" w:hAnsi="Arial Narrow"/>
                <w:b/>
                <w:color w:val="000000" w:themeColor="text1"/>
                <w:sz w:val="20"/>
                <w:szCs w:val="20"/>
              </w:rPr>
            </w:pPr>
            <w:r w:rsidRPr="009A0E7B">
              <w:rPr>
                <w:rFonts w:ascii="Arial Narrow" w:hAnsi="Arial Narrow"/>
                <w:b/>
                <w:color w:val="000000" w:themeColor="text1"/>
                <w:sz w:val="20"/>
                <w:szCs w:val="20"/>
              </w:rPr>
              <w:t>OZA/ Comparator</w:t>
            </w:r>
          </w:p>
        </w:tc>
        <w:tc>
          <w:tcPr>
            <w:tcW w:w="911" w:type="pct"/>
          </w:tcPr>
          <w:p w14:paraId="7B756E73" w14:textId="17898F3E" w:rsidR="000E5C59" w:rsidRPr="009A0E7B" w:rsidRDefault="000E5C59" w:rsidP="00AD2CEF">
            <w:pPr>
              <w:keepNext/>
              <w:keepLines/>
              <w:rPr>
                <w:rFonts w:ascii="Arial Narrow" w:hAnsi="Arial Narrow"/>
                <w:b/>
                <w:color w:val="000000" w:themeColor="text1"/>
                <w:sz w:val="20"/>
                <w:szCs w:val="20"/>
              </w:rPr>
            </w:pPr>
            <w:r w:rsidRPr="009A0E7B">
              <w:rPr>
                <w:rFonts w:ascii="Arial Narrow" w:hAnsi="Arial Narrow"/>
                <w:b/>
                <w:color w:val="000000" w:themeColor="text1"/>
                <w:sz w:val="20"/>
                <w:szCs w:val="20"/>
              </w:rPr>
              <w:t>Pooled RR (95% CI)</w:t>
            </w:r>
            <w:r w:rsidR="0074130E" w:rsidRPr="009A0E7B">
              <w:rPr>
                <w:rFonts w:ascii="Arial Narrow" w:hAnsi="Arial Narrow"/>
                <w:b/>
                <w:color w:val="000000" w:themeColor="text1"/>
                <w:sz w:val="20"/>
                <w:szCs w:val="20"/>
              </w:rPr>
              <w:t xml:space="preserve"> </w:t>
            </w:r>
            <w:r w:rsidR="00A4760E" w:rsidRPr="009A0E7B">
              <w:rPr>
                <w:rFonts w:ascii="Arial Narrow" w:hAnsi="Arial Narrow"/>
                <w:b/>
                <w:color w:val="000000" w:themeColor="text1"/>
                <w:sz w:val="20"/>
                <w:szCs w:val="20"/>
              </w:rPr>
              <w:t>vs.</w:t>
            </w:r>
            <w:r w:rsidR="0074130E" w:rsidRPr="009A0E7B">
              <w:rPr>
                <w:rFonts w:ascii="Arial Narrow" w:hAnsi="Arial Narrow"/>
                <w:b/>
                <w:color w:val="000000" w:themeColor="text1"/>
                <w:sz w:val="20"/>
                <w:szCs w:val="20"/>
              </w:rPr>
              <w:t xml:space="preserve"> placebo</w:t>
            </w:r>
          </w:p>
        </w:tc>
        <w:tc>
          <w:tcPr>
            <w:tcW w:w="911" w:type="pct"/>
          </w:tcPr>
          <w:p w14:paraId="631B2607" w14:textId="714F534A" w:rsidR="000E5C59" w:rsidRPr="009A0E7B" w:rsidRDefault="000E5C59" w:rsidP="00AD2CEF">
            <w:pPr>
              <w:keepNext/>
              <w:keepLines/>
              <w:rPr>
                <w:rFonts w:ascii="Arial Narrow" w:hAnsi="Arial Narrow"/>
                <w:b/>
                <w:color w:val="000000" w:themeColor="text1"/>
                <w:sz w:val="20"/>
                <w:szCs w:val="20"/>
              </w:rPr>
            </w:pPr>
            <w:r w:rsidRPr="009A0E7B">
              <w:rPr>
                <w:rFonts w:ascii="Arial Narrow" w:hAnsi="Arial Narrow"/>
                <w:b/>
                <w:color w:val="000000" w:themeColor="text1"/>
                <w:sz w:val="20"/>
                <w:szCs w:val="20"/>
              </w:rPr>
              <w:t>Pooled RD (95% CI)</w:t>
            </w:r>
            <w:r w:rsidR="0074130E" w:rsidRPr="009A0E7B">
              <w:rPr>
                <w:rFonts w:ascii="Arial Narrow" w:hAnsi="Arial Narrow"/>
                <w:b/>
                <w:color w:val="000000" w:themeColor="text1"/>
                <w:sz w:val="20"/>
                <w:szCs w:val="20"/>
              </w:rPr>
              <w:t xml:space="preserve"> </w:t>
            </w:r>
            <w:r w:rsidR="00A4760E" w:rsidRPr="009A0E7B">
              <w:rPr>
                <w:rFonts w:ascii="Arial Narrow" w:hAnsi="Arial Narrow"/>
                <w:b/>
                <w:color w:val="000000" w:themeColor="text1"/>
                <w:sz w:val="20"/>
                <w:szCs w:val="20"/>
              </w:rPr>
              <w:t>vs.</w:t>
            </w:r>
            <w:r w:rsidR="0074130E" w:rsidRPr="009A0E7B">
              <w:rPr>
                <w:rFonts w:ascii="Arial Narrow" w:hAnsi="Arial Narrow"/>
                <w:b/>
                <w:color w:val="000000" w:themeColor="text1"/>
                <w:sz w:val="20"/>
                <w:szCs w:val="20"/>
              </w:rPr>
              <w:t xml:space="preserve"> placebo</w:t>
            </w:r>
          </w:p>
        </w:tc>
        <w:tc>
          <w:tcPr>
            <w:tcW w:w="1226" w:type="pct"/>
          </w:tcPr>
          <w:p w14:paraId="238EC086" w14:textId="781D8284" w:rsidR="000E5C59" w:rsidRPr="009A0E7B" w:rsidRDefault="000E5C59" w:rsidP="00AD2CE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 xml:space="preserve">Indirect comparison of pooled RR (95% CI); p-value (OZA </w:t>
            </w:r>
            <w:r w:rsidR="00A4760E" w:rsidRPr="009A0E7B">
              <w:rPr>
                <w:rFonts w:ascii="Arial Narrow" w:hAnsi="Arial Narrow"/>
                <w:b/>
                <w:color w:val="000000" w:themeColor="text1"/>
                <w:sz w:val="20"/>
                <w:szCs w:val="20"/>
              </w:rPr>
              <w:t>vs.</w:t>
            </w:r>
            <w:r w:rsidRPr="009A0E7B">
              <w:rPr>
                <w:rFonts w:ascii="Arial Narrow" w:hAnsi="Arial Narrow"/>
                <w:b/>
                <w:color w:val="000000" w:themeColor="text1"/>
                <w:sz w:val="20"/>
                <w:szCs w:val="20"/>
              </w:rPr>
              <w:t xml:space="preserve"> comparator)</w:t>
            </w:r>
          </w:p>
        </w:tc>
        <w:tc>
          <w:tcPr>
            <w:tcW w:w="1226" w:type="pct"/>
          </w:tcPr>
          <w:p w14:paraId="367C9053" w14:textId="684C7BA9" w:rsidR="000E5C59" w:rsidRPr="009A0E7B" w:rsidRDefault="000E5C59" w:rsidP="00AD2CE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 xml:space="preserve">Indirect comparison of pooled RD (95% CI); p-value (OZA </w:t>
            </w:r>
            <w:r w:rsidR="00A4760E" w:rsidRPr="009A0E7B">
              <w:rPr>
                <w:rFonts w:ascii="Arial Narrow" w:hAnsi="Arial Narrow"/>
                <w:b/>
                <w:color w:val="000000" w:themeColor="text1"/>
                <w:sz w:val="20"/>
                <w:szCs w:val="20"/>
              </w:rPr>
              <w:t>vs.</w:t>
            </w:r>
            <w:r w:rsidRPr="009A0E7B">
              <w:rPr>
                <w:rFonts w:ascii="Arial Narrow" w:hAnsi="Arial Narrow"/>
                <w:b/>
                <w:color w:val="000000" w:themeColor="text1"/>
                <w:sz w:val="20"/>
                <w:szCs w:val="20"/>
              </w:rPr>
              <w:t xml:space="preserve"> comparator)</w:t>
            </w:r>
          </w:p>
        </w:tc>
      </w:tr>
      <w:tr w:rsidR="000E5C59" w:rsidRPr="009A0E7B" w14:paraId="31714A7C" w14:textId="77777777" w:rsidTr="00BC7789">
        <w:tc>
          <w:tcPr>
            <w:tcW w:w="5000" w:type="pct"/>
            <w:gridSpan w:val="5"/>
          </w:tcPr>
          <w:p w14:paraId="5FF4125C" w14:textId="77777777" w:rsidR="000E5C59" w:rsidRPr="009A0E7B" w:rsidRDefault="000E5C59" w:rsidP="00AD2CEF">
            <w:pPr>
              <w:keepNext/>
              <w:keepLines/>
              <w:jc w:val="center"/>
              <w:rPr>
                <w:rFonts w:ascii="Arial Narrow" w:hAnsi="Arial Narrow"/>
                <w:b/>
                <w:color w:val="000000" w:themeColor="text1"/>
                <w:sz w:val="20"/>
                <w:szCs w:val="20"/>
              </w:rPr>
            </w:pPr>
            <w:r w:rsidRPr="009A0E7B">
              <w:rPr>
                <w:rFonts w:ascii="Arial Narrow" w:hAnsi="Arial Narrow"/>
                <w:b/>
                <w:color w:val="000000" w:themeColor="text1"/>
                <w:sz w:val="20"/>
                <w:szCs w:val="20"/>
              </w:rPr>
              <w:t>Induction</w:t>
            </w:r>
          </w:p>
        </w:tc>
      </w:tr>
      <w:tr w:rsidR="000E5C59" w:rsidRPr="009A0E7B" w14:paraId="5E12A006" w14:textId="77777777" w:rsidTr="00BC7789">
        <w:tc>
          <w:tcPr>
            <w:tcW w:w="726" w:type="pct"/>
          </w:tcPr>
          <w:p w14:paraId="1D37C7CD"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OZA</w:t>
            </w:r>
          </w:p>
          <w:p w14:paraId="62434293" w14:textId="66BDDF98" w:rsidR="002E2B49" w:rsidRPr="002E2B49" w:rsidRDefault="002E2B49" w:rsidP="00AD2CEF">
            <w:pPr>
              <w:keepNext/>
              <w:keepLines/>
              <w:rPr>
                <w:rFonts w:ascii="Arial Narrow" w:hAnsi="Arial Narrow"/>
                <w:b/>
                <w:bCs/>
                <w:color w:val="000000" w:themeColor="text1"/>
                <w:sz w:val="20"/>
                <w:szCs w:val="20"/>
              </w:rPr>
            </w:pPr>
          </w:p>
        </w:tc>
        <w:tc>
          <w:tcPr>
            <w:tcW w:w="911" w:type="pct"/>
          </w:tcPr>
          <w:p w14:paraId="495DDED6"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2.56 (1.45, 4.50)</w:t>
            </w:r>
          </w:p>
        </w:tc>
        <w:tc>
          <w:tcPr>
            <w:tcW w:w="911" w:type="pct"/>
          </w:tcPr>
          <w:p w14:paraId="313AA4FD"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0.07 (0.04, 0.11)</w:t>
            </w:r>
          </w:p>
        </w:tc>
        <w:tc>
          <w:tcPr>
            <w:tcW w:w="1226" w:type="pct"/>
            <w:shd w:val="clear" w:color="auto" w:fill="auto"/>
          </w:tcPr>
          <w:p w14:paraId="31D8514E"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N/a</w:t>
            </w:r>
          </w:p>
        </w:tc>
        <w:tc>
          <w:tcPr>
            <w:tcW w:w="1226" w:type="pct"/>
            <w:shd w:val="clear" w:color="auto" w:fill="auto"/>
          </w:tcPr>
          <w:p w14:paraId="52B3FD8B"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N/a</w:t>
            </w:r>
          </w:p>
        </w:tc>
      </w:tr>
      <w:tr w:rsidR="000E5C59" w:rsidRPr="009A0E7B" w14:paraId="63B1A16E" w14:textId="77777777" w:rsidTr="00BC7789">
        <w:tc>
          <w:tcPr>
            <w:tcW w:w="726" w:type="pct"/>
          </w:tcPr>
          <w:p w14:paraId="0B9200EA"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VED</w:t>
            </w:r>
          </w:p>
        </w:tc>
        <w:tc>
          <w:tcPr>
            <w:tcW w:w="911" w:type="pct"/>
          </w:tcPr>
          <w:p w14:paraId="7B39D8B6"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2.14 (1.03, 4.43)</w:t>
            </w:r>
          </w:p>
        </w:tc>
        <w:tc>
          <w:tcPr>
            <w:tcW w:w="911" w:type="pct"/>
          </w:tcPr>
          <w:p w14:paraId="753BB7CC"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0.10 (0.05, 0.15)</w:t>
            </w:r>
          </w:p>
        </w:tc>
        <w:tc>
          <w:tcPr>
            <w:tcW w:w="1226" w:type="pct"/>
          </w:tcPr>
          <w:p w14:paraId="0F070CB7"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1.196 (0.475, 3.012); p=0.7037</w:t>
            </w:r>
          </w:p>
        </w:tc>
        <w:tc>
          <w:tcPr>
            <w:tcW w:w="1226" w:type="pct"/>
          </w:tcPr>
          <w:p w14:paraId="1C7F88D9"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-0.03 (-0.091, 0.031); p=0.3353</w:t>
            </w:r>
          </w:p>
        </w:tc>
      </w:tr>
      <w:tr w:rsidR="000E5C59" w:rsidRPr="009A0E7B" w14:paraId="2DAE225B" w14:textId="77777777" w:rsidTr="00BC7789">
        <w:tc>
          <w:tcPr>
            <w:tcW w:w="726" w:type="pct"/>
          </w:tcPr>
          <w:p w14:paraId="308AE66F"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TOF</w:t>
            </w:r>
          </w:p>
        </w:tc>
        <w:tc>
          <w:tcPr>
            <w:tcW w:w="911" w:type="pct"/>
          </w:tcPr>
          <w:p w14:paraId="5BB6F242"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3.27 (1.95, 5.49)</w:t>
            </w:r>
          </w:p>
        </w:tc>
        <w:tc>
          <w:tcPr>
            <w:tcW w:w="911" w:type="pct"/>
          </w:tcPr>
          <w:p w14:paraId="1478C830"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0.16 (0.07, 0.25)</w:t>
            </w:r>
          </w:p>
        </w:tc>
        <w:tc>
          <w:tcPr>
            <w:tcW w:w="1226" w:type="pct"/>
          </w:tcPr>
          <w:p w14:paraId="78A496BA"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0.783 (0.364, 1.686); p=0.5317</w:t>
            </w:r>
          </w:p>
        </w:tc>
        <w:tc>
          <w:tcPr>
            <w:tcW w:w="1226" w:type="pct"/>
          </w:tcPr>
          <w:p w14:paraId="5D374DBD"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-0.09 (-0.187, 0.007); p=0.0677</w:t>
            </w:r>
          </w:p>
        </w:tc>
      </w:tr>
      <w:tr w:rsidR="000E5C59" w:rsidRPr="009A0E7B" w14:paraId="6A652B42" w14:textId="77777777" w:rsidTr="00BC7789">
        <w:tc>
          <w:tcPr>
            <w:tcW w:w="726" w:type="pct"/>
          </w:tcPr>
          <w:p w14:paraId="0C68B69B"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GOL</w:t>
            </w:r>
          </w:p>
        </w:tc>
        <w:tc>
          <w:tcPr>
            <w:tcW w:w="911" w:type="pct"/>
          </w:tcPr>
          <w:p w14:paraId="28321EF8"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2.79 (1.62, 4.80)</w:t>
            </w:r>
          </w:p>
        </w:tc>
        <w:tc>
          <w:tcPr>
            <w:tcW w:w="911" w:type="pct"/>
          </w:tcPr>
          <w:p w14:paraId="25DACE96"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0.11 (0.06, 0.17)</w:t>
            </w:r>
          </w:p>
        </w:tc>
        <w:tc>
          <w:tcPr>
            <w:tcW w:w="1226" w:type="pct"/>
          </w:tcPr>
          <w:p w14:paraId="563416B3"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0.918 (0.419, 2.011); p=0.8298</w:t>
            </w:r>
          </w:p>
        </w:tc>
        <w:tc>
          <w:tcPr>
            <w:tcW w:w="1226" w:type="pct"/>
          </w:tcPr>
          <w:p w14:paraId="2757B270"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-0.04 (-0.105, 0.025); p=0.2291</w:t>
            </w:r>
          </w:p>
        </w:tc>
      </w:tr>
      <w:tr w:rsidR="000E5C59" w:rsidRPr="009A0E7B" w14:paraId="3C0AECDA" w14:textId="77777777" w:rsidTr="00BC7789">
        <w:tc>
          <w:tcPr>
            <w:tcW w:w="726" w:type="pct"/>
          </w:tcPr>
          <w:p w14:paraId="46396223"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ADA</w:t>
            </w:r>
          </w:p>
        </w:tc>
        <w:tc>
          <w:tcPr>
            <w:tcW w:w="911" w:type="pct"/>
          </w:tcPr>
          <w:p w14:paraId="2276A66B"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1.58 (1.05, 2.40)</w:t>
            </w:r>
          </w:p>
        </w:tc>
        <w:tc>
          <w:tcPr>
            <w:tcW w:w="911" w:type="pct"/>
          </w:tcPr>
          <w:p w14:paraId="3CDB1836"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0.05 (-0.00, 0.11)</w:t>
            </w:r>
          </w:p>
        </w:tc>
        <w:tc>
          <w:tcPr>
            <w:tcW w:w="1226" w:type="pct"/>
          </w:tcPr>
          <w:p w14:paraId="3C3C9214"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1.62 (0.804, 3.266); p=0.1773</w:t>
            </w:r>
          </w:p>
        </w:tc>
        <w:tc>
          <w:tcPr>
            <w:tcW w:w="1226" w:type="pct"/>
          </w:tcPr>
          <w:p w14:paraId="7ABCE786" w14:textId="77777777" w:rsidR="000E5C59" w:rsidRPr="009A0E7B" w:rsidRDefault="000E5C59" w:rsidP="00AD2CEF">
            <w:pPr>
              <w:keepNext/>
              <w:keepLines/>
              <w:jc w:val="left"/>
              <w:rPr>
                <w:rFonts w:ascii="Arial Narrow" w:hAnsi="Arial Narrow"/>
                <w:b/>
                <w:color w:val="000000" w:themeColor="text1"/>
                <w:sz w:val="20"/>
                <w:szCs w:val="20"/>
              </w:rPr>
            </w:pPr>
            <w:r w:rsidRPr="009A0E7B">
              <w:rPr>
                <w:rFonts w:ascii="Arial Narrow" w:hAnsi="Arial Narrow"/>
                <w:bCs/>
                <w:color w:val="000000" w:themeColor="text1"/>
                <w:sz w:val="20"/>
                <w:szCs w:val="20"/>
              </w:rPr>
              <w:t>0.02 (-0.045, 0.085); p=0.5476</w:t>
            </w:r>
          </w:p>
        </w:tc>
      </w:tr>
      <w:tr w:rsidR="000E5C59" w:rsidRPr="009A0E7B" w14:paraId="03251EF7" w14:textId="77777777" w:rsidTr="00BC7789">
        <w:tc>
          <w:tcPr>
            <w:tcW w:w="5000" w:type="pct"/>
            <w:gridSpan w:val="5"/>
          </w:tcPr>
          <w:p w14:paraId="0A2D33B3" w14:textId="77777777" w:rsidR="000E5C59" w:rsidRPr="009A0E7B" w:rsidRDefault="000E5C59" w:rsidP="00AD2CEF">
            <w:pPr>
              <w:keepNext/>
              <w:keepLines/>
              <w:jc w:val="center"/>
              <w:rPr>
                <w:rFonts w:ascii="Arial Narrow" w:hAnsi="Arial Narrow"/>
                <w:b/>
                <w:color w:val="000000" w:themeColor="text1"/>
                <w:sz w:val="20"/>
                <w:szCs w:val="20"/>
              </w:rPr>
            </w:pPr>
            <w:r w:rsidRPr="009A0E7B">
              <w:rPr>
                <w:rFonts w:ascii="Arial Narrow" w:hAnsi="Arial Narrow"/>
                <w:b/>
                <w:color w:val="000000" w:themeColor="text1"/>
                <w:sz w:val="20"/>
                <w:szCs w:val="20"/>
              </w:rPr>
              <w:t>Maintenance</w:t>
            </w:r>
          </w:p>
        </w:tc>
      </w:tr>
      <w:tr w:rsidR="000E5C59" w:rsidRPr="009A0E7B" w14:paraId="5FD63C14" w14:textId="77777777" w:rsidTr="00BC7789">
        <w:tc>
          <w:tcPr>
            <w:tcW w:w="726" w:type="pct"/>
          </w:tcPr>
          <w:p w14:paraId="10E6F426"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OZA</w:t>
            </w:r>
          </w:p>
          <w:p w14:paraId="4221A167" w14:textId="034F3668" w:rsidR="002E2B49" w:rsidRPr="002E2B49" w:rsidRDefault="002E2B49" w:rsidP="00AD2CEF">
            <w:pPr>
              <w:keepNext/>
              <w:keepLines/>
              <w:rPr>
                <w:rFonts w:ascii="Arial Narrow" w:hAnsi="Arial Narrow"/>
                <w:b/>
                <w:bCs/>
                <w:color w:val="000000" w:themeColor="text1"/>
                <w:sz w:val="20"/>
                <w:szCs w:val="20"/>
              </w:rPr>
            </w:pPr>
          </w:p>
        </w:tc>
        <w:tc>
          <w:tcPr>
            <w:tcW w:w="911" w:type="pct"/>
          </w:tcPr>
          <w:p w14:paraId="1F39C4B0"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1.84 (1.13, 2.99)</w:t>
            </w:r>
          </w:p>
        </w:tc>
        <w:tc>
          <w:tcPr>
            <w:tcW w:w="911" w:type="pct"/>
          </w:tcPr>
          <w:p w14:paraId="063B5D5F"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0.08 (0.02, 0.14)</w:t>
            </w:r>
          </w:p>
        </w:tc>
        <w:tc>
          <w:tcPr>
            <w:tcW w:w="1226" w:type="pct"/>
          </w:tcPr>
          <w:p w14:paraId="2E79B94A"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N/a</w:t>
            </w:r>
          </w:p>
        </w:tc>
        <w:tc>
          <w:tcPr>
            <w:tcW w:w="1226" w:type="pct"/>
          </w:tcPr>
          <w:p w14:paraId="0EC61311" w14:textId="77777777" w:rsidR="000E5C59" w:rsidRPr="009A0E7B" w:rsidRDefault="000E5C59" w:rsidP="00AD2CEF">
            <w:pPr>
              <w:keepNext/>
              <w:keepLines/>
              <w:rPr>
                <w:rFonts w:ascii="Arial Narrow" w:hAnsi="Arial Narrow"/>
                <w:b/>
                <w:color w:val="000000" w:themeColor="text1"/>
                <w:sz w:val="20"/>
                <w:szCs w:val="20"/>
              </w:rPr>
            </w:pPr>
            <w:r w:rsidRPr="009A0E7B">
              <w:rPr>
                <w:rFonts w:ascii="Arial Narrow" w:hAnsi="Arial Narrow"/>
                <w:bCs/>
                <w:color w:val="000000" w:themeColor="text1"/>
                <w:sz w:val="20"/>
                <w:szCs w:val="20"/>
              </w:rPr>
              <w:t>N/a</w:t>
            </w:r>
          </w:p>
        </w:tc>
      </w:tr>
      <w:tr w:rsidR="000E5C59" w:rsidRPr="009A0E7B" w14:paraId="0DA2FE83" w14:textId="77777777" w:rsidTr="00BC7789">
        <w:tc>
          <w:tcPr>
            <w:tcW w:w="726" w:type="pct"/>
          </w:tcPr>
          <w:p w14:paraId="38CBC15A"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VED</w:t>
            </w:r>
          </w:p>
        </w:tc>
        <w:tc>
          <w:tcPr>
            <w:tcW w:w="911" w:type="pct"/>
          </w:tcPr>
          <w:p w14:paraId="7BC57DB9"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2.16 (1.34, 3.48)</w:t>
            </w:r>
          </w:p>
        </w:tc>
        <w:tc>
          <w:tcPr>
            <w:tcW w:w="911" w:type="pct"/>
          </w:tcPr>
          <w:p w14:paraId="62750EDA"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0.11 (0.05, 0.17)</w:t>
            </w:r>
          </w:p>
        </w:tc>
        <w:tc>
          <w:tcPr>
            <w:tcW w:w="1226" w:type="pct"/>
          </w:tcPr>
          <w:p w14:paraId="3FC7A9B8"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0.852 (0.431, 1.684); p=0.6447</w:t>
            </w:r>
          </w:p>
        </w:tc>
        <w:tc>
          <w:tcPr>
            <w:tcW w:w="1226" w:type="pct"/>
          </w:tcPr>
          <w:p w14:paraId="69C6E097" w14:textId="77777777" w:rsidR="000E5C59" w:rsidRPr="009A0E7B" w:rsidRDefault="000E5C59" w:rsidP="00AD2CEF">
            <w:pPr>
              <w:keepNext/>
              <w:keepLines/>
              <w:jc w:val="left"/>
              <w:rPr>
                <w:rFonts w:ascii="Arial Narrow" w:hAnsi="Arial Narrow"/>
                <w:b/>
                <w:color w:val="000000" w:themeColor="text1"/>
                <w:sz w:val="20"/>
                <w:szCs w:val="20"/>
              </w:rPr>
            </w:pPr>
            <w:r w:rsidRPr="009A0E7B">
              <w:rPr>
                <w:rFonts w:ascii="Arial Narrow" w:hAnsi="Arial Narrow"/>
                <w:bCs/>
                <w:color w:val="000000" w:themeColor="text1"/>
                <w:sz w:val="20"/>
                <w:szCs w:val="20"/>
              </w:rPr>
              <w:t>-0.03 (-0.115, 0.055); p=0.4883</w:t>
            </w:r>
          </w:p>
        </w:tc>
      </w:tr>
      <w:tr w:rsidR="000E5C59" w:rsidRPr="009A0E7B" w14:paraId="19A3CD76" w14:textId="77777777" w:rsidTr="00BC7789">
        <w:tc>
          <w:tcPr>
            <w:tcW w:w="726" w:type="pct"/>
          </w:tcPr>
          <w:p w14:paraId="410AB285" w14:textId="722299FC"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TOF 5</w:t>
            </w:r>
            <w:r w:rsidR="00E61879" w:rsidRPr="002E2B49">
              <w:rPr>
                <w:rFonts w:ascii="Arial Narrow" w:hAnsi="Arial Narrow"/>
                <w:b/>
                <w:bCs/>
                <w:color w:val="000000" w:themeColor="text1"/>
                <w:sz w:val="20"/>
                <w:szCs w:val="20"/>
              </w:rPr>
              <w:t xml:space="preserve"> </w:t>
            </w:r>
            <w:r w:rsidRPr="002E2B49">
              <w:rPr>
                <w:rFonts w:ascii="Arial Narrow" w:hAnsi="Arial Narrow"/>
                <w:b/>
                <w:bCs/>
                <w:color w:val="000000" w:themeColor="text1"/>
                <w:sz w:val="20"/>
                <w:szCs w:val="20"/>
              </w:rPr>
              <w:t>mg</w:t>
            </w:r>
          </w:p>
        </w:tc>
        <w:tc>
          <w:tcPr>
            <w:tcW w:w="911" w:type="pct"/>
          </w:tcPr>
          <w:p w14:paraId="526F645E"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4.40 (2.28, 8.49)</w:t>
            </w:r>
          </w:p>
        </w:tc>
        <w:tc>
          <w:tcPr>
            <w:tcW w:w="911" w:type="pct"/>
          </w:tcPr>
          <w:p w14:paraId="166A5200"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0.17 (0.11, 0.24)</w:t>
            </w:r>
          </w:p>
        </w:tc>
        <w:tc>
          <w:tcPr>
            <w:tcW w:w="1226" w:type="pct"/>
          </w:tcPr>
          <w:p w14:paraId="07D89A67"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
                <w:color w:val="000000" w:themeColor="text1"/>
                <w:sz w:val="20"/>
                <w:szCs w:val="20"/>
              </w:rPr>
              <w:t>0.418 (0.185, 0.947); p=0.0367</w:t>
            </w:r>
          </w:p>
        </w:tc>
        <w:tc>
          <w:tcPr>
            <w:tcW w:w="1226" w:type="pct"/>
          </w:tcPr>
          <w:p w14:paraId="1BA81113" w14:textId="77777777" w:rsidR="000E5C59" w:rsidRPr="009A0E7B" w:rsidRDefault="000E5C59" w:rsidP="00AD2CE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-0.09 (-0.178, -0.002); p=0.0461</w:t>
            </w:r>
          </w:p>
        </w:tc>
      </w:tr>
      <w:tr w:rsidR="000E5C59" w:rsidRPr="009A0E7B" w14:paraId="288D1C1D" w14:textId="77777777" w:rsidTr="00BC7789">
        <w:tc>
          <w:tcPr>
            <w:tcW w:w="726" w:type="pct"/>
          </w:tcPr>
          <w:p w14:paraId="3C0DED40" w14:textId="02B37FFE"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TOF 10</w:t>
            </w:r>
            <w:r w:rsidR="00E61879" w:rsidRPr="002E2B49">
              <w:rPr>
                <w:rFonts w:ascii="Arial Narrow" w:hAnsi="Arial Narrow"/>
                <w:b/>
                <w:bCs/>
                <w:color w:val="000000" w:themeColor="text1"/>
                <w:sz w:val="20"/>
                <w:szCs w:val="20"/>
              </w:rPr>
              <w:t xml:space="preserve"> </w:t>
            </w:r>
            <w:r w:rsidRPr="002E2B49">
              <w:rPr>
                <w:rFonts w:ascii="Arial Narrow" w:hAnsi="Arial Narrow"/>
                <w:b/>
                <w:bCs/>
                <w:color w:val="000000" w:themeColor="text1"/>
                <w:sz w:val="20"/>
                <w:szCs w:val="20"/>
              </w:rPr>
              <w:t>mg</w:t>
            </w:r>
          </w:p>
        </w:tc>
        <w:tc>
          <w:tcPr>
            <w:tcW w:w="911" w:type="pct"/>
          </w:tcPr>
          <w:p w14:paraId="7D5391BA"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5.03 (2.62, 9.62)</w:t>
            </w:r>
          </w:p>
        </w:tc>
        <w:tc>
          <w:tcPr>
            <w:tcW w:w="911" w:type="pct"/>
          </w:tcPr>
          <w:p w14:paraId="0A0A98D7"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0.20 (0.14, 0.27)</w:t>
            </w:r>
          </w:p>
        </w:tc>
        <w:tc>
          <w:tcPr>
            <w:tcW w:w="1226" w:type="pct"/>
          </w:tcPr>
          <w:p w14:paraId="539624C7"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
                <w:color w:val="000000" w:themeColor="text1"/>
                <w:sz w:val="20"/>
                <w:szCs w:val="20"/>
              </w:rPr>
              <w:t>0.366 (0.162, 0.824); p=0.0152</w:t>
            </w:r>
          </w:p>
        </w:tc>
        <w:tc>
          <w:tcPr>
            <w:tcW w:w="1226" w:type="pct"/>
          </w:tcPr>
          <w:p w14:paraId="420DDABB" w14:textId="77777777" w:rsidR="000E5C59" w:rsidRPr="009A0E7B" w:rsidRDefault="000E5C59" w:rsidP="00AD2CEF">
            <w:pPr>
              <w:keepNext/>
              <w:keepLines/>
              <w:jc w:val="left"/>
              <w:rPr>
                <w:rFonts w:ascii="Arial Narrow" w:hAnsi="Arial Narrow"/>
                <w:b/>
                <w:color w:val="000000" w:themeColor="text1"/>
                <w:sz w:val="20"/>
                <w:szCs w:val="20"/>
              </w:rPr>
            </w:pPr>
            <w:r w:rsidRPr="009A0E7B">
              <w:rPr>
                <w:rFonts w:ascii="Arial Narrow" w:hAnsi="Arial Narrow"/>
                <w:b/>
                <w:color w:val="000000" w:themeColor="text1"/>
                <w:sz w:val="20"/>
                <w:szCs w:val="20"/>
              </w:rPr>
              <w:t>-0.12 (-0.208, -0.032); p=0.0078</w:t>
            </w:r>
          </w:p>
        </w:tc>
      </w:tr>
      <w:tr w:rsidR="000E5C59" w:rsidRPr="009A0E7B" w14:paraId="1D1839E6" w14:textId="77777777" w:rsidTr="00BC7789">
        <w:tc>
          <w:tcPr>
            <w:tcW w:w="726" w:type="pct"/>
          </w:tcPr>
          <w:p w14:paraId="487C58C1" w14:textId="77777777" w:rsidR="000E5C59" w:rsidRPr="002E2B49" w:rsidRDefault="000E5C59" w:rsidP="00AD2CEF">
            <w:pPr>
              <w:keepNext/>
              <w:keepLines/>
              <w:rPr>
                <w:rFonts w:ascii="Arial Narrow" w:hAnsi="Arial Narrow"/>
                <w:b/>
                <w:bCs/>
                <w:color w:val="000000" w:themeColor="text1"/>
                <w:sz w:val="20"/>
                <w:szCs w:val="20"/>
              </w:rPr>
            </w:pPr>
            <w:r w:rsidRPr="002E2B49">
              <w:rPr>
                <w:rFonts w:ascii="Arial Narrow" w:hAnsi="Arial Narrow"/>
                <w:b/>
                <w:bCs/>
                <w:color w:val="000000" w:themeColor="text1"/>
                <w:sz w:val="20"/>
                <w:szCs w:val="20"/>
              </w:rPr>
              <w:t>GOL</w:t>
            </w:r>
          </w:p>
        </w:tc>
        <w:tc>
          <w:tcPr>
            <w:tcW w:w="911" w:type="pct"/>
          </w:tcPr>
          <w:p w14:paraId="6565C43F"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3.22 (0.76, 13.63)</w:t>
            </w:r>
          </w:p>
        </w:tc>
        <w:tc>
          <w:tcPr>
            <w:tcW w:w="911" w:type="pct"/>
          </w:tcPr>
          <w:p w14:paraId="0C268074" w14:textId="77777777" w:rsidR="000E5C59" w:rsidRPr="009A0E7B" w:rsidRDefault="000E5C59"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0.27 (-0.04, 0.57)</w:t>
            </w:r>
          </w:p>
        </w:tc>
        <w:tc>
          <w:tcPr>
            <w:tcW w:w="1226" w:type="pct"/>
          </w:tcPr>
          <w:p w14:paraId="3C1A9445" w14:textId="77777777" w:rsidR="000E5C59" w:rsidRPr="009A0E7B" w:rsidRDefault="000E5C59"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0.571 (0.125, 2.621); p=0.4715</w:t>
            </w:r>
          </w:p>
        </w:tc>
        <w:tc>
          <w:tcPr>
            <w:tcW w:w="1226" w:type="pct"/>
          </w:tcPr>
          <w:p w14:paraId="62B6E265" w14:textId="77777777" w:rsidR="000E5C59" w:rsidRPr="009A0E7B" w:rsidRDefault="000E5C59" w:rsidP="00AD2CEF">
            <w:pPr>
              <w:keepNext/>
              <w:keepLines/>
              <w:jc w:val="left"/>
              <w:rPr>
                <w:rFonts w:ascii="Arial Narrow" w:hAnsi="Arial Narrow"/>
                <w:b/>
                <w:color w:val="000000" w:themeColor="text1"/>
                <w:sz w:val="20"/>
                <w:szCs w:val="20"/>
              </w:rPr>
            </w:pPr>
            <w:r w:rsidRPr="009A0E7B">
              <w:rPr>
                <w:rFonts w:ascii="Arial Narrow" w:hAnsi="Arial Narrow"/>
                <w:bCs/>
                <w:color w:val="000000" w:themeColor="text1"/>
                <w:sz w:val="20"/>
                <w:szCs w:val="20"/>
              </w:rPr>
              <w:t>-0.19 (-0.501, 0.121); p=0.2309</w:t>
            </w:r>
          </w:p>
        </w:tc>
      </w:tr>
      <w:tr w:rsidR="00ED349D" w:rsidRPr="009A0E7B" w14:paraId="661EF9C8" w14:textId="77777777" w:rsidTr="00BC7789">
        <w:tc>
          <w:tcPr>
            <w:tcW w:w="726" w:type="pct"/>
          </w:tcPr>
          <w:p w14:paraId="5951226F" w14:textId="7AF07A58" w:rsidR="00ED349D" w:rsidRPr="002E2B49" w:rsidRDefault="00ED349D" w:rsidP="00AD2CEF">
            <w:pPr>
              <w:keepNext/>
              <w:keepLines/>
              <w:rPr>
                <w:rFonts w:ascii="Arial Narrow" w:hAnsi="Arial Narrow"/>
                <w:b/>
                <w:bCs/>
                <w:color w:val="000000" w:themeColor="text1"/>
                <w:sz w:val="20"/>
                <w:szCs w:val="20"/>
              </w:rPr>
            </w:pPr>
            <w:proofErr w:type="spellStart"/>
            <w:r w:rsidRPr="002E2B49">
              <w:rPr>
                <w:rFonts w:ascii="Arial Narrow" w:hAnsi="Arial Narrow"/>
                <w:b/>
                <w:bCs/>
                <w:color w:val="000000" w:themeColor="text1"/>
                <w:sz w:val="20"/>
                <w:szCs w:val="20"/>
              </w:rPr>
              <w:t>ADA</w:t>
            </w:r>
            <w:r w:rsidR="007B6F56" w:rsidRPr="002E2B49">
              <w:rPr>
                <w:rFonts w:ascii="Arial Narrow" w:hAnsi="Arial Narrow"/>
                <w:b/>
                <w:bCs/>
                <w:color w:val="000000" w:themeColor="text1"/>
                <w:sz w:val="20"/>
                <w:szCs w:val="20"/>
                <w:vertAlign w:val="superscript"/>
              </w:rPr>
              <w:t>a</w:t>
            </w:r>
            <w:proofErr w:type="spellEnd"/>
          </w:p>
        </w:tc>
        <w:tc>
          <w:tcPr>
            <w:tcW w:w="911" w:type="pct"/>
          </w:tcPr>
          <w:p w14:paraId="18A2EB72" w14:textId="04401782" w:rsidR="00ED349D" w:rsidRPr="009A0E7B" w:rsidRDefault="00ED349D"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2.32 (1.53, 3.50)</w:t>
            </w:r>
          </w:p>
        </w:tc>
        <w:tc>
          <w:tcPr>
            <w:tcW w:w="911" w:type="pct"/>
          </w:tcPr>
          <w:p w14:paraId="3D2F3634" w14:textId="3BE99E5E" w:rsidR="00ED349D" w:rsidRPr="009A0E7B" w:rsidRDefault="00ED349D" w:rsidP="00AD2CEF">
            <w:pPr>
              <w:keepNext/>
              <w:keepLines/>
              <w:rPr>
                <w:rFonts w:ascii="Arial Narrow" w:hAnsi="Arial Narrow"/>
                <w:bCs/>
                <w:color w:val="000000" w:themeColor="text1"/>
                <w:sz w:val="20"/>
                <w:szCs w:val="20"/>
              </w:rPr>
            </w:pPr>
            <w:r w:rsidRPr="009A0E7B">
              <w:rPr>
                <w:rFonts w:ascii="Arial Narrow" w:hAnsi="Arial Narrow"/>
                <w:bCs/>
                <w:color w:val="000000" w:themeColor="text1"/>
                <w:sz w:val="20"/>
                <w:szCs w:val="20"/>
              </w:rPr>
              <w:t>0.12 (0.05, 0.19)</w:t>
            </w:r>
          </w:p>
        </w:tc>
        <w:tc>
          <w:tcPr>
            <w:tcW w:w="1226" w:type="pct"/>
          </w:tcPr>
          <w:p w14:paraId="573F2ECC" w14:textId="05CBB78F" w:rsidR="00ED349D" w:rsidRPr="009A0E7B" w:rsidRDefault="00ED349D"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1.466 (0.471, 4.562) p=0.5094</w:t>
            </w:r>
          </w:p>
        </w:tc>
        <w:tc>
          <w:tcPr>
            <w:tcW w:w="1226" w:type="pct"/>
          </w:tcPr>
          <w:p w14:paraId="2DF33402" w14:textId="042BEB20" w:rsidR="00ED349D" w:rsidRPr="009A0E7B" w:rsidRDefault="00ED349D" w:rsidP="00AD2CEF">
            <w:pPr>
              <w:keepNext/>
              <w:keepLines/>
              <w:jc w:val="left"/>
              <w:rPr>
                <w:rFonts w:ascii="Arial Narrow" w:hAnsi="Arial Narrow"/>
                <w:bCs/>
                <w:color w:val="000000" w:themeColor="text1"/>
                <w:sz w:val="20"/>
                <w:szCs w:val="20"/>
              </w:rPr>
            </w:pPr>
            <w:r w:rsidRPr="009A0E7B">
              <w:rPr>
                <w:rFonts w:ascii="Arial Narrow" w:hAnsi="Arial Narrow"/>
                <w:bCs/>
                <w:color w:val="000000" w:themeColor="text1"/>
                <w:sz w:val="20"/>
                <w:szCs w:val="20"/>
              </w:rPr>
              <w:t>0.03 (-0.105, 0.165) p=0.6623</w:t>
            </w:r>
          </w:p>
        </w:tc>
      </w:tr>
    </w:tbl>
    <w:p w14:paraId="4571F409" w14:textId="6741EA66" w:rsidR="000E5C59" w:rsidRPr="009A0E7B" w:rsidRDefault="000E5C59" w:rsidP="00AD2CEF">
      <w:pPr>
        <w:pStyle w:val="TableFigureFooter"/>
        <w:keepNext/>
        <w:keepLines/>
      </w:pPr>
      <w:r w:rsidRPr="009A0E7B">
        <w:t xml:space="preserve">Source: Compiled during the evaluation, data extracted from Table </w:t>
      </w:r>
      <w:r w:rsidR="00ED349D" w:rsidRPr="009A0E7B">
        <w:t xml:space="preserve">150, p 220 &amp; Table </w:t>
      </w:r>
      <w:r w:rsidRPr="009A0E7B">
        <w:t>155, p 233 &amp; Table 157, p 235 of the submission.</w:t>
      </w:r>
    </w:p>
    <w:p w14:paraId="3FABE20C" w14:textId="77777777" w:rsidR="000E5C59" w:rsidRPr="009A0E7B" w:rsidRDefault="000E5C59" w:rsidP="00AD2CEF">
      <w:pPr>
        <w:pStyle w:val="TableFigureFooter"/>
        <w:keepNext/>
        <w:keepLines/>
        <w:rPr>
          <w:iCs/>
        </w:rPr>
      </w:pPr>
      <w:r w:rsidRPr="009A0E7B">
        <w:rPr>
          <w:iCs/>
        </w:rPr>
        <w:t>CI = confidence interval; GOL = golimumab; ITT = intention-to-treat; N/a = not applicable; OZA = ozanimod; RD = risk difference; RR = relative risk; TOF = tofacitinib; VED = vedolizumab</w:t>
      </w:r>
    </w:p>
    <w:p w14:paraId="400BCBF6" w14:textId="295DACDF" w:rsidR="000E5C59" w:rsidRPr="009A0E7B" w:rsidRDefault="000E5C59" w:rsidP="00AD2CEF">
      <w:pPr>
        <w:pStyle w:val="TableFigureFooter"/>
        <w:keepNext/>
        <w:keepLines/>
      </w:pPr>
      <w:r w:rsidRPr="009A0E7B">
        <w:rPr>
          <w:b/>
          <w:bCs/>
        </w:rPr>
        <w:t>Bold</w:t>
      </w:r>
      <w:r w:rsidRPr="009A0E7B">
        <w:t xml:space="preserve"> indicates statistically significant difference.</w:t>
      </w:r>
    </w:p>
    <w:p w14:paraId="4EC1C6B2" w14:textId="09805C2D" w:rsidR="007B6F56" w:rsidRPr="009A0E7B" w:rsidRDefault="007B6F56" w:rsidP="00AD2CEF">
      <w:pPr>
        <w:pStyle w:val="TableFigureFooter"/>
        <w:keepNext/>
        <w:keepLines/>
      </w:pPr>
      <w:proofErr w:type="spellStart"/>
      <w:r w:rsidRPr="009A0E7B">
        <w:rPr>
          <w:vertAlign w:val="superscript"/>
        </w:rPr>
        <w:t>a</w:t>
      </w:r>
      <w:proofErr w:type="spellEnd"/>
      <w:r w:rsidRPr="009A0E7B">
        <w:t xml:space="preserve"> The ITC with ADA was conducted as a sensitivity analysis, due to concerns about differences in trial design which favour OZA precluding</w:t>
      </w:r>
      <w:r w:rsidR="00574B5E" w:rsidRPr="009A0E7B">
        <w:t xml:space="preserve"> accurate comparison</w:t>
      </w:r>
      <w:r w:rsidRPr="009A0E7B">
        <w:t>, as True North re-randomised responders from its induction phase for maintenance phase evaluation</w:t>
      </w:r>
      <w:r w:rsidR="006B5CBD" w:rsidRPr="009A0E7B">
        <w:t xml:space="preserve"> and the ADA trials did not</w:t>
      </w:r>
      <w:r w:rsidRPr="009A0E7B">
        <w:t>.</w:t>
      </w:r>
      <w:r w:rsidR="00B955C5" w:rsidRPr="009A0E7B">
        <w:rPr>
          <w:rFonts w:ascii="Calibri" w:hAnsi="Calibri"/>
          <w:snapToGrid/>
          <w:sz w:val="24"/>
          <w:szCs w:val="24"/>
        </w:rPr>
        <w:t xml:space="preserve"> </w:t>
      </w:r>
      <w:r w:rsidR="00B955C5" w:rsidRPr="009A0E7B">
        <w:t>Touchstone had low numbers who progressed to the maintenance phase (OZA 1 mg N=</w:t>
      </w:r>
      <w:proofErr w:type="gramStart"/>
      <w:r w:rsidR="00B955C5" w:rsidRPr="009A0E7B">
        <w:t>42;</w:t>
      </w:r>
      <w:proofErr w:type="gramEnd"/>
      <w:r w:rsidR="00B955C5" w:rsidRPr="009A0E7B">
        <w:t xml:space="preserve"> placebo N=25).</w:t>
      </w:r>
    </w:p>
    <w:p w14:paraId="09BDBB29" w14:textId="77777777" w:rsidR="007B6F56" w:rsidRPr="009A0E7B" w:rsidRDefault="007B6F56" w:rsidP="000E5C59">
      <w:pPr>
        <w:pStyle w:val="TableFigureFooter"/>
      </w:pPr>
    </w:p>
    <w:p w14:paraId="4F58FCD4" w14:textId="0E6B98E8" w:rsidR="00747424" w:rsidRPr="009A0E7B" w:rsidRDefault="00E0579B" w:rsidP="00780325">
      <w:pPr>
        <w:pStyle w:val="3-BodyText"/>
      </w:pPr>
      <w:r w:rsidRPr="009A0E7B">
        <w:rPr>
          <w:rFonts w:eastAsiaTheme="minorHAnsi"/>
        </w:rPr>
        <w:t>The results of the</w:t>
      </w:r>
      <w:r w:rsidR="005B3486" w:rsidRPr="009A0E7B">
        <w:rPr>
          <w:rFonts w:eastAsiaTheme="minorHAnsi"/>
        </w:rPr>
        <w:t xml:space="preserve"> secondary comparator</w:t>
      </w:r>
      <w:r w:rsidRPr="009A0E7B">
        <w:rPr>
          <w:rFonts w:eastAsiaTheme="minorHAnsi"/>
        </w:rPr>
        <w:t xml:space="preserve"> ITC</w:t>
      </w:r>
      <w:r w:rsidR="005B3486" w:rsidRPr="009A0E7B">
        <w:rPr>
          <w:rFonts w:eastAsiaTheme="minorHAnsi"/>
        </w:rPr>
        <w:t>s</w:t>
      </w:r>
      <w:r w:rsidRPr="009A0E7B">
        <w:rPr>
          <w:rFonts w:eastAsiaTheme="minorHAnsi"/>
        </w:rPr>
        <w:t xml:space="preserve"> showed that for response at induction, OZA appeared </w:t>
      </w:r>
      <w:proofErr w:type="gramStart"/>
      <w:r w:rsidRPr="009A0E7B">
        <w:rPr>
          <w:rFonts w:eastAsiaTheme="minorHAnsi"/>
        </w:rPr>
        <w:t>similar to</w:t>
      </w:r>
      <w:proofErr w:type="gramEnd"/>
      <w:r w:rsidRPr="009A0E7B">
        <w:rPr>
          <w:rFonts w:eastAsiaTheme="minorHAnsi"/>
        </w:rPr>
        <w:t xml:space="preserve"> all the secondary comparators; the point estimates were close to 1, and the 95% CIs were </w:t>
      </w:r>
      <w:r w:rsidR="006644D5" w:rsidRPr="009A0E7B">
        <w:rPr>
          <w:rFonts w:eastAsiaTheme="minorHAnsi"/>
        </w:rPr>
        <w:t xml:space="preserve">comparatively </w:t>
      </w:r>
      <w:r w:rsidRPr="009A0E7B">
        <w:rPr>
          <w:rFonts w:eastAsiaTheme="minorHAnsi"/>
        </w:rPr>
        <w:t>narrow, apart from ADA which had a statistically significant RD favouring OZA. Efficacy in the maintenance phase statistically significantly favoured TOF over OZA (both response and remission), and VED over OZA (for response). OZA was statistically significantly favoured over ADA by RD in the maintenance phase; other maintenance phase results had point estimates which favoured VED and GOL</w:t>
      </w:r>
      <w:r w:rsidR="005B3486" w:rsidRPr="009A0E7B">
        <w:rPr>
          <w:rFonts w:eastAsiaTheme="minorHAnsi"/>
        </w:rPr>
        <w:t xml:space="preserve"> over OZA</w:t>
      </w:r>
      <w:r w:rsidRPr="009A0E7B">
        <w:rPr>
          <w:rFonts w:eastAsiaTheme="minorHAnsi"/>
        </w:rPr>
        <w:t xml:space="preserve">, but wide confidence intervals </w:t>
      </w:r>
      <w:r w:rsidR="003A7B25" w:rsidRPr="009A0E7B">
        <w:rPr>
          <w:rFonts w:eastAsiaTheme="minorHAnsi" w:cstheme="minorBidi"/>
          <w:iCs/>
          <w:color w:val="000000" w:themeColor="text1"/>
          <w:szCs w:val="22"/>
        </w:rPr>
        <w:t>suggest that the ITC of OZA versus VED and GOL was not sufficiently powered to detect a true difference</w:t>
      </w:r>
      <w:r w:rsidRPr="009A0E7B">
        <w:rPr>
          <w:rFonts w:eastAsiaTheme="minorHAnsi"/>
        </w:rPr>
        <w:t>.</w:t>
      </w:r>
    </w:p>
    <w:p w14:paraId="4EEDA9FF" w14:textId="4934E2D2" w:rsidR="00AD2EBF" w:rsidRPr="003C6242" w:rsidRDefault="003D7691" w:rsidP="00E8170F">
      <w:pPr>
        <w:pStyle w:val="3-BodyText"/>
        <w:keepNext/>
        <w:keepLines/>
      </w:pPr>
      <w:bookmarkStart w:id="34" w:name="_Ref95306085"/>
      <w:r w:rsidRPr="003C6242">
        <w:lastRenderedPageBreak/>
        <w:t xml:space="preserve">For </w:t>
      </w:r>
      <w:r w:rsidR="00AD2EBF" w:rsidRPr="003C6242">
        <w:t>the secondary comparators:</w:t>
      </w:r>
      <w:bookmarkEnd w:id="34"/>
    </w:p>
    <w:p w14:paraId="233F82AF" w14:textId="3054A0ED" w:rsidR="00AD2EBF" w:rsidRPr="003C6242" w:rsidRDefault="00AD2EBF" w:rsidP="00E8170F">
      <w:pPr>
        <w:pStyle w:val="ListParagraph"/>
        <w:keepNext/>
        <w:keepLines/>
        <w:numPr>
          <w:ilvl w:val="1"/>
          <w:numId w:val="5"/>
        </w:numPr>
        <w:snapToGrid w:val="0"/>
        <w:ind w:right="113"/>
        <w:rPr>
          <w:bCs/>
        </w:rPr>
      </w:pPr>
      <w:r w:rsidRPr="003C6242">
        <w:rPr>
          <w:bCs/>
        </w:rPr>
        <w:t>For TOF</w:t>
      </w:r>
      <w:r w:rsidR="00C86AF5" w:rsidRPr="003C6242">
        <w:rPr>
          <w:bCs/>
        </w:rPr>
        <w:t>,</w:t>
      </w:r>
      <w:r w:rsidRPr="003C6242">
        <w:rPr>
          <w:bCs/>
        </w:rPr>
        <w:t xml:space="preserve"> efficacy (both response and remission) in the maintenance phase statistically significantly favoured TOF over OZA. The ESC noted the PSCR proposed that a slower onset of action of OZA vs TOF was responsible for this significant difference. The ESC considered that a slower onset of action would have a greater effect on induction outcomes, rather than maintenance where only earlier responders </w:t>
      </w:r>
      <w:proofErr w:type="gramStart"/>
      <w:r w:rsidRPr="003C6242">
        <w:rPr>
          <w:bCs/>
        </w:rPr>
        <w:t>were allowed to</w:t>
      </w:r>
      <w:proofErr w:type="gramEnd"/>
      <w:r w:rsidRPr="003C6242">
        <w:rPr>
          <w:bCs/>
        </w:rPr>
        <w:t xml:space="preserve"> continue.</w:t>
      </w:r>
    </w:p>
    <w:p w14:paraId="568545EB" w14:textId="1F339E1D" w:rsidR="00AD2EBF" w:rsidRPr="003C6242" w:rsidRDefault="00AD2EBF" w:rsidP="009573AD">
      <w:pPr>
        <w:pStyle w:val="ListParagraph"/>
        <w:numPr>
          <w:ilvl w:val="1"/>
          <w:numId w:val="5"/>
        </w:numPr>
        <w:snapToGrid w:val="0"/>
        <w:ind w:right="113"/>
        <w:rPr>
          <w:bCs/>
        </w:rPr>
      </w:pPr>
      <w:r w:rsidRPr="003C6242">
        <w:rPr>
          <w:bCs/>
        </w:rPr>
        <w:t>For VED</w:t>
      </w:r>
      <w:r w:rsidR="00C86AF5" w:rsidRPr="003C6242">
        <w:rPr>
          <w:bCs/>
        </w:rPr>
        <w:t>,</w:t>
      </w:r>
      <w:r w:rsidRPr="003C6242">
        <w:rPr>
          <w:bCs/>
        </w:rPr>
        <w:t xml:space="preserve"> efficacy (response) in the maintenance phase statistically favoured VED over OZA. The ESC noted the PSCR argued that adjusting for the higher placebo response in the True North study would remove the statistical significance. The ESC considered however that the higher placebo response rate in the OZA trials would be consistent with the suggestion that the patients included in the OZA trials had less severe/resistant disease.</w:t>
      </w:r>
    </w:p>
    <w:p w14:paraId="51D83A1D" w14:textId="20D7394F" w:rsidR="00AD2EBF" w:rsidRPr="003C6242" w:rsidRDefault="00C86AF5" w:rsidP="009573AD">
      <w:pPr>
        <w:pStyle w:val="ListParagraph"/>
        <w:numPr>
          <w:ilvl w:val="1"/>
          <w:numId w:val="5"/>
        </w:numPr>
        <w:snapToGrid w:val="0"/>
        <w:ind w:right="113"/>
        <w:rPr>
          <w:bCs/>
        </w:rPr>
      </w:pPr>
      <w:r w:rsidRPr="003C6242">
        <w:rPr>
          <w:bCs/>
        </w:rPr>
        <w:t>For</w:t>
      </w:r>
      <w:r w:rsidR="00AD2EBF" w:rsidRPr="003C6242">
        <w:rPr>
          <w:bCs/>
        </w:rPr>
        <w:t xml:space="preserve"> GOL, the ESC noted the point estimates favoured GOL over OZA but considered overall that the wide confidence intervals suggested that the ITC of OZA versus GOL was not sufficiently powered to detect a true difference. </w:t>
      </w:r>
    </w:p>
    <w:p w14:paraId="6D68E621" w14:textId="77777777" w:rsidR="00FA6D3A" w:rsidRPr="009A0E7B" w:rsidRDefault="00FA6D3A" w:rsidP="00FA6D3A">
      <w:pPr>
        <w:pStyle w:val="4-SubsectionHeading"/>
      </w:pPr>
      <w:bookmarkStart w:id="35" w:name="_Toc22897642"/>
      <w:bookmarkStart w:id="36" w:name="_Toc22898854"/>
      <w:bookmarkStart w:id="37" w:name="_Toc93489239"/>
      <w:r w:rsidRPr="009A0E7B">
        <w:t>Comparative harms</w:t>
      </w:r>
      <w:bookmarkEnd w:id="35"/>
      <w:bookmarkEnd w:id="36"/>
      <w:bookmarkEnd w:id="37"/>
    </w:p>
    <w:p w14:paraId="6C516CB5" w14:textId="4867098A" w:rsidR="00FA6D3A" w:rsidRPr="009A0E7B" w:rsidRDefault="00FA6D3A" w:rsidP="00FA6D3A">
      <w:pPr>
        <w:pStyle w:val="3-BodyText"/>
      </w:pPr>
      <w:r w:rsidRPr="009A0E7B">
        <w:t xml:space="preserve">The key safety data from True North are summarised </w:t>
      </w:r>
      <w:r w:rsidR="009C19C5" w:rsidRPr="009A0E7B">
        <w:t>in Table 10</w:t>
      </w:r>
      <w:r w:rsidRPr="009A0E7B">
        <w:t xml:space="preserve">. </w:t>
      </w:r>
    </w:p>
    <w:p w14:paraId="0AC44B2D" w14:textId="6E75D7D9" w:rsidR="00FA6D3A" w:rsidRPr="009A0E7B" w:rsidRDefault="00FA6D3A" w:rsidP="003D7691">
      <w:pPr>
        <w:pStyle w:val="TableFigureHeading"/>
        <w:keepLines/>
      </w:pPr>
      <w:r w:rsidRPr="009A0E7B">
        <w:t xml:space="preserve">Table </w:t>
      </w:r>
      <w:r w:rsidR="00061BBD">
        <w:t>10</w:t>
      </w:r>
      <w:r w:rsidRPr="009A0E7B">
        <w:t>: Overview of TEAEs, induction and maintenance period, True North safety population</w:t>
      </w:r>
    </w:p>
    <w:tbl>
      <w:tblPr>
        <w:tblStyle w:val="TableGrid"/>
        <w:tblW w:w="5000" w:type="pct"/>
        <w:tblLook w:val="04A0" w:firstRow="1" w:lastRow="0" w:firstColumn="1" w:lastColumn="0" w:noHBand="0" w:noVBand="1"/>
      </w:tblPr>
      <w:tblGrid>
        <w:gridCol w:w="2713"/>
        <w:gridCol w:w="1260"/>
        <w:gridCol w:w="1261"/>
        <w:gridCol w:w="1261"/>
        <w:gridCol w:w="1261"/>
        <w:gridCol w:w="1261"/>
      </w:tblGrid>
      <w:tr w:rsidR="00FA6D3A" w:rsidRPr="009A0E7B" w14:paraId="1352D245" w14:textId="77777777" w:rsidTr="004137F4">
        <w:trPr>
          <w:trHeight w:val="360"/>
        </w:trPr>
        <w:tc>
          <w:tcPr>
            <w:tcW w:w="1505" w:type="pct"/>
            <w:vMerge w:val="restart"/>
          </w:tcPr>
          <w:p w14:paraId="2784B4B9" w14:textId="3FFD9B6F" w:rsidR="00FA6D3A" w:rsidRPr="009A0E7B" w:rsidRDefault="00FA6D3A" w:rsidP="003D7691">
            <w:pPr>
              <w:keepNext/>
              <w:keepLines/>
              <w:jc w:val="left"/>
              <w:rPr>
                <w:rFonts w:ascii="Arial Narrow" w:hAnsi="Arial Narrow" w:cs="Times New Roman"/>
                <w:b/>
                <w:bCs/>
                <w:sz w:val="20"/>
                <w:szCs w:val="20"/>
              </w:rPr>
            </w:pPr>
            <w:r w:rsidRPr="009A0E7B">
              <w:rPr>
                <w:rFonts w:ascii="Arial Narrow" w:hAnsi="Arial Narrow" w:cs="Times New Roman"/>
                <w:b/>
                <w:bCs/>
                <w:sz w:val="20"/>
                <w:szCs w:val="20"/>
              </w:rPr>
              <w:t>Subjects with at least 1</w:t>
            </w:r>
            <w:r w:rsidR="00AA104E">
              <w:rPr>
                <w:rFonts w:ascii="Arial Narrow" w:hAnsi="Arial Narrow" w:cs="Times New Roman"/>
                <w:b/>
                <w:bCs/>
                <w:sz w:val="20"/>
                <w:szCs w:val="20"/>
              </w:rPr>
              <w:t xml:space="preserve"> event</w:t>
            </w:r>
            <w:r w:rsidRPr="009A0E7B">
              <w:rPr>
                <w:rFonts w:ascii="Arial Narrow" w:hAnsi="Arial Narrow" w:cs="Times New Roman"/>
                <w:b/>
                <w:bCs/>
                <w:sz w:val="20"/>
                <w:szCs w:val="20"/>
              </w:rPr>
              <w:t>, n (%)</w:t>
            </w:r>
          </w:p>
        </w:tc>
        <w:tc>
          <w:tcPr>
            <w:tcW w:w="1398" w:type="pct"/>
            <w:gridSpan w:val="2"/>
            <w:tcBorders>
              <w:right w:val="double" w:sz="4" w:space="0" w:color="auto"/>
            </w:tcBorders>
          </w:tcPr>
          <w:p w14:paraId="2915D99A" w14:textId="77777777" w:rsidR="00FA6D3A" w:rsidRPr="009A0E7B" w:rsidRDefault="00FA6D3A" w:rsidP="003D7691">
            <w:pPr>
              <w:keepNext/>
              <w:keepLines/>
              <w:jc w:val="center"/>
              <w:rPr>
                <w:rFonts w:ascii="Arial Narrow" w:hAnsi="Arial Narrow" w:cs="Times New Roman"/>
                <w:b/>
                <w:bCs/>
                <w:sz w:val="20"/>
                <w:szCs w:val="20"/>
              </w:rPr>
            </w:pPr>
            <w:proofErr w:type="spellStart"/>
            <w:r w:rsidRPr="009A0E7B">
              <w:rPr>
                <w:rFonts w:ascii="Arial Narrow" w:hAnsi="Arial Narrow" w:cs="Times New Roman"/>
                <w:b/>
                <w:bCs/>
                <w:sz w:val="20"/>
                <w:szCs w:val="20"/>
              </w:rPr>
              <w:t>Induction</w:t>
            </w:r>
            <w:r w:rsidRPr="009A0E7B">
              <w:rPr>
                <w:rFonts w:ascii="Arial Narrow" w:hAnsi="Arial Narrow" w:cs="Times New Roman"/>
                <w:b/>
                <w:bCs/>
                <w:sz w:val="20"/>
                <w:szCs w:val="20"/>
                <w:vertAlign w:val="superscript"/>
              </w:rPr>
              <w:t>b</w:t>
            </w:r>
            <w:proofErr w:type="spellEnd"/>
          </w:p>
        </w:tc>
        <w:tc>
          <w:tcPr>
            <w:tcW w:w="2097" w:type="pct"/>
            <w:gridSpan w:val="3"/>
            <w:tcBorders>
              <w:left w:val="double" w:sz="4" w:space="0" w:color="auto"/>
            </w:tcBorders>
          </w:tcPr>
          <w:p w14:paraId="4649ABDB" w14:textId="77777777" w:rsidR="00FA6D3A" w:rsidRPr="009A0E7B" w:rsidRDefault="00FA6D3A" w:rsidP="003D7691">
            <w:pPr>
              <w:keepNext/>
              <w:keepLines/>
              <w:jc w:val="center"/>
              <w:rPr>
                <w:rFonts w:ascii="Arial Narrow" w:hAnsi="Arial Narrow" w:cs="Times New Roman"/>
                <w:b/>
                <w:bCs/>
                <w:sz w:val="20"/>
                <w:szCs w:val="20"/>
              </w:rPr>
            </w:pPr>
            <w:proofErr w:type="spellStart"/>
            <w:r w:rsidRPr="009A0E7B">
              <w:rPr>
                <w:rFonts w:ascii="Arial Narrow" w:hAnsi="Arial Narrow" w:cs="Times New Roman"/>
                <w:b/>
                <w:bCs/>
                <w:sz w:val="20"/>
                <w:szCs w:val="20"/>
              </w:rPr>
              <w:t>Maintenance</w:t>
            </w:r>
            <w:r w:rsidRPr="009A0E7B">
              <w:rPr>
                <w:rFonts w:ascii="Arial Narrow" w:hAnsi="Arial Narrow" w:cs="Times New Roman"/>
                <w:b/>
                <w:bCs/>
                <w:sz w:val="20"/>
                <w:szCs w:val="20"/>
                <w:vertAlign w:val="superscript"/>
              </w:rPr>
              <w:t>c</w:t>
            </w:r>
            <w:proofErr w:type="spellEnd"/>
          </w:p>
        </w:tc>
      </w:tr>
      <w:tr w:rsidR="00FA6D3A" w:rsidRPr="009A0E7B" w14:paraId="68709ADC" w14:textId="77777777" w:rsidTr="004137F4">
        <w:trPr>
          <w:trHeight w:val="360"/>
        </w:trPr>
        <w:tc>
          <w:tcPr>
            <w:tcW w:w="1505" w:type="pct"/>
            <w:vMerge/>
          </w:tcPr>
          <w:p w14:paraId="6B594F25" w14:textId="77777777" w:rsidR="00FA6D3A" w:rsidRPr="009A0E7B" w:rsidRDefault="00FA6D3A" w:rsidP="003D7691">
            <w:pPr>
              <w:keepNext/>
              <w:keepLines/>
              <w:jc w:val="left"/>
              <w:rPr>
                <w:rFonts w:ascii="Arial Narrow" w:hAnsi="Arial Narrow" w:cs="Times New Roman"/>
                <w:b/>
                <w:bCs/>
                <w:sz w:val="20"/>
                <w:szCs w:val="20"/>
              </w:rPr>
            </w:pPr>
          </w:p>
        </w:tc>
        <w:tc>
          <w:tcPr>
            <w:tcW w:w="699" w:type="pct"/>
          </w:tcPr>
          <w:p w14:paraId="5C3E337A"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Cohort 1 + 2</w:t>
            </w:r>
          </w:p>
          <w:p w14:paraId="5949C508"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OZA 0.92 mg</w:t>
            </w:r>
          </w:p>
          <w:p w14:paraId="7E18AB74"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N=796</w:t>
            </w:r>
          </w:p>
        </w:tc>
        <w:tc>
          <w:tcPr>
            <w:tcW w:w="699" w:type="pct"/>
            <w:tcBorders>
              <w:right w:val="double" w:sz="4" w:space="0" w:color="auto"/>
            </w:tcBorders>
          </w:tcPr>
          <w:p w14:paraId="13768265"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Placebo</w:t>
            </w:r>
          </w:p>
          <w:p w14:paraId="44751CE8"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N=216</w:t>
            </w:r>
          </w:p>
        </w:tc>
        <w:tc>
          <w:tcPr>
            <w:tcW w:w="699" w:type="pct"/>
            <w:tcBorders>
              <w:left w:val="double" w:sz="4" w:space="0" w:color="auto"/>
            </w:tcBorders>
          </w:tcPr>
          <w:p w14:paraId="5BE2BD4E"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OZA 0.92 mg – OZA 0.92 mg</w:t>
            </w:r>
          </w:p>
          <w:p w14:paraId="24854F0D"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N=230</w:t>
            </w:r>
          </w:p>
        </w:tc>
        <w:tc>
          <w:tcPr>
            <w:tcW w:w="699" w:type="pct"/>
          </w:tcPr>
          <w:p w14:paraId="17445B49" w14:textId="77777777" w:rsidR="004137F4"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 xml:space="preserve">OZA </w:t>
            </w:r>
          </w:p>
          <w:p w14:paraId="293666E9" w14:textId="21E98948"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0.92 mg – placebo</w:t>
            </w:r>
          </w:p>
          <w:p w14:paraId="2716D389"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N=227</w:t>
            </w:r>
          </w:p>
        </w:tc>
        <w:tc>
          <w:tcPr>
            <w:tcW w:w="698" w:type="pct"/>
          </w:tcPr>
          <w:p w14:paraId="31BDEEE9"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Placebo</w:t>
            </w:r>
          </w:p>
          <w:p w14:paraId="5E8326B3" w14:textId="77777777" w:rsidR="00FA6D3A" w:rsidRPr="009A0E7B" w:rsidRDefault="00FA6D3A" w:rsidP="003D7691">
            <w:pPr>
              <w:keepNext/>
              <w:keepLines/>
              <w:jc w:val="center"/>
              <w:rPr>
                <w:rFonts w:ascii="Arial Narrow" w:hAnsi="Arial Narrow" w:cs="Times New Roman"/>
                <w:b/>
                <w:bCs/>
                <w:sz w:val="20"/>
                <w:szCs w:val="20"/>
              </w:rPr>
            </w:pPr>
            <w:r w:rsidRPr="009A0E7B">
              <w:rPr>
                <w:rFonts w:ascii="Arial Narrow" w:hAnsi="Arial Narrow" w:cs="Times New Roman"/>
                <w:b/>
                <w:bCs/>
                <w:sz w:val="20"/>
                <w:szCs w:val="20"/>
              </w:rPr>
              <w:t>N=69</w:t>
            </w:r>
          </w:p>
        </w:tc>
      </w:tr>
      <w:tr w:rsidR="00FA6D3A" w:rsidRPr="009A0E7B" w14:paraId="2DC70591" w14:textId="77777777" w:rsidTr="004137F4">
        <w:tc>
          <w:tcPr>
            <w:tcW w:w="1505" w:type="pct"/>
          </w:tcPr>
          <w:p w14:paraId="42F1D119" w14:textId="77777777"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TEAE</w:t>
            </w:r>
          </w:p>
        </w:tc>
        <w:tc>
          <w:tcPr>
            <w:tcW w:w="699" w:type="pct"/>
            <w:vAlign w:val="bottom"/>
          </w:tcPr>
          <w:p w14:paraId="51EF8A7E" w14:textId="77777777" w:rsidR="00FA6D3A" w:rsidRPr="009A0E7B" w:rsidRDefault="00FA6D3A" w:rsidP="003D7691">
            <w:pPr>
              <w:keepNext/>
              <w:keepLines/>
              <w:jc w:val="center"/>
              <w:rPr>
                <w:rFonts w:ascii="Arial Narrow" w:hAnsi="Arial Narrow" w:cs="Calibri"/>
                <w:color w:val="000000"/>
                <w:sz w:val="20"/>
                <w:szCs w:val="20"/>
              </w:rPr>
            </w:pPr>
            <w:r w:rsidRPr="009A0E7B">
              <w:rPr>
                <w:rFonts w:ascii="Arial Narrow" w:hAnsi="Arial Narrow" w:cs="Calibri"/>
                <w:color w:val="000000"/>
                <w:sz w:val="20"/>
                <w:szCs w:val="20"/>
              </w:rPr>
              <w:t>318 (39.9)</w:t>
            </w:r>
          </w:p>
        </w:tc>
        <w:tc>
          <w:tcPr>
            <w:tcW w:w="699" w:type="pct"/>
            <w:tcBorders>
              <w:right w:val="double" w:sz="4" w:space="0" w:color="auto"/>
            </w:tcBorders>
          </w:tcPr>
          <w:p w14:paraId="6DA0D884"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82 (38.0)</w:t>
            </w:r>
          </w:p>
        </w:tc>
        <w:tc>
          <w:tcPr>
            <w:tcW w:w="699" w:type="pct"/>
            <w:tcBorders>
              <w:left w:val="double" w:sz="4" w:space="0" w:color="auto"/>
            </w:tcBorders>
          </w:tcPr>
          <w:p w14:paraId="4E9F2A80"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113 (49.1)</w:t>
            </w:r>
          </w:p>
        </w:tc>
        <w:tc>
          <w:tcPr>
            <w:tcW w:w="699" w:type="pct"/>
          </w:tcPr>
          <w:p w14:paraId="4B2E55BA"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83 (36.6)</w:t>
            </w:r>
          </w:p>
        </w:tc>
        <w:tc>
          <w:tcPr>
            <w:tcW w:w="698" w:type="pct"/>
          </w:tcPr>
          <w:p w14:paraId="4B9BA99F"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27 (39.1)</w:t>
            </w:r>
          </w:p>
        </w:tc>
      </w:tr>
      <w:tr w:rsidR="00FA6D3A" w:rsidRPr="009A0E7B" w14:paraId="7C5AB17E" w14:textId="77777777" w:rsidTr="004137F4">
        <w:tc>
          <w:tcPr>
            <w:tcW w:w="1505" w:type="pct"/>
          </w:tcPr>
          <w:p w14:paraId="472D461F" w14:textId="77777777"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Severe TEAE</w:t>
            </w:r>
          </w:p>
        </w:tc>
        <w:tc>
          <w:tcPr>
            <w:tcW w:w="699" w:type="pct"/>
            <w:vAlign w:val="bottom"/>
          </w:tcPr>
          <w:p w14:paraId="2EE7E0D0"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Calibri"/>
                <w:color w:val="000000"/>
                <w:sz w:val="20"/>
                <w:szCs w:val="20"/>
              </w:rPr>
              <w:t>28 (3.5)</w:t>
            </w:r>
          </w:p>
        </w:tc>
        <w:tc>
          <w:tcPr>
            <w:tcW w:w="699" w:type="pct"/>
            <w:tcBorders>
              <w:right w:val="double" w:sz="4" w:space="0" w:color="auto"/>
            </w:tcBorders>
          </w:tcPr>
          <w:p w14:paraId="10A86554"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4 (1.9)</w:t>
            </w:r>
          </w:p>
        </w:tc>
        <w:tc>
          <w:tcPr>
            <w:tcW w:w="699" w:type="pct"/>
            <w:tcBorders>
              <w:left w:val="double" w:sz="4" w:space="0" w:color="auto"/>
            </w:tcBorders>
          </w:tcPr>
          <w:p w14:paraId="27441239"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9 (3.9)</w:t>
            </w:r>
          </w:p>
        </w:tc>
        <w:tc>
          <w:tcPr>
            <w:tcW w:w="699" w:type="pct"/>
          </w:tcPr>
          <w:p w14:paraId="797BCBDA"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9 (4.0)</w:t>
            </w:r>
          </w:p>
        </w:tc>
        <w:tc>
          <w:tcPr>
            <w:tcW w:w="698" w:type="pct"/>
          </w:tcPr>
          <w:p w14:paraId="1D485E69"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 (1.4)</w:t>
            </w:r>
          </w:p>
        </w:tc>
      </w:tr>
      <w:tr w:rsidR="00FA6D3A" w:rsidRPr="009A0E7B" w14:paraId="6B9E68A8" w14:textId="77777777" w:rsidTr="004137F4">
        <w:tc>
          <w:tcPr>
            <w:tcW w:w="1505" w:type="pct"/>
          </w:tcPr>
          <w:p w14:paraId="3E581653" w14:textId="77777777"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 xml:space="preserve">Suspected related </w:t>
            </w:r>
            <w:proofErr w:type="spellStart"/>
            <w:r w:rsidRPr="009A0E7B">
              <w:rPr>
                <w:rFonts w:ascii="Arial Narrow" w:hAnsi="Arial Narrow" w:cs="Times New Roman"/>
                <w:sz w:val="20"/>
                <w:szCs w:val="20"/>
              </w:rPr>
              <w:t>TEAE</w:t>
            </w:r>
            <w:r w:rsidRPr="009A0E7B">
              <w:rPr>
                <w:rFonts w:ascii="Arial Narrow" w:hAnsi="Arial Narrow" w:cs="Times New Roman"/>
                <w:sz w:val="20"/>
                <w:szCs w:val="20"/>
                <w:vertAlign w:val="superscript"/>
              </w:rPr>
              <w:t>a</w:t>
            </w:r>
            <w:proofErr w:type="spellEnd"/>
          </w:p>
        </w:tc>
        <w:tc>
          <w:tcPr>
            <w:tcW w:w="699" w:type="pct"/>
            <w:vAlign w:val="bottom"/>
          </w:tcPr>
          <w:p w14:paraId="545D4930"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Calibri"/>
                <w:color w:val="000000"/>
                <w:sz w:val="20"/>
                <w:szCs w:val="20"/>
              </w:rPr>
              <w:t>93 (11.7)</w:t>
            </w:r>
          </w:p>
        </w:tc>
        <w:tc>
          <w:tcPr>
            <w:tcW w:w="699" w:type="pct"/>
            <w:tcBorders>
              <w:right w:val="double" w:sz="4" w:space="0" w:color="auto"/>
            </w:tcBorders>
          </w:tcPr>
          <w:p w14:paraId="19CDAAE1"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17 (7.9)</w:t>
            </w:r>
          </w:p>
        </w:tc>
        <w:tc>
          <w:tcPr>
            <w:tcW w:w="699" w:type="pct"/>
            <w:tcBorders>
              <w:left w:val="double" w:sz="4" w:space="0" w:color="auto"/>
            </w:tcBorders>
          </w:tcPr>
          <w:p w14:paraId="0221378F"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27 (11.7)</w:t>
            </w:r>
          </w:p>
        </w:tc>
        <w:tc>
          <w:tcPr>
            <w:tcW w:w="699" w:type="pct"/>
          </w:tcPr>
          <w:p w14:paraId="4F5D16CE"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12 (5.3)</w:t>
            </w:r>
          </w:p>
        </w:tc>
        <w:tc>
          <w:tcPr>
            <w:tcW w:w="698" w:type="pct"/>
          </w:tcPr>
          <w:p w14:paraId="4140BCF9"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2 (2.9)</w:t>
            </w:r>
          </w:p>
        </w:tc>
      </w:tr>
      <w:tr w:rsidR="00FA6D3A" w:rsidRPr="009A0E7B" w14:paraId="7792CF86" w14:textId="77777777" w:rsidTr="004137F4">
        <w:tc>
          <w:tcPr>
            <w:tcW w:w="1505" w:type="pct"/>
          </w:tcPr>
          <w:p w14:paraId="3721EAD2" w14:textId="77777777"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Serious TEAE</w:t>
            </w:r>
          </w:p>
        </w:tc>
        <w:tc>
          <w:tcPr>
            <w:tcW w:w="699" w:type="pct"/>
            <w:vAlign w:val="bottom"/>
          </w:tcPr>
          <w:p w14:paraId="2B3A4272"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Calibri"/>
                <w:color w:val="000000"/>
                <w:sz w:val="20"/>
                <w:szCs w:val="20"/>
              </w:rPr>
              <w:t>40 (5.0)</w:t>
            </w:r>
          </w:p>
        </w:tc>
        <w:tc>
          <w:tcPr>
            <w:tcW w:w="699" w:type="pct"/>
            <w:tcBorders>
              <w:right w:val="double" w:sz="4" w:space="0" w:color="auto"/>
            </w:tcBorders>
          </w:tcPr>
          <w:p w14:paraId="7513E62E"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7 (3.2)</w:t>
            </w:r>
          </w:p>
        </w:tc>
        <w:tc>
          <w:tcPr>
            <w:tcW w:w="699" w:type="pct"/>
            <w:tcBorders>
              <w:left w:val="double" w:sz="4" w:space="0" w:color="auto"/>
            </w:tcBorders>
          </w:tcPr>
          <w:p w14:paraId="17725997"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12 (5.2)</w:t>
            </w:r>
          </w:p>
        </w:tc>
        <w:tc>
          <w:tcPr>
            <w:tcW w:w="699" w:type="pct"/>
          </w:tcPr>
          <w:p w14:paraId="18E3B878"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18 (7.9)</w:t>
            </w:r>
          </w:p>
        </w:tc>
        <w:tc>
          <w:tcPr>
            <w:tcW w:w="698" w:type="pct"/>
          </w:tcPr>
          <w:p w14:paraId="7328996D"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4 (5.8)</w:t>
            </w:r>
          </w:p>
        </w:tc>
      </w:tr>
      <w:tr w:rsidR="00FA6D3A" w:rsidRPr="009A0E7B" w14:paraId="4423D646" w14:textId="77777777" w:rsidTr="004137F4">
        <w:tc>
          <w:tcPr>
            <w:tcW w:w="1505" w:type="pct"/>
          </w:tcPr>
          <w:p w14:paraId="56303B4B" w14:textId="77777777"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 xml:space="preserve">Suspected related serious </w:t>
            </w:r>
            <w:proofErr w:type="spellStart"/>
            <w:r w:rsidRPr="009A0E7B">
              <w:rPr>
                <w:rFonts w:ascii="Arial Narrow" w:hAnsi="Arial Narrow" w:cs="Times New Roman"/>
                <w:sz w:val="20"/>
                <w:szCs w:val="20"/>
              </w:rPr>
              <w:t>TEAE</w:t>
            </w:r>
            <w:r w:rsidRPr="009A0E7B">
              <w:rPr>
                <w:rFonts w:ascii="Arial Narrow" w:hAnsi="Arial Narrow" w:cs="Times New Roman"/>
                <w:sz w:val="20"/>
                <w:szCs w:val="20"/>
                <w:vertAlign w:val="superscript"/>
              </w:rPr>
              <w:t>a</w:t>
            </w:r>
            <w:proofErr w:type="spellEnd"/>
          </w:p>
        </w:tc>
        <w:tc>
          <w:tcPr>
            <w:tcW w:w="699" w:type="pct"/>
            <w:vAlign w:val="bottom"/>
          </w:tcPr>
          <w:p w14:paraId="135F9094"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Calibri"/>
                <w:color w:val="000000"/>
                <w:sz w:val="20"/>
                <w:szCs w:val="20"/>
              </w:rPr>
              <w:t>4 (0.5)</w:t>
            </w:r>
          </w:p>
        </w:tc>
        <w:tc>
          <w:tcPr>
            <w:tcW w:w="699" w:type="pct"/>
            <w:tcBorders>
              <w:right w:val="double" w:sz="4" w:space="0" w:color="auto"/>
            </w:tcBorders>
          </w:tcPr>
          <w:p w14:paraId="543A398F"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2 (0.9)</w:t>
            </w:r>
          </w:p>
        </w:tc>
        <w:tc>
          <w:tcPr>
            <w:tcW w:w="699" w:type="pct"/>
            <w:tcBorders>
              <w:left w:val="double" w:sz="4" w:space="0" w:color="auto"/>
            </w:tcBorders>
          </w:tcPr>
          <w:p w14:paraId="58BEFAD7"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0</w:t>
            </w:r>
          </w:p>
        </w:tc>
        <w:tc>
          <w:tcPr>
            <w:tcW w:w="699" w:type="pct"/>
          </w:tcPr>
          <w:p w14:paraId="31A9E66B"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 (0.4)</w:t>
            </w:r>
          </w:p>
        </w:tc>
        <w:tc>
          <w:tcPr>
            <w:tcW w:w="698" w:type="pct"/>
          </w:tcPr>
          <w:p w14:paraId="5DF96851"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 (1.4)</w:t>
            </w:r>
          </w:p>
        </w:tc>
      </w:tr>
      <w:tr w:rsidR="00FA6D3A" w:rsidRPr="009A0E7B" w14:paraId="0FA5AD88" w14:textId="77777777" w:rsidTr="004137F4">
        <w:tc>
          <w:tcPr>
            <w:tcW w:w="1505" w:type="pct"/>
          </w:tcPr>
          <w:p w14:paraId="2DE01605" w14:textId="53182167"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TEAE leading to discontinuation</w:t>
            </w:r>
          </w:p>
        </w:tc>
        <w:tc>
          <w:tcPr>
            <w:tcW w:w="699" w:type="pct"/>
          </w:tcPr>
          <w:p w14:paraId="08B98873"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Calibri"/>
                <w:color w:val="000000"/>
                <w:sz w:val="20"/>
                <w:szCs w:val="20"/>
              </w:rPr>
              <w:t>28 (3.5)</w:t>
            </w:r>
          </w:p>
        </w:tc>
        <w:tc>
          <w:tcPr>
            <w:tcW w:w="699" w:type="pct"/>
            <w:tcBorders>
              <w:right w:val="double" w:sz="4" w:space="0" w:color="auto"/>
            </w:tcBorders>
          </w:tcPr>
          <w:p w14:paraId="50B453F5"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7 (3.2)</w:t>
            </w:r>
          </w:p>
        </w:tc>
        <w:tc>
          <w:tcPr>
            <w:tcW w:w="699" w:type="pct"/>
            <w:tcBorders>
              <w:left w:val="double" w:sz="4" w:space="0" w:color="auto"/>
            </w:tcBorders>
          </w:tcPr>
          <w:p w14:paraId="3105AFFA"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3 (1.3)</w:t>
            </w:r>
          </w:p>
        </w:tc>
        <w:tc>
          <w:tcPr>
            <w:tcW w:w="699" w:type="pct"/>
          </w:tcPr>
          <w:p w14:paraId="423CD8B8"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6 (2.6)</w:t>
            </w:r>
          </w:p>
        </w:tc>
        <w:tc>
          <w:tcPr>
            <w:tcW w:w="698" w:type="pct"/>
          </w:tcPr>
          <w:p w14:paraId="3352EEF3"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0</w:t>
            </w:r>
          </w:p>
        </w:tc>
      </w:tr>
      <w:tr w:rsidR="00FA6D3A" w:rsidRPr="009A0E7B" w14:paraId="61AE38C9" w14:textId="77777777" w:rsidTr="004137F4">
        <w:tc>
          <w:tcPr>
            <w:tcW w:w="1505" w:type="pct"/>
          </w:tcPr>
          <w:p w14:paraId="61FEF84C" w14:textId="5FC6522B"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TEAE leading to interruption</w:t>
            </w:r>
          </w:p>
        </w:tc>
        <w:tc>
          <w:tcPr>
            <w:tcW w:w="699" w:type="pct"/>
          </w:tcPr>
          <w:p w14:paraId="0D8856CD"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11 (1.4)</w:t>
            </w:r>
          </w:p>
        </w:tc>
        <w:tc>
          <w:tcPr>
            <w:tcW w:w="699" w:type="pct"/>
            <w:tcBorders>
              <w:right w:val="double" w:sz="4" w:space="0" w:color="auto"/>
            </w:tcBorders>
          </w:tcPr>
          <w:p w14:paraId="4276AC1F"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3 (1.4)</w:t>
            </w:r>
          </w:p>
        </w:tc>
        <w:tc>
          <w:tcPr>
            <w:tcW w:w="699" w:type="pct"/>
            <w:tcBorders>
              <w:left w:val="double" w:sz="4" w:space="0" w:color="auto"/>
            </w:tcBorders>
          </w:tcPr>
          <w:p w14:paraId="5DB5FD32"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8 (3.5)</w:t>
            </w:r>
          </w:p>
        </w:tc>
        <w:tc>
          <w:tcPr>
            <w:tcW w:w="699" w:type="pct"/>
          </w:tcPr>
          <w:p w14:paraId="29BF627F"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7 (3.1)</w:t>
            </w:r>
          </w:p>
        </w:tc>
        <w:tc>
          <w:tcPr>
            <w:tcW w:w="698" w:type="pct"/>
          </w:tcPr>
          <w:p w14:paraId="2E327B3A"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0</w:t>
            </w:r>
          </w:p>
        </w:tc>
      </w:tr>
      <w:tr w:rsidR="00FA6D3A" w:rsidRPr="009A0E7B" w14:paraId="113CB19E" w14:textId="77777777" w:rsidTr="004137F4">
        <w:tc>
          <w:tcPr>
            <w:tcW w:w="1505" w:type="pct"/>
          </w:tcPr>
          <w:p w14:paraId="73C55341" w14:textId="77777777" w:rsidR="00FA6D3A" w:rsidRPr="009A0E7B" w:rsidRDefault="00FA6D3A" w:rsidP="003D7691">
            <w:pPr>
              <w:keepNext/>
              <w:keepLines/>
              <w:jc w:val="left"/>
              <w:rPr>
                <w:rFonts w:ascii="Arial Narrow" w:hAnsi="Arial Narrow" w:cs="Times New Roman"/>
                <w:sz w:val="20"/>
                <w:szCs w:val="20"/>
              </w:rPr>
            </w:pPr>
            <w:r w:rsidRPr="009A0E7B">
              <w:rPr>
                <w:rFonts w:ascii="Arial Narrow" w:hAnsi="Arial Narrow" w:cs="Times New Roman"/>
                <w:sz w:val="20"/>
                <w:szCs w:val="20"/>
              </w:rPr>
              <w:t>Death</w:t>
            </w:r>
          </w:p>
        </w:tc>
        <w:tc>
          <w:tcPr>
            <w:tcW w:w="699" w:type="pct"/>
            <w:vAlign w:val="bottom"/>
          </w:tcPr>
          <w:p w14:paraId="7417D574"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Calibri"/>
                <w:color w:val="000000"/>
                <w:sz w:val="20"/>
                <w:szCs w:val="20"/>
              </w:rPr>
              <w:t>1 (0.1)</w:t>
            </w:r>
          </w:p>
        </w:tc>
        <w:tc>
          <w:tcPr>
            <w:tcW w:w="699" w:type="pct"/>
            <w:tcBorders>
              <w:right w:val="double" w:sz="4" w:space="0" w:color="auto"/>
            </w:tcBorders>
          </w:tcPr>
          <w:p w14:paraId="5164B242"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0</w:t>
            </w:r>
          </w:p>
        </w:tc>
        <w:tc>
          <w:tcPr>
            <w:tcW w:w="699" w:type="pct"/>
            <w:tcBorders>
              <w:left w:val="double" w:sz="4" w:space="0" w:color="auto"/>
            </w:tcBorders>
          </w:tcPr>
          <w:p w14:paraId="1F177634"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0</w:t>
            </w:r>
          </w:p>
        </w:tc>
        <w:tc>
          <w:tcPr>
            <w:tcW w:w="699" w:type="pct"/>
          </w:tcPr>
          <w:p w14:paraId="621E75C4"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0</w:t>
            </w:r>
          </w:p>
        </w:tc>
        <w:tc>
          <w:tcPr>
            <w:tcW w:w="698" w:type="pct"/>
          </w:tcPr>
          <w:p w14:paraId="4598C7FB" w14:textId="77777777" w:rsidR="00FA6D3A" w:rsidRPr="009A0E7B" w:rsidRDefault="00FA6D3A" w:rsidP="003D7691">
            <w:pPr>
              <w:keepNext/>
              <w:keepLines/>
              <w:jc w:val="center"/>
              <w:rPr>
                <w:rFonts w:ascii="Arial Narrow" w:hAnsi="Arial Narrow" w:cs="Times New Roman"/>
                <w:sz w:val="20"/>
                <w:szCs w:val="20"/>
              </w:rPr>
            </w:pPr>
            <w:r w:rsidRPr="009A0E7B">
              <w:rPr>
                <w:rFonts w:ascii="Arial Narrow" w:hAnsi="Arial Narrow" w:cs="Times New Roman"/>
                <w:sz w:val="20"/>
                <w:szCs w:val="20"/>
              </w:rPr>
              <w:t>0</w:t>
            </w:r>
          </w:p>
        </w:tc>
      </w:tr>
    </w:tbl>
    <w:p w14:paraId="6076AE2C" w14:textId="77777777" w:rsidR="00FA6D3A" w:rsidRPr="009A0E7B" w:rsidRDefault="00FA6D3A" w:rsidP="003D7691">
      <w:pPr>
        <w:pStyle w:val="TableFigureFooter"/>
        <w:keepNext/>
        <w:keepLines/>
      </w:pPr>
      <w:r w:rsidRPr="009A0E7B">
        <w:t>Source: Constructed during the evaluation, using data from Table 95, p 121 and Table 96, p 122 of the submission.</w:t>
      </w:r>
    </w:p>
    <w:p w14:paraId="4404BB88" w14:textId="77777777" w:rsidR="00FA6D3A" w:rsidRPr="009A0E7B" w:rsidRDefault="00FA6D3A" w:rsidP="003D7691">
      <w:pPr>
        <w:pStyle w:val="TableFigureFooter"/>
        <w:keepNext/>
        <w:keepLines/>
      </w:pPr>
      <w:r w:rsidRPr="009A0E7B">
        <w:t>AE = adverse event; IP = Induction Period; MP = Maintenance Period; TEAE = treatment-emergent adverse event</w:t>
      </w:r>
    </w:p>
    <w:p w14:paraId="049B1951" w14:textId="77777777" w:rsidR="00FA6D3A" w:rsidRPr="009A0E7B" w:rsidRDefault="00FA6D3A" w:rsidP="003D7691">
      <w:pPr>
        <w:pStyle w:val="TableFigureFooter"/>
        <w:keepNext/>
        <w:keepLines/>
      </w:pPr>
      <w:proofErr w:type="spellStart"/>
      <w:proofErr w:type="gramStart"/>
      <w:r w:rsidRPr="009A0E7B">
        <w:rPr>
          <w:vertAlign w:val="superscript"/>
        </w:rPr>
        <w:t>a</w:t>
      </w:r>
      <w:proofErr w:type="spellEnd"/>
      <w:proofErr w:type="gramEnd"/>
      <w:r w:rsidRPr="009A0E7B">
        <w:t xml:space="preserve"> Assessed as probably, possibly, or related to study drug by the investigator.</w:t>
      </w:r>
    </w:p>
    <w:p w14:paraId="4D26E1C9" w14:textId="77777777" w:rsidR="00FA6D3A" w:rsidRPr="009A0E7B" w:rsidRDefault="00FA6D3A" w:rsidP="003D7691">
      <w:pPr>
        <w:pStyle w:val="TableFigureFooter"/>
        <w:keepNext/>
        <w:keepLines/>
      </w:pPr>
      <w:r w:rsidRPr="009A0E7B">
        <w:rPr>
          <w:vertAlign w:val="superscript"/>
        </w:rPr>
        <w:t>b</w:t>
      </w:r>
      <w:r w:rsidRPr="009A0E7B">
        <w:t xml:space="preserve"> A TEAE is defined as any AE with date of first onset or date of worsening in severity on or after the date of first IP dose, excluding those with onset after the date of first MP dose. </w:t>
      </w:r>
    </w:p>
    <w:p w14:paraId="67B0C00C" w14:textId="77777777" w:rsidR="00FA6D3A" w:rsidRPr="009A0E7B" w:rsidRDefault="00FA6D3A" w:rsidP="003D7691">
      <w:pPr>
        <w:pStyle w:val="TableFigureFooter"/>
        <w:keepNext/>
        <w:keepLines/>
      </w:pPr>
      <w:r w:rsidRPr="009A0E7B">
        <w:rPr>
          <w:vertAlign w:val="superscript"/>
        </w:rPr>
        <w:t>c</w:t>
      </w:r>
      <w:r w:rsidRPr="009A0E7B">
        <w:t xml:space="preserve"> A TEAE is defined as any AE with date of first onset or date of worsening in severity on or after the date of first MP dose, excluding those with onset after the 90-day safety follow up visit.</w:t>
      </w:r>
    </w:p>
    <w:p w14:paraId="02C47902" w14:textId="77777777" w:rsidR="00FA6D3A" w:rsidRPr="009A0E7B" w:rsidRDefault="00FA6D3A" w:rsidP="003D7691">
      <w:pPr>
        <w:pStyle w:val="TableFigureFooter"/>
        <w:keepNext/>
        <w:keepLines/>
      </w:pPr>
      <w:r w:rsidRPr="009A0E7B">
        <w:t>Note: Subjects with multiple events reported for the same summary level are counted only once.</w:t>
      </w:r>
    </w:p>
    <w:p w14:paraId="466303BD" w14:textId="113FB61E" w:rsidR="00FA6D3A" w:rsidRPr="009A0E7B" w:rsidRDefault="00673F0B" w:rsidP="00FA6D3A">
      <w:pPr>
        <w:pStyle w:val="3-BodyText"/>
      </w:pPr>
      <w:r>
        <w:rPr>
          <w:iCs/>
        </w:rPr>
        <w:t xml:space="preserve">A higher proportion of patients experienced </w:t>
      </w:r>
      <w:r w:rsidR="00FA6D3A" w:rsidRPr="009A0E7B">
        <w:rPr>
          <w:iCs/>
        </w:rPr>
        <w:t>severe or serious TEAEs in the OZA cohorts compared to plac</w:t>
      </w:r>
      <w:r w:rsidR="00E8170F">
        <w:rPr>
          <w:iCs/>
        </w:rPr>
        <w:t>ebo in the induction phase, but</w:t>
      </w:r>
      <w:r>
        <w:rPr>
          <w:iCs/>
        </w:rPr>
        <w:t xml:space="preserve"> not</w:t>
      </w:r>
      <w:r w:rsidR="00FA6D3A" w:rsidRPr="009A0E7B">
        <w:rPr>
          <w:iCs/>
        </w:rPr>
        <w:t xml:space="preserve"> in the maintenance phase</w:t>
      </w:r>
      <w:r w:rsidR="0084784D" w:rsidRPr="009A0E7B">
        <w:rPr>
          <w:iCs/>
        </w:rPr>
        <w:t xml:space="preserve">. This may be due to patients who experienced serious/severe TEAEs and discontinued OZA during the induction phase, which left a higher proportion of </w:t>
      </w:r>
      <w:r w:rsidR="0084784D" w:rsidRPr="009A0E7B">
        <w:rPr>
          <w:iCs/>
        </w:rPr>
        <w:lastRenderedPageBreak/>
        <w:t xml:space="preserve">patients who </w:t>
      </w:r>
      <w:r w:rsidR="00B955C5" w:rsidRPr="009A0E7B">
        <w:rPr>
          <w:iCs/>
        </w:rPr>
        <w:t>tolerated</w:t>
      </w:r>
      <w:r w:rsidR="0084784D" w:rsidRPr="009A0E7B">
        <w:rPr>
          <w:iCs/>
        </w:rPr>
        <w:t xml:space="preserve"> OZA in the maintenance phase</w:t>
      </w:r>
      <w:r w:rsidR="00FA6D3A" w:rsidRPr="009A0E7B">
        <w:rPr>
          <w:iCs/>
        </w:rPr>
        <w:t xml:space="preserve">. </w:t>
      </w:r>
      <w:r w:rsidR="003249A9" w:rsidRPr="009A0E7B">
        <w:rPr>
          <w:iCs/>
        </w:rPr>
        <w:t>Differences in suspected related TEAEs were consistently higher in the OZA arms compared to placebo.</w:t>
      </w:r>
    </w:p>
    <w:p w14:paraId="5F934479" w14:textId="77777777" w:rsidR="00FA6D3A" w:rsidRPr="009A0E7B" w:rsidRDefault="00FA6D3A" w:rsidP="00FA6D3A">
      <w:pPr>
        <w:pStyle w:val="3-BodyText"/>
      </w:pPr>
      <w:r w:rsidRPr="009A0E7B">
        <w:t xml:space="preserve">The safety profile of OZA was </w:t>
      </w:r>
      <w:proofErr w:type="gramStart"/>
      <w:r w:rsidRPr="009A0E7B">
        <w:t>similar to</w:t>
      </w:r>
      <w:proofErr w:type="gramEnd"/>
      <w:r w:rsidRPr="009A0E7B">
        <w:t xml:space="preserve"> that of placebo in the Touchstone trial; </w:t>
      </w:r>
      <w:r w:rsidRPr="009A0E7B">
        <w:rPr>
          <w:iCs/>
        </w:rPr>
        <w:t>the low numbers in each cohort detracts from the robustness of this safety profile.</w:t>
      </w:r>
    </w:p>
    <w:p w14:paraId="783449F9" w14:textId="64E7B8A5" w:rsidR="00C628DC" w:rsidRPr="009A0E7B" w:rsidRDefault="00C628DC" w:rsidP="00B34F9E">
      <w:pPr>
        <w:pStyle w:val="3-BodyText"/>
      </w:pPr>
      <w:r w:rsidRPr="009A0E7B">
        <w:t xml:space="preserve">The submission provided a naïve comparison of the safety profiles reported for OZA and IFX to justify its claim of non-inferior safety. </w:t>
      </w:r>
      <w:r w:rsidR="00633945" w:rsidRPr="009A0E7B">
        <w:t xml:space="preserve">A summary of the IFX safety data is provided in </w:t>
      </w:r>
      <w:r w:rsidR="009C19C5" w:rsidRPr="009A0E7B">
        <w:t>Table 11</w:t>
      </w:r>
      <w:r w:rsidR="00633945" w:rsidRPr="009A0E7B">
        <w:t xml:space="preserve">. </w:t>
      </w:r>
    </w:p>
    <w:p w14:paraId="20FD31C4" w14:textId="326AFFB1" w:rsidR="00DE467A" w:rsidRPr="009A0E7B" w:rsidRDefault="00DE467A" w:rsidP="00DE467A">
      <w:pPr>
        <w:pStyle w:val="TableFigureHeading"/>
        <w:rPr>
          <w:rFonts w:eastAsia="Calibri"/>
        </w:rPr>
      </w:pPr>
      <w:bookmarkStart w:id="38" w:name="_Toc86170978"/>
      <w:r w:rsidRPr="009A0E7B">
        <w:t xml:space="preserve">Table </w:t>
      </w:r>
      <w:r w:rsidR="00061BBD">
        <w:t>11</w:t>
      </w:r>
      <w:r w:rsidRPr="009A0E7B">
        <w:t>: Safety data for IFX (Safety Population)</w:t>
      </w:r>
      <w:bookmarkEnd w:id="38"/>
    </w:p>
    <w:tbl>
      <w:tblPr>
        <w:tblStyle w:val="LashStyleTable1"/>
        <w:tblW w:w="5000" w:type="pct"/>
        <w:shd w:val="clear" w:color="auto" w:fill="FFFFFF" w:themeFill="background1"/>
        <w:tblLayout w:type="fixed"/>
        <w:tblLook w:val="04A0" w:firstRow="1" w:lastRow="0" w:firstColumn="1" w:lastColumn="0" w:noHBand="0" w:noVBand="1"/>
      </w:tblPr>
      <w:tblGrid>
        <w:gridCol w:w="1311"/>
        <w:gridCol w:w="770"/>
        <w:gridCol w:w="772"/>
        <w:gridCol w:w="770"/>
        <w:gridCol w:w="772"/>
        <w:gridCol w:w="772"/>
        <w:gridCol w:w="770"/>
        <w:gridCol w:w="772"/>
        <w:gridCol w:w="770"/>
        <w:gridCol w:w="772"/>
        <w:gridCol w:w="766"/>
      </w:tblGrid>
      <w:tr w:rsidR="009F56FA" w:rsidRPr="009A0E7B" w14:paraId="36DFDACF" w14:textId="77777777" w:rsidTr="007752A2">
        <w:trPr>
          <w:trHeight w:val="247"/>
        </w:trPr>
        <w:tc>
          <w:tcPr>
            <w:tcW w:w="727" w:type="pct"/>
            <w:vMerge w:val="restart"/>
            <w:shd w:val="clear" w:color="auto" w:fill="FFFFFF" w:themeFill="background1"/>
          </w:tcPr>
          <w:p w14:paraId="2C6AF27D" w14:textId="77777777" w:rsidR="009F56FA" w:rsidRPr="009A0E7B" w:rsidRDefault="009F56FA" w:rsidP="00DE467A">
            <w:pPr>
              <w:pStyle w:val="TableText0"/>
              <w:rPr>
                <w:sz w:val="20"/>
                <w:szCs w:val="20"/>
              </w:rPr>
            </w:pPr>
          </w:p>
        </w:tc>
        <w:tc>
          <w:tcPr>
            <w:tcW w:w="854" w:type="pct"/>
            <w:gridSpan w:val="2"/>
            <w:shd w:val="clear" w:color="auto" w:fill="FFFFFF" w:themeFill="background1"/>
          </w:tcPr>
          <w:p w14:paraId="62C466BF" w14:textId="10E3690D" w:rsidR="009F56FA" w:rsidRPr="009A0E7B" w:rsidRDefault="009F56FA" w:rsidP="009F56FA">
            <w:pPr>
              <w:pStyle w:val="TableText0"/>
              <w:rPr>
                <w:b/>
                <w:sz w:val="20"/>
                <w:szCs w:val="20"/>
              </w:rPr>
            </w:pPr>
            <w:r w:rsidRPr="009A0E7B">
              <w:rPr>
                <w:b/>
                <w:sz w:val="20"/>
                <w:szCs w:val="20"/>
              </w:rPr>
              <w:t>ACT 1</w:t>
            </w:r>
          </w:p>
        </w:tc>
        <w:tc>
          <w:tcPr>
            <w:tcW w:w="854" w:type="pct"/>
            <w:gridSpan w:val="2"/>
            <w:shd w:val="clear" w:color="auto" w:fill="FFFFFF" w:themeFill="background1"/>
          </w:tcPr>
          <w:p w14:paraId="303C5F87" w14:textId="2945E3B8" w:rsidR="009F56FA" w:rsidRPr="009A0E7B" w:rsidRDefault="009F56FA" w:rsidP="009F56FA">
            <w:pPr>
              <w:pStyle w:val="TableText0"/>
              <w:rPr>
                <w:b/>
                <w:sz w:val="20"/>
                <w:szCs w:val="20"/>
              </w:rPr>
            </w:pPr>
            <w:r w:rsidRPr="009A0E7B">
              <w:rPr>
                <w:b/>
                <w:sz w:val="20"/>
                <w:szCs w:val="20"/>
              </w:rPr>
              <w:t>ACT 2</w:t>
            </w:r>
          </w:p>
        </w:tc>
        <w:tc>
          <w:tcPr>
            <w:tcW w:w="854" w:type="pct"/>
            <w:gridSpan w:val="2"/>
            <w:shd w:val="clear" w:color="auto" w:fill="FFFFFF" w:themeFill="background1"/>
          </w:tcPr>
          <w:p w14:paraId="4204ADF7" w14:textId="7AABF748" w:rsidR="009F56FA" w:rsidRPr="009A0E7B" w:rsidRDefault="009F56FA" w:rsidP="00DE467A">
            <w:pPr>
              <w:pStyle w:val="TableText0"/>
              <w:rPr>
                <w:b/>
                <w:sz w:val="20"/>
                <w:szCs w:val="20"/>
              </w:rPr>
            </w:pPr>
            <w:r w:rsidRPr="009A0E7B">
              <w:rPr>
                <w:b/>
                <w:sz w:val="20"/>
                <w:szCs w:val="20"/>
              </w:rPr>
              <w:t xml:space="preserve">Kobayashi </w:t>
            </w:r>
            <w:r w:rsidR="007752A2" w:rsidRPr="009A0E7B">
              <w:rPr>
                <w:b/>
                <w:sz w:val="20"/>
                <w:szCs w:val="20"/>
              </w:rPr>
              <w:t>2016</w:t>
            </w:r>
          </w:p>
        </w:tc>
        <w:tc>
          <w:tcPr>
            <w:tcW w:w="854" w:type="pct"/>
            <w:gridSpan w:val="2"/>
            <w:shd w:val="clear" w:color="auto" w:fill="FFFFFF" w:themeFill="background1"/>
          </w:tcPr>
          <w:p w14:paraId="0E86DACC" w14:textId="5647C554" w:rsidR="009F56FA" w:rsidRPr="009A0E7B" w:rsidRDefault="009F56FA" w:rsidP="00DE467A">
            <w:pPr>
              <w:pStyle w:val="TableText0"/>
              <w:rPr>
                <w:b/>
                <w:sz w:val="20"/>
                <w:szCs w:val="20"/>
              </w:rPr>
            </w:pPr>
            <w:r w:rsidRPr="009A0E7B">
              <w:rPr>
                <w:b/>
                <w:sz w:val="20"/>
                <w:szCs w:val="20"/>
              </w:rPr>
              <w:t xml:space="preserve">Jiang </w:t>
            </w:r>
            <w:r w:rsidR="007752A2" w:rsidRPr="009A0E7B">
              <w:rPr>
                <w:b/>
                <w:sz w:val="20"/>
                <w:szCs w:val="20"/>
              </w:rPr>
              <w:t>2015</w:t>
            </w:r>
          </w:p>
        </w:tc>
        <w:tc>
          <w:tcPr>
            <w:tcW w:w="855" w:type="pct"/>
            <w:gridSpan w:val="2"/>
            <w:shd w:val="clear" w:color="auto" w:fill="FFFFFF" w:themeFill="background1"/>
          </w:tcPr>
          <w:p w14:paraId="13261427" w14:textId="01E14469" w:rsidR="009F56FA" w:rsidRPr="009A0E7B" w:rsidRDefault="009F56FA" w:rsidP="00DE467A">
            <w:pPr>
              <w:pStyle w:val="TableText0"/>
              <w:rPr>
                <w:b/>
                <w:sz w:val="20"/>
                <w:szCs w:val="20"/>
              </w:rPr>
            </w:pPr>
            <w:r w:rsidRPr="009A0E7B">
              <w:rPr>
                <w:b/>
                <w:sz w:val="20"/>
                <w:szCs w:val="20"/>
              </w:rPr>
              <w:t>REMICADE</w:t>
            </w:r>
          </w:p>
        </w:tc>
      </w:tr>
      <w:tr w:rsidR="009F56FA" w:rsidRPr="009A0E7B" w14:paraId="719B6BCB" w14:textId="77777777" w:rsidTr="007752A2">
        <w:trPr>
          <w:trHeight w:val="885"/>
        </w:trPr>
        <w:tc>
          <w:tcPr>
            <w:tcW w:w="727" w:type="pct"/>
            <w:vMerge/>
            <w:shd w:val="clear" w:color="auto" w:fill="FFFFFF" w:themeFill="background1"/>
          </w:tcPr>
          <w:p w14:paraId="7FFCA3C3" w14:textId="77777777" w:rsidR="009F56FA" w:rsidRPr="009A0E7B" w:rsidRDefault="009F56FA" w:rsidP="00DE467A">
            <w:pPr>
              <w:pStyle w:val="TableText0"/>
              <w:rPr>
                <w:szCs w:val="20"/>
              </w:rPr>
            </w:pPr>
          </w:p>
        </w:tc>
        <w:tc>
          <w:tcPr>
            <w:tcW w:w="427" w:type="pct"/>
            <w:shd w:val="clear" w:color="auto" w:fill="FFFFFF" w:themeFill="background1"/>
          </w:tcPr>
          <w:p w14:paraId="620D6028" w14:textId="77777777" w:rsidR="004137F4" w:rsidRDefault="009F56FA" w:rsidP="00DE467A">
            <w:pPr>
              <w:pStyle w:val="TableText0"/>
              <w:rPr>
                <w:b/>
                <w:sz w:val="20"/>
                <w:szCs w:val="20"/>
              </w:rPr>
            </w:pPr>
            <w:r w:rsidRPr="009A0E7B">
              <w:rPr>
                <w:b/>
                <w:sz w:val="20"/>
                <w:szCs w:val="20"/>
              </w:rPr>
              <w:t xml:space="preserve">IFX </w:t>
            </w:r>
          </w:p>
          <w:p w14:paraId="1A237BE2" w14:textId="2AB7A3A3" w:rsidR="009F56FA" w:rsidRPr="009A0E7B" w:rsidRDefault="009F56FA" w:rsidP="00DE467A">
            <w:pPr>
              <w:pStyle w:val="TableText0"/>
              <w:rPr>
                <w:b/>
                <w:szCs w:val="20"/>
              </w:rPr>
            </w:pPr>
            <w:r w:rsidRPr="009A0E7B">
              <w:rPr>
                <w:b/>
                <w:sz w:val="20"/>
                <w:szCs w:val="20"/>
              </w:rPr>
              <w:t>5</w:t>
            </w:r>
            <w:r w:rsidR="004137F4">
              <w:rPr>
                <w:b/>
                <w:sz w:val="20"/>
                <w:szCs w:val="20"/>
              </w:rPr>
              <w:t xml:space="preserve"> </w:t>
            </w:r>
            <w:r w:rsidRPr="009A0E7B">
              <w:rPr>
                <w:b/>
                <w:sz w:val="20"/>
                <w:szCs w:val="20"/>
              </w:rPr>
              <w:t>mg N=121</w:t>
            </w:r>
          </w:p>
        </w:tc>
        <w:tc>
          <w:tcPr>
            <w:tcW w:w="428" w:type="pct"/>
            <w:shd w:val="clear" w:color="auto" w:fill="FFFFFF" w:themeFill="background1"/>
          </w:tcPr>
          <w:p w14:paraId="5E54534F" w14:textId="162774FA" w:rsidR="009F56FA" w:rsidRPr="009A0E7B" w:rsidRDefault="009F56FA" w:rsidP="00DE467A">
            <w:pPr>
              <w:pStyle w:val="TableText0"/>
              <w:rPr>
                <w:b/>
                <w:sz w:val="20"/>
                <w:szCs w:val="20"/>
              </w:rPr>
            </w:pPr>
            <w:r w:rsidRPr="009A0E7B">
              <w:rPr>
                <w:b/>
                <w:sz w:val="20"/>
                <w:szCs w:val="20"/>
              </w:rPr>
              <w:t>PBO N=121</w:t>
            </w:r>
          </w:p>
        </w:tc>
        <w:tc>
          <w:tcPr>
            <w:tcW w:w="427" w:type="pct"/>
            <w:shd w:val="clear" w:color="auto" w:fill="FFFFFF" w:themeFill="background1"/>
          </w:tcPr>
          <w:p w14:paraId="7CF9BA8E" w14:textId="77777777" w:rsidR="004137F4" w:rsidRDefault="009F56FA" w:rsidP="00DE467A">
            <w:pPr>
              <w:pStyle w:val="TableText0"/>
              <w:rPr>
                <w:b/>
                <w:sz w:val="20"/>
                <w:szCs w:val="20"/>
              </w:rPr>
            </w:pPr>
            <w:r w:rsidRPr="009A0E7B">
              <w:rPr>
                <w:b/>
                <w:sz w:val="20"/>
                <w:szCs w:val="20"/>
              </w:rPr>
              <w:t xml:space="preserve">IFX </w:t>
            </w:r>
          </w:p>
          <w:p w14:paraId="640CDF1B" w14:textId="1E8204AA" w:rsidR="009F56FA" w:rsidRPr="009A0E7B" w:rsidRDefault="009F56FA" w:rsidP="00DE467A">
            <w:pPr>
              <w:pStyle w:val="TableText0"/>
              <w:rPr>
                <w:b/>
                <w:sz w:val="20"/>
                <w:szCs w:val="20"/>
              </w:rPr>
            </w:pPr>
            <w:r w:rsidRPr="009A0E7B">
              <w:rPr>
                <w:b/>
                <w:sz w:val="20"/>
                <w:szCs w:val="20"/>
              </w:rPr>
              <w:t>5</w:t>
            </w:r>
            <w:r w:rsidR="004137F4">
              <w:rPr>
                <w:b/>
                <w:sz w:val="20"/>
                <w:szCs w:val="20"/>
              </w:rPr>
              <w:t xml:space="preserve"> </w:t>
            </w:r>
            <w:r w:rsidRPr="009A0E7B">
              <w:rPr>
                <w:b/>
                <w:sz w:val="20"/>
                <w:szCs w:val="20"/>
              </w:rPr>
              <w:t>mg N=121</w:t>
            </w:r>
          </w:p>
        </w:tc>
        <w:tc>
          <w:tcPr>
            <w:tcW w:w="428" w:type="pct"/>
            <w:shd w:val="clear" w:color="auto" w:fill="FFFFFF" w:themeFill="background1"/>
          </w:tcPr>
          <w:p w14:paraId="5CD7EDBE" w14:textId="0F0DE6A1" w:rsidR="009F56FA" w:rsidRPr="009A0E7B" w:rsidRDefault="009F56FA" w:rsidP="00DE467A">
            <w:pPr>
              <w:pStyle w:val="TableText0"/>
              <w:rPr>
                <w:b/>
                <w:sz w:val="20"/>
                <w:szCs w:val="20"/>
              </w:rPr>
            </w:pPr>
            <w:r w:rsidRPr="009A0E7B">
              <w:rPr>
                <w:b/>
                <w:sz w:val="20"/>
                <w:szCs w:val="20"/>
              </w:rPr>
              <w:t>PBO N=123</w:t>
            </w:r>
          </w:p>
        </w:tc>
        <w:tc>
          <w:tcPr>
            <w:tcW w:w="428" w:type="pct"/>
            <w:shd w:val="clear" w:color="auto" w:fill="FFFFFF" w:themeFill="background1"/>
          </w:tcPr>
          <w:p w14:paraId="7931B62C" w14:textId="77777777" w:rsidR="004137F4" w:rsidRDefault="009F56FA" w:rsidP="009F56FA">
            <w:pPr>
              <w:pStyle w:val="TableText0"/>
              <w:rPr>
                <w:b/>
                <w:sz w:val="20"/>
                <w:szCs w:val="20"/>
              </w:rPr>
            </w:pPr>
            <w:r w:rsidRPr="009A0E7B">
              <w:rPr>
                <w:b/>
                <w:sz w:val="20"/>
                <w:szCs w:val="20"/>
              </w:rPr>
              <w:t xml:space="preserve">IFX </w:t>
            </w:r>
          </w:p>
          <w:p w14:paraId="62C8712E" w14:textId="54E53BBD" w:rsidR="009F56FA" w:rsidRPr="009A0E7B" w:rsidRDefault="009F56FA" w:rsidP="009F56FA">
            <w:pPr>
              <w:pStyle w:val="TableText0"/>
              <w:rPr>
                <w:b/>
                <w:szCs w:val="20"/>
              </w:rPr>
            </w:pPr>
            <w:r w:rsidRPr="009A0E7B">
              <w:rPr>
                <w:b/>
                <w:sz w:val="20"/>
                <w:szCs w:val="20"/>
              </w:rPr>
              <w:t>5</w:t>
            </w:r>
            <w:r w:rsidR="004137F4">
              <w:rPr>
                <w:b/>
                <w:sz w:val="20"/>
                <w:szCs w:val="20"/>
              </w:rPr>
              <w:t xml:space="preserve"> </w:t>
            </w:r>
            <w:r w:rsidRPr="009A0E7B">
              <w:rPr>
                <w:b/>
                <w:sz w:val="20"/>
                <w:szCs w:val="20"/>
              </w:rPr>
              <w:t>mg N=104</w:t>
            </w:r>
          </w:p>
        </w:tc>
        <w:tc>
          <w:tcPr>
            <w:tcW w:w="427" w:type="pct"/>
            <w:shd w:val="clear" w:color="auto" w:fill="FFFFFF" w:themeFill="background1"/>
          </w:tcPr>
          <w:p w14:paraId="3EAAE5C6" w14:textId="28801DFA" w:rsidR="009F56FA" w:rsidRPr="009A0E7B" w:rsidRDefault="009F56FA" w:rsidP="009F56FA">
            <w:pPr>
              <w:pStyle w:val="TableText0"/>
              <w:rPr>
                <w:b/>
                <w:szCs w:val="20"/>
              </w:rPr>
            </w:pPr>
            <w:r w:rsidRPr="009A0E7B">
              <w:rPr>
                <w:b/>
                <w:sz w:val="20"/>
                <w:szCs w:val="20"/>
              </w:rPr>
              <w:t>PBO N=104</w:t>
            </w:r>
          </w:p>
        </w:tc>
        <w:tc>
          <w:tcPr>
            <w:tcW w:w="428" w:type="pct"/>
            <w:shd w:val="clear" w:color="auto" w:fill="FFFFFF" w:themeFill="background1"/>
          </w:tcPr>
          <w:p w14:paraId="0A7F5A6C" w14:textId="77777777" w:rsidR="004137F4" w:rsidRDefault="009F56FA" w:rsidP="00DE467A">
            <w:pPr>
              <w:pStyle w:val="TableText0"/>
              <w:rPr>
                <w:b/>
                <w:sz w:val="20"/>
                <w:szCs w:val="20"/>
              </w:rPr>
            </w:pPr>
            <w:r w:rsidRPr="009A0E7B">
              <w:rPr>
                <w:b/>
                <w:sz w:val="20"/>
                <w:szCs w:val="20"/>
              </w:rPr>
              <w:t xml:space="preserve">IFX </w:t>
            </w:r>
          </w:p>
          <w:p w14:paraId="3D3DC4A2" w14:textId="07CACF4C" w:rsidR="009F56FA" w:rsidRPr="009A0E7B" w:rsidRDefault="009F56FA" w:rsidP="00DE467A">
            <w:pPr>
              <w:pStyle w:val="TableText0"/>
              <w:rPr>
                <w:b/>
                <w:szCs w:val="20"/>
              </w:rPr>
            </w:pPr>
            <w:r w:rsidRPr="009A0E7B">
              <w:rPr>
                <w:b/>
                <w:sz w:val="20"/>
                <w:szCs w:val="20"/>
              </w:rPr>
              <w:t>5 mg N=41</w:t>
            </w:r>
          </w:p>
        </w:tc>
        <w:tc>
          <w:tcPr>
            <w:tcW w:w="427" w:type="pct"/>
            <w:shd w:val="clear" w:color="auto" w:fill="FFFFFF" w:themeFill="background1"/>
          </w:tcPr>
          <w:p w14:paraId="05AD3D51" w14:textId="090EEA05" w:rsidR="009F56FA" w:rsidRPr="009A0E7B" w:rsidRDefault="009F56FA" w:rsidP="00DE467A">
            <w:pPr>
              <w:pStyle w:val="TableText0"/>
              <w:rPr>
                <w:b/>
                <w:szCs w:val="20"/>
              </w:rPr>
            </w:pPr>
            <w:r w:rsidRPr="009A0E7B">
              <w:rPr>
                <w:b/>
                <w:sz w:val="20"/>
                <w:szCs w:val="20"/>
              </w:rPr>
              <w:t>PBO N=41</w:t>
            </w:r>
          </w:p>
        </w:tc>
        <w:tc>
          <w:tcPr>
            <w:tcW w:w="428" w:type="pct"/>
            <w:shd w:val="clear" w:color="auto" w:fill="FFFFFF" w:themeFill="background1"/>
          </w:tcPr>
          <w:p w14:paraId="217C7F17" w14:textId="77777777" w:rsidR="004137F4" w:rsidRDefault="009F56FA" w:rsidP="009F56FA">
            <w:pPr>
              <w:pStyle w:val="TableText0"/>
              <w:rPr>
                <w:b/>
                <w:sz w:val="20"/>
                <w:szCs w:val="20"/>
              </w:rPr>
            </w:pPr>
            <w:r w:rsidRPr="009A0E7B">
              <w:rPr>
                <w:b/>
                <w:sz w:val="20"/>
                <w:szCs w:val="20"/>
              </w:rPr>
              <w:t xml:space="preserve">IFX </w:t>
            </w:r>
          </w:p>
          <w:p w14:paraId="62160452" w14:textId="3EA02A1D" w:rsidR="009F56FA" w:rsidRPr="009A0E7B" w:rsidRDefault="009F56FA" w:rsidP="009F56FA">
            <w:pPr>
              <w:pStyle w:val="TableText0"/>
              <w:rPr>
                <w:b/>
                <w:szCs w:val="20"/>
              </w:rPr>
            </w:pPr>
            <w:r w:rsidRPr="009A0E7B">
              <w:rPr>
                <w:b/>
                <w:sz w:val="20"/>
                <w:szCs w:val="20"/>
              </w:rPr>
              <w:t>5 mg N=50</w:t>
            </w:r>
          </w:p>
        </w:tc>
        <w:tc>
          <w:tcPr>
            <w:tcW w:w="428" w:type="pct"/>
            <w:shd w:val="clear" w:color="auto" w:fill="FFFFFF" w:themeFill="background1"/>
          </w:tcPr>
          <w:p w14:paraId="01B0AAF7" w14:textId="7DB51595" w:rsidR="009F56FA" w:rsidRPr="009A0E7B" w:rsidRDefault="009F56FA" w:rsidP="009F56FA">
            <w:pPr>
              <w:pStyle w:val="TableText0"/>
              <w:rPr>
                <w:b/>
                <w:szCs w:val="20"/>
              </w:rPr>
            </w:pPr>
            <w:r w:rsidRPr="009A0E7B">
              <w:rPr>
                <w:b/>
                <w:sz w:val="20"/>
                <w:szCs w:val="20"/>
              </w:rPr>
              <w:t>PBO N=49</w:t>
            </w:r>
          </w:p>
        </w:tc>
      </w:tr>
      <w:tr w:rsidR="00DE467A" w:rsidRPr="009A0E7B" w14:paraId="5CBC297B" w14:textId="77777777" w:rsidTr="007752A2">
        <w:tc>
          <w:tcPr>
            <w:tcW w:w="727" w:type="pct"/>
            <w:shd w:val="clear" w:color="auto" w:fill="FFFFFF" w:themeFill="background1"/>
          </w:tcPr>
          <w:p w14:paraId="44DA0B58" w14:textId="77777777" w:rsidR="00DE467A" w:rsidRPr="009A0E7B" w:rsidRDefault="00DE467A" w:rsidP="00DE467A">
            <w:pPr>
              <w:pStyle w:val="TableText0"/>
              <w:rPr>
                <w:sz w:val="20"/>
                <w:szCs w:val="20"/>
              </w:rPr>
            </w:pPr>
            <w:r w:rsidRPr="009A0E7B">
              <w:rPr>
                <w:sz w:val="20"/>
                <w:szCs w:val="20"/>
              </w:rPr>
              <w:t>Any AE</w:t>
            </w:r>
          </w:p>
        </w:tc>
        <w:tc>
          <w:tcPr>
            <w:tcW w:w="427" w:type="pct"/>
            <w:shd w:val="clear" w:color="auto" w:fill="FFFFFF" w:themeFill="background1"/>
          </w:tcPr>
          <w:p w14:paraId="7BF20821" w14:textId="77777777" w:rsidR="00DE467A" w:rsidRPr="009A0E7B" w:rsidRDefault="00DE467A" w:rsidP="00DE467A">
            <w:pPr>
              <w:pStyle w:val="TableText0"/>
              <w:jc w:val="center"/>
              <w:rPr>
                <w:sz w:val="20"/>
                <w:szCs w:val="20"/>
              </w:rPr>
            </w:pPr>
            <w:r w:rsidRPr="009A0E7B">
              <w:rPr>
                <w:sz w:val="20"/>
                <w:szCs w:val="20"/>
              </w:rPr>
              <w:t>106 (87.6)</w:t>
            </w:r>
          </w:p>
        </w:tc>
        <w:tc>
          <w:tcPr>
            <w:tcW w:w="428" w:type="pct"/>
            <w:shd w:val="clear" w:color="auto" w:fill="FFFFFF" w:themeFill="background1"/>
          </w:tcPr>
          <w:p w14:paraId="0F2EE00A" w14:textId="77777777" w:rsidR="00DE467A" w:rsidRPr="009A0E7B" w:rsidRDefault="00DE467A" w:rsidP="00DE467A">
            <w:pPr>
              <w:pStyle w:val="TableText0"/>
              <w:jc w:val="center"/>
              <w:rPr>
                <w:sz w:val="20"/>
                <w:szCs w:val="20"/>
              </w:rPr>
            </w:pPr>
            <w:r w:rsidRPr="009A0E7B">
              <w:rPr>
                <w:sz w:val="20"/>
                <w:szCs w:val="20"/>
              </w:rPr>
              <w:t>103 (85.1)</w:t>
            </w:r>
          </w:p>
        </w:tc>
        <w:tc>
          <w:tcPr>
            <w:tcW w:w="427" w:type="pct"/>
            <w:shd w:val="clear" w:color="auto" w:fill="FFFFFF" w:themeFill="background1"/>
          </w:tcPr>
          <w:p w14:paraId="14559177" w14:textId="77777777" w:rsidR="00DE467A" w:rsidRPr="009A0E7B" w:rsidRDefault="00DE467A" w:rsidP="00DE467A">
            <w:pPr>
              <w:pStyle w:val="TableText0"/>
              <w:jc w:val="center"/>
              <w:rPr>
                <w:sz w:val="20"/>
                <w:szCs w:val="20"/>
              </w:rPr>
            </w:pPr>
            <w:r w:rsidRPr="009A0E7B">
              <w:rPr>
                <w:sz w:val="20"/>
                <w:szCs w:val="20"/>
              </w:rPr>
              <w:t>99 (81.8)</w:t>
            </w:r>
          </w:p>
        </w:tc>
        <w:tc>
          <w:tcPr>
            <w:tcW w:w="428" w:type="pct"/>
            <w:shd w:val="clear" w:color="auto" w:fill="FFFFFF" w:themeFill="background1"/>
          </w:tcPr>
          <w:p w14:paraId="31BA2DB1" w14:textId="77777777" w:rsidR="00DE467A" w:rsidRPr="009A0E7B" w:rsidRDefault="00DE467A" w:rsidP="00DE467A">
            <w:pPr>
              <w:pStyle w:val="TableText0"/>
              <w:jc w:val="center"/>
              <w:rPr>
                <w:sz w:val="20"/>
                <w:szCs w:val="20"/>
              </w:rPr>
            </w:pPr>
            <w:r w:rsidRPr="009A0E7B">
              <w:rPr>
                <w:sz w:val="20"/>
                <w:szCs w:val="20"/>
              </w:rPr>
              <w:t>90 (73.2)</w:t>
            </w:r>
          </w:p>
        </w:tc>
        <w:tc>
          <w:tcPr>
            <w:tcW w:w="428" w:type="pct"/>
            <w:shd w:val="clear" w:color="auto" w:fill="FFFFFF" w:themeFill="background1"/>
          </w:tcPr>
          <w:p w14:paraId="4E77A043" w14:textId="77777777" w:rsidR="00DE467A" w:rsidRPr="009A0E7B" w:rsidRDefault="00DE467A" w:rsidP="00DE467A">
            <w:pPr>
              <w:pStyle w:val="TableText0"/>
              <w:jc w:val="center"/>
              <w:rPr>
                <w:sz w:val="20"/>
                <w:szCs w:val="20"/>
              </w:rPr>
            </w:pPr>
            <w:r w:rsidRPr="009A0E7B">
              <w:rPr>
                <w:sz w:val="20"/>
                <w:szCs w:val="20"/>
              </w:rPr>
              <w:t>100 (96.2)</w:t>
            </w:r>
          </w:p>
        </w:tc>
        <w:tc>
          <w:tcPr>
            <w:tcW w:w="427" w:type="pct"/>
            <w:shd w:val="clear" w:color="auto" w:fill="FFFFFF" w:themeFill="background1"/>
          </w:tcPr>
          <w:p w14:paraId="5E4C16AF" w14:textId="77777777" w:rsidR="00DE467A" w:rsidRPr="009A0E7B" w:rsidRDefault="00DE467A" w:rsidP="00DE467A">
            <w:pPr>
              <w:pStyle w:val="TableText0"/>
              <w:jc w:val="center"/>
              <w:rPr>
                <w:sz w:val="20"/>
                <w:szCs w:val="20"/>
              </w:rPr>
            </w:pPr>
            <w:r w:rsidRPr="009A0E7B">
              <w:rPr>
                <w:sz w:val="20"/>
                <w:szCs w:val="20"/>
              </w:rPr>
              <w:t>94 (90.4)</w:t>
            </w:r>
          </w:p>
        </w:tc>
        <w:tc>
          <w:tcPr>
            <w:tcW w:w="428" w:type="pct"/>
            <w:shd w:val="clear" w:color="auto" w:fill="FFFFFF" w:themeFill="background1"/>
          </w:tcPr>
          <w:p w14:paraId="280F2A71" w14:textId="77777777" w:rsidR="00DE467A" w:rsidRPr="009A0E7B" w:rsidRDefault="00DE467A" w:rsidP="00DE467A">
            <w:pPr>
              <w:pStyle w:val="TableText0"/>
              <w:jc w:val="center"/>
              <w:rPr>
                <w:sz w:val="20"/>
                <w:szCs w:val="20"/>
              </w:rPr>
            </w:pPr>
            <w:r w:rsidRPr="009A0E7B">
              <w:rPr>
                <w:sz w:val="20"/>
                <w:szCs w:val="20"/>
              </w:rPr>
              <w:t>17 (41.5)</w:t>
            </w:r>
          </w:p>
        </w:tc>
        <w:tc>
          <w:tcPr>
            <w:tcW w:w="427" w:type="pct"/>
            <w:shd w:val="clear" w:color="auto" w:fill="FFFFFF" w:themeFill="background1"/>
          </w:tcPr>
          <w:p w14:paraId="68DBF5FC" w14:textId="77777777" w:rsidR="00DE467A" w:rsidRPr="009A0E7B" w:rsidRDefault="00DE467A" w:rsidP="00DE467A">
            <w:pPr>
              <w:pStyle w:val="TableText0"/>
              <w:jc w:val="center"/>
              <w:rPr>
                <w:sz w:val="20"/>
                <w:szCs w:val="20"/>
              </w:rPr>
            </w:pPr>
            <w:r w:rsidRPr="009A0E7B">
              <w:rPr>
                <w:sz w:val="20"/>
                <w:szCs w:val="20"/>
              </w:rPr>
              <w:t>16 (39.0)</w:t>
            </w:r>
          </w:p>
        </w:tc>
        <w:tc>
          <w:tcPr>
            <w:tcW w:w="428" w:type="pct"/>
            <w:shd w:val="clear" w:color="auto" w:fill="FFFFFF" w:themeFill="background1"/>
          </w:tcPr>
          <w:p w14:paraId="5978A295" w14:textId="77777777" w:rsidR="00DE467A" w:rsidRPr="009A0E7B" w:rsidRDefault="00DE467A" w:rsidP="00DE467A">
            <w:pPr>
              <w:pStyle w:val="TableText0"/>
              <w:jc w:val="center"/>
              <w:rPr>
                <w:sz w:val="20"/>
                <w:szCs w:val="20"/>
              </w:rPr>
            </w:pPr>
            <w:r w:rsidRPr="009A0E7B">
              <w:rPr>
                <w:sz w:val="20"/>
                <w:szCs w:val="20"/>
              </w:rPr>
              <w:t>33 (66.0)</w:t>
            </w:r>
          </w:p>
        </w:tc>
        <w:tc>
          <w:tcPr>
            <w:tcW w:w="428" w:type="pct"/>
            <w:shd w:val="clear" w:color="auto" w:fill="FFFFFF" w:themeFill="background1"/>
          </w:tcPr>
          <w:p w14:paraId="04020666" w14:textId="77777777" w:rsidR="00DE467A" w:rsidRPr="009A0E7B" w:rsidRDefault="00DE467A" w:rsidP="00DE467A">
            <w:pPr>
              <w:pStyle w:val="TableText0"/>
              <w:jc w:val="center"/>
              <w:rPr>
                <w:sz w:val="20"/>
                <w:szCs w:val="20"/>
              </w:rPr>
            </w:pPr>
            <w:r w:rsidRPr="009A0E7B">
              <w:rPr>
                <w:sz w:val="20"/>
                <w:szCs w:val="20"/>
              </w:rPr>
              <w:t>31 (63.3)</w:t>
            </w:r>
          </w:p>
        </w:tc>
      </w:tr>
      <w:tr w:rsidR="00DE467A" w:rsidRPr="009A0E7B" w14:paraId="70E3D2D7" w14:textId="77777777" w:rsidTr="007752A2">
        <w:tc>
          <w:tcPr>
            <w:tcW w:w="727" w:type="pct"/>
            <w:shd w:val="clear" w:color="auto" w:fill="FFFFFF" w:themeFill="background1"/>
          </w:tcPr>
          <w:p w14:paraId="399036E4" w14:textId="77777777" w:rsidR="00DE467A" w:rsidRPr="009A0E7B" w:rsidRDefault="00DE467A" w:rsidP="00DE467A">
            <w:pPr>
              <w:pStyle w:val="TableText0"/>
              <w:rPr>
                <w:sz w:val="20"/>
                <w:szCs w:val="20"/>
              </w:rPr>
            </w:pPr>
            <w:r w:rsidRPr="009A0E7B">
              <w:rPr>
                <w:sz w:val="20"/>
                <w:szCs w:val="20"/>
              </w:rPr>
              <w:t>Treatment-related AE</w:t>
            </w:r>
          </w:p>
        </w:tc>
        <w:tc>
          <w:tcPr>
            <w:tcW w:w="427" w:type="pct"/>
            <w:shd w:val="clear" w:color="auto" w:fill="FFFFFF" w:themeFill="background1"/>
          </w:tcPr>
          <w:p w14:paraId="6C968F2F" w14:textId="77777777" w:rsidR="00DE467A" w:rsidRPr="009A0E7B" w:rsidRDefault="00DE467A" w:rsidP="00DE467A">
            <w:pPr>
              <w:pStyle w:val="TableText0"/>
              <w:jc w:val="center"/>
              <w:rPr>
                <w:sz w:val="20"/>
                <w:szCs w:val="20"/>
              </w:rPr>
            </w:pPr>
            <w:r w:rsidRPr="009A0E7B">
              <w:rPr>
                <w:sz w:val="20"/>
                <w:szCs w:val="20"/>
              </w:rPr>
              <w:t>NR</w:t>
            </w:r>
          </w:p>
        </w:tc>
        <w:tc>
          <w:tcPr>
            <w:tcW w:w="428" w:type="pct"/>
            <w:shd w:val="clear" w:color="auto" w:fill="FFFFFF" w:themeFill="background1"/>
          </w:tcPr>
          <w:p w14:paraId="66FFED6A" w14:textId="77777777" w:rsidR="00DE467A" w:rsidRPr="009A0E7B" w:rsidRDefault="00DE467A" w:rsidP="00DE467A">
            <w:pPr>
              <w:pStyle w:val="TableText0"/>
              <w:jc w:val="center"/>
              <w:rPr>
                <w:sz w:val="20"/>
                <w:szCs w:val="20"/>
              </w:rPr>
            </w:pPr>
            <w:r w:rsidRPr="009A0E7B">
              <w:rPr>
                <w:sz w:val="20"/>
                <w:szCs w:val="20"/>
              </w:rPr>
              <w:t>NR</w:t>
            </w:r>
          </w:p>
        </w:tc>
        <w:tc>
          <w:tcPr>
            <w:tcW w:w="427" w:type="pct"/>
            <w:shd w:val="clear" w:color="auto" w:fill="FFFFFF" w:themeFill="background1"/>
          </w:tcPr>
          <w:p w14:paraId="0343F8B8" w14:textId="77777777" w:rsidR="00DE467A" w:rsidRPr="009A0E7B" w:rsidRDefault="00DE467A" w:rsidP="00DE467A">
            <w:pPr>
              <w:pStyle w:val="TableText0"/>
              <w:jc w:val="center"/>
              <w:rPr>
                <w:sz w:val="20"/>
                <w:szCs w:val="20"/>
              </w:rPr>
            </w:pPr>
            <w:r w:rsidRPr="009A0E7B">
              <w:rPr>
                <w:sz w:val="20"/>
                <w:szCs w:val="20"/>
              </w:rPr>
              <w:t>NR</w:t>
            </w:r>
          </w:p>
        </w:tc>
        <w:tc>
          <w:tcPr>
            <w:tcW w:w="428" w:type="pct"/>
            <w:shd w:val="clear" w:color="auto" w:fill="FFFFFF" w:themeFill="background1"/>
          </w:tcPr>
          <w:p w14:paraId="61A94BF6" w14:textId="77777777" w:rsidR="00DE467A" w:rsidRPr="009A0E7B" w:rsidRDefault="00DE467A" w:rsidP="00DE467A">
            <w:pPr>
              <w:pStyle w:val="TableText0"/>
              <w:jc w:val="center"/>
              <w:rPr>
                <w:sz w:val="20"/>
                <w:szCs w:val="20"/>
              </w:rPr>
            </w:pPr>
            <w:r w:rsidRPr="009A0E7B">
              <w:rPr>
                <w:sz w:val="20"/>
                <w:szCs w:val="20"/>
              </w:rPr>
              <w:t>NR</w:t>
            </w:r>
          </w:p>
        </w:tc>
        <w:tc>
          <w:tcPr>
            <w:tcW w:w="428" w:type="pct"/>
            <w:shd w:val="clear" w:color="auto" w:fill="FFFFFF" w:themeFill="background1"/>
          </w:tcPr>
          <w:p w14:paraId="36D40126" w14:textId="77777777" w:rsidR="00DE467A" w:rsidRPr="009A0E7B" w:rsidRDefault="00DE467A" w:rsidP="00DE467A">
            <w:pPr>
              <w:pStyle w:val="TableText0"/>
              <w:jc w:val="center"/>
              <w:rPr>
                <w:sz w:val="20"/>
                <w:szCs w:val="20"/>
              </w:rPr>
            </w:pPr>
            <w:r w:rsidRPr="009A0E7B">
              <w:rPr>
                <w:sz w:val="20"/>
                <w:szCs w:val="20"/>
              </w:rPr>
              <w:t>NR</w:t>
            </w:r>
          </w:p>
        </w:tc>
        <w:tc>
          <w:tcPr>
            <w:tcW w:w="427" w:type="pct"/>
            <w:shd w:val="clear" w:color="auto" w:fill="FFFFFF" w:themeFill="background1"/>
          </w:tcPr>
          <w:p w14:paraId="7E3CE50B" w14:textId="77777777" w:rsidR="00DE467A" w:rsidRPr="009A0E7B" w:rsidRDefault="00DE467A" w:rsidP="00DE467A">
            <w:pPr>
              <w:pStyle w:val="TableText0"/>
              <w:jc w:val="center"/>
              <w:rPr>
                <w:sz w:val="20"/>
                <w:szCs w:val="20"/>
              </w:rPr>
            </w:pPr>
            <w:r w:rsidRPr="009A0E7B">
              <w:rPr>
                <w:sz w:val="20"/>
                <w:szCs w:val="20"/>
              </w:rPr>
              <w:t>NR</w:t>
            </w:r>
          </w:p>
        </w:tc>
        <w:tc>
          <w:tcPr>
            <w:tcW w:w="428" w:type="pct"/>
            <w:shd w:val="clear" w:color="auto" w:fill="FFFFFF" w:themeFill="background1"/>
          </w:tcPr>
          <w:p w14:paraId="012BD9D3" w14:textId="77777777" w:rsidR="00DE467A" w:rsidRPr="009A0E7B" w:rsidRDefault="00DE467A" w:rsidP="00DE467A">
            <w:pPr>
              <w:pStyle w:val="TableText0"/>
              <w:jc w:val="center"/>
              <w:rPr>
                <w:sz w:val="20"/>
                <w:szCs w:val="20"/>
              </w:rPr>
            </w:pPr>
            <w:r w:rsidRPr="009A0E7B">
              <w:rPr>
                <w:sz w:val="20"/>
                <w:szCs w:val="20"/>
              </w:rPr>
              <w:t>NR</w:t>
            </w:r>
          </w:p>
        </w:tc>
        <w:tc>
          <w:tcPr>
            <w:tcW w:w="427" w:type="pct"/>
            <w:shd w:val="clear" w:color="auto" w:fill="FFFFFF" w:themeFill="background1"/>
          </w:tcPr>
          <w:p w14:paraId="0A502CD4" w14:textId="77777777" w:rsidR="00DE467A" w:rsidRPr="009A0E7B" w:rsidRDefault="00DE467A" w:rsidP="00DE467A">
            <w:pPr>
              <w:pStyle w:val="TableText0"/>
              <w:jc w:val="center"/>
              <w:rPr>
                <w:sz w:val="20"/>
                <w:szCs w:val="20"/>
              </w:rPr>
            </w:pPr>
            <w:r w:rsidRPr="009A0E7B">
              <w:rPr>
                <w:sz w:val="20"/>
                <w:szCs w:val="20"/>
              </w:rPr>
              <w:t>NR</w:t>
            </w:r>
          </w:p>
        </w:tc>
        <w:tc>
          <w:tcPr>
            <w:tcW w:w="428" w:type="pct"/>
            <w:shd w:val="clear" w:color="auto" w:fill="FFFFFF" w:themeFill="background1"/>
          </w:tcPr>
          <w:p w14:paraId="40D464D5" w14:textId="77777777" w:rsidR="00DE467A" w:rsidRPr="009A0E7B" w:rsidRDefault="00DE467A" w:rsidP="00DE467A">
            <w:pPr>
              <w:pStyle w:val="TableText0"/>
              <w:jc w:val="center"/>
              <w:rPr>
                <w:sz w:val="20"/>
                <w:szCs w:val="20"/>
              </w:rPr>
            </w:pPr>
            <w:r w:rsidRPr="009A0E7B">
              <w:rPr>
                <w:sz w:val="20"/>
                <w:szCs w:val="20"/>
              </w:rPr>
              <w:t>8 (16.0)</w:t>
            </w:r>
          </w:p>
        </w:tc>
        <w:tc>
          <w:tcPr>
            <w:tcW w:w="428" w:type="pct"/>
            <w:shd w:val="clear" w:color="auto" w:fill="FFFFFF" w:themeFill="background1"/>
          </w:tcPr>
          <w:p w14:paraId="2F2D1DFA" w14:textId="77777777" w:rsidR="00DE467A" w:rsidRPr="009A0E7B" w:rsidRDefault="00DE467A" w:rsidP="00DE467A">
            <w:pPr>
              <w:pStyle w:val="TableText0"/>
              <w:jc w:val="center"/>
              <w:rPr>
                <w:sz w:val="20"/>
                <w:szCs w:val="20"/>
              </w:rPr>
            </w:pPr>
            <w:r w:rsidRPr="009A0E7B">
              <w:rPr>
                <w:sz w:val="20"/>
                <w:szCs w:val="20"/>
              </w:rPr>
              <w:t>5 (10.2)</w:t>
            </w:r>
          </w:p>
        </w:tc>
      </w:tr>
      <w:tr w:rsidR="00DE467A" w:rsidRPr="009A0E7B" w14:paraId="699B171E" w14:textId="77777777" w:rsidTr="007752A2">
        <w:tc>
          <w:tcPr>
            <w:tcW w:w="727" w:type="pct"/>
            <w:shd w:val="clear" w:color="auto" w:fill="FFFFFF" w:themeFill="background1"/>
          </w:tcPr>
          <w:p w14:paraId="6F1C65D5" w14:textId="77777777" w:rsidR="00DE467A" w:rsidRPr="009A0E7B" w:rsidRDefault="00DE467A" w:rsidP="00DE467A">
            <w:pPr>
              <w:pStyle w:val="TableText0"/>
              <w:rPr>
                <w:sz w:val="20"/>
                <w:szCs w:val="20"/>
              </w:rPr>
            </w:pPr>
            <w:r w:rsidRPr="009A0E7B">
              <w:rPr>
                <w:sz w:val="20"/>
                <w:szCs w:val="20"/>
              </w:rPr>
              <w:t>Any serious AE</w:t>
            </w:r>
          </w:p>
        </w:tc>
        <w:tc>
          <w:tcPr>
            <w:tcW w:w="427" w:type="pct"/>
            <w:shd w:val="clear" w:color="auto" w:fill="FFFFFF" w:themeFill="background1"/>
          </w:tcPr>
          <w:p w14:paraId="2F7B9397" w14:textId="77777777" w:rsidR="00DE467A" w:rsidRPr="009A0E7B" w:rsidRDefault="00DE467A" w:rsidP="00DE467A">
            <w:pPr>
              <w:pStyle w:val="TableText0"/>
              <w:jc w:val="center"/>
              <w:rPr>
                <w:sz w:val="20"/>
                <w:szCs w:val="20"/>
              </w:rPr>
            </w:pPr>
            <w:r w:rsidRPr="009A0E7B">
              <w:rPr>
                <w:sz w:val="20"/>
                <w:szCs w:val="20"/>
              </w:rPr>
              <w:t>26 (21.5)</w:t>
            </w:r>
          </w:p>
        </w:tc>
        <w:tc>
          <w:tcPr>
            <w:tcW w:w="428" w:type="pct"/>
            <w:shd w:val="clear" w:color="auto" w:fill="FFFFFF" w:themeFill="background1"/>
          </w:tcPr>
          <w:p w14:paraId="32D9E165" w14:textId="77777777" w:rsidR="00DE467A" w:rsidRPr="009A0E7B" w:rsidRDefault="00DE467A" w:rsidP="00DE467A">
            <w:pPr>
              <w:pStyle w:val="TableText0"/>
              <w:jc w:val="center"/>
              <w:rPr>
                <w:sz w:val="20"/>
                <w:szCs w:val="20"/>
              </w:rPr>
            </w:pPr>
            <w:r w:rsidRPr="009A0E7B">
              <w:rPr>
                <w:sz w:val="20"/>
                <w:szCs w:val="20"/>
              </w:rPr>
              <w:t>31 (25.6)</w:t>
            </w:r>
          </w:p>
        </w:tc>
        <w:tc>
          <w:tcPr>
            <w:tcW w:w="427" w:type="pct"/>
            <w:shd w:val="clear" w:color="auto" w:fill="FFFFFF" w:themeFill="background1"/>
          </w:tcPr>
          <w:p w14:paraId="6BA8BBDA" w14:textId="77777777" w:rsidR="00DE467A" w:rsidRPr="009A0E7B" w:rsidRDefault="00DE467A" w:rsidP="00DE467A">
            <w:pPr>
              <w:pStyle w:val="TableText0"/>
              <w:jc w:val="center"/>
              <w:rPr>
                <w:sz w:val="20"/>
                <w:szCs w:val="20"/>
              </w:rPr>
            </w:pPr>
            <w:r w:rsidRPr="009A0E7B">
              <w:rPr>
                <w:sz w:val="20"/>
                <w:szCs w:val="20"/>
              </w:rPr>
              <w:t>13 (10.7)</w:t>
            </w:r>
          </w:p>
        </w:tc>
        <w:tc>
          <w:tcPr>
            <w:tcW w:w="428" w:type="pct"/>
            <w:shd w:val="clear" w:color="auto" w:fill="FFFFFF" w:themeFill="background1"/>
          </w:tcPr>
          <w:p w14:paraId="433B8412" w14:textId="77777777" w:rsidR="00DE467A" w:rsidRPr="009A0E7B" w:rsidRDefault="00DE467A" w:rsidP="00DE467A">
            <w:pPr>
              <w:pStyle w:val="TableText0"/>
              <w:jc w:val="center"/>
              <w:rPr>
                <w:sz w:val="20"/>
                <w:szCs w:val="20"/>
              </w:rPr>
            </w:pPr>
            <w:r w:rsidRPr="009A0E7B">
              <w:rPr>
                <w:sz w:val="20"/>
                <w:szCs w:val="20"/>
              </w:rPr>
              <w:t>24 (19.5)</w:t>
            </w:r>
          </w:p>
        </w:tc>
        <w:tc>
          <w:tcPr>
            <w:tcW w:w="428" w:type="pct"/>
            <w:shd w:val="clear" w:color="auto" w:fill="FFFFFF" w:themeFill="background1"/>
          </w:tcPr>
          <w:p w14:paraId="5D467357" w14:textId="77777777" w:rsidR="00DE467A" w:rsidRPr="009A0E7B" w:rsidRDefault="00DE467A" w:rsidP="00DE467A">
            <w:pPr>
              <w:pStyle w:val="TableText0"/>
              <w:jc w:val="center"/>
              <w:rPr>
                <w:sz w:val="20"/>
                <w:szCs w:val="20"/>
              </w:rPr>
            </w:pPr>
            <w:r w:rsidRPr="009A0E7B">
              <w:rPr>
                <w:sz w:val="20"/>
                <w:szCs w:val="20"/>
              </w:rPr>
              <w:t>18 (17.3)</w:t>
            </w:r>
          </w:p>
        </w:tc>
        <w:tc>
          <w:tcPr>
            <w:tcW w:w="427" w:type="pct"/>
            <w:shd w:val="clear" w:color="auto" w:fill="FFFFFF" w:themeFill="background1"/>
          </w:tcPr>
          <w:p w14:paraId="72C3B169" w14:textId="77777777" w:rsidR="00DE467A" w:rsidRPr="009A0E7B" w:rsidRDefault="00DE467A" w:rsidP="00DE467A">
            <w:pPr>
              <w:pStyle w:val="TableText0"/>
              <w:jc w:val="center"/>
              <w:rPr>
                <w:sz w:val="20"/>
                <w:szCs w:val="20"/>
              </w:rPr>
            </w:pPr>
            <w:r w:rsidRPr="009A0E7B">
              <w:rPr>
                <w:sz w:val="20"/>
                <w:szCs w:val="20"/>
              </w:rPr>
              <w:t>19 (18.3)</w:t>
            </w:r>
          </w:p>
        </w:tc>
        <w:tc>
          <w:tcPr>
            <w:tcW w:w="428" w:type="pct"/>
            <w:shd w:val="clear" w:color="auto" w:fill="FFFFFF" w:themeFill="background1"/>
          </w:tcPr>
          <w:p w14:paraId="05449DCF" w14:textId="77777777" w:rsidR="004137F4" w:rsidRDefault="00DE467A" w:rsidP="00DE467A">
            <w:pPr>
              <w:pStyle w:val="TableText0"/>
              <w:jc w:val="center"/>
              <w:rPr>
                <w:sz w:val="20"/>
                <w:szCs w:val="20"/>
              </w:rPr>
            </w:pPr>
            <w:r w:rsidRPr="009A0E7B">
              <w:rPr>
                <w:sz w:val="20"/>
                <w:szCs w:val="20"/>
              </w:rPr>
              <w:t xml:space="preserve">3 </w:t>
            </w:r>
          </w:p>
          <w:p w14:paraId="5879FD0F" w14:textId="5CFD8783" w:rsidR="00DE467A" w:rsidRPr="009A0E7B" w:rsidRDefault="00DE467A" w:rsidP="00DE467A">
            <w:pPr>
              <w:pStyle w:val="TableText0"/>
              <w:jc w:val="center"/>
              <w:rPr>
                <w:sz w:val="20"/>
                <w:szCs w:val="20"/>
              </w:rPr>
            </w:pPr>
            <w:r w:rsidRPr="009A0E7B">
              <w:rPr>
                <w:sz w:val="20"/>
                <w:szCs w:val="20"/>
              </w:rPr>
              <w:t>(7.3)</w:t>
            </w:r>
          </w:p>
        </w:tc>
        <w:tc>
          <w:tcPr>
            <w:tcW w:w="427" w:type="pct"/>
            <w:shd w:val="clear" w:color="auto" w:fill="FFFFFF" w:themeFill="background1"/>
          </w:tcPr>
          <w:p w14:paraId="5D3E8D77" w14:textId="77777777" w:rsidR="004137F4" w:rsidRDefault="00DE467A" w:rsidP="00DE467A">
            <w:pPr>
              <w:pStyle w:val="TableText0"/>
              <w:jc w:val="center"/>
              <w:rPr>
                <w:sz w:val="20"/>
                <w:szCs w:val="20"/>
              </w:rPr>
            </w:pPr>
            <w:r w:rsidRPr="009A0E7B">
              <w:rPr>
                <w:sz w:val="20"/>
                <w:szCs w:val="20"/>
              </w:rPr>
              <w:t xml:space="preserve">4 </w:t>
            </w:r>
          </w:p>
          <w:p w14:paraId="5AEE0249" w14:textId="3383AADC" w:rsidR="00DE467A" w:rsidRPr="009A0E7B" w:rsidRDefault="00DE467A" w:rsidP="00DE467A">
            <w:pPr>
              <w:pStyle w:val="TableText0"/>
              <w:jc w:val="center"/>
              <w:rPr>
                <w:sz w:val="20"/>
                <w:szCs w:val="20"/>
              </w:rPr>
            </w:pPr>
            <w:r w:rsidRPr="009A0E7B">
              <w:rPr>
                <w:sz w:val="20"/>
                <w:szCs w:val="20"/>
              </w:rPr>
              <w:t>(9.8)</w:t>
            </w:r>
          </w:p>
        </w:tc>
        <w:tc>
          <w:tcPr>
            <w:tcW w:w="428" w:type="pct"/>
            <w:shd w:val="clear" w:color="auto" w:fill="FFFFFF" w:themeFill="background1"/>
          </w:tcPr>
          <w:p w14:paraId="77DAA28D" w14:textId="77777777" w:rsidR="00DE467A" w:rsidRPr="009A0E7B" w:rsidRDefault="00DE467A" w:rsidP="00DE467A">
            <w:pPr>
              <w:pStyle w:val="TableText0"/>
              <w:jc w:val="center"/>
              <w:rPr>
                <w:sz w:val="20"/>
                <w:szCs w:val="20"/>
              </w:rPr>
            </w:pPr>
            <w:r w:rsidRPr="009A0E7B">
              <w:rPr>
                <w:sz w:val="20"/>
                <w:szCs w:val="20"/>
              </w:rPr>
              <w:t>7 (14.0)</w:t>
            </w:r>
          </w:p>
        </w:tc>
        <w:tc>
          <w:tcPr>
            <w:tcW w:w="428" w:type="pct"/>
            <w:shd w:val="clear" w:color="auto" w:fill="FFFFFF" w:themeFill="background1"/>
          </w:tcPr>
          <w:p w14:paraId="1B3AA8B9" w14:textId="77777777" w:rsidR="004137F4" w:rsidRDefault="00DE467A" w:rsidP="00DE467A">
            <w:pPr>
              <w:pStyle w:val="TableText0"/>
              <w:jc w:val="center"/>
              <w:rPr>
                <w:sz w:val="20"/>
                <w:szCs w:val="20"/>
              </w:rPr>
            </w:pPr>
            <w:r w:rsidRPr="009A0E7B">
              <w:rPr>
                <w:sz w:val="20"/>
                <w:szCs w:val="20"/>
              </w:rPr>
              <w:t xml:space="preserve">4 </w:t>
            </w:r>
          </w:p>
          <w:p w14:paraId="199AFAFA" w14:textId="4C8EBECD" w:rsidR="00DE467A" w:rsidRPr="009A0E7B" w:rsidRDefault="00DE467A" w:rsidP="00DE467A">
            <w:pPr>
              <w:pStyle w:val="TableText0"/>
              <w:jc w:val="center"/>
              <w:rPr>
                <w:sz w:val="20"/>
                <w:szCs w:val="20"/>
              </w:rPr>
            </w:pPr>
            <w:r w:rsidRPr="009A0E7B">
              <w:rPr>
                <w:sz w:val="20"/>
                <w:szCs w:val="20"/>
              </w:rPr>
              <w:t>(8.2)</w:t>
            </w:r>
          </w:p>
        </w:tc>
      </w:tr>
      <w:tr w:rsidR="00DE467A" w:rsidRPr="009A0E7B" w14:paraId="57398671" w14:textId="77777777" w:rsidTr="007752A2">
        <w:tc>
          <w:tcPr>
            <w:tcW w:w="727" w:type="pct"/>
            <w:shd w:val="clear" w:color="auto" w:fill="FFFFFF" w:themeFill="background1"/>
          </w:tcPr>
          <w:p w14:paraId="7DD2D2FB" w14:textId="720ABFE1" w:rsidR="00DE467A" w:rsidRPr="009A0E7B" w:rsidRDefault="00DE467A" w:rsidP="00DE467A">
            <w:pPr>
              <w:pStyle w:val="TableText0"/>
              <w:rPr>
                <w:sz w:val="20"/>
                <w:szCs w:val="20"/>
              </w:rPr>
            </w:pPr>
            <w:r w:rsidRPr="009A0E7B">
              <w:rPr>
                <w:sz w:val="20"/>
                <w:szCs w:val="20"/>
              </w:rPr>
              <w:t>Any AE leading to discontinuation</w:t>
            </w:r>
          </w:p>
        </w:tc>
        <w:tc>
          <w:tcPr>
            <w:tcW w:w="427" w:type="pct"/>
            <w:shd w:val="clear" w:color="auto" w:fill="FFFFFF" w:themeFill="background1"/>
          </w:tcPr>
          <w:p w14:paraId="1BF4D568" w14:textId="77777777" w:rsidR="00DE467A" w:rsidRPr="009A0E7B" w:rsidRDefault="00DE467A" w:rsidP="00DE467A">
            <w:pPr>
              <w:pStyle w:val="TableText0"/>
              <w:jc w:val="center"/>
              <w:rPr>
                <w:sz w:val="20"/>
                <w:szCs w:val="20"/>
              </w:rPr>
            </w:pPr>
            <w:r w:rsidRPr="009A0E7B">
              <w:rPr>
                <w:sz w:val="20"/>
                <w:szCs w:val="20"/>
              </w:rPr>
              <w:t>10 (8.3)</w:t>
            </w:r>
          </w:p>
        </w:tc>
        <w:tc>
          <w:tcPr>
            <w:tcW w:w="428" w:type="pct"/>
            <w:shd w:val="clear" w:color="auto" w:fill="FFFFFF" w:themeFill="background1"/>
          </w:tcPr>
          <w:p w14:paraId="1AABB1C1" w14:textId="77777777" w:rsidR="00DE467A" w:rsidRPr="009A0E7B" w:rsidRDefault="00DE467A" w:rsidP="00DE467A">
            <w:pPr>
              <w:pStyle w:val="TableText0"/>
              <w:jc w:val="center"/>
              <w:rPr>
                <w:sz w:val="20"/>
                <w:szCs w:val="20"/>
              </w:rPr>
            </w:pPr>
            <w:r w:rsidRPr="009A0E7B">
              <w:rPr>
                <w:sz w:val="20"/>
                <w:szCs w:val="20"/>
              </w:rPr>
              <w:t>11 (9.1)</w:t>
            </w:r>
          </w:p>
        </w:tc>
        <w:tc>
          <w:tcPr>
            <w:tcW w:w="427" w:type="pct"/>
            <w:shd w:val="clear" w:color="auto" w:fill="FFFFFF" w:themeFill="background1"/>
          </w:tcPr>
          <w:p w14:paraId="3C2D3B84" w14:textId="77777777" w:rsidR="004137F4" w:rsidRDefault="00DE467A" w:rsidP="00DE467A">
            <w:pPr>
              <w:pStyle w:val="TableText0"/>
              <w:jc w:val="center"/>
              <w:rPr>
                <w:sz w:val="20"/>
                <w:szCs w:val="20"/>
              </w:rPr>
            </w:pPr>
            <w:r w:rsidRPr="009A0E7B">
              <w:rPr>
                <w:sz w:val="20"/>
                <w:szCs w:val="20"/>
              </w:rPr>
              <w:t xml:space="preserve">2 </w:t>
            </w:r>
          </w:p>
          <w:p w14:paraId="47CEEAB7" w14:textId="7265885D" w:rsidR="00DE467A" w:rsidRPr="009A0E7B" w:rsidRDefault="00DE467A" w:rsidP="00DE467A">
            <w:pPr>
              <w:pStyle w:val="TableText0"/>
              <w:jc w:val="center"/>
              <w:rPr>
                <w:sz w:val="20"/>
                <w:szCs w:val="20"/>
              </w:rPr>
            </w:pPr>
            <w:r w:rsidRPr="009A0E7B">
              <w:rPr>
                <w:sz w:val="20"/>
                <w:szCs w:val="20"/>
              </w:rPr>
              <w:t>(1.7)</w:t>
            </w:r>
          </w:p>
        </w:tc>
        <w:tc>
          <w:tcPr>
            <w:tcW w:w="428" w:type="pct"/>
            <w:shd w:val="clear" w:color="auto" w:fill="FFFFFF" w:themeFill="background1"/>
          </w:tcPr>
          <w:p w14:paraId="680F51C2" w14:textId="77777777" w:rsidR="00DE467A" w:rsidRPr="009A0E7B" w:rsidRDefault="00DE467A" w:rsidP="00DE467A">
            <w:pPr>
              <w:pStyle w:val="TableText0"/>
              <w:jc w:val="center"/>
              <w:rPr>
                <w:sz w:val="20"/>
                <w:szCs w:val="20"/>
              </w:rPr>
            </w:pPr>
            <w:r w:rsidRPr="009A0E7B">
              <w:rPr>
                <w:sz w:val="20"/>
                <w:szCs w:val="20"/>
              </w:rPr>
              <w:t>12 (9.8)</w:t>
            </w:r>
          </w:p>
        </w:tc>
        <w:tc>
          <w:tcPr>
            <w:tcW w:w="428" w:type="pct"/>
            <w:shd w:val="clear" w:color="auto" w:fill="FFFFFF" w:themeFill="background1"/>
          </w:tcPr>
          <w:p w14:paraId="5B241773" w14:textId="77777777" w:rsidR="004137F4" w:rsidRDefault="00DE467A" w:rsidP="00DE467A">
            <w:pPr>
              <w:pStyle w:val="TableText0"/>
              <w:jc w:val="center"/>
              <w:rPr>
                <w:sz w:val="20"/>
                <w:szCs w:val="20"/>
              </w:rPr>
            </w:pPr>
            <w:r w:rsidRPr="009A0E7B">
              <w:rPr>
                <w:sz w:val="20"/>
                <w:szCs w:val="20"/>
              </w:rPr>
              <w:t xml:space="preserve">7 </w:t>
            </w:r>
          </w:p>
          <w:p w14:paraId="2EC0732B" w14:textId="05C7C02C" w:rsidR="00DE467A" w:rsidRPr="009A0E7B" w:rsidRDefault="00DE467A" w:rsidP="00DE467A">
            <w:pPr>
              <w:pStyle w:val="TableText0"/>
              <w:jc w:val="center"/>
              <w:rPr>
                <w:sz w:val="20"/>
                <w:szCs w:val="20"/>
              </w:rPr>
            </w:pPr>
            <w:r w:rsidRPr="009A0E7B">
              <w:rPr>
                <w:sz w:val="20"/>
                <w:szCs w:val="20"/>
              </w:rPr>
              <w:t>(6.7)</w:t>
            </w:r>
          </w:p>
        </w:tc>
        <w:tc>
          <w:tcPr>
            <w:tcW w:w="427" w:type="pct"/>
            <w:shd w:val="clear" w:color="auto" w:fill="FFFFFF" w:themeFill="background1"/>
          </w:tcPr>
          <w:p w14:paraId="3002D32D" w14:textId="77777777" w:rsidR="004137F4" w:rsidRDefault="00DE467A" w:rsidP="00DE467A">
            <w:pPr>
              <w:pStyle w:val="TableText0"/>
              <w:jc w:val="center"/>
              <w:rPr>
                <w:sz w:val="20"/>
                <w:szCs w:val="20"/>
              </w:rPr>
            </w:pPr>
            <w:r w:rsidRPr="009A0E7B">
              <w:rPr>
                <w:sz w:val="20"/>
                <w:szCs w:val="20"/>
              </w:rPr>
              <w:t xml:space="preserve">8 </w:t>
            </w:r>
          </w:p>
          <w:p w14:paraId="280EFD7B" w14:textId="48744834" w:rsidR="00DE467A" w:rsidRPr="009A0E7B" w:rsidRDefault="00DE467A" w:rsidP="00DE467A">
            <w:pPr>
              <w:pStyle w:val="TableText0"/>
              <w:jc w:val="center"/>
              <w:rPr>
                <w:sz w:val="20"/>
                <w:szCs w:val="20"/>
              </w:rPr>
            </w:pPr>
            <w:r w:rsidRPr="009A0E7B">
              <w:rPr>
                <w:sz w:val="20"/>
                <w:szCs w:val="20"/>
              </w:rPr>
              <w:t>(7.7)</w:t>
            </w:r>
          </w:p>
        </w:tc>
        <w:tc>
          <w:tcPr>
            <w:tcW w:w="428" w:type="pct"/>
            <w:shd w:val="clear" w:color="auto" w:fill="FFFFFF" w:themeFill="background1"/>
          </w:tcPr>
          <w:p w14:paraId="168AB7A1" w14:textId="77777777" w:rsidR="004137F4" w:rsidRDefault="00DE467A" w:rsidP="00DE467A">
            <w:pPr>
              <w:pStyle w:val="TableText0"/>
              <w:jc w:val="center"/>
              <w:rPr>
                <w:sz w:val="20"/>
                <w:szCs w:val="20"/>
              </w:rPr>
            </w:pPr>
            <w:r w:rsidRPr="009A0E7B">
              <w:rPr>
                <w:sz w:val="20"/>
                <w:szCs w:val="20"/>
              </w:rPr>
              <w:t xml:space="preserve">1 </w:t>
            </w:r>
          </w:p>
          <w:p w14:paraId="621F2EC0" w14:textId="4D537A61" w:rsidR="00DE467A" w:rsidRPr="009A0E7B" w:rsidRDefault="00DE467A" w:rsidP="00DE467A">
            <w:pPr>
              <w:pStyle w:val="TableText0"/>
              <w:jc w:val="center"/>
              <w:rPr>
                <w:sz w:val="20"/>
                <w:szCs w:val="20"/>
              </w:rPr>
            </w:pPr>
            <w:r w:rsidRPr="009A0E7B">
              <w:rPr>
                <w:sz w:val="20"/>
                <w:szCs w:val="20"/>
              </w:rPr>
              <w:t>(2.4)</w:t>
            </w:r>
          </w:p>
        </w:tc>
        <w:tc>
          <w:tcPr>
            <w:tcW w:w="427" w:type="pct"/>
            <w:shd w:val="clear" w:color="auto" w:fill="FFFFFF" w:themeFill="background1"/>
          </w:tcPr>
          <w:p w14:paraId="0BBCC461" w14:textId="77777777" w:rsidR="004137F4" w:rsidRDefault="00DE467A" w:rsidP="00DE467A">
            <w:pPr>
              <w:pStyle w:val="TableText0"/>
              <w:jc w:val="center"/>
              <w:rPr>
                <w:sz w:val="20"/>
                <w:szCs w:val="20"/>
              </w:rPr>
            </w:pPr>
            <w:r w:rsidRPr="009A0E7B">
              <w:rPr>
                <w:sz w:val="20"/>
                <w:szCs w:val="20"/>
              </w:rPr>
              <w:t xml:space="preserve">2 </w:t>
            </w:r>
          </w:p>
          <w:p w14:paraId="61515823" w14:textId="3C4705F8" w:rsidR="00DE467A" w:rsidRPr="009A0E7B" w:rsidRDefault="00DE467A" w:rsidP="00DE467A">
            <w:pPr>
              <w:pStyle w:val="TableText0"/>
              <w:jc w:val="center"/>
              <w:rPr>
                <w:sz w:val="20"/>
                <w:szCs w:val="20"/>
              </w:rPr>
            </w:pPr>
            <w:r w:rsidRPr="009A0E7B">
              <w:rPr>
                <w:sz w:val="20"/>
                <w:szCs w:val="20"/>
              </w:rPr>
              <w:t>(4.9)</w:t>
            </w:r>
          </w:p>
        </w:tc>
        <w:tc>
          <w:tcPr>
            <w:tcW w:w="428" w:type="pct"/>
            <w:shd w:val="clear" w:color="auto" w:fill="FFFFFF" w:themeFill="background1"/>
          </w:tcPr>
          <w:p w14:paraId="6B0B9795" w14:textId="77777777" w:rsidR="004137F4" w:rsidRDefault="00DE467A" w:rsidP="00DE467A">
            <w:pPr>
              <w:pStyle w:val="TableText0"/>
              <w:jc w:val="center"/>
              <w:rPr>
                <w:sz w:val="20"/>
                <w:szCs w:val="20"/>
              </w:rPr>
            </w:pPr>
            <w:r w:rsidRPr="009A0E7B">
              <w:rPr>
                <w:sz w:val="20"/>
                <w:szCs w:val="20"/>
              </w:rPr>
              <w:t xml:space="preserve">4 </w:t>
            </w:r>
          </w:p>
          <w:p w14:paraId="08AF0F22" w14:textId="0E72F41C" w:rsidR="00DE467A" w:rsidRPr="009A0E7B" w:rsidRDefault="00DE467A" w:rsidP="00DE467A">
            <w:pPr>
              <w:pStyle w:val="TableText0"/>
              <w:jc w:val="center"/>
              <w:rPr>
                <w:sz w:val="20"/>
                <w:szCs w:val="20"/>
              </w:rPr>
            </w:pPr>
            <w:r w:rsidRPr="009A0E7B">
              <w:rPr>
                <w:sz w:val="20"/>
                <w:szCs w:val="20"/>
              </w:rPr>
              <w:t>(8.0)</w:t>
            </w:r>
          </w:p>
        </w:tc>
        <w:tc>
          <w:tcPr>
            <w:tcW w:w="428" w:type="pct"/>
            <w:shd w:val="clear" w:color="auto" w:fill="FFFFFF" w:themeFill="background1"/>
          </w:tcPr>
          <w:p w14:paraId="7F0B1511" w14:textId="77777777" w:rsidR="004137F4" w:rsidRDefault="00DE467A" w:rsidP="00DE467A">
            <w:pPr>
              <w:pStyle w:val="TableText0"/>
              <w:jc w:val="center"/>
              <w:rPr>
                <w:sz w:val="20"/>
                <w:szCs w:val="20"/>
              </w:rPr>
            </w:pPr>
            <w:r w:rsidRPr="009A0E7B">
              <w:rPr>
                <w:sz w:val="20"/>
                <w:szCs w:val="20"/>
              </w:rPr>
              <w:t xml:space="preserve">2 </w:t>
            </w:r>
          </w:p>
          <w:p w14:paraId="3EE44BB7" w14:textId="179660C5" w:rsidR="00DE467A" w:rsidRPr="009A0E7B" w:rsidRDefault="00DE467A" w:rsidP="00DE467A">
            <w:pPr>
              <w:pStyle w:val="TableText0"/>
              <w:jc w:val="center"/>
              <w:rPr>
                <w:sz w:val="20"/>
                <w:szCs w:val="20"/>
              </w:rPr>
            </w:pPr>
            <w:r w:rsidRPr="009A0E7B">
              <w:rPr>
                <w:sz w:val="20"/>
                <w:szCs w:val="20"/>
              </w:rPr>
              <w:t>(4.1)</w:t>
            </w:r>
          </w:p>
        </w:tc>
      </w:tr>
    </w:tbl>
    <w:p w14:paraId="54E78A85" w14:textId="77777777" w:rsidR="00DE467A" w:rsidRPr="009A0E7B" w:rsidRDefault="00DE467A" w:rsidP="00DE467A">
      <w:pPr>
        <w:pStyle w:val="TableFigureFooter"/>
        <w:rPr>
          <w:rFonts w:eastAsia="Calibri"/>
        </w:rPr>
      </w:pPr>
      <w:r w:rsidRPr="009A0E7B">
        <w:rPr>
          <w:rFonts w:eastAsia="Calibri"/>
        </w:rPr>
        <w:t>Source: Created during the evaluation; date extracted from Table 115, p 147 of the submission.</w:t>
      </w:r>
    </w:p>
    <w:p w14:paraId="51B9F89E" w14:textId="5F2F4D4D" w:rsidR="00DE467A" w:rsidRPr="009A0E7B" w:rsidRDefault="00DE467A" w:rsidP="00DE467A">
      <w:pPr>
        <w:pStyle w:val="TableFigureFooter"/>
        <w:rPr>
          <w:rFonts w:eastAsia="Calibri"/>
        </w:rPr>
      </w:pPr>
      <w:r w:rsidRPr="009A0E7B">
        <w:rPr>
          <w:rFonts w:eastAsia="Calibri"/>
        </w:rPr>
        <w:t>AE = adverse event; IFX = infliximab; NR = not reported;</w:t>
      </w:r>
      <w:r w:rsidR="00791F74" w:rsidRPr="009A0E7B">
        <w:rPr>
          <w:rFonts w:eastAsia="Calibri"/>
        </w:rPr>
        <w:t xml:space="preserve"> PBO = placebo;</w:t>
      </w:r>
      <w:r w:rsidRPr="009A0E7B">
        <w:rPr>
          <w:rFonts w:eastAsia="Calibri"/>
        </w:rPr>
        <w:t xml:space="preserve"> UC = ulcerative colitis</w:t>
      </w:r>
    </w:p>
    <w:p w14:paraId="6683993E" w14:textId="4F5A48C5" w:rsidR="00DE467A" w:rsidRPr="009A0E7B" w:rsidRDefault="00DE467A" w:rsidP="00DE467A">
      <w:pPr>
        <w:pStyle w:val="TableFigureFooter"/>
        <w:rPr>
          <w:rFonts w:eastAsia="Calibri"/>
        </w:rPr>
      </w:pPr>
      <w:r w:rsidRPr="009A0E7B">
        <w:rPr>
          <w:rFonts w:eastAsia="Calibri"/>
        </w:rPr>
        <w:t>Note: Safety data for ACT 1 measured through to Week 54; ACT 2 to Week 30; Kobayashi 201</w:t>
      </w:r>
      <w:r w:rsidR="007752A2" w:rsidRPr="009A0E7B">
        <w:rPr>
          <w:rFonts w:eastAsia="Calibri"/>
        </w:rPr>
        <w:t>6</w:t>
      </w:r>
      <w:r w:rsidRPr="009A0E7B">
        <w:rPr>
          <w:rFonts w:eastAsia="Calibri"/>
        </w:rPr>
        <w:t xml:space="preserve"> to Week 38; Jiang 2015 to Week 30; REMICADE to Week 26.</w:t>
      </w:r>
    </w:p>
    <w:p w14:paraId="795FB040" w14:textId="4959339B" w:rsidR="00633945" w:rsidRPr="009A0E7B" w:rsidRDefault="00633945" w:rsidP="00FA6D3A">
      <w:pPr>
        <w:pStyle w:val="3-BodyText"/>
      </w:pPr>
      <w:r w:rsidRPr="009A0E7B">
        <w:t xml:space="preserve">The submission noted that AE incidence of 39-49% in the OZA arm of True North compared favourably with the IFX arms, which reported </w:t>
      </w:r>
      <w:r w:rsidR="009F56FA" w:rsidRPr="009A0E7B">
        <w:t xml:space="preserve">incidences of </w:t>
      </w:r>
      <w:r w:rsidRPr="009A0E7B">
        <w:t xml:space="preserve">41.5-96.2%. </w:t>
      </w:r>
      <w:r w:rsidRPr="009A0E7B">
        <w:rPr>
          <w:iCs/>
        </w:rPr>
        <w:t xml:space="preserve">These data are difficult to compare, as </w:t>
      </w:r>
      <w:r w:rsidRPr="009A0E7B">
        <w:t xml:space="preserve">the placebo AE profiles differ substantially between the OZA and IFX trials, likely representative of the different populations between these studies. </w:t>
      </w:r>
      <w:r w:rsidR="008120A0" w:rsidRPr="009A0E7B">
        <w:t xml:space="preserve">Most IFX treatment groups had similar or numerically lower incidences </w:t>
      </w:r>
      <w:r w:rsidR="006B2994" w:rsidRPr="009A0E7B">
        <w:t xml:space="preserve">of AEs </w:t>
      </w:r>
      <w:r w:rsidR="008120A0" w:rsidRPr="009A0E7B">
        <w:t>compared to their respective placebo groups. T</w:t>
      </w:r>
      <w:r w:rsidRPr="009A0E7B">
        <w:t xml:space="preserve">he ‘Any Serious AE’ rates in the IFX trials were approximately </w:t>
      </w:r>
      <w:r w:rsidR="008120A0" w:rsidRPr="009A0E7B">
        <w:t>2-</w:t>
      </w:r>
      <w:r w:rsidRPr="009A0E7B">
        <w:t xml:space="preserve">5 times greater than in the OZA trials, but incidences were numerically lower in most IFX groups compared to placebo; differences like this make </w:t>
      </w:r>
      <w:r w:rsidR="00163F8A" w:rsidRPr="009A0E7B">
        <w:t>naïve</w:t>
      </w:r>
      <w:r w:rsidRPr="009A0E7B">
        <w:t xml:space="preserve"> comparison</w:t>
      </w:r>
      <w:r w:rsidR="00163F8A" w:rsidRPr="009A0E7B">
        <w:t>s</w:t>
      </w:r>
      <w:r w:rsidRPr="009A0E7B">
        <w:t xml:space="preserve"> between OZA and IFX difficult to interpret.</w:t>
      </w:r>
      <w:r w:rsidR="004E4095" w:rsidRPr="009A0E7B">
        <w:t xml:space="preserve"> </w:t>
      </w:r>
      <w:r w:rsidR="004E4095" w:rsidRPr="00036733">
        <w:t>The PSCR stated formal indirect comparisons of safety were not presented due to differences in trial methodologies, an approach previously accepted by the PBAC when it considered the TOF submission for MSUC. The ESC considered this was reasonable, however also noted there appeared to be a relatively high amount of tolerability issues associated with OZA treatment.</w:t>
      </w:r>
    </w:p>
    <w:p w14:paraId="069B6030" w14:textId="0C73C30A" w:rsidR="00083B5E" w:rsidRPr="009A0E7B" w:rsidRDefault="00F53A8A" w:rsidP="00083B5E">
      <w:pPr>
        <w:pStyle w:val="3-BodyText"/>
      </w:pPr>
      <w:r w:rsidRPr="009A0E7B">
        <w:t>When comparing</w:t>
      </w:r>
      <w:r w:rsidR="00083B5E" w:rsidRPr="009A0E7B">
        <w:t xml:space="preserve"> OZA with the secondary comparators, the incidence of serious AEs was </w:t>
      </w:r>
      <w:r w:rsidR="00D43EE7" w:rsidRPr="009A0E7B">
        <w:t xml:space="preserve">similar </w:t>
      </w:r>
      <w:r w:rsidR="00E7579D" w:rsidRPr="009A0E7B">
        <w:t>between OZA and</w:t>
      </w:r>
      <w:r w:rsidR="00D43EE7" w:rsidRPr="009A0E7B">
        <w:t xml:space="preserve"> TOF, </w:t>
      </w:r>
      <w:r w:rsidR="00E7579D" w:rsidRPr="009A0E7B">
        <w:t xml:space="preserve">but </w:t>
      </w:r>
      <w:r w:rsidR="00D43EE7" w:rsidRPr="009A0E7B">
        <w:t>VED, GOL and ADA</w:t>
      </w:r>
      <w:r w:rsidR="00E7579D" w:rsidRPr="009A0E7B">
        <w:t xml:space="preserve"> trials recorded increased ranges</w:t>
      </w:r>
      <w:r w:rsidR="002E3749" w:rsidRPr="009A0E7B">
        <w:t xml:space="preserve"> of serious AEs</w:t>
      </w:r>
      <w:r w:rsidR="00083B5E" w:rsidRPr="009A0E7B">
        <w:t>.</w:t>
      </w:r>
      <w:r w:rsidR="0097586B" w:rsidRPr="009A0E7B">
        <w:t xml:space="preserve"> The </w:t>
      </w:r>
      <w:r w:rsidR="00ED52E2" w:rsidRPr="009A0E7B">
        <w:t xml:space="preserve">TOF, </w:t>
      </w:r>
      <w:r w:rsidR="0097586B" w:rsidRPr="009A0E7B">
        <w:t>VED</w:t>
      </w:r>
      <w:r w:rsidR="00183D77" w:rsidRPr="009A0E7B">
        <w:t xml:space="preserve">, </w:t>
      </w:r>
      <w:r w:rsidR="0097586B" w:rsidRPr="009A0E7B">
        <w:t xml:space="preserve">ADA </w:t>
      </w:r>
      <w:r w:rsidR="00183D77" w:rsidRPr="009A0E7B">
        <w:t xml:space="preserve">and GOL </w:t>
      </w:r>
      <w:r w:rsidR="0097586B" w:rsidRPr="009A0E7B">
        <w:t>trials showed lower or similar serious AEs compared to their respective placebo groups</w:t>
      </w:r>
      <w:r w:rsidR="00183D77" w:rsidRPr="009A0E7B">
        <w:t>, except for t</w:t>
      </w:r>
      <w:r w:rsidR="0097586B" w:rsidRPr="009A0E7B">
        <w:t>he GOL trial PURSUIT-M</w:t>
      </w:r>
      <w:r w:rsidR="00200808" w:rsidRPr="009A0E7B">
        <w:t xml:space="preserve"> recorded </w:t>
      </w:r>
      <w:r w:rsidR="0097586B" w:rsidRPr="009A0E7B">
        <w:t xml:space="preserve">nearly twice as many serious AEs in the GOL </w:t>
      </w:r>
      <w:r w:rsidR="00200808" w:rsidRPr="009A0E7B">
        <w:t xml:space="preserve">100 mg </w:t>
      </w:r>
      <w:r w:rsidR="0097586B" w:rsidRPr="009A0E7B">
        <w:t xml:space="preserve">arm </w:t>
      </w:r>
      <w:r w:rsidR="0097586B" w:rsidRPr="009A0E7B">
        <w:lastRenderedPageBreak/>
        <w:t>compared to placebo (14.3% vs 7.7%)</w:t>
      </w:r>
      <w:r w:rsidR="00200808" w:rsidRPr="009A0E7B">
        <w:t>.</w:t>
      </w:r>
      <w:r w:rsidR="00083B5E" w:rsidRPr="009A0E7B">
        <w:t xml:space="preserve"> Incidence of serious AEs was reported at between:</w:t>
      </w:r>
    </w:p>
    <w:p w14:paraId="11C5C764" w14:textId="77777777" w:rsidR="00083B5E" w:rsidRPr="009A0E7B" w:rsidRDefault="00083B5E" w:rsidP="009573AD">
      <w:pPr>
        <w:pStyle w:val="ListParagraph"/>
        <w:numPr>
          <w:ilvl w:val="0"/>
          <w:numId w:val="9"/>
        </w:numPr>
        <w:spacing w:after="0"/>
        <w:ind w:left="1434" w:hanging="357"/>
      </w:pPr>
      <w:r w:rsidRPr="009A0E7B">
        <w:t xml:space="preserve">4.0% and 7.9% for patients treated with OZA </w:t>
      </w:r>
    </w:p>
    <w:p w14:paraId="6B7EF269" w14:textId="77777777" w:rsidR="00083B5E" w:rsidRPr="009A0E7B" w:rsidRDefault="00083B5E" w:rsidP="009573AD">
      <w:pPr>
        <w:pStyle w:val="ListParagraph"/>
        <w:numPr>
          <w:ilvl w:val="0"/>
          <w:numId w:val="9"/>
        </w:numPr>
        <w:spacing w:after="0"/>
        <w:ind w:left="1434" w:hanging="357"/>
      </w:pPr>
      <w:r w:rsidRPr="009A0E7B">
        <w:t>3.4% and 5.6% for patients treated with TOF</w:t>
      </w:r>
    </w:p>
    <w:p w14:paraId="002690FF" w14:textId="77777777" w:rsidR="00083B5E" w:rsidRPr="009A0E7B" w:rsidRDefault="00083B5E" w:rsidP="009573AD">
      <w:pPr>
        <w:pStyle w:val="ListParagraph"/>
        <w:numPr>
          <w:ilvl w:val="0"/>
          <w:numId w:val="9"/>
        </w:numPr>
        <w:spacing w:after="0"/>
        <w:ind w:left="1434" w:hanging="357"/>
      </w:pPr>
      <w:r w:rsidRPr="009A0E7B">
        <w:t>9.4% and 13.0% for patients treated with VED</w:t>
      </w:r>
    </w:p>
    <w:p w14:paraId="62953B03" w14:textId="77777777" w:rsidR="00083B5E" w:rsidRPr="009A0E7B" w:rsidRDefault="00083B5E" w:rsidP="009573AD">
      <w:pPr>
        <w:pStyle w:val="ListParagraph"/>
        <w:numPr>
          <w:ilvl w:val="0"/>
          <w:numId w:val="9"/>
        </w:numPr>
        <w:spacing w:after="0"/>
        <w:ind w:left="1434" w:hanging="357"/>
      </w:pPr>
      <w:r w:rsidRPr="009A0E7B">
        <w:t>3.0% and 14.3% for patients treated with GOL</w:t>
      </w:r>
    </w:p>
    <w:p w14:paraId="1205BAA9" w14:textId="3004F26E" w:rsidR="00083B5E" w:rsidRPr="009A0E7B" w:rsidRDefault="00083B5E" w:rsidP="009573AD">
      <w:pPr>
        <w:pStyle w:val="ListParagraph"/>
        <w:numPr>
          <w:ilvl w:val="0"/>
          <w:numId w:val="9"/>
        </w:numPr>
      </w:pPr>
      <w:r w:rsidRPr="009A0E7B">
        <w:t>4.0% and 12.1% for patients treated with ADA</w:t>
      </w:r>
      <w:r w:rsidR="00AF5775">
        <w:t>.</w:t>
      </w:r>
      <w:r w:rsidRPr="009A0E7B">
        <w:t xml:space="preserve"> </w:t>
      </w:r>
    </w:p>
    <w:p w14:paraId="123BE73F" w14:textId="6A019540" w:rsidR="00083B5E" w:rsidRPr="009A0E7B" w:rsidRDefault="00083B5E" w:rsidP="00DA5FDB">
      <w:pPr>
        <w:pStyle w:val="3-BodyText"/>
      </w:pPr>
      <w:r w:rsidRPr="00036733">
        <w:t xml:space="preserve">The submission </w:t>
      </w:r>
      <w:r w:rsidR="009F54C0" w:rsidRPr="00036733">
        <w:t xml:space="preserve">stated </w:t>
      </w:r>
      <w:r w:rsidRPr="00036733">
        <w:t xml:space="preserve">that the TOF 5 mg and 10 mg groups had higher rates of nasopharyngitis, headaches and arthralgia than OZA treatment groups. The </w:t>
      </w:r>
      <w:r w:rsidR="009F54C0" w:rsidRPr="00036733">
        <w:t xml:space="preserve">evaluation noted </w:t>
      </w:r>
      <w:r w:rsidRPr="00036733">
        <w:t>that in the TOF trials, incidences of these AEs are similar or numerically lower</w:t>
      </w:r>
      <w:r w:rsidR="0017584E" w:rsidRPr="00036733">
        <w:t xml:space="preserve"> in the</w:t>
      </w:r>
      <w:r w:rsidR="0017584E" w:rsidRPr="009A0E7B">
        <w:rPr>
          <w:iCs/>
        </w:rPr>
        <w:t xml:space="preserve"> TOF treatment arms</w:t>
      </w:r>
      <w:r w:rsidRPr="009A0E7B">
        <w:rPr>
          <w:iCs/>
        </w:rPr>
        <w:t xml:space="preserve"> than their respective placebo arms.</w:t>
      </w:r>
      <w:r w:rsidRPr="009A0E7B">
        <w:t xml:space="preserve"> The submission also highlighted the fact that the US Food and Drug Administration (FDA) are currently revising the Boxed Warning for JAK inhibitors, including TOF, to include information about the risks of serious heart-related events, cancer, blood clots and death. </w:t>
      </w:r>
      <w:r w:rsidRPr="009A0E7B">
        <w:rPr>
          <w:iCs/>
        </w:rPr>
        <w:t>The TGA are yet to provide a position on increased risk warnings.</w:t>
      </w:r>
    </w:p>
    <w:p w14:paraId="7A1772B6" w14:textId="7F557F91" w:rsidR="00B60939" w:rsidRPr="009A0E7B" w:rsidRDefault="00B60939" w:rsidP="00E9094A">
      <w:pPr>
        <w:pStyle w:val="4-SubsectionHeading"/>
      </w:pPr>
      <w:bookmarkStart w:id="39" w:name="_Toc93489240"/>
      <w:r w:rsidRPr="009A0E7B">
        <w:t>Clinical claim</w:t>
      </w:r>
      <w:bookmarkEnd w:id="3"/>
      <w:bookmarkEnd w:id="39"/>
    </w:p>
    <w:p w14:paraId="3C44CD30" w14:textId="068A44EB" w:rsidR="006815D0" w:rsidRPr="009A0E7B" w:rsidRDefault="00CA19C9" w:rsidP="00E9094A">
      <w:pPr>
        <w:pStyle w:val="3-BodyText"/>
        <w:rPr>
          <w:color w:val="0066FF"/>
        </w:rPr>
      </w:pPr>
      <w:r w:rsidRPr="009A0E7B">
        <w:t xml:space="preserve">The submission described OZA as non-inferior in terms of effectiveness </w:t>
      </w:r>
      <w:r w:rsidR="001F326E">
        <w:t>and</w:t>
      </w:r>
      <w:r w:rsidR="00702EDF" w:rsidRPr="009A0E7B">
        <w:t xml:space="preserve"> safety compared to</w:t>
      </w:r>
      <w:r w:rsidR="004848A8">
        <w:t xml:space="preserve"> the primary</w:t>
      </w:r>
      <w:r w:rsidR="000C459B">
        <w:t xml:space="preserve"> comparator</w:t>
      </w:r>
      <w:r w:rsidR="00702EDF" w:rsidRPr="009A0E7B">
        <w:t xml:space="preserve"> IFX.</w:t>
      </w:r>
      <w:r w:rsidRPr="009A0E7B">
        <w:t xml:space="preserve"> </w:t>
      </w:r>
      <w:r w:rsidRPr="009A0E7B">
        <w:rPr>
          <w:iCs/>
        </w:rPr>
        <w:t xml:space="preserve">The </w:t>
      </w:r>
      <w:r w:rsidR="00D70750">
        <w:rPr>
          <w:iCs/>
        </w:rPr>
        <w:t xml:space="preserve">evaluation considered the </w:t>
      </w:r>
      <w:r w:rsidRPr="009A0E7B">
        <w:rPr>
          <w:iCs/>
        </w:rPr>
        <w:t>therapeutic conclusion</w:t>
      </w:r>
      <w:r w:rsidR="00081CDE" w:rsidRPr="009A0E7B">
        <w:rPr>
          <w:iCs/>
        </w:rPr>
        <w:t>s</w:t>
      </w:r>
      <w:r w:rsidRPr="009A0E7B">
        <w:rPr>
          <w:iCs/>
        </w:rPr>
        <w:t xml:space="preserve"> presented in the submission </w:t>
      </w:r>
      <w:r w:rsidR="007D3954">
        <w:rPr>
          <w:iCs/>
        </w:rPr>
        <w:t>were</w:t>
      </w:r>
      <w:r w:rsidR="007D3954" w:rsidRPr="009A0E7B">
        <w:rPr>
          <w:iCs/>
        </w:rPr>
        <w:t xml:space="preserve"> </w:t>
      </w:r>
      <w:r w:rsidR="00030D14" w:rsidRPr="009A0E7B">
        <w:rPr>
          <w:iCs/>
        </w:rPr>
        <w:t xml:space="preserve">uncertain </w:t>
      </w:r>
      <w:r w:rsidRPr="009A0E7B">
        <w:rPr>
          <w:iCs/>
        </w:rPr>
        <w:t>due to differences in trial design</w:t>
      </w:r>
      <w:r w:rsidR="004A7FAA" w:rsidRPr="009A0E7B">
        <w:rPr>
          <w:iCs/>
        </w:rPr>
        <w:t>s</w:t>
      </w:r>
      <w:r w:rsidRPr="009A0E7B">
        <w:rPr>
          <w:iCs/>
        </w:rPr>
        <w:t>, trial population</w:t>
      </w:r>
      <w:r w:rsidR="004A7FAA" w:rsidRPr="009A0E7B">
        <w:rPr>
          <w:iCs/>
        </w:rPr>
        <w:t>s</w:t>
      </w:r>
      <w:r w:rsidRPr="009A0E7B">
        <w:rPr>
          <w:iCs/>
        </w:rPr>
        <w:t xml:space="preserve"> and the ensuing</w:t>
      </w:r>
      <w:r w:rsidR="00882AA4" w:rsidRPr="009A0E7B">
        <w:rPr>
          <w:iCs/>
        </w:rPr>
        <w:t xml:space="preserve"> bias and</w:t>
      </w:r>
      <w:r w:rsidRPr="009A0E7B">
        <w:rPr>
          <w:iCs/>
        </w:rPr>
        <w:t xml:space="preserve"> transitivity issues of the ITC.</w:t>
      </w:r>
      <w:r w:rsidR="006815D0" w:rsidRPr="009A0E7B">
        <w:rPr>
          <w:iCs/>
        </w:rPr>
        <w:t xml:space="preserve"> Key issues identified were:</w:t>
      </w:r>
    </w:p>
    <w:p w14:paraId="5AF87739" w14:textId="7A512236" w:rsidR="00864FF1" w:rsidRPr="009A0E7B" w:rsidRDefault="00864FF1" w:rsidP="009573AD">
      <w:pPr>
        <w:pStyle w:val="3-BodyText"/>
        <w:numPr>
          <w:ilvl w:val="0"/>
          <w:numId w:val="10"/>
        </w:numPr>
        <w:rPr>
          <w:iCs/>
        </w:rPr>
      </w:pPr>
      <w:r w:rsidRPr="009A0E7B">
        <w:rPr>
          <w:iCs/>
        </w:rPr>
        <w:t>The OZA trials only allowed responders to progress to their maintenance phases; Touchstone still counted non-responders from the initiation phase as non-responders in its maintenance phase, but True North did not. Apart from Kobayashi 2016, the IFX trials had the ITT population progress to maintenance, regardless of response.</w:t>
      </w:r>
    </w:p>
    <w:p w14:paraId="352769E3" w14:textId="34E54799" w:rsidR="00B17A6B" w:rsidRPr="009A0E7B" w:rsidRDefault="00B17A6B" w:rsidP="009573AD">
      <w:pPr>
        <w:pStyle w:val="ListParagraph"/>
        <w:numPr>
          <w:ilvl w:val="0"/>
          <w:numId w:val="10"/>
        </w:numPr>
        <w:rPr>
          <w:iCs/>
        </w:rPr>
      </w:pPr>
      <w:r w:rsidRPr="009A0E7B">
        <w:rPr>
          <w:iCs/>
        </w:rPr>
        <w:t>The OZA trials enrolled patients with less pre-treated, and less severe disease compared to the IFX trials. Despite these differences, the baseline mean Mayo scores were similar between the OZA and IFX trials; this suggests the patients enrolled in the OZA trials may have had poorly controlled disease, while the patients in the IFX trials were more likely to have severe, treatment refractory disease.</w:t>
      </w:r>
    </w:p>
    <w:p w14:paraId="132E1E6F" w14:textId="3438FAE1" w:rsidR="0045387B" w:rsidRPr="009A0E7B" w:rsidRDefault="008D2B46" w:rsidP="009573AD">
      <w:pPr>
        <w:pStyle w:val="3-BodyText"/>
        <w:numPr>
          <w:ilvl w:val="0"/>
          <w:numId w:val="10"/>
        </w:numPr>
        <w:rPr>
          <w:iCs/>
        </w:rPr>
      </w:pPr>
      <w:r w:rsidRPr="009A0E7B">
        <w:rPr>
          <w:iCs/>
        </w:rPr>
        <w:t>The OZA trials did not require prior treatment failure, however the proposed PBS population must have failed prior 5-aminosali</w:t>
      </w:r>
      <w:r w:rsidR="00030D14" w:rsidRPr="009A0E7B">
        <w:rPr>
          <w:iCs/>
        </w:rPr>
        <w:t>c</w:t>
      </w:r>
      <w:r w:rsidRPr="009A0E7B">
        <w:rPr>
          <w:iCs/>
        </w:rPr>
        <w:t>ylates</w:t>
      </w:r>
      <w:r w:rsidR="004A7FAA" w:rsidRPr="009A0E7B">
        <w:rPr>
          <w:iCs/>
        </w:rPr>
        <w:t>,</w:t>
      </w:r>
      <w:r w:rsidRPr="009A0E7B">
        <w:rPr>
          <w:iCs/>
        </w:rPr>
        <w:t xml:space="preserve"> AND corticosteroids OR thiopurine therapies. </w:t>
      </w:r>
      <w:proofErr w:type="gramStart"/>
      <w:r w:rsidRPr="009A0E7B">
        <w:rPr>
          <w:iCs/>
        </w:rPr>
        <w:t>The majority of</w:t>
      </w:r>
      <w:proofErr w:type="gramEnd"/>
      <w:r w:rsidRPr="009A0E7B">
        <w:rPr>
          <w:iCs/>
        </w:rPr>
        <w:t xml:space="preserve"> patients in True North had not failed prior corticosteroids, and</w:t>
      </w:r>
      <w:r w:rsidR="00030D14" w:rsidRPr="009A0E7B">
        <w:rPr>
          <w:iCs/>
        </w:rPr>
        <w:t xml:space="preserve"> most</w:t>
      </w:r>
      <w:r w:rsidRPr="009A0E7B">
        <w:rPr>
          <w:iCs/>
        </w:rPr>
        <w:t xml:space="preserve"> were naïve to thiopurines. Further, even fewer patients in True North may</w:t>
      </w:r>
      <w:r w:rsidR="0080229B">
        <w:rPr>
          <w:iCs/>
        </w:rPr>
        <w:t xml:space="preserve"> have qualified for PBS-funded </w:t>
      </w:r>
      <w:r w:rsidRPr="009A0E7B">
        <w:rPr>
          <w:iCs/>
        </w:rPr>
        <w:t>DMARD therapy, as the definition of prior treatment failure employed by True North required less corticosteroid exposure than the proposed treatment population.</w:t>
      </w:r>
    </w:p>
    <w:p w14:paraId="0CF51AE4" w14:textId="66DFA5CA" w:rsidR="00217463" w:rsidRPr="009A0E7B" w:rsidRDefault="00864FF1" w:rsidP="009573AD">
      <w:pPr>
        <w:pStyle w:val="3-BodyText"/>
        <w:numPr>
          <w:ilvl w:val="0"/>
          <w:numId w:val="10"/>
        </w:numPr>
        <w:rPr>
          <w:rFonts w:eastAsia="Calibri"/>
        </w:rPr>
      </w:pPr>
      <w:r w:rsidRPr="009A0E7B">
        <w:rPr>
          <w:iCs/>
        </w:rPr>
        <w:lastRenderedPageBreak/>
        <w:t xml:space="preserve">The safety profiles of active therapy in both the OZA and IFX trials were generally </w:t>
      </w:r>
      <w:proofErr w:type="gramStart"/>
      <w:r w:rsidRPr="009A0E7B">
        <w:rPr>
          <w:iCs/>
        </w:rPr>
        <w:t>similar to</w:t>
      </w:r>
      <w:proofErr w:type="gramEnd"/>
      <w:r w:rsidRPr="009A0E7B">
        <w:rPr>
          <w:iCs/>
        </w:rPr>
        <w:t xml:space="preserve"> placebo, however the IFX trials </w:t>
      </w:r>
      <w:r w:rsidR="00141088" w:rsidRPr="009A0E7B">
        <w:rPr>
          <w:iCs/>
        </w:rPr>
        <w:t>demonstrated</w:t>
      </w:r>
      <w:r w:rsidRPr="009A0E7B">
        <w:rPr>
          <w:iCs/>
        </w:rPr>
        <w:t xml:space="preserve"> higher rates of AEs compared to the OZA trials. This likely reflects the greater disease severity in the IFX trials and makes </w:t>
      </w:r>
      <w:r w:rsidR="00081CDE" w:rsidRPr="009A0E7B">
        <w:rPr>
          <w:iCs/>
        </w:rPr>
        <w:t xml:space="preserve">a naïve </w:t>
      </w:r>
      <w:r w:rsidRPr="009A0E7B">
        <w:rPr>
          <w:iCs/>
        </w:rPr>
        <w:t>comparison of safety profiles difficult</w:t>
      </w:r>
      <w:r w:rsidR="00081CDE" w:rsidRPr="009A0E7B">
        <w:rPr>
          <w:iCs/>
        </w:rPr>
        <w:t xml:space="preserve"> to interpret</w:t>
      </w:r>
      <w:r w:rsidR="00141088" w:rsidRPr="009A0E7B">
        <w:rPr>
          <w:iCs/>
        </w:rPr>
        <w:t>.</w:t>
      </w:r>
      <w:r w:rsidR="0045387B" w:rsidRPr="009A0E7B">
        <w:rPr>
          <w:i/>
        </w:rPr>
        <w:t xml:space="preserve"> </w:t>
      </w:r>
    </w:p>
    <w:p w14:paraId="571EECBE" w14:textId="0F9E0596" w:rsidR="00BF481C" w:rsidRPr="004848A8" w:rsidRDefault="00BF481C" w:rsidP="004848A8">
      <w:pPr>
        <w:pStyle w:val="3-BodyText"/>
        <w:rPr>
          <w:iCs/>
        </w:rPr>
      </w:pPr>
      <w:bookmarkStart w:id="40" w:name="_Toc22897645"/>
      <w:r w:rsidRPr="00036733">
        <w:rPr>
          <w:iCs/>
        </w:rPr>
        <w:t>The ESC considered that, due to the noted differences in clinical trial designs and recruited trial populations, and uncertainties with the results of the indirect comparisons, including those presented in the PSCR (</w:t>
      </w:r>
      <w:r w:rsidRPr="00CE18DB">
        <w:rPr>
          <w:iCs/>
        </w:rPr>
        <w:t xml:space="preserve">paragraphs </w:t>
      </w:r>
      <w:r w:rsidRPr="00CE18DB">
        <w:rPr>
          <w:iCs/>
        </w:rPr>
        <w:fldChar w:fldCharType="begin"/>
      </w:r>
      <w:r w:rsidRPr="00CE18DB">
        <w:rPr>
          <w:iCs/>
        </w:rPr>
        <w:instrText xml:space="preserve"> REF _Ref95299108 \r \h  \* MERGEFORMAT </w:instrText>
      </w:r>
      <w:r w:rsidRPr="00CE18DB">
        <w:rPr>
          <w:iCs/>
        </w:rPr>
      </w:r>
      <w:r w:rsidRPr="00CE18DB">
        <w:rPr>
          <w:iCs/>
        </w:rPr>
        <w:fldChar w:fldCharType="separate"/>
      </w:r>
      <w:r w:rsidR="00931536">
        <w:rPr>
          <w:iCs/>
        </w:rPr>
        <w:t>6.13</w:t>
      </w:r>
      <w:r w:rsidRPr="00CE18DB">
        <w:rPr>
          <w:iCs/>
        </w:rPr>
        <w:fldChar w:fldCharType="end"/>
      </w:r>
      <w:r w:rsidRPr="00CE18DB">
        <w:rPr>
          <w:iCs/>
        </w:rPr>
        <w:t xml:space="preserve">, </w:t>
      </w:r>
      <w:r w:rsidRPr="00CE18DB">
        <w:rPr>
          <w:iCs/>
        </w:rPr>
        <w:fldChar w:fldCharType="begin"/>
      </w:r>
      <w:r w:rsidRPr="00CE18DB">
        <w:rPr>
          <w:iCs/>
        </w:rPr>
        <w:instrText xml:space="preserve"> REF _Ref95299109 \r \h  \* MERGEFORMAT </w:instrText>
      </w:r>
      <w:r w:rsidRPr="00CE18DB">
        <w:rPr>
          <w:iCs/>
        </w:rPr>
      </w:r>
      <w:r w:rsidRPr="00CE18DB">
        <w:rPr>
          <w:iCs/>
        </w:rPr>
        <w:fldChar w:fldCharType="separate"/>
      </w:r>
      <w:r w:rsidR="00931536">
        <w:rPr>
          <w:iCs/>
        </w:rPr>
        <w:t>6.25</w:t>
      </w:r>
      <w:r w:rsidRPr="00CE18DB">
        <w:rPr>
          <w:iCs/>
        </w:rPr>
        <w:fldChar w:fldCharType="end"/>
      </w:r>
      <w:r w:rsidRPr="00CE18DB">
        <w:rPr>
          <w:iCs/>
        </w:rPr>
        <w:t xml:space="preserve">, </w:t>
      </w:r>
      <w:r w:rsidRPr="00CE18DB">
        <w:rPr>
          <w:iCs/>
        </w:rPr>
        <w:fldChar w:fldCharType="begin"/>
      </w:r>
      <w:r w:rsidRPr="00CE18DB">
        <w:rPr>
          <w:iCs/>
        </w:rPr>
        <w:instrText xml:space="preserve"> REF _Ref95299118 \r \h  \* MERGEFORMAT </w:instrText>
      </w:r>
      <w:r w:rsidRPr="00CE18DB">
        <w:rPr>
          <w:iCs/>
        </w:rPr>
      </w:r>
      <w:r w:rsidRPr="00CE18DB">
        <w:rPr>
          <w:iCs/>
        </w:rPr>
        <w:fldChar w:fldCharType="separate"/>
      </w:r>
      <w:r w:rsidR="00931536">
        <w:rPr>
          <w:iCs/>
        </w:rPr>
        <w:t>6.28</w:t>
      </w:r>
      <w:r w:rsidRPr="00CE18DB">
        <w:rPr>
          <w:iCs/>
        </w:rPr>
        <w:fldChar w:fldCharType="end"/>
      </w:r>
      <w:r w:rsidRPr="00CE18DB">
        <w:rPr>
          <w:iCs/>
        </w:rPr>
        <w:t>),</w:t>
      </w:r>
      <w:r w:rsidRPr="00036733">
        <w:rPr>
          <w:iCs/>
        </w:rPr>
        <w:t xml:space="preserve"> the claim of non-inferior comparative effectiveness to IFX was not able to be reliably as</w:t>
      </w:r>
      <w:r w:rsidR="00D02F03" w:rsidRPr="00036733">
        <w:rPr>
          <w:iCs/>
        </w:rPr>
        <w:t xml:space="preserve">sessed with the </w:t>
      </w:r>
      <w:r w:rsidR="00036733">
        <w:rPr>
          <w:iCs/>
        </w:rPr>
        <w:t>data and analyses presented at</w:t>
      </w:r>
      <w:r w:rsidR="004848A8">
        <w:rPr>
          <w:iCs/>
        </w:rPr>
        <w:t xml:space="preserve"> the</w:t>
      </w:r>
      <w:r w:rsidR="00036733">
        <w:rPr>
          <w:iCs/>
        </w:rPr>
        <w:t xml:space="preserve"> time of consideration.</w:t>
      </w:r>
      <w:r w:rsidR="004848A8">
        <w:rPr>
          <w:iCs/>
        </w:rPr>
        <w:t xml:space="preserve"> </w:t>
      </w:r>
      <w:r w:rsidRPr="004848A8">
        <w:rPr>
          <w:iCs/>
        </w:rPr>
        <w:t>Overall, the ESC considered the claim of non-inferior comparative safety to IFX was likely to be reasonable, however noted OZA and IFX have different adverse event profiles.</w:t>
      </w:r>
    </w:p>
    <w:p w14:paraId="1E1231EB" w14:textId="5CF2F8E3" w:rsidR="009B549E" w:rsidRPr="009A0E7B" w:rsidRDefault="00611700" w:rsidP="009B549E">
      <w:pPr>
        <w:pStyle w:val="3-BodyText"/>
      </w:pPr>
      <w:r w:rsidRPr="009A0E7B">
        <w:t>The submission’s</w:t>
      </w:r>
      <w:r w:rsidR="009B549E" w:rsidRPr="009A0E7B">
        <w:t xml:space="preserve"> clinical claim </w:t>
      </w:r>
      <w:r w:rsidR="004F30A9" w:rsidRPr="009A0E7B">
        <w:t>regarding</w:t>
      </w:r>
      <w:r w:rsidR="009B549E" w:rsidRPr="009A0E7B">
        <w:t xml:space="preserve"> the secondary comparators was:</w:t>
      </w:r>
    </w:p>
    <w:p w14:paraId="3B11C63C" w14:textId="77777777" w:rsidR="009B549E" w:rsidRPr="009A0E7B" w:rsidRDefault="009B549E" w:rsidP="009573AD">
      <w:pPr>
        <w:pStyle w:val="3-BodyText"/>
        <w:numPr>
          <w:ilvl w:val="0"/>
          <w:numId w:val="10"/>
        </w:numPr>
        <w:rPr>
          <w:iCs/>
        </w:rPr>
      </w:pPr>
      <w:r w:rsidRPr="009A0E7B">
        <w:rPr>
          <w:iCs/>
        </w:rPr>
        <w:t>OZA is non-inferior in terms of efficacy to VED, ADA, GOL and TOF.</w:t>
      </w:r>
    </w:p>
    <w:p w14:paraId="33EEB8AD" w14:textId="13D49263" w:rsidR="009B549E" w:rsidRPr="009A0E7B" w:rsidRDefault="009B549E" w:rsidP="009573AD">
      <w:pPr>
        <w:pStyle w:val="3-BodyText"/>
        <w:numPr>
          <w:ilvl w:val="0"/>
          <w:numId w:val="10"/>
        </w:numPr>
        <w:rPr>
          <w:iCs/>
        </w:rPr>
      </w:pPr>
      <w:r w:rsidRPr="009A0E7B">
        <w:rPr>
          <w:iCs/>
        </w:rPr>
        <w:t>OZA is non-inferior in terms of comparative safety, with a trend towards more favourable safety, compared to VED, ADA, GOL and TOF.</w:t>
      </w:r>
    </w:p>
    <w:p w14:paraId="70819906" w14:textId="32A64446" w:rsidR="00EF7067" w:rsidRPr="00240F69" w:rsidRDefault="009B549E" w:rsidP="00240F69">
      <w:pPr>
        <w:pStyle w:val="3-BodyText"/>
        <w:rPr>
          <w:iCs/>
        </w:rPr>
      </w:pPr>
      <w:r w:rsidRPr="009A0E7B">
        <w:rPr>
          <w:iCs/>
        </w:rPr>
        <w:t>The</w:t>
      </w:r>
      <w:r w:rsidR="00240F69">
        <w:rPr>
          <w:iCs/>
        </w:rPr>
        <w:t xml:space="preserve"> ESC agreed with the</w:t>
      </w:r>
      <w:r w:rsidRPr="009A0E7B">
        <w:rPr>
          <w:iCs/>
        </w:rPr>
        <w:t xml:space="preserve"> </w:t>
      </w:r>
      <w:r w:rsidR="0031226D">
        <w:rPr>
          <w:iCs/>
        </w:rPr>
        <w:t xml:space="preserve">evaluation </w:t>
      </w:r>
      <w:r w:rsidR="00240F69">
        <w:rPr>
          <w:iCs/>
        </w:rPr>
        <w:t>that</w:t>
      </w:r>
      <w:r w:rsidR="00161A70">
        <w:rPr>
          <w:iCs/>
        </w:rPr>
        <w:t xml:space="preserve"> </w:t>
      </w:r>
      <w:r w:rsidR="00161A70" w:rsidRPr="000F1077">
        <w:rPr>
          <w:iCs/>
        </w:rPr>
        <w:t>the trial design</w:t>
      </w:r>
      <w:r w:rsidR="00161A70">
        <w:rPr>
          <w:iCs/>
        </w:rPr>
        <w:t>s</w:t>
      </w:r>
      <w:r w:rsidR="00161A70" w:rsidRPr="000F1077">
        <w:rPr>
          <w:iCs/>
        </w:rPr>
        <w:t xml:space="preserve"> and recruited populations of the OZA trials made reliable assessments against the </w:t>
      </w:r>
      <w:r w:rsidR="00161A70">
        <w:rPr>
          <w:iCs/>
        </w:rPr>
        <w:t>secondary</w:t>
      </w:r>
      <w:r w:rsidR="00161A70" w:rsidRPr="000F1077">
        <w:rPr>
          <w:iCs/>
        </w:rPr>
        <w:t xml:space="preserve"> comparators challenging</w:t>
      </w:r>
      <w:r w:rsidR="00161A70">
        <w:rPr>
          <w:iCs/>
        </w:rPr>
        <w:t>.</w:t>
      </w:r>
      <w:r w:rsidR="00240F69">
        <w:rPr>
          <w:iCs/>
        </w:rPr>
        <w:t xml:space="preserve"> </w:t>
      </w:r>
      <w:r w:rsidR="002B0BB7">
        <w:rPr>
          <w:iCs/>
        </w:rPr>
        <w:t>T</w:t>
      </w:r>
      <w:r w:rsidRPr="009A0E7B">
        <w:rPr>
          <w:iCs/>
        </w:rPr>
        <w:t xml:space="preserve">he trial populations differed substantially, </w:t>
      </w:r>
      <w:r w:rsidR="00FA7AEC" w:rsidRPr="009A0E7B">
        <w:rPr>
          <w:iCs/>
        </w:rPr>
        <w:t xml:space="preserve">as </w:t>
      </w:r>
      <w:r w:rsidRPr="009A0E7B">
        <w:rPr>
          <w:iCs/>
        </w:rPr>
        <w:t xml:space="preserve">the comparator trials </w:t>
      </w:r>
      <w:r w:rsidR="00FA7AEC" w:rsidRPr="009A0E7B">
        <w:rPr>
          <w:iCs/>
        </w:rPr>
        <w:t xml:space="preserve">enrolled </w:t>
      </w:r>
      <w:r w:rsidRPr="009A0E7B">
        <w:rPr>
          <w:iCs/>
        </w:rPr>
        <w:t>patients with more severe, treatment refractory disease than the OZA trial</w:t>
      </w:r>
      <w:r w:rsidR="00FA7AEC" w:rsidRPr="009A0E7B">
        <w:rPr>
          <w:iCs/>
        </w:rPr>
        <w:t>s</w:t>
      </w:r>
      <w:r w:rsidR="009769D6" w:rsidRPr="009A0E7B">
        <w:rPr>
          <w:iCs/>
        </w:rPr>
        <w:t>, which create</w:t>
      </w:r>
      <w:r w:rsidR="00611700" w:rsidRPr="009A0E7B">
        <w:rPr>
          <w:iCs/>
        </w:rPr>
        <w:t>d</w:t>
      </w:r>
      <w:r w:rsidR="009769D6" w:rsidRPr="009A0E7B">
        <w:rPr>
          <w:iCs/>
        </w:rPr>
        <w:t xml:space="preserve"> transitivity and applicability issues when interpreting the ITC results</w:t>
      </w:r>
      <w:r w:rsidR="00FA7AEC" w:rsidRPr="009A0E7B">
        <w:rPr>
          <w:iCs/>
        </w:rPr>
        <w:t xml:space="preserve">. </w:t>
      </w:r>
      <w:r w:rsidR="009769D6" w:rsidRPr="000F1077">
        <w:t xml:space="preserve">The results of the ITC showed that for response at induction, OZA appeared </w:t>
      </w:r>
      <w:proofErr w:type="gramStart"/>
      <w:r w:rsidR="009769D6" w:rsidRPr="000F1077">
        <w:t>similar to</w:t>
      </w:r>
      <w:proofErr w:type="gramEnd"/>
      <w:r w:rsidR="009769D6" w:rsidRPr="000F1077">
        <w:t xml:space="preserve"> all the secondary comparators; the</w:t>
      </w:r>
      <w:r w:rsidR="00F72BFE">
        <w:t xml:space="preserve"> RR</w:t>
      </w:r>
      <w:r w:rsidR="009769D6" w:rsidRPr="000F1077">
        <w:t xml:space="preserve"> point estimates were close to 1, and the 95% CIs were </w:t>
      </w:r>
      <w:r w:rsidR="006644D5" w:rsidRPr="000F1077">
        <w:t xml:space="preserve">comparatively </w:t>
      </w:r>
      <w:r w:rsidR="009769D6" w:rsidRPr="000F1077">
        <w:t xml:space="preserve">narrow, apart from ADA which had a statistically significant RD favouring OZA. </w:t>
      </w:r>
      <w:r w:rsidR="002E116A" w:rsidRPr="000F1077">
        <w:t>However, e</w:t>
      </w:r>
      <w:r w:rsidR="009769D6" w:rsidRPr="000F1077">
        <w:t xml:space="preserve">fficacy in the maintenance phase statistically significantly favoured TOF over OZA (both response and remission), and VED over OZA (for response). OZA was statistically significantly favoured over ADA </w:t>
      </w:r>
      <w:r w:rsidR="00874BE3">
        <w:t>using the</w:t>
      </w:r>
      <w:r w:rsidR="00874BE3" w:rsidRPr="000F1077">
        <w:t xml:space="preserve"> </w:t>
      </w:r>
      <w:r w:rsidR="009769D6" w:rsidRPr="000F1077">
        <w:t>RD in the maintenance phase, but this was an exploratory sensitivity analysis.</w:t>
      </w:r>
    </w:p>
    <w:p w14:paraId="122F12DA" w14:textId="5A7CE93A" w:rsidR="009769D6" w:rsidRPr="009A0E7B" w:rsidRDefault="009769D6" w:rsidP="00083B5E">
      <w:pPr>
        <w:pStyle w:val="3-BodyText"/>
        <w:rPr>
          <w:iCs/>
        </w:rPr>
      </w:pPr>
      <w:proofErr w:type="gramStart"/>
      <w:r w:rsidRPr="009A0E7B">
        <w:rPr>
          <w:iCs/>
        </w:rPr>
        <w:t>Similar to</w:t>
      </w:r>
      <w:proofErr w:type="gramEnd"/>
      <w:r w:rsidRPr="009A0E7B">
        <w:rPr>
          <w:iCs/>
        </w:rPr>
        <w:t xml:space="preserve"> the safety comparison for IFX, </w:t>
      </w:r>
      <w:r w:rsidR="00D65FA4">
        <w:rPr>
          <w:iCs/>
        </w:rPr>
        <w:t xml:space="preserve">the evaluation noted that </w:t>
      </w:r>
      <w:r w:rsidRPr="009A0E7B">
        <w:rPr>
          <w:iCs/>
        </w:rPr>
        <w:t>the naïve</w:t>
      </w:r>
      <w:r w:rsidR="00841B2E">
        <w:rPr>
          <w:iCs/>
        </w:rPr>
        <w:t xml:space="preserve"> safety</w:t>
      </w:r>
      <w:r w:rsidRPr="009A0E7B">
        <w:rPr>
          <w:iCs/>
        </w:rPr>
        <w:t xml:space="preserve"> </w:t>
      </w:r>
      <w:r w:rsidR="00841B2E">
        <w:rPr>
          <w:iCs/>
        </w:rPr>
        <w:t>analysis for the secondary comparators</w:t>
      </w:r>
      <w:r w:rsidRPr="009A0E7B">
        <w:rPr>
          <w:iCs/>
        </w:rPr>
        <w:t xml:space="preserve"> was made difficult by </w:t>
      </w:r>
      <w:r w:rsidR="0010467B" w:rsidRPr="009A0E7B">
        <w:t>differences in the safety profiles of placebo groups in the OZA and secondary comparator trials</w:t>
      </w:r>
      <w:r w:rsidRPr="009A0E7B">
        <w:rPr>
          <w:iCs/>
        </w:rPr>
        <w:t xml:space="preserve">. All treatments had generally similar safety profiles to their respective placebo groups. It </w:t>
      </w:r>
      <w:r w:rsidR="00D65FA4">
        <w:rPr>
          <w:iCs/>
        </w:rPr>
        <w:t>was</w:t>
      </w:r>
      <w:r w:rsidRPr="009A0E7B">
        <w:rPr>
          <w:iCs/>
        </w:rPr>
        <w:t xml:space="preserve"> noted that TOF may have additional safety concerns which have been recently identified by the FDA.</w:t>
      </w:r>
      <w:r w:rsidR="00497A04" w:rsidRPr="009A0E7B">
        <w:rPr>
          <w:iCs/>
        </w:rPr>
        <w:t xml:space="preserve"> </w:t>
      </w:r>
      <w:r w:rsidR="007226D6" w:rsidRPr="000F1077">
        <w:rPr>
          <w:iCs/>
        </w:rPr>
        <w:t xml:space="preserve">The </w:t>
      </w:r>
      <w:r w:rsidR="00497A04" w:rsidRPr="000F1077">
        <w:rPr>
          <w:iCs/>
        </w:rPr>
        <w:t>ESC</w:t>
      </w:r>
      <w:r w:rsidR="007226D6" w:rsidRPr="000F1077">
        <w:rPr>
          <w:iCs/>
        </w:rPr>
        <w:t xml:space="preserve"> noted that serious adverse event (SAE) rates appeared similar across the therapies and considered the claim of a trend towards more favourable safety was poorly supported</w:t>
      </w:r>
      <w:r w:rsidR="00A91912" w:rsidRPr="000F1077">
        <w:rPr>
          <w:iCs/>
        </w:rPr>
        <w:t xml:space="preserve">; </w:t>
      </w:r>
      <w:proofErr w:type="gramStart"/>
      <w:r w:rsidR="007226D6" w:rsidRPr="000F1077">
        <w:rPr>
          <w:iCs/>
        </w:rPr>
        <w:t>however</w:t>
      </w:r>
      <w:proofErr w:type="gramEnd"/>
      <w:r w:rsidR="007226D6" w:rsidRPr="000F1077">
        <w:rPr>
          <w:iCs/>
        </w:rPr>
        <w:t xml:space="preserve"> </w:t>
      </w:r>
      <w:r w:rsidR="00A91912" w:rsidRPr="000F1077">
        <w:rPr>
          <w:iCs/>
        </w:rPr>
        <w:t>the ESC</w:t>
      </w:r>
      <w:r w:rsidR="00497A04" w:rsidRPr="000F1077">
        <w:rPr>
          <w:iCs/>
        </w:rPr>
        <w:t xml:space="preserve"> considered </w:t>
      </w:r>
      <w:r w:rsidR="007226D6" w:rsidRPr="000F1077">
        <w:rPr>
          <w:iCs/>
        </w:rPr>
        <w:t>the claim of non-inferior comparative safety was overall likely to be reasonable.</w:t>
      </w:r>
    </w:p>
    <w:p w14:paraId="29FFF142" w14:textId="34F00FD4" w:rsidR="003A0DE4" w:rsidRPr="000C459B" w:rsidRDefault="003A0DE4" w:rsidP="003A0DE4">
      <w:pPr>
        <w:widowControl w:val="0"/>
        <w:numPr>
          <w:ilvl w:val="1"/>
          <w:numId w:val="1"/>
        </w:numPr>
        <w:spacing w:after="120"/>
        <w:rPr>
          <w:rFonts w:asciiTheme="minorHAnsi" w:hAnsiTheme="minorHAnsi"/>
          <w:snapToGrid w:val="0"/>
          <w:szCs w:val="20"/>
        </w:rPr>
      </w:pPr>
      <w:bookmarkStart w:id="41" w:name="_Hlk76376200"/>
      <w:r w:rsidRPr="000C459B">
        <w:rPr>
          <w:rFonts w:asciiTheme="minorHAnsi" w:hAnsiTheme="minorHAnsi"/>
          <w:iCs/>
          <w:snapToGrid w:val="0"/>
        </w:rPr>
        <w:t>The</w:t>
      </w:r>
      <w:r w:rsidRPr="000C459B">
        <w:rPr>
          <w:rFonts w:asciiTheme="minorHAnsi" w:hAnsiTheme="minorHAnsi"/>
          <w:snapToGrid w:val="0"/>
          <w:szCs w:val="20"/>
        </w:rPr>
        <w:t xml:space="preserve"> PBAC considered</w:t>
      </w:r>
      <w:r w:rsidR="00FC160A" w:rsidRPr="000C459B">
        <w:rPr>
          <w:rFonts w:asciiTheme="minorHAnsi" w:hAnsiTheme="minorHAnsi"/>
          <w:snapToGrid w:val="0"/>
          <w:szCs w:val="20"/>
        </w:rPr>
        <w:t xml:space="preserve">, whilst there were </w:t>
      </w:r>
      <w:r w:rsidR="00661707" w:rsidRPr="000C459B">
        <w:rPr>
          <w:rFonts w:asciiTheme="minorHAnsi" w:hAnsiTheme="minorHAnsi"/>
          <w:snapToGrid w:val="0"/>
          <w:szCs w:val="20"/>
        </w:rPr>
        <w:t xml:space="preserve">numerous uncertainties with the indirect comparisons due to differences in the trial designs and recruited populations, </w:t>
      </w:r>
      <w:proofErr w:type="gramStart"/>
      <w:r w:rsidR="00661707" w:rsidRPr="000C459B">
        <w:rPr>
          <w:rFonts w:asciiTheme="minorHAnsi" w:hAnsiTheme="minorHAnsi"/>
          <w:snapToGrid w:val="0"/>
          <w:szCs w:val="20"/>
        </w:rPr>
        <w:t>taking into account</w:t>
      </w:r>
      <w:proofErr w:type="gramEnd"/>
      <w:r w:rsidR="00661707" w:rsidRPr="000C459B">
        <w:rPr>
          <w:rFonts w:asciiTheme="minorHAnsi" w:hAnsiTheme="minorHAnsi"/>
          <w:snapToGrid w:val="0"/>
          <w:szCs w:val="20"/>
        </w:rPr>
        <w:t xml:space="preserve"> the totality of the available evidence, that the claim of non-inferior </w:t>
      </w:r>
      <w:r w:rsidR="00661707" w:rsidRPr="000C459B">
        <w:rPr>
          <w:rFonts w:asciiTheme="minorHAnsi" w:hAnsiTheme="minorHAnsi"/>
          <w:snapToGrid w:val="0"/>
          <w:szCs w:val="20"/>
        </w:rPr>
        <w:lastRenderedPageBreak/>
        <w:t>comparative effectiveness to</w:t>
      </w:r>
      <w:r w:rsidR="009E75FF">
        <w:rPr>
          <w:rFonts w:asciiTheme="minorHAnsi" w:hAnsiTheme="minorHAnsi"/>
          <w:snapToGrid w:val="0"/>
          <w:szCs w:val="20"/>
        </w:rPr>
        <w:t xml:space="preserve"> the primary comparator,</w:t>
      </w:r>
      <w:r w:rsidR="00084638" w:rsidRPr="000C459B">
        <w:rPr>
          <w:rFonts w:asciiTheme="minorHAnsi" w:hAnsiTheme="minorHAnsi"/>
          <w:snapToGrid w:val="0"/>
          <w:szCs w:val="20"/>
        </w:rPr>
        <w:t xml:space="preserve"> </w:t>
      </w:r>
      <w:r w:rsidR="009E75FF">
        <w:rPr>
          <w:rFonts w:asciiTheme="minorHAnsi" w:hAnsiTheme="minorHAnsi"/>
          <w:snapToGrid w:val="0"/>
          <w:szCs w:val="20"/>
        </w:rPr>
        <w:t>IFX,</w:t>
      </w:r>
      <w:r w:rsidR="00084638" w:rsidRPr="000C459B">
        <w:rPr>
          <w:rFonts w:asciiTheme="minorHAnsi" w:hAnsiTheme="minorHAnsi"/>
          <w:snapToGrid w:val="0"/>
          <w:szCs w:val="20"/>
        </w:rPr>
        <w:t xml:space="preserve"> was adequately supported.</w:t>
      </w:r>
      <w:r w:rsidR="00661707" w:rsidRPr="000C459B">
        <w:rPr>
          <w:rFonts w:asciiTheme="minorHAnsi" w:hAnsiTheme="minorHAnsi"/>
          <w:snapToGrid w:val="0"/>
          <w:szCs w:val="20"/>
        </w:rPr>
        <w:t xml:space="preserve"> </w:t>
      </w:r>
      <w:r w:rsidR="009E75FF">
        <w:rPr>
          <w:rFonts w:asciiTheme="minorHAnsi" w:hAnsiTheme="minorHAnsi"/>
          <w:snapToGrid w:val="0"/>
          <w:szCs w:val="20"/>
        </w:rPr>
        <w:t xml:space="preserve">The Committee considered that </w:t>
      </w:r>
      <w:r w:rsidR="004F55CE">
        <w:rPr>
          <w:rFonts w:asciiTheme="minorHAnsi" w:hAnsiTheme="minorHAnsi"/>
          <w:snapToGrid w:val="0"/>
          <w:szCs w:val="20"/>
        </w:rPr>
        <w:t>the analysis of OZA against the secondary comparators was not informative.</w:t>
      </w:r>
    </w:p>
    <w:p w14:paraId="0130342B" w14:textId="5B165B9B" w:rsidR="003A0DE4" w:rsidRPr="00661707" w:rsidRDefault="003A0DE4" w:rsidP="003A0DE4">
      <w:pPr>
        <w:widowControl w:val="0"/>
        <w:numPr>
          <w:ilvl w:val="1"/>
          <w:numId w:val="1"/>
        </w:numPr>
        <w:spacing w:after="120"/>
        <w:rPr>
          <w:rFonts w:asciiTheme="minorHAnsi" w:hAnsiTheme="minorHAnsi"/>
          <w:snapToGrid w:val="0"/>
          <w:szCs w:val="20"/>
        </w:rPr>
      </w:pPr>
      <w:r w:rsidRPr="00661707">
        <w:rPr>
          <w:rFonts w:asciiTheme="minorHAnsi" w:hAnsiTheme="minorHAnsi"/>
          <w:snapToGrid w:val="0"/>
          <w:szCs w:val="20"/>
        </w:rPr>
        <w:t xml:space="preserve">The PBAC considered that the claim of </w:t>
      </w:r>
      <w:bookmarkEnd w:id="41"/>
      <w:r w:rsidR="00661707" w:rsidRPr="00661707">
        <w:rPr>
          <w:rFonts w:asciiTheme="minorHAnsi" w:hAnsiTheme="minorHAnsi"/>
          <w:snapToGrid w:val="0"/>
          <w:szCs w:val="20"/>
        </w:rPr>
        <w:t>non-inferior comparative safety to alternative therapies was adequately supported, however noted OZA appeared to have a dif</w:t>
      </w:r>
      <w:r w:rsidR="0080229B">
        <w:rPr>
          <w:rFonts w:asciiTheme="minorHAnsi" w:hAnsiTheme="minorHAnsi"/>
          <w:snapToGrid w:val="0"/>
          <w:szCs w:val="20"/>
        </w:rPr>
        <w:t xml:space="preserve">ferent safety profile to other </w:t>
      </w:r>
      <w:r w:rsidR="00661707" w:rsidRPr="00661707">
        <w:rPr>
          <w:rFonts w:asciiTheme="minorHAnsi" w:hAnsiTheme="minorHAnsi"/>
          <w:snapToGrid w:val="0"/>
          <w:szCs w:val="20"/>
        </w:rPr>
        <w:t>DMARDs.</w:t>
      </w:r>
    </w:p>
    <w:p w14:paraId="349D05A6" w14:textId="7BF442CC" w:rsidR="00BA7FCD" w:rsidRPr="009A0E7B" w:rsidRDefault="00D26A00" w:rsidP="00D359E3">
      <w:pPr>
        <w:pStyle w:val="4-SubsectionHeading"/>
      </w:pPr>
      <w:bookmarkStart w:id="42" w:name="_Toc93489241"/>
      <w:r w:rsidRPr="009A0E7B">
        <w:t>Economic analysis</w:t>
      </w:r>
      <w:bookmarkEnd w:id="40"/>
      <w:bookmarkEnd w:id="42"/>
      <w:r w:rsidRPr="009A0E7B">
        <w:t xml:space="preserve"> </w:t>
      </w:r>
    </w:p>
    <w:p w14:paraId="56B9B0ED" w14:textId="3B6D642A" w:rsidR="00FA6D3A" w:rsidRPr="009A0E7B" w:rsidRDefault="00FA6D3A" w:rsidP="00FA6D3A">
      <w:pPr>
        <w:pStyle w:val="3-BodyText"/>
        <w:rPr>
          <w:bCs/>
        </w:rPr>
      </w:pPr>
      <w:r w:rsidRPr="009A0E7B">
        <w:rPr>
          <w:bCs/>
        </w:rPr>
        <w:t xml:space="preserve">The submission presented a CMA of OZA compared with IFX intravenous injection (IV), </w:t>
      </w:r>
      <w:r w:rsidR="00237FE6" w:rsidRPr="009A0E7B">
        <w:rPr>
          <w:bCs/>
        </w:rPr>
        <w:t>consistent with the claim of non-inferiority</w:t>
      </w:r>
      <w:r w:rsidRPr="009A0E7B">
        <w:rPr>
          <w:bCs/>
        </w:rPr>
        <w:t xml:space="preserve">. The proposed </w:t>
      </w:r>
      <w:proofErr w:type="spellStart"/>
      <w:r w:rsidRPr="009A0E7B">
        <w:rPr>
          <w:bCs/>
        </w:rPr>
        <w:t>equi</w:t>
      </w:r>
      <w:proofErr w:type="spellEnd"/>
      <w:r w:rsidRPr="009A0E7B">
        <w:rPr>
          <w:bCs/>
        </w:rPr>
        <w:t>-effective doses were based on the recommended doses:</w:t>
      </w:r>
    </w:p>
    <w:p w14:paraId="69569947" w14:textId="77777777" w:rsidR="006C64B2" w:rsidRPr="009A0E7B" w:rsidRDefault="00FA6D3A" w:rsidP="00FA6D3A">
      <w:pPr>
        <w:pStyle w:val="3-BodyText"/>
        <w:numPr>
          <w:ilvl w:val="0"/>
          <w:numId w:val="0"/>
        </w:numPr>
        <w:ind w:left="720"/>
        <w:rPr>
          <w:bCs/>
        </w:rPr>
      </w:pPr>
      <w:r w:rsidRPr="009A0E7B">
        <w:rPr>
          <w:bCs/>
        </w:rPr>
        <w:t>OZA 0.23 mg on Days 1 to 4, 0.46 mg on Days 5 to 7, then 0.92 mg orally once daily</w:t>
      </w:r>
    </w:p>
    <w:p w14:paraId="2ACCC505" w14:textId="12F63920" w:rsidR="00FA6D3A" w:rsidRPr="009A0E7B" w:rsidRDefault="006C64B2" w:rsidP="00FA6D3A">
      <w:pPr>
        <w:pStyle w:val="3-BodyText"/>
        <w:numPr>
          <w:ilvl w:val="0"/>
          <w:numId w:val="0"/>
        </w:numPr>
        <w:ind w:left="720"/>
        <w:rPr>
          <w:bCs/>
        </w:rPr>
      </w:pPr>
      <w:r w:rsidRPr="009A0E7B">
        <w:rPr>
          <w:rFonts w:cstheme="minorHAnsi"/>
          <w:snapToGrid/>
        </w:rPr>
        <w:t xml:space="preserve">≡ </w:t>
      </w:r>
      <w:r w:rsidR="00FA6D3A" w:rsidRPr="009A0E7B">
        <w:rPr>
          <w:bCs/>
        </w:rPr>
        <w:t>IFX 5 mg/kg IV at Weeks 0, 2, 6 and then every 8 weeks from Week 14 on the assumption of four vials per infusion (average patient weight of 80 kg).</w:t>
      </w:r>
    </w:p>
    <w:p w14:paraId="37351E81" w14:textId="242294D6" w:rsidR="00FA6D3A" w:rsidRPr="009A0E7B" w:rsidRDefault="00FA6D3A" w:rsidP="00FA6D3A">
      <w:pPr>
        <w:pStyle w:val="3-BodyText"/>
        <w:rPr>
          <w:bCs/>
        </w:rPr>
      </w:pPr>
      <w:r w:rsidRPr="009A0E7B">
        <w:rPr>
          <w:bCs/>
        </w:rPr>
        <w:t xml:space="preserve">The CMA presented in the submission assumed equivalent costs for OZA and IFX </w:t>
      </w:r>
      <w:r w:rsidR="006C64B2" w:rsidRPr="009A0E7B">
        <w:rPr>
          <w:bCs/>
        </w:rPr>
        <w:t xml:space="preserve">IV </w:t>
      </w:r>
      <w:r w:rsidRPr="009A0E7B">
        <w:rPr>
          <w:bCs/>
        </w:rPr>
        <w:t xml:space="preserve">over the first two years (104 weeks), including only medicine costs and the IV administration cost for IFX. The results of the CMA are presented </w:t>
      </w:r>
      <w:r w:rsidR="009C19C5" w:rsidRPr="009A0E7B">
        <w:rPr>
          <w:bCs/>
        </w:rPr>
        <w:t>in Table 12</w:t>
      </w:r>
      <w:r w:rsidRPr="009A0E7B">
        <w:rPr>
          <w:bCs/>
        </w:rPr>
        <w:t>.</w:t>
      </w:r>
    </w:p>
    <w:p w14:paraId="0BE01AED" w14:textId="4DD78AD5" w:rsidR="00FA6D3A" w:rsidRPr="009A0E7B" w:rsidRDefault="00FA6D3A" w:rsidP="009C19C5">
      <w:pPr>
        <w:pStyle w:val="TableFigureHeading"/>
        <w:keepLines/>
      </w:pPr>
      <w:r w:rsidRPr="009A0E7B">
        <w:lastRenderedPageBreak/>
        <w:t>Table</w:t>
      </w:r>
      <w:r w:rsidR="00061BBD">
        <w:t xml:space="preserve"> 12</w:t>
      </w:r>
      <w:r w:rsidRPr="009A0E7B">
        <w:t>:</w:t>
      </w:r>
      <w:r w:rsidRPr="009A0E7B">
        <w:rPr>
          <w:szCs w:val="16"/>
        </w:rPr>
        <w:t xml:space="preserve"> </w:t>
      </w:r>
      <w:r w:rsidRPr="009A0E7B">
        <w:t xml:space="preserve">Results of the cost-minimisation analysis </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1"/>
        <w:gridCol w:w="1720"/>
        <w:gridCol w:w="1864"/>
        <w:gridCol w:w="2109"/>
        <w:gridCol w:w="1539"/>
        <w:gridCol w:w="1609"/>
      </w:tblGrid>
      <w:tr w:rsidR="00FA6D3A" w:rsidRPr="009A0E7B" w14:paraId="2A8300E2" w14:textId="77777777" w:rsidTr="009D3811">
        <w:trPr>
          <w:trHeight w:val="197"/>
        </w:trPr>
        <w:tc>
          <w:tcPr>
            <w:tcW w:w="281" w:type="dxa"/>
            <w:vMerge w:val="restart"/>
          </w:tcPr>
          <w:p w14:paraId="2F75A454" w14:textId="77777777" w:rsidR="00FA6D3A" w:rsidRPr="009A0E7B" w:rsidRDefault="00FA6D3A" w:rsidP="009C19C5">
            <w:pPr>
              <w:keepNext/>
              <w:keepLines/>
              <w:jc w:val="left"/>
              <w:rPr>
                <w:rFonts w:ascii="Arial Narrow" w:eastAsiaTheme="minorEastAsia" w:hAnsi="Arial Narrow" w:cs="Times New Roman"/>
                <w:b/>
                <w:sz w:val="20"/>
                <w:szCs w:val="20"/>
                <w:lang w:eastAsia="en-US"/>
              </w:rPr>
            </w:pPr>
          </w:p>
        </w:tc>
        <w:tc>
          <w:tcPr>
            <w:tcW w:w="1720" w:type="dxa"/>
            <w:vMerge w:val="restart"/>
            <w:vAlign w:val="center"/>
          </w:tcPr>
          <w:p w14:paraId="4F2E0720" w14:textId="77777777" w:rsidR="00FA6D3A" w:rsidRPr="009A0E7B" w:rsidRDefault="00FA6D3A" w:rsidP="009C19C5">
            <w:pPr>
              <w:keepNext/>
              <w:keepLines/>
              <w:jc w:val="left"/>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Component</w:t>
            </w:r>
          </w:p>
        </w:tc>
        <w:tc>
          <w:tcPr>
            <w:tcW w:w="3973" w:type="dxa"/>
            <w:gridSpan w:val="2"/>
          </w:tcPr>
          <w:p w14:paraId="33D443F2" w14:textId="77777777" w:rsidR="00FA6D3A" w:rsidRPr="009A0E7B" w:rsidRDefault="00FA6D3A" w:rsidP="009C19C5">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OZA</w:t>
            </w:r>
          </w:p>
        </w:tc>
        <w:tc>
          <w:tcPr>
            <w:tcW w:w="3147" w:type="dxa"/>
            <w:gridSpan w:val="2"/>
          </w:tcPr>
          <w:p w14:paraId="713F7546" w14:textId="77777777" w:rsidR="00FA6D3A" w:rsidRPr="009A0E7B" w:rsidRDefault="00FA6D3A" w:rsidP="009C19C5">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IFX IV</w:t>
            </w:r>
          </w:p>
        </w:tc>
      </w:tr>
      <w:tr w:rsidR="00FA6D3A" w:rsidRPr="009A0E7B" w14:paraId="310C388B" w14:textId="77777777" w:rsidTr="009D3811">
        <w:trPr>
          <w:trHeight w:val="804"/>
        </w:trPr>
        <w:tc>
          <w:tcPr>
            <w:tcW w:w="281" w:type="dxa"/>
            <w:vMerge/>
          </w:tcPr>
          <w:p w14:paraId="7EC59AB7" w14:textId="77777777" w:rsidR="00FA6D3A" w:rsidRPr="009A0E7B" w:rsidRDefault="00FA6D3A" w:rsidP="009C19C5">
            <w:pPr>
              <w:keepNext/>
              <w:keepLines/>
              <w:jc w:val="left"/>
              <w:rPr>
                <w:rFonts w:ascii="Arial Narrow" w:eastAsiaTheme="minorEastAsia" w:hAnsi="Arial Narrow" w:cs="Times New Roman"/>
                <w:b/>
                <w:sz w:val="20"/>
                <w:szCs w:val="20"/>
                <w:lang w:eastAsia="en-US"/>
              </w:rPr>
            </w:pPr>
          </w:p>
        </w:tc>
        <w:tc>
          <w:tcPr>
            <w:tcW w:w="1720" w:type="dxa"/>
            <w:vMerge/>
          </w:tcPr>
          <w:p w14:paraId="7DCD5CA8" w14:textId="77777777" w:rsidR="00FA6D3A" w:rsidRPr="009A0E7B" w:rsidRDefault="00FA6D3A" w:rsidP="009C19C5">
            <w:pPr>
              <w:keepNext/>
              <w:keepLines/>
              <w:jc w:val="left"/>
              <w:rPr>
                <w:rFonts w:ascii="Arial Narrow" w:eastAsiaTheme="minorEastAsia" w:hAnsi="Arial Narrow" w:cs="Times New Roman"/>
                <w:b/>
                <w:sz w:val="20"/>
                <w:szCs w:val="20"/>
                <w:lang w:eastAsia="en-US"/>
              </w:rPr>
            </w:pPr>
          </w:p>
        </w:tc>
        <w:tc>
          <w:tcPr>
            <w:tcW w:w="1864" w:type="dxa"/>
          </w:tcPr>
          <w:p w14:paraId="4A6894BD" w14:textId="77777777" w:rsidR="00FA6D3A" w:rsidRPr="009A0E7B" w:rsidRDefault="00FA6D3A" w:rsidP="009C19C5">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Initiation pack</w:t>
            </w:r>
          </w:p>
          <w:p w14:paraId="291EEC4E" w14:textId="767E75F4" w:rsidR="00FA6D3A" w:rsidRPr="009A0E7B" w:rsidRDefault="00FA6D3A" w:rsidP="009C19C5">
            <w:pPr>
              <w:pStyle w:val="TableText0"/>
              <w:keepLines/>
              <w:jc w:val="center"/>
              <w:rPr>
                <w:szCs w:val="20"/>
              </w:rPr>
            </w:pPr>
            <w:r w:rsidRPr="009A0E7B">
              <w:rPr>
                <w:szCs w:val="20"/>
              </w:rPr>
              <w:t xml:space="preserve">230 </w:t>
            </w:r>
            <w:r w:rsidR="00090B20">
              <w:rPr>
                <w:szCs w:val="20"/>
              </w:rPr>
              <w:t>mcg</w:t>
            </w:r>
            <w:r w:rsidRPr="009A0E7B">
              <w:rPr>
                <w:szCs w:val="20"/>
              </w:rPr>
              <w:t xml:space="preserve"> capsule [4] (&amp;)</w:t>
            </w:r>
          </w:p>
          <w:p w14:paraId="225C376B" w14:textId="6BCC3B30" w:rsidR="00FA6D3A" w:rsidRPr="009A0E7B" w:rsidRDefault="00FA6D3A" w:rsidP="00090B20">
            <w:pPr>
              <w:pStyle w:val="TableText0"/>
              <w:keepLines/>
              <w:jc w:val="center"/>
              <w:rPr>
                <w:rFonts w:eastAsiaTheme="minorEastAsia" w:cs="Times New Roman"/>
                <w:b/>
                <w:szCs w:val="20"/>
                <w:lang w:eastAsia="en-US"/>
              </w:rPr>
            </w:pPr>
            <w:r w:rsidRPr="009A0E7B">
              <w:rPr>
                <w:szCs w:val="20"/>
              </w:rPr>
              <w:t xml:space="preserve">460 </w:t>
            </w:r>
            <w:r w:rsidR="00090B20">
              <w:rPr>
                <w:szCs w:val="20"/>
              </w:rPr>
              <w:t>mcg</w:t>
            </w:r>
            <w:r w:rsidRPr="009A0E7B">
              <w:rPr>
                <w:szCs w:val="20"/>
              </w:rPr>
              <w:t xml:space="preserve"> capsule [3]</w:t>
            </w:r>
          </w:p>
        </w:tc>
        <w:tc>
          <w:tcPr>
            <w:tcW w:w="2108" w:type="dxa"/>
          </w:tcPr>
          <w:p w14:paraId="46C6B77F" w14:textId="77777777" w:rsidR="00FA6D3A" w:rsidRPr="009A0E7B" w:rsidRDefault="00FA6D3A" w:rsidP="009C19C5">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Maintenance pack</w:t>
            </w:r>
          </w:p>
          <w:p w14:paraId="507A62BF" w14:textId="33C2F228" w:rsidR="00FA6D3A" w:rsidRPr="009A0E7B" w:rsidDel="002D342D" w:rsidRDefault="00FA6D3A" w:rsidP="00090B20">
            <w:pPr>
              <w:pStyle w:val="In-tableHeading"/>
              <w:keepLines/>
              <w:jc w:val="center"/>
              <w:rPr>
                <w:rFonts w:eastAsiaTheme="minorEastAsia"/>
                <w:b w:val="0"/>
                <w:szCs w:val="20"/>
                <w:lang w:val="en-AU" w:eastAsia="en-US"/>
              </w:rPr>
            </w:pPr>
            <w:r w:rsidRPr="009A0E7B">
              <w:rPr>
                <w:b w:val="0"/>
                <w:szCs w:val="20"/>
                <w:lang w:val="en-AU"/>
              </w:rPr>
              <w:t xml:space="preserve">920 </w:t>
            </w:r>
            <w:r w:rsidR="00090B20">
              <w:rPr>
                <w:b w:val="0"/>
                <w:szCs w:val="20"/>
                <w:lang w:val="en-AU"/>
              </w:rPr>
              <w:t>mcg</w:t>
            </w:r>
            <w:r w:rsidRPr="009A0E7B">
              <w:rPr>
                <w:b w:val="0"/>
                <w:szCs w:val="20"/>
                <w:lang w:val="en-AU"/>
              </w:rPr>
              <w:t xml:space="preserve"> capsule</w:t>
            </w:r>
          </w:p>
        </w:tc>
        <w:tc>
          <w:tcPr>
            <w:tcW w:w="1539" w:type="dxa"/>
          </w:tcPr>
          <w:p w14:paraId="022B0A8A" w14:textId="61807A1A" w:rsidR="00FA6D3A" w:rsidRPr="009A0E7B" w:rsidRDefault="00FA6D3A" w:rsidP="009C19C5">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100</w:t>
            </w:r>
            <w:r w:rsidR="0051655E" w:rsidRPr="009A0E7B">
              <w:rPr>
                <w:rFonts w:ascii="Arial Narrow" w:eastAsiaTheme="minorEastAsia" w:hAnsi="Arial Narrow" w:cs="Times New Roman"/>
                <w:b/>
                <w:sz w:val="20"/>
                <w:szCs w:val="20"/>
                <w:lang w:eastAsia="en-US"/>
              </w:rPr>
              <w:t xml:space="preserve"> </w:t>
            </w:r>
            <w:r w:rsidRPr="009A0E7B">
              <w:rPr>
                <w:rFonts w:ascii="Arial Narrow" w:eastAsiaTheme="minorEastAsia" w:hAnsi="Arial Narrow" w:cs="Times New Roman"/>
                <w:b/>
                <w:sz w:val="20"/>
                <w:szCs w:val="20"/>
                <w:lang w:eastAsia="en-US"/>
              </w:rPr>
              <w:t>mg (public)</w:t>
            </w:r>
          </w:p>
          <w:p w14:paraId="483FF8BE" w14:textId="77777777" w:rsidR="00FA6D3A" w:rsidRPr="009A0E7B" w:rsidRDefault="00FA6D3A" w:rsidP="009C19C5">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 xml:space="preserve">10196P, 14559D, 11461F </w:t>
            </w:r>
          </w:p>
        </w:tc>
        <w:tc>
          <w:tcPr>
            <w:tcW w:w="1608" w:type="dxa"/>
          </w:tcPr>
          <w:p w14:paraId="59367C19" w14:textId="083F032E" w:rsidR="00FA6D3A" w:rsidRPr="009A0E7B" w:rsidRDefault="00FA6D3A" w:rsidP="009C19C5">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b/>
                <w:sz w:val="20"/>
                <w:szCs w:val="20"/>
                <w:lang w:eastAsia="en-US"/>
              </w:rPr>
              <w:t>100</w:t>
            </w:r>
            <w:r w:rsidR="0051655E" w:rsidRPr="009A0E7B">
              <w:rPr>
                <w:rFonts w:ascii="Arial Narrow" w:eastAsiaTheme="minorEastAsia" w:hAnsi="Arial Narrow" w:cs="Times New Roman"/>
                <w:b/>
                <w:sz w:val="20"/>
                <w:szCs w:val="20"/>
                <w:lang w:eastAsia="en-US"/>
              </w:rPr>
              <w:t xml:space="preserve"> </w:t>
            </w:r>
            <w:r w:rsidRPr="009A0E7B">
              <w:rPr>
                <w:rFonts w:ascii="Arial Narrow" w:eastAsiaTheme="minorEastAsia" w:hAnsi="Arial Narrow" w:cs="Times New Roman"/>
                <w:b/>
                <w:sz w:val="20"/>
                <w:szCs w:val="20"/>
                <w:lang w:eastAsia="en-US"/>
              </w:rPr>
              <w:t>mg (private)</w:t>
            </w:r>
          </w:p>
          <w:p w14:paraId="1A43AB38" w14:textId="77777777" w:rsidR="00FA6D3A" w:rsidRPr="009A0E7B" w:rsidRDefault="00FA6D3A" w:rsidP="009C19C5">
            <w:pPr>
              <w:keepNext/>
              <w:keepLines/>
              <w:jc w:val="center"/>
              <w:rPr>
                <w:rFonts w:ascii="Arial Narrow" w:eastAsiaTheme="minorEastAsia" w:hAnsi="Arial Narrow" w:cs="Times New Roman"/>
                <w:b/>
                <w:sz w:val="20"/>
                <w:szCs w:val="20"/>
                <w:lang w:eastAsia="en-US"/>
              </w:rPr>
            </w:pPr>
            <w:r w:rsidRPr="009A0E7B">
              <w:rPr>
                <w:rFonts w:ascii="Arial Narrow" w:eastAsiaTheme="minorEastAsia" w:hAnsi="Arial Narrow" w:cs="Times New Roman"/>
                <w:sz w:val="20"/>
                <w:szCs w:val="20"/>
                <w:lang w:eastAsia="en-US"/>
              </w:rPr>
              <w:t>10184B,11796W, 11797X</w:t>
            </w:r>
          </w:p>
        </w:tc>
      </w:tr>
      <w:tr w:rsidR="00FA6D3A" w:rsidRPr="009A0E7B" w14:paraId="6E4403DC" w14:textId="77777777" w:rsidTr="009D3811">
        <w:trPr>
          <w:trHeight w:val="181"/>
        </w:trPr>
        <w:tc>
          <w:tcPr>
            <w:tcW w:w="281" w:type="dxa"/>
          </w:tcPr>
          <w:p w14:paraId="3CE204FD"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A</w:t>
            </w:r>
          </w:p>
        </w:tc>
        <w:tc>
          <w:tcPr>
            <w:tcW w:w="1720" w:type="dxa"/>
          </w:tcPr>
          <w:p w14:paraId="45E6253E"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PBS item, max quantity</w:t>
            </w:r>
          </w:p>
        </w:tc>
        <w:tc>
          <w:tcPr>
            <w:tcW w:w="1864" w:type="dxa"/>
            <w:tcBorders>
              <w:bottom w:val="single" w:sz="4" w:space="0" w:color="auto"/>
            </w:tcBorders>
          </w:tcPr>
          <w:p w14:paraId="292F925E" w14:textId="77777777" w:rsidR="00FA6D3A" w:rsidRPr="009A0E7B" w:rsidRDefault="00FA6D3A" w:rsidP="009C19C5">
            <w:pPr>
              <w:pStyle w:val="TableText0"/>
              <w:keepLines/>
              <w:jc w:val="center"/>
              <w:rPr>
                <w:szCs w:val="20"/>
                <w:lang w:eastAsia="en-US"/>
              </w:rPr>
            </w:pPr>
            <w:r w:rsidRPr="009A0E7B">
              <w:rPr>
                <w:szCs w:val="20"/>
                <w:lang w:eastAsia="en-US"/>
              </w:rPr>
              <w:t>1 pack (7 capsules)</w:t>
            </w:r>
          </w:p>
        </w:tc>
        <w:tc>
          <w:tcPr>
            <w:tcW w:w="2108" w:type="dxa"/>
            <w:tcBorders>
              <w:bottom w:val="single" w:sz="4" w:space="0" w:color="auto"/>
            </w:tcBorders>
          </w:tcPr>
          <w:p w14:paraId="210EE7A2" w14:textId="77777777" w:rsidR="00FA6D3A" w:rsidRPr="009A0E7B" w:rsidRDefault="00FA6D3A" w:rsidP="009C19C5">
            <w:pPr>
              <w:pStyle w:val="TableText0"/>
              <w:keepLines/>
              <w:jc w:val="center"/>
              <w:rPr>
                <w:szCs w:val="20"/>
                <w:lang w:eastAsia="en-US"/>
              </w:rPr>
            </w:pPr>
            <w:r w:rsidRPr="009A0E7B">
              <w:rPr>
                <w:szCs w:val="20"/>
                <w:lang w:eastAsia="en-US"/>
              </w:rPr>
              <w:t>1 pack (28 capsules)</w:t>
            </w:r>
          </w:p>
        </w:tc>
        <w:tc>
          <w:tcPr>
            <w:tcW w:w="1539" w:type="dxa"/>
          </w:tcPr>
          <w:p w14:paraId="53D8F044" w14:textId="7F5D9965" w:rsidR="00FA6D3A" w:rsidRPr="009A0E7B" w:rsidRDefault="00FA6D3A" w:rsidP="009C19C5">
            <w:pPr>
              <w:pStyle w:val="TableText0"/>
              <w:keepLines/>
              <w:jc w:val="center"/>
              <w:rPr>
                <w:szCs w:val="20"/>
                <w:lang w:eastAsia="en-US"/>
              </w:rPr>
            </w:pPr>
            <w:r w:rsidRPr="009A0E7B">
              <w:rPr>
                <w:szCs w:val="20"/>
                <w:lang w:eastAsia="en-US"/>
              </w:rPr>
              <w:t>100</w:t>
            </w:r>
            <w:r w:rsidR="0051655E" w:rsidRPr="009A0E7B">
              <w:rPr>
                <w:szCs w:val="20"/>
                <w:lang w:eastAsia="en-US"/>
              </w:rPr>
              <w:t xml:space="preserve"> </w:t>
            </w:r>
            <w:r w:rsidRPr="009A0E7B">
              <w:rPr>
                <w:szCs w:val="20"/>
                <w:lang w:eastAsia="en-US"/>
              </w:rPr>
              <w:t>mg vial x1</w:t>
            </w:r>
          </w:p>
        </w:tc>
        <w:tc>
          <w:tcPr>
            <w:tcW w:w="1608" w:type="dxa"/>
          </w:tcPr>
          <w:p w14:paraId="4486464E" w14:textId="64710EFD" w:rsidR="00FA6D3A" w:rsidRPr="009A0E7B" w:rsidRDefault="00FA6D3A" w:rsidP="009C19C5">
            <w:pPr>
              <w:pStyle w:val="TableText0"/>
              <w:keepLines/>
              <w:jc w:val="center"/>
              <w:rPr>
                <w:szCs w:val="20"/>
                <w:lang w:eastAsia="en-US"/>
              </w:rPr>
            </w:pPr>
            <w:r w:rsidRPr="009A0E7B">
              <w:rPr>
                <w:szCs w:val="20"/>
                <w:lang w:eastAsia="en-US"/>
              </w:rPr>
              <w:t>100</w:t>
            </w:r>
            <w:r w:rsidR="0051655E" w:rsidRPr="009A0E7B">
              <w:rPr>
                <w:szCs w:val="20"/>
                <w:lang w:eastAsia="en-US"/>
              </w:rPr>
              <w:t xml:space="preserve"> </w:t>
            </w:r>
            <w:r w:rsidRPr="009A0E7B">
              <w:rPr>
                <w:szCs w:val="20"/>
                <w:lang w:eastAsia="en-US"/>
              </w:rPr>
              <w:t>mg vial x1</w:t>
            </w:r>
          </w:p>
        </w:tc>
      </w:tr>
      <w:tr w:rsidR="00FA6D3A" w:rsidRPr="009A0E7B" w14:paraId="78F351E9" w14:textId="77777777" w:rsidTr="009D3811">
        <w:trPr>
          <w:trHeight w:val="197"/>
        </w:trPr>
        <w:tc>
          <w:tcPr>
            <w:tcW w:w="281" w:type="dxa"/>
          </w:tcPr>
          <w:p w14:paraId="425513D8"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B</w:t>
            </w:r>
          </w:p>
        </w:tc>
        <w:tc>
          <w:tcPr>
            <w:tcW w:w="1720" w:type="dxa"/>
          </w:tcPr>
          <w:p w14:paraId="54E7284C"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 xml:space="preserve">DPMQ </w:t>
            </w:r>
          </w:p>
        </w:tc>
        <w:tc>
          <w:tcPr>
            <w:tcW w:w="1864" w:type="dxa"/>
            <w:tcBorders>
              <w:bottom w:val="single" w:sz="4" w:space="0" w:color="auto"/>
            </w:tcBorders>
          </w:tcPr>
          <w:p w14:paraId="4301DBDA" w14:textId="20D03D33"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hAnsi="Arial Narrow"/>
                <w:sz w:val="20"/>
                <w:szCs w:val="20"/>
              </w:rPr>
              <w:t>$</w:t>
            </w:r>
            <w:r w:rsidR="00B77D4B" w:rsidRPr="00B77D4B">
              <w:rPr>
                <w:rFonts w:ascii="Arial Narrow" w:hAnsi="Arial Narrow"/>
                <w:color w:val="000000"/>
                <w:sz w:val="20"/>
                <w:szCs w:val="20"/>
                <w:shd w:val="solid" w:color="000000" w:fill="000000"/>
                <w14:textFill>
                  <w14:solidFill>
                    <w14:srgbClr w14:val="000000">
                      <w14:alpha w14:val="100000"/>
                    </w14:srgbClr>
                  </w14:solidFill>
                </w14:textFill>
              </w:rPr>
              <w:t>|</w:t>
            </w:r>
            <w:r w:rsidRPr="0049776A">
              <w:rPr>
                <w:rFonts w:ascii="Arial Narrow" w:hAnsi="Arial Narrow"/>
                <w:sz w:val="20"/>
                <w:szCs w:val="20"/>
                <w:vertAlign w:val="superscript"/>
              </w:rPr>
              <w:t>a</w:t>
            </w:r>
          </w:p>
        </w:tc>
        <w:tc>
          <w:tcPr>
            <w:tcW w:w="2108" w:type="dxa"/>
            <w:tcBorders>
              <w:bottom w:val="single" w:sz="4" w:space="0" w:color="auto"/>
            </w:tcBorders>
          </w:tcPr>
          <w:p w14:paraId="395C17C8" w14:textId="31DE626C"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hAnsi="Arial Narrow"/>
                <w:sz w:val="20"/>
                <w:szCs w:val="20"/>
              </w:rPr>
              <w:t>$</w:t>
            </w:r>
            <w:r w:rsidR="00B77D4B" w:rsidRPr="00B77D4B">
              <w:rPr>
                <w:rFonts w:ascii="Arial Narrow" w:hAnsi="Arial Narrow"/>
                <w:color w:val="000000"/>
                <w:sz w:val="20"/>
                <w:szCs w:val="20"/>
                <w:shd w:val="solid" w:color="000000" w:fill="000000"/>
                <w14:textFill>
                  <w14:solidFill>
                    <w14:srgbClr w14:val="000000">
                      <w14:alpha w14:val="100000"/>
                    </w14:srgbClr>
                  </w14:solidFill>
                </w14:textFill>
              </w:rPr>
              <w:t>|</w:t>
            </w:r>
            <w:r w:rsidRPr="0049776A">
              <w:rPr>
                <w:rFonts w:ascii="Arial Narrow" w:eastAsiaTheme="minorEastAsia" w:hAnsi="Arial Narrow" w:cs="Times New Roman"/>
                <w:sz w:val="20"/>
                <w:szCs w:val="20"/>
                <w:vertAlign w:val="superscript"/>
                <w:lang w:eastAsia="en-US"/>
              </w:rPr>
              <w:t>a</w:t>
            </w:r>
          </w:p>
        </w:tc>
        <w:tc>
          <w:tcPr>
            <w:tcW w:w="1539" w:type="dxa"/>
          </w:tcPr>
          <w:p w14:paraId="1D09287A" w14:textId="77777777" w:rsidR="00FA6D3A" w:rsidRPr="0049776A" w:rsidRDefault="00FA6D3A" w:rsidP="009C19C5">
            <w:pPr>
              <w:pStyle w:val="TableText0"/>
              <w:keepLines/>
              <w:jc w:val="center"/>
              <w:rPr>
                <w:rFonts w:eastAsiaTheme="minorEastAsia" w:cs="Times New Roman"/>
                <w:szCs w:val="20"/>
                <w:lang w:eastAsia="en-US"/>
              </w:rPr>
            </w:pPr>
            <w:r w:rsidRPr="0049776A">
              <w:rPr>
                <w:szCs w:val="20"/>
              </w:rPr>
              <w:t>$320.71</w:t>
            </w:r>
          </w:p>
        </w:tc>
        <w:tc>
          <w:tcPr>
            <w:tcW w:w="1608" w:type="dxa"/>
          </w:tcPr>
          <w:p w14:paraId="03629B7A" w14:textId="77777777" w:rsidR="00FA6D3A" w:rsidRPr="0049776A" w:rsidRDefault="00FA6D3A" w:rsidP="009C19C5">
            <w:pPr>
              <w:pStyle w:val="TableText0"/>
              <w:keepLines/>
              <w:jc w:val="center"/>
              <w:rPr>
                <w:rFonts w:eastAsiaTheme="minorEastAsia" w:cs="Times New Roman"/>
                <w:szCs w:val="20"/>
                <w:lang w:eastAsia="en-US"/>
              </w:rPr>
            </w:pPr>
            <w:r w:rsidRPr="0049776A">
              <w:rPr>
                <w:szCs w:val="20"/>
              </w:rPr>
              <w:t>$341.32</w:t>
            </w:r>
          </w:p>
        </w:tc>
      </w:tr>
      <w:tr w:rsidR="00FA6D3A" w:rsidRPr="009A0E7B" w14:paraId="0F31B2BF" w14:textId="77777777" w:rsidTr="009D3811">
        <w:trPr>
          <w:trHeight w:val="197"/>
        </w:trPr>
        <w:tc>
          <w:tcPr>
            <w:tcW w:w="281" w:type="dxa"/>
          </w:tcPr>
          <w:p w14:paraId="299A597F"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C</w:t>
            </w:r>
          </w:p>
        </w:tc>
        <w:tc>
          <w:tcPr>
            <w:tcW w:w="1720" w:type="dxa"/>
          </w:tcPr>
          <w:p w14:paraId="21682EBC"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 xml:space="preserve">AEMP </w:t>
            </w:r>
          </w:p>
        </w:tc>
        <w:tc>
          <w:tcPr>
            <w:tcW w:w="1864" w:type="dxa"/>
            <w:tcBorders>
              <w:bottom w:val="single" w:sz="4" w:space="0" w:color="auto"/>
            </w:tcBorders>
          </w:tcPr>
          <w:p w14:paraId="34D5B4B8" w14:textId="6BB62444" w:rsidR="00FA6D3A" w:rsidRPr="009A0E7B" w:rsidRDefault="00FA6D3A" w:rsidP="009C19C5">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w:t>
            </w:r>
            <w:r w:rsidR="00B77D4B" w:rsidRPr="00B77D4B">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r w:rsidRPr="009A0E7B">
              <w:rPr>
                <w:rFonts w:ascii="Arial Narrow" w:eastAsiaTheme="minorEastAsia" w:hAnsi="Arial Narrow" w:cs="Times New Roman"/>
                <w:sz w:val="20"/>
                <w:szCs w:val="20"/>
                <w:vertAlign w:val="superscript"/>
                <w:lang w:eastAsia="en-US"/>
              </w:rPr>
              <w:t>b</w:t>
            </w:r>
          </w:p>
        </w:tc>
        <w:tc>
          <w:tcPr>
            <w:tcW w:w="2108" w:type="dxa"/>
            <w:tcBorders>
              <w:bottom w:val="single" w:sz="4" w:space="0" w:color="auto"/>
            </w:tcBorders>
          </w:tcPr>
          <w:p w14:paraId="0582C932" w14:textId="78F1F763"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w:t>
            </w:r>
            <w:r w:rsidR="00B77D4B" w:rsidRPr="00B77D4B">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r w:rsidRPr="0049776A">
              <w:rPr>
                <w:rFonts w:ascii="Arial Narrow" w:eastAsiaTheme="minorEastAsia" w:hAnsi="Arial Narrow" w:cs="Times New Roman"/>
                <w:sz w:val="20"/>
                <w:szCs w:val="20"/>
                <w:vertAlign w:val="superscript"/>
                <w:lang w:eastAsia="en-US"/>
              </w:rPr>
              <w:t>b</w:t>
            </w:r>
          </w:p>
        </w:tc>
        <w:tc>
          <w:tcPr>
            <w:tcW w:w="1539" w:type="dxa"/>
          </w:tcPr>
          <w:p w14:paraId="056D282F"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$320.71</w:t>
            </w:r>
          </w:p>
        </w:tc>
        <w:tc>
          <w:tcPr>
            <w:tcW w:w="1608" w:type="dxa"/>
          </w:tcPr>
          <w:p w14:paraId="47AB3C36"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$320.71</w:t>
            </w:r>
          </w:p>
        </w:tc>
      </w:tr>
      <w:tr w:rsidR="00FA6D3A" w:rsidRPr="009A0E7B" w14:paraId="00AA22D1" w14:textId="77777777" w:rsidTr="009D3811">
        <w:trPr>
          <w:trHeight w:val="197"/>
        </w:trPr>
        <w:tc>
          <w:tcPr>
            <w:tcW w:w="281" w:type="dxa"/>
            <w:vMerge w:val="restart"/>
            <w:vAlign w:val="center"/>
          </w:tcPr>
          <w:p w14:paraId="00A2F5AC"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D</w:t>
            </w:r>
          </w:p>
        </w:tc>
        <w:tc>
          <w:tcPr>
            <w:tcW w:w="1720" w:type="dxa"/>
            <w:vMerge w:val="restart"/>
            <w:vAlign w:val="center"/>
          </w:tcPr>
          <w:p w14:paraId="06B78860"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Dosing regimen</w:t>
            </w:r>
          </w:p>
        </w:tc>
        <w:tc>
          <w:tcPr>
            <w:tcW w:w="3973" w:type="dxa"/>
            <w:gridSpan w:val="2"/>
            <w:tcBorders>
              <w:bottom w:val="nil"/>
            </w:tcBorders>
            <w:vAlign w:val="center"/>
          </w:tcPr>
          <w:p w14:paraId="49F789E4"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Dosing assumption in draft PI:</w:t>
            </w:r>
          </w:p>
        </w:tc>
        <w:tc>
          <w:tcPr>
            <w:tcW w:w="3147" w:type="dxa"/>
            <w:gridSpan w:val="2"/>
            <w:tcBorders>
              <w:bottom w:val="nil"/>
            </w:tcBorders>
            <w:vAlign w:val="center"/>
          </w:tcPr>
          <w:p w14:paraId="3871CBF4"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Dosing assumption in PI:</w:t>
            </w:r>
          </w:p>
        </w:tc>
      </w:tr>
      <w:tr w:rsidR="00FA6D3A" w:rsidRPr="009A0E7B" w14:paraId="51A43B39" w14:textId="77777777" w:rsidTr="009D3811">
        <w:trPr>
          <w:trHeight w:val="209"/>
        </w:trPr>
        <w:tc>
          <w:tcPr>
            <w:tcW w:w="281" w:type="dxa"/>
            <w:vMerge/>
          </w:tcPr>
          <w:p w14:paraId="1A0650DE"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vMerge/>
          </w:tcPr>
          <w:p w14:paraId="7F591D2D"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p>
        </w:tc>
        <w:tc>
          <w:tcPr>
            <w:tcW w:w="3973" w:type="dxa"/>
            <w:gridSpan w:val="2"/>
            <w:tcBorders>
              <w:top w:val="nil"/>
              <w:bottom w:val="nil"/>
            </w:tcBorders>
            <w:vAlign w:val="center"/>
          </w:tcPr>
          <w:p w14:paraId="18C14C76" w14:textId="77777777" w:rsidR="00FA6D3A" w:rsidRPr="009A0E7B" w:rsidRDefault="00FA6D3A" w:rsidP="009573AD">
            <w:pPr>
              <w:keepNext/>
              <w:keepLines/>
              <w:widowControl w:val="0"/>
              <w:numPr>
                <w:ilvl w:val="0"/>
                <w:numId w:val="8"/>
              </w:numPr>
              <w:ind w:left="169" w:hanging="125"/>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Days 1-4: 0.23 mg capsule, once daily</w:t>
            </w:r>
          </w:p>
        </w:tc>
        <w:tc>
          <w:tcPr>
            <w:tcW w:w="3147" w:type="dxa"/>
            <w:gridSpan w:val="2"/>
            <w:tcBorders>
              <w:top w:val="nil"/>
              <w:bottom w:val="nil"/>
            </w:tcBorders>
            <w:vAlign w:val="center"/>
          </w:tcPr>
          <w:p w14:paraId="4A9F0589" w14:textId="77777777" w:rsidR="00FA6D3A" w:rsidRPr="009A0E7B" w:rsidRDefault="00FA6D3A" w:rsidP="009573AD">
            <w:pPr>
              <w:keepNext/>
              <w:keepLines/>
              <w:widowControl w:val="0"/>
              <w:numPr>
                <w:ilvl w:val="0"/>
                <w:numId w:val="8"/>
              </w:numPr>
              <w:ind w:left="169" w:hanging="125"/>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 xml:space="preserve">5mg/kg Week 0, 2, 6, then Q8W </w:t>
            </w:r>
          </w:p>
        </w:tc>
      </w:tr>
      <w:tr w:rsidR="00FA6D3A" w:rsidRPr="009A0E7B" w14:paraId="0F817922" w14:textId="77777777" w:rsidTr="009D3811">
        <w:trPr>
          <w:trHeight w:val="209"/>
        </w:trPr>
        <w:tc>
          <w:tcPr>
            <w:tcW w:w="281" w:type="dxa"/>
            <w:vMerge/>
          </w:tcPr>
          <w:p w14:paraId="2480ED79"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vMerge/>
          </w:tcPr>
          <w:p w14:paraId="012306CA"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p>
        </w:tc>
        <w:tc>
          <w:tcPr>
            <w:tcW w:w="3973" w:type="dxa"/>
            <w:gridSpan w:val="2"/>
            <w:tcBorders>
              <w:top w:val="nil"/>
              <w:bottom w:val="nil"/>
            </w:tcBorders>
            <w:vAlign w:val="center"/>
          </w:tcPr>
          <w:p w14:paraId="37C81FF7" w14:textId="77777777" w:rsidR="00FA6D3A" w:rsidRPr="009A0E7B" w:rsidRDefault="00FA6D3A" w:rsidP="009573AD">
            <w:pPr>
              <w:keepNext/>
              <w:keepLines/>
              <w:widowControl w:val="0"/>
              <w:numPr>
                <w:ilvl w:val="0"/>
                <w:numId w:val="8"/>
              </w:numPr>
              <w:ind w:left="169" w:hanging="125"/>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Days 5-7: 0.46 mg capsule, once daily</w:t>
            </w:r>
          </w:p>
        </w:tc>
        <w:tc>
          <w:tcPr>
            <w:tcW w:w="3147" w:type="dxa"/>
            <w:gridSpan w:val="2"/>
            <w:vMerge w:val="restart"/>
            <w:tcBorders>
              <w:top w:val="nil"/>
            </w:tcBorders>
            <w:vAlign w:val="center"/>
          </w:tcPr>
          <w:p w14:paraId="137F237F" w14:textId="77777777" w:rsidR="00FA6D3A" w:rsidRPr="009A0E7B" w:rsidRDefault="00FA6D3A" w:rsidP="009573AD">
            <w:pPr>
              <w:keepNext/>
              <w:keepLines/>
              <w:widowControl w:val="0"/>
              <w:numPr>
                <w:ilvl w:val="0"/>
                <w:numId w:val="8"/>
              </w:numPr>
              <w:ind w:left="169" w:hanging="125"/>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Average weight of 80kg, 400mg per injection (4 vials per administration)</w:t>
            </w:r>
          </w:p>
        </w:tc>
      </w:tr>
      <w:tr w:rsidR="00FA6D3A" w:rsidRPr="009A0E7B" w14:paraId="26D51937" w14:textId="77777777" w:rsidTr="009D3811">
        <w:trPr>
          <w:trHeight w:val="252"/>
        </w:trPr>
        <w:tc>
          <w:tcPr>
            <w:tcW w:w="281" w:type="dxa"/>
            <w:vMerge/>
            <w:tcBorders>
              <w:bottom w:val="single" w:sz="4" w:space="0" w:color="auto"/>
            </w:tcBorders>
          </w:tcPr>
          <w:p w14:paraId="7510D774"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vMerge/>
            <w:tcBorders>
              <w:bottom w:val="single" w:sz="4" w:space="0" w:color="auto"/>
            </w:tcBorders>
          </w:tcPr>
          <w:p w14:paraId="22266FA2"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p>
        </w:tc>
        <w:tc>
          <w:tcPr>
            <w:tcW w:w="3973" w:type="dxa"/>
            <w:gridSpan w:val="2"/>
            <w:tcBorders>
              <w:top w:val="nil"/>
              <w:bottom w:val="single" w:sz="4" w:space="0" w:color="auto"/>
            </w:tcBorders>
            <w:vAlign w:val="center"/>
          </w:tcPr>
          <w:p w14:paraId="3795624F" w14:textId="77777777" w:rsidR="00FA6D3A" w:rsidRPr="009A0E7B" w:rsidRDefault="00FA6D3A" w:rsidP="009573AD">
            <w:pPr>
              <w:keepNext/>
              <w:keepLines/>
              <w:widowControl w:val="0"/>
              <w:numPr>
                <w:ilvl w:val="0"/>
                <w:numId w:val="8"/>
              </w:numPr>
              <w:ind w:left="169" w:hanging="125"/>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Days 8 and thereafter: 0.92 mg capsule, once daily</w:t>
            </w:r>
          </w:p>
        </w:tc>
        <w:tc>
          <w:tcPr>
            <w:tcW w:w="3147" w:type="dxa"/>
            <w:gridSpan w:val="2"/>
            <w:vMerge/>
            <w:tcBorders>
              <w:bottom w:val="single" w:sz="4" w:space="0" w:color="auto"/>
            </w:tcBorders>
            <w:vAlign w:val="center"/>
          </w:tcPr>
          <w:p w14:paraId="78E93CF9" w14:textId="77777777" w:rsidR="00FA6D3A" w:rsidRPr="009A0E7B" w:rsidRDefault="00FA6D3A" w:rsidP="009C19C5">
            <w:pPr>
              <w:keepNext/>
              <w:keepLines/>
              <w:widowControl w:val="0"/>
              <w:ind w:left="44"/>
              <w:jc w:val="left"/>
              <w:rPr>
                <w:rFonts w:ascii="Arial Narrow" w:eastAsiaTheme="minorEastAsia" w:hAnsi="Arial Narrow" w:cs="Times New Roman"/>
                <w:sz w:val="20"/>
                <w:szCs w:val="20"/>
                <w:lang w:eastAsia="en-US"/>
              </w:rPr>
            </w:pPr>
          </w:p>
        </w:tc>
      </w:tr>
      <w:tr w:rsidR="00FA6D3A" w:rsidRPr="009A0E7B" w14:paraId="586AA04B" w14:textId="77777777" w:rsidTr="009D3811">
        <w:trPr>
          <w:trHeight w:val="197"/>
        </w:trPr>
        <w:tc>
          <w:tcPr>
            <w:tcW w:w="281" w:type="dxa"/>
            <w:tcBorders>
              <w:bottom w:val="nil"/>
            </w:tcBorders>
          </w:tcPr>
          <w:p w14:paraId="58351717"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E</w:t>
            </w:r>
          </w:p>
        </w:tc>
        <w:tc>
          <w:tcPr>
            <w:tcW w:w="1720" w:type="dxa"/>
            <w:tcBorders>
              <w:bottom w:val="nil"/>
            </w:tcBorders>
          </w:tcPr>
          <w:p w14:paraId="07C3AB78"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Units over 104 weeks</w:t>
            </w:r>
          </w:p>
        </w:tc>
        <w:tc>
          <w:tcPr>
            <w:tcW w:w="1864" w:type="dxa"/>
            <w:tcBorders>
              <w:bottom w:val="nil"/>
            </w:tcBorders>
          </w:tcPr>
          <w:p w14:paraId="7895D376" w14:textId="77777777" w:rsidR="00FA6D3A" w:rsidRPr="009A0E7B" w:rsidRDefault="00FA6D3A" w:rsidP="009C19C5">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1 pack (7 capsules)</w:t>
            </w:r>
          </w:p>
        </w:tc>
        <w:tc>
          <w:tcPr>
            <w:tcW w:w="2108" w:type="dxa"/>
            <w:tcBorders>
              <w:bottom w:val="nil"/>
            </w:tcBorders>
          </w:tcPr>
          <w:p w14:paraId="26DE50E7" w14:textId="77777777" w:rsidR="00FA6D3A" w:rsidRPr="009A0E7B" w:rsidRDefault="00FA6D3A" w:rsidP="009C19C5">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26 packs (728 capsules)</w:t>
            </w:r>
          </w:p>
        </w:tc>
        <w:tc>
          <w:tcPr>
            <w:tcW w:w="3147" w:type="dxa"/>
            <w:gridSpan w:val="2"/>
            <w:tcBorders>
              <w:bottom w:val="nil"/>
            </w:tcBorders>
          </w:tcPr>
          <w:p w14:paraId="39D26B49" w14:textId="77777777" w:rsidR="00FA6D3A" w:rsidRPr="009A0E7B" w:rsidRDefault="00FA6D3A" w:rsidP="009C19C5">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 xml:space="preserve">15 administrations </w:t>
            </w:r>
            <w:r w:rsidRPr="009A0E7B">
              <w:rPr>
                <w:rFonts w:ascii="Arial Narrow" w:eastAsiaTheme="minorEastAsia" w:hAnsi="Arial Narrow" w:cs="Times New Roman"/>
                <w:i/>
                <w:sz w:val="20"/>
                <w:szCs w:val="20"/>
                <w:lang w:eastAsia="en-US"/>
              </w:rPr>
              <w:t>(60 vials)</w:t>
            </w:r>
          </w:p>
        </w:tc>
      </w:tr>
      <w:tr w:rsidR="00FA6D3A" w:rsidRPr="009A0E7B" w14:paraId="17D57F8B" w14:textId="77777777" w:rsidTr="009D3811">
        <w:trPr>
          <w:trHeight w:val="185"/>
        </w:trPr>
        <w:tc>
          <w:tcPr>
            <w:tcW w:w="281" w:type="dxa"/>
            <w:tcBorders>
              <w:top w:val="nil"/>
              <w:bottom w:val="single" w:sz="4" w:space="0" w:color="auto"/>
            </w:tcBorders>
          </w:tcPr>
          <w:p w14:paraId="0D942FBF" w14:textId="77777777" w:rsidR="00FA6D3A" w:rsidRPr="009A0E7B" w:rsidRDefault="00FA6D3A" w:rsidP="009C19C5">
            <w:pPr>
              <w:keepNext/>
              <w:keepLines/>
              <w:jc w:val="right"/>
              <w:rPr>
                <w:rFonts w:ascii="Arial Narrow" w:eastAsiaTheme="minorEastAsia" w:hAnsi="Arial Narrow" w:cs="Times New Roman"/>
                <w:i/>
                <w:sz w:val="20"/>
                <w:szCs w:val="20"/>
                <w:lang w:eastAsia="en-US"/>
              </w:rPr>
            </w:pPr>
          </w:p>
        </w:tc>
        <w:tc>
          <w:tcPr>
            <w:tcW w:w="1720" w:type="dxa"/>
            <w:tcBorders>
              <w:top w:val="nil"/>
              <w:bottom w:val="single" w:sz="4" w:space="0" w:color="auto"/>
            </w:tcBorders>
          </w:tcPr>
          <w:p w14:paraId="08F86557"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Revised</w:t>
            </w:r>
          </w:p>
        </w:tc>
        <w:tc>
          <w:tcPr>
            <w:tcW w:w="1864" w:type="dxa"/>
            <w:tcBorders>
              <w:top w:val="nil"/>
              <w:bottom w:val="single" w:sz="4" w:space="0" w:color="auto"/>
            </w:tcBorders>
          </w:tcPr>
          <w:p w14:paraId="3C5481DD" w14:textId="77777777" w:rsidR="00FA6D3A" w:rsidRPr="009A0E7B" w:rsidRDefault="00FA6D3A" w:rsidP="009C19C5">
            <w:pPr>
              <w:keepNext/>
              <w:keepLines/>
              <w:jc w:val="center"/>
              <w:rPr>
                <w:rFonts w:ascii="Arial Narrow" w:eastAsiaTheme="minorEastAsia" w:hAnsi="Arial Narrow" w:cs="Times New Roman"/>
                <w:sz w:val="20"/>
                <w:szCs w:val="20"/>
                <w:lang w:eastAsia="en-US"/>
              </w:rPr>
            </w:pPr>
          </w:p>
        </w:tc>
        <w:tc>
          <w:tcPr>
            <w:tcW w:w="2108" w:type="dxa"/>
            <w:tcBorders>
              <w:top w:val="nil"/>
              <w:bottom w:val="single" w:sz="4" w:space="0" w:color="auto"/>
            </w:tcBorders>
          </w:tcPr>
          <w:p w14:paraId="1106CB29" w14:textId="77777777" w:rsidR="00FA6D3A" w:rsidRPr="009A0E7B" w:rsidRDefault="00FA6D3A" w:rsidP="009C19C5">
            <w:pPr>
              <w:keepNext/>
              <w:keepLines/>
              <w:jc w:val="center"/>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25.75</w:t>
            </w:r>
            <w:r w:rsidRPr="009A0E7B">
              <w:rPr>
                <w:rFonts w:ascii="Arial Narrow" w:eastAsiaTheme="minorEastAsia" w:hAnsi="Arial Narrow" w:cs="Times New Roman"/>
                <w:sz w:val="20"/>
                <w:szCs w:val="20"/>
                <w:vertAlign w:val="superscript"/>
                <w:lang w:eastAsia="en-US"/>
              </w:rPr>
              <w:t xml:space="preserve">c </w:t>
            </w:r>
            <w:r w:rsidRPr="009A0E7B">
              <w:rPr>
                <w:rFonts w:ascii="Arial Narrow" w:eastAsiaTheme="minorEastAsia" w:hAnsi="Arial Narrow" w:cs="Times New Roman"/>
                <w:sz w:val="20"/>
                <w:szCs w:val="20"/>
                <w:lang w:eastAsia="en-US"/>
              </w:rPr>
              <w:t>packs (721 capsules)</w:t>
            </w:r>
          </w:p>
        </w:tc>
        <w:tc>
          <w:tcPr>
            <w:tcW w:w="3147" w:type="dxa"/>
            <w:gridSpan w:val="2"/>
            <w:tcBorders>
              <w:top w:val="nil"/>
              <w:bottom w:val="single" w:sz="4" w:space="0" w:color="auto"/>
            </w:tcBorders>
          </w:tcPr>
          <w:p w14:paraId="4CACAF7F" w14:textId="5FD777FC" w:rsidR="00FA6D3A" w:rsidRPr="009A0E7B" w:rsidRDefault="00FA6D3A" w:rsidP="008E4318">
            <w:pPr>
              <w:keepNext/>
              <w:keepLines/>
              <w:jc w:val="center"/>
              <w:rPr>
                <w:rFonts w:ascii="Arial Narrow" w:eastAsiaTheme="minorEastAsia" w:hAnsi="Arial Narrow" w:cs="Times New Roman"/>
                <w:sz w:val="20"/>
                <w:szCs w:val="20"/>
                <w:vertAlign w:val="superscript"/>
                <w:lang w:eastAsia="en-US"/>
              </w:rPr>
            </w:pPr>
            <w:r w:rsidRPr="009A0E7B">
              <w:rPr>
                <w:rFonts w:ascii="Arial Narrow" w:eastAsiaTheme="minorEastAsia" w:hAnsi="Arial Narrow" w:cs="Times New Roman"/>
                <w:sz w:val="20"/>
                <w:szCs w:val="20"/>
                <w:lang w:eastAsia="en-US"/>
              </w:rPr>
              <w:t>14.25</w:t>
            </w:r>
            <w:r w:rsidRPr="009A0E7B">
              <w:rPr>
                <w:rFonts w:ascii="Arial Narrow" w:eastAsiaTheme="minorEastAsia" w:hAnsi="Arial Narrow" w:cs="Times New Roman"/>
                <w:sz w:val="20"/>
                <w:szCs w:val="20"/>
                <w:vertAlign w:val="superscript"/>
                <w:lang w:eastAsia="en-US"/>
              </w:rPr>
              <w:t>d</w:t>
            </w:r>
            <w:r w:rsidRPr="009A0E7B">
              <w:rPr>
                <w:rFonts w:ascii="Arial Narrow" w:eastAsiaTheme="minorEastAsia" w:hAnsi="Arial Narrow" w:cs="Times New Roman"/>
                <w:sz w:val="20"/>
                <w:szCs w:val="20"/>
                <w:lang w:eastAsia="en-US"/>
              </w:rPr>
              <w:t xml:space="preserve"> administrations (57 vials)</w:t>
            </w:r>
          </w:p>
        </w:tc>
      </w:tr>
      <w:tr w:rsidR="00FA6D3A" w:rsidRPr="009A0E7B" w14:paraId="3D9F0AD8" w14:textId="77777777" w:rsidTr="009D3811">
        <w:trPr>
          <w:trHeight w:val="408"/>
        </w:trPr>
        <w:tc>
          <w:tcPr>
            <w:tcW w:w="281" w:type="dxa"/>
            <w:vMerge w:val="restart"/>
          </w:tcPr>
          <w:p w14:paraId="748ABA41"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F</w:t>
            </w:r>
          </w:p>
        </w:tc>
        <w:tc>
          <w:tcPr>
            <w:tcW w:w="1720" w:type="dxa"/>
            <w:tcBorders>
              <w:bottom w:val="nil"/>
            </w:tcBorders>
          </w:tcPr>
          <w:p w14:paraId="091849C0" w14:textId="486BA683" w:rsidR="00FA6D3A" w:rsidRPr="008E4318" w:rsidRDefault="00FA6D3A" w:rsidP="008E4318">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Drug Costs over 104 weeks (AEMP) [</w:t>
            </w:r>
            <w:proofErr w:type="spellStart"/>
            <w:r w:rsidRPr="008E4318">
              <w:rPr>
                <w:rFonts w:ascii="Arial Narrow" w:eastAsiaTheme="minorEastAsia" w:hAnsi="Arial Narrow" w:cs="Times New Roman"/>
                <w:b/>
                <w:sz w:val="20"/>
                <w:szCs w:val="20"/>
                <w:lang w:eastAsia="en-US"/>
              </w:rPr>
              <w:t>CxE</w:t>
            </w:r>
            <w:proofErr w:type="spellEnd"/>
            <w:r w:rsidRPr="008E4318">
              <w:rPr>
                <w:rFonts w:ascii="Arial Narrow" w:eastAsiaTheme="minorEastAsia" w:hAnsi="Arial Narrow" w:cs="Times New Roman"/>
                <w:b/>
                <w:sz w:val="20"/>
                <w:szCs w:val="20"/>
                <w:lang w:eastAsia="en-US"/>
              </w:rPr>
              <w:t>]</w:t>
            </w:r>
          </w:p>
        </w:tc>
        <w:tc>
          <w:tcPr>
            <w:tcW w:w="1864" w:type="dxa"/>
            <w:tcBorders>
              <w:bottom w:val="nil"/>
            </w:tcBorders>
            <w:vAlign w:val="center"/>
          </w:tcPr>
          <w:p w14:paraId="5E1D97A7"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03D2013A" w14:textId="70C34ECC"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w:t>
            </w:r>
            <w:r w:rsidR="00B77D4B" w:rsidRPr="00B77D4B">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2108" w:type="dxa"/>
            <w:tcBorders>
              <w:bottom w:val="nil"/>
            </w:tcBorders>
            <w:vAlign w:val="center"/>
          </w:tcPr>
          <w:p w14:paraId="03095E6A" w14:textId="77777777" w:rsidR="008E4318" w:rsidRPr="0049776A" w:rsidRDefault="008E4318" w:rsidP="009C19C5">
            <w:pPr>
              <w:keepNext/>
              <w:keepLines/>
              <w:jc w:val="center"/>
              <w:rPr>
                <w:rFonts w:ascii="Arial Narrow" w:hAnsi="Arial Narrow" w:cs="Calibri"/>
                <w:color w:val="000000"/>
                <w:sz w:val="20"/>
                <w:szCs w:val="20"/>
              </w:rPr>
            </w:pPr>
          </w:p>
          <w:p w14:paraId="2A85C392" w14:textId="576EAD33" w:rsidR="00FA6D3A" w:rsidRPr="0049776A" w:rsidRDefault="00FA6D3A" w:rsidP="009C19C5">
            <w:pPr>
              <w:keepNext/>
              <w:keepLines/>
              <w:jc w:val="center"/>
              <w:rPr>
                <w:rFonts w:ascii="Arial Narrow" w:hAnsi="Arial Narrow" w:cs="Calibri"/>
                <w:color w:val="000000"/>
                <w:sz w:val="20"/>
                <w:szCs w:val="20"/>
              </w:rPr>
            </w:pPr>
            <w:r w:rsidRPr="0049776A">
              <w:rPr>
                <w:rFonts w:ascii="Arial Narrow" w:hAnsi="Arial Narrow" w:cs="Calibri"/>
                <w:color w:val="000000"/>
                <w:sz w:val="20"/>
                <w:szCs w:val="20"/>
              </w:rPr>
              <w:t>$</w:t>
            </w:r>
            <w:r w:rsidR="00B77D4B" w:rsidRPr="00B77D4B">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3147" w:type="dxa"/>
            <w:gridSpan w:val="2"/>
            <w:tcBorders>
              <w:bottom w:val="nil"/>
            </w:tcBorders>
            <w:vAlign w:val="center"/>
          </w:tcPr>
          <w:p w14:paraId="345A59AB"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68AC860A" w14:textId="4EC9F21E"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$19,242.60</w:t>
            </w:r>
          </w:p>
        </w:tc>
      </w:tr>
      <w:tr w:rsidR="00FA6D3A" w:rsidRPr="009A0E7B" w14:paraId="453643E7" w14:textId="77777777" w:rsidTr="009D3811">
        <w:trPr>
          <w:trHeight w:val="209"/>
        </w:trPr>
        <w:tc>
          <w:tcPr>
            <w:tcW w:w="281" w:type="dxa"/>
            <w:vMerge/>
          </w:tcPr>
          <w:p w14:paraId="196FD8D0"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tcBorders>
              <w:top w:val="nil"/>
              <w:bottom w:val="single" w:sz="4" w:space="0" w:color="auto"/>
            </w:tcBorders>
          </w:tcPr>
          <w:p w14:paraId="72DD5CF4"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Revised</w:t>
            </w:r>
          </w:p>
        </w:tc>
        <w:tc>
          <w:tcPr>
            <w:tcW w:w="1864" w:type="dxa"/>
            <w:tcBorders>
              <w:top w:val="nil"/>
              <w:bottom w:val="single" w:sz="4" w:space="0" w:color="auto"/>
            </w:tcBorders>
            <w:vAlign w:val="center"/>
          </w:tcPr>
          <w:p w14:paraId="31440217"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p>
        </w:tc>
        <w:tc>
          <w:tcPr>
            <w:tcW w:w="2108" w:type="dxa"/>
            <w:tcBorders>
              <w:top w:val="nil"/>
              <w:bottom w:val="single" w:sz="4" w:space="0" w:color="auto"/>
            </w:tcBorders>
            <w:vAlign w:val="center"/>
          </w:tcPr>
          <w:p w14:paraId="1910F32A" w14:textId="19B0CA50"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w:t>
            </w:r>
            <w:r w:rsidR="00B77D4B" w:rsidRPr="00B77D4B">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3147" w:type="dxa"/>
            <w:gridSpan w:val="2"/>
            <w:tcBorders>
              <w:top w:val="nil"/>
              <w:bottom w:val="single" w:sz="4" w:space="0" w:color="auto"/>
            </w:tcBorders>
            <w:vAlign w:val="center"/>
          </w:tcPr>
          <w:p w14:paraId="3A4D5EAF"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$18,280.47</w:t>
            </w:r>
          </w:p>
        </w:tc>
      </w:tr>
      <w:tr w:rsidR="00FA6D3A" w:rsidRPr="009A0E7B" w14:paraId="4AB18B0A" w14:textId="77777777" w:rsidTr="009D3811">
        <w:trPr>
          <w:trHeight w:val="197"/>
        </w:trPr>
        <w:tc>
          <w:tcPr>
            <w:tcW w:w="281" w:type="dxa"/>
            <w:vMerge/>
          </w:tcPr>
          <w:p w14:paraId="4DD7D713"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tcBorders>
              <w:top w:val="single" w:sz="4" w:space="0" w:color="auto"/>
              <w:bottom w:val="nil"/>
            </w:tcBorders>
          </w:tcPr>
          <w:p w14:paraId="6C62CBCA" w14:textId="77777777" w:rsidR="00FA6D3A" w:rsidRPr="008E4318" w:rsidRDefault="00FA6D3A" w:rsidP="009C19C5">
            <w:pPr>
              <w:keepNext/>
              <w:keepLines/>
              <w:jc w:val="righ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Subtotal</w:t>
            </w:r>
          </w:p>
        </w:tc>
        <w:tc>
          <w:tcPr>
            <w:tcW w:w="3973" w:type="dxa"/>
            <w:gridSpan w:val="2"/>
            <w:tcBorders>
              <w:top w:val="single" w:sz="4" w:space="0" w:color="auto"/>
              <w:bottom w:val="nil"/>
            </w:tcBorders>
            <w:vAlign w:val="center"/>
          </w:tcPr>
          <w:p w14:paraId="2531070F" w14:textId="531579D8" w:rsidR="00FA6D3A" w:rsidRPr="0049776A" w:rsidRDefault="00FA6D3A" w:rsidP="009C19C5">
            <w:pPr>
              <w:keepNext/>
              <w:keepLines/>
              <w:jc w:val="center"/>
              <w:rPr>
                <w:rFonts w:ascii="Arial Narrow" w:eastAsiaTheme="minorEastAsia" w:hAnsi="Arial Narrow" w:cs="Times New Roman"/>
                <w:i/>
                <w:sz w:val="20"/>
                <w:szCs w:val="20"/>
                <w:lang w:eastAsia="en-US"/>
              </w:rPr>
            </w:pPr>
            <w:r w:rsidRPr="0049776A">
              <w:rPr>
                <w:rFonts w:ascii="Arial Narrow" w:eastAsiaTheme="minorEastAsia" w:hAnsi="Arial Narrow" w:cs="Times New Roman"/>
                <w:sz w:val="20"/>
                <w:szCs w:val="20"/>
                <w:lang w:eastAsia="en-US"/>
              </w:rPr>
              <w:t>$</w:t>
            </w:r>
            <w:r w:rsidR="00B77D4B" w:rsidRPr="00B77D4B">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3147" w:type="dxa"/>
            <w:gridSpan w:val="2"/>
            <w:tcBorders>
              <w:top w:val="single" w:sz="4" w:space="0" w:color="auto"/>
              <w:bottom w:val="nil"/>
            </w:tcBorders>
            <w:vAlign w:val="center"/>
          </w:tcPr>
          <w:p w14:paraId="64E89BE5" w14:textId="77777777" w:rsidR="00FA6D3A" w:rsidRPr="0049776A" w:rsidRDefault="00FA6D3A" w:rsidP="009C19C5">
            <w:pPr>
              <w:keepNext/>
              <w:keepLines/>
              <w:jc w:val="center"/>
              <w:rPr>
                <w:rFonts w:ascii="Arial Narrow" w:eastAsiaTheme="minorEastAsia" w:hAnsi="Arial Narrow" w:cs="Times New Roman"/>
                <w:i/>
                <w:sz w:val="20"/>
                <w:szCs w:val="20"/>
                <w:lang w:eastAsia="en-US"/>
              </w:rPr>
            </w:pPr>
          </w:p>
        </w:tc>
      </w:tr>
      <w:tr w:rsidR="00FA6D3A" w:rsidRPr="009A0E7B" w14:paraId="0568020C" w14:textId="77777777" w:rsidTr="009D3811">
        <w:trPr>
          <w:trHeight w:val="209"/>
        </w:trPr>
        <w:tc>
          <w:tcPr>
            <w:tcW w:w="281" w:type="dxa"/>
            <w:vMerge/>
          </w:tcPr>
          <w:p w14:paraId="182FD939"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tcBorders>
              <w:top w:val="nil"/>
            </w:tcBorders>
          </w:tcPr>
          <w:p w14:paraId="7EAD2A55" w14:textId="77777777" w:rsidR="00FA6D3A" w:rsidRPr="008E4318" w:rsidRDefault="00FA6D3A" w:rsidP="009C19C5">
            <w:pPr>
              <w:keepNext/>
              <w:keepLines/>
              <w:jc w:val="righ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Revised</w:t>
            </w:r>
          </w:p>
        </w:tc>
        <w:tc>
          <w:tcPr>
            <w:tcW w:w="3973" w:type="dxa"/>
            <w:gridSpan w:val="2"/>
            <w:tcBorders>
              <w:top w:val="nil"/>
            </w:tcBorders>
            <w:vAlign w:val="center"/>
          </w:tcPr>
          <w:p w14:paraId="543DFBC9" w14:textId="69F989F3"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w:t>
            </w:r>
            <w:r w:rsidR="00B77D4B" w:rsidRPr="00B77D4B">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3147" w:type="dxa"/>
            <w:gridSpan w:val="2"/>
            <w:tcBorders>
              <w:top w:val="nil"/>
            </w:tcBorders>
            <w:vAlign w:val="center"/>
          </w:tcPr>
          <w:p w14:paraId="68F12010" w14:textId="77777777" w:rsidR="00FA6D3A" w:rsidRPr="0049776A" w:rsidRDefault="00FA6D3A" w:rsidP="009C19C5">
            <w:pPr>
              <w:keepNext/>
              <w:keepLines/>
              <w:jc w:val="center"/>
              <w:rPr>
                <w:rFonts w:ascii="Arial Narrow" w:eastAsiaTheme="minorEastAsia" w:hAnsi="Arial Narrow" w:cs="Times New Roman"/>
                <w:i/>
                <w:sz w:val="20"/>
                <w:szCs w:val="20"/>
                <w:lang w:eastAsia="en-US"/>
              </w:rPr>
            </w:pPr>
          </w:p>
        </w:tc>
      </w:tr>
      <w:tr w:rsidR="00FA6D3A" w:rsidRPr="009A0E7B" w14:paraId="641314F6" w14:textId="77777777" w:rsidTr="009D3811">
        <w:trPr>
          <w:trHeight w:val="126"/>
        </w:trPr>
        <w:tc>
          <w:tcPr>
            <w:tcW w:w="281" w:type="dxa"/>
            <w:tcBorders>
              <w:bottom w:val="single" w:sz="4" w:space="0" w:color="auto"/>
            </w:tcBorders>
          </w:tcPr>
          <w:p w14:paraId="02233FFC"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G</w:t>
            </w:r>
          </w:p>
        </w:tc>
        <w:tc>
          <w:tcPr>
            <w:tcW w:w="1720" w:type="dxa"/>
            <w:tcBorders>
              <w:bottom w:val="single" w:sz="4" w:space="0" w:color="auto"/>
            </w:tcBorders>
          </w:tcPr>
          <w:p w14:paraId="1D5A4DD0"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 xml:space="preserve">Cost per administration (MBS </w:t>
            </w:r>
            <w:proofErr w:type="gramStart"/>
            <w:r w:rsidRPr="008E4318">
              <w:rPr>
                <w:rFonts w:ascii="Arial Narrow" w:eastAsiaTheme="minorEastAsia" w:hAnsi="Arial Narrow" w:cs="Times New Roman"/>
                <w:b/>
                <w:sz w:val="20"/>
                <w:szCs w:val="20"/>
                <w:lang w:eastAsia="en-US"/>
              </w:rPr>
              <w:t>14245)</w:t>
            </w:r>
            <w:r w:rsidRPr="008E4318">
              <w:rPr>
                <w:rFonts w:ascii="Arial Narrow" w:eastAsiaTheme="minorEastAsia" w:hAnsi="Arial Narrow" w:cs="Times New Roman"/>
                <w:b/>
                <w:sz w:val="20"/>
                <w:szCs w:val="20"/>
                <w:vertAlign w:val="superscript"/>
                <w:lang w:eastAsia="en-US"/>
              </w:rPr>
              <w:t>e</w:t>
            </w:r>
            <w:proofErr w:type="gramEnd"/>
          </w:p>
        </w:tc>
        <w:tc>
          <w:tcPr>
            <w:tcW w:w="3973" w:type="dxa"/>
            <w:gridSpan w:val="2"/>
            <w:tcBorders>
              <w:bottom w:val="single" w:sz="4" w:space="0" w:color="auto"/>
            </w:tcBorders>
            <w:vAlign w:val="center"/>
          </w:tcPr>
          <w:p w14:paraId="2C67DEEF"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$0.00</w:t>
            </w:r>
          </w:p>
        </w:tc>
        <w:tc>
          <w:tcPr>
            <w:tcW w:w="3147" w:type="dxa"/>
            <w:gridSpan w:val="2"/>
            <w:tcBorders>
              <w:bottom w:val="single" w:sz="4" w:space="0" w:color="auto"/>
            </w:tcBorders>
            <w:vAlign w:val="center"/>
          </w:tcPr>
          <w:p w14:paraId="27E05469"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$101.90</w:t>
            </w:r>
          </w:p>
        </w:tc>
      </w:tr>
      <w:tr w:rsidR="00FA6D3A" w:rsidRPr="009A0E7B" w14:paraId="3CA77071" w14:textId="77777777" w:rsidTr="009D3811">
        <w:trPr>
          <w:trHeight w:val="126"/>
        </w:trPr>
        <w:tc>
          <w:tcPr>
            <w:tcW w:w="281" w:type="dxa"/>
            <w:tcBorders>
              <w:bottom w:val="nil"/>
            </w:tcBorders>
          </w:tcPr>
          <w:p w14:paraId="4B1812E2"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H</w:t>
            </w:r>
          </w:p>
        </w:tc>
        <w:tc>
          <w:tcPr>
            <w:tcW w:w="1720" w:type="dxa"/>
            <w:tcBorders>
              <w:bottom w:val="nil"/>
            </w:tcBorders>
          </w:tcPr>
          <w:p w14:paraId="72385CE1" w14:textId="77777777" w:rsidR="009D3811"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 xml:space="preserve">Administration costs over 104 weeks </w:t>
            </w:r>
          </w:p>
          <w:p w14:paraId="7599490E" w14:textId="5C0BA6A0" w:rsidR="00FA6D3A" w:rsidRPr="008E4318" w:rsidRDefault="00FA6D3A" w:rsidP="008E4318">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w:t>
            </w:r>
            <w:proofErr w:type="spellStart"/>
            <w:r w:rsidRPr="008E4318">
              <w:rPr>
                <w:rFonts w:ascii="Arial Narrow" w:eastAsiaTheme="minorEastAsia" w:hAnsi="Arial Narrow" w:cs="Times New Roman"/>
                <w:b/>
                <w:sz w:val="20"/>
                <w:szCs w:val="20"/>
                <w:lang w:eastAsia="en-US"/>
              </w:rPr>
              <w:t>GxE</w:t>
            </w:r>
            <w:proofErr w:type="spellEnd"/>
            <w:r w:rsidRPr="008E4318">
              <w:rPr>
                <w:rFonts w:ascii="Arial Narrow" w:eastAsiaTheme="minorEastAsia" w:hAnsi="Arial Narrow" w:cs="Times New Roman"/>
                <w:b/>
                <w:sz w:val="20"/>
                <w:szCs w:val="20"/>
                <w:lang w:eastAsia="en-US"/>
              </w:rPr>
              <w:t>]</w:t>
            </w:r>
          </w:p>
        </w:tc>
        <w:tc>
          <w:tcPr>
            <w:tcW w:w="3973" w:type="dxa"/>
            <w:gridSpan w:val="2"/>
            <w:tcBorders>
              <w:bottom w:val="nil"/>
            </w:tcBorders>
            <w:vAlign w:val="center"/>
          </w:tcPr>
          <w:p w14:paraId="25562912"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6A9022B5"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14949FF1" w14:textId="1A87E606"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$0.00</w:t>
            </w:r>
          </w:p>
        </w:tc>
        <w:tc>
          <w:tcPr>
            <w:tcW w:w="3147" w:type="dxa"/>
            <w:gridSpan w:val="2"/>
            <w:tcBorders>
              <w:bottom w:val="nil"/>
            </w:tcBorders>
            <w:vAlign w:val="center"/>
          </w:tcPr>
          <w:p w14:paraId="678948AF"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12CA116D"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24C88BC9" w14:textId="2ED093FD"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$1,528.50</w:t>
            </w:r>
          </w:p>
        </w:tc>
      </w:tr>
      <w:tr w:rsidR="00FA6D3A" w:rsidRPr="009A0E7B" w14:paraId="30F46FB9" w14:textId="77777777" w:rsidTr="009D3811">
        <w:trPr>
          <w:trHeight w:val="126"/>
        </w:trPr>
        <w:tc>
          <w:tcPr>
            <w:tcW w:w="281" w:type="dxa"/>
            <w:tcBorders>
              <w:top w:val="nil"/>
              <w:bottom w:val="single" w:sz="4" w:space="0" w:color="auto"/>
            </w:tcBorders>
          </w:tcPr>
          <w:p w14:paraId="7E917165"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tcBorders>
              <w:top w:val="nil"/>
              <w:bottom w:val="single" w:sz="4" w:space="0" w:color="auto"/>
            </w:tcBorders>
          </w:tcPr>
          <w:p w14:paraId="2CB8216F"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 xml:space="preserve">Revised </w:t>
            </w:r>
          </w:p>
        </w:tc>
        <w:tc>
          <w:tcPr>
            <w:tcW w:w="3973" w:type="dxa"/>
            <w:gridSpan w:val="2"/>
            <w:tcBorders>
              <w:top w:val="nil"/>
              <w:bottom w:val="single" w:sz="4" w:space="0" w:color="auto"/>
            </w:tcBorders>
            <w:vAlign w:val="center"/>
          </w:tcPr>
          <w:p w14:paraId="2EE76EF9"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p>
        </w:tc>
        <w:tc>
          <w:tcPr>
            <w:tcW w:w="3147" w:type="dxa"/>
            <w:gridSpan w:val="2"/>
            <w:tcBorders>
              <w:top w:val="nil"/>
              <w:bottom w:val="single" w:sz="4" w:space="0" w:color="auto"/>
            </w:tcBorders>
            <w:vAlign w:val="center"/>
          </w:tcPr>
          <w:p w14:paraId="7F992384"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$1,452.08</w:t>
            </w:r>
          </w:p>
        </w:tc>
      </w:tr>
      <w:tr w:rsidR="00FA6D3A" w:rsidRPr="009A0E7B" w14:paraId="487F963D" w14:textId="77777777" w:rsidTr="009D3811">
        <w:trPr>
          <w:trHeight w:val="395"/>
        </w:trPr>
        <w:tc>
          <w:tcPr>
            <w:tcW w:w="281" w:type="dxa"/>
            <w:tcBorders>
              <w:bottom w:val="nil"/>
            </w:tcBorders>
          </w:tcPr>
          <w:p w14:paraId="2C6ECDEC"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r w:rsidRPr="009A0E7B">
              <w:rPr>
                <w:rFonts w:ascii="Arial Narrow" w:eastAsiaTheme="minorEastAsia" w:hAnsi="Arial Narrow" w:cs="Times New Roman"/>
                <w:sz w:val="20"/>
                <w:szCs w:val="20"/>
                <w:lang w:eastAsia="en-US"/>
              </w:rPr>
              <w:t>I</w:t>
            </w:r>
          </w:p>
        </w:tc>
        <w:tc>
          <w:tcPr>
            <w:tcW w:w="1720" w:type="dxa"/>
            <w:tcBorders>
              <w:bottom w:val="nil"/>
            </w:tcBorders>
          </w:tcPr>
          <w:p w14:paraId="4320D781" w14:textId="5310FE56" w:rsidR="00FA6D3A" w:rsidRPr="008E4318" w:rsidRDefault="00FA6D3A" w:rsidP="008E4318">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Total cost per patient over 104 weeks (AEMP)</w:t>
            </w:r>
            <w:r w:rsidR="009D3811" w:rsidRPr="008E4318">
              <w:rPr>
                <w:rFonts w:ascii="Arial Narrow" w:eastAsiaTheme="minorEastAsia" w:hAnsi="Arial Narrow" w:cs="Times New Roman"/>
                <w:b/>
                <w:sz w:val="20"/>
                <w:szCs w:val="20"/>
                <w:lang w:eastAsia="en-US"/>
              </w:rPr>
              <w:t xml:space="preserve"> </w:t>
            </w:r>
            <w:r w:rsidRPr="008E4318">
              <w:rPr>
                <w:rFonts w:ascii="Arial Narrow" w:eastAsiaTheme="minorEastAsia" w:hAnsi="Arial Narrow" w:cs="Times New Roman"/>
                <w:b/>
                <w:sz w:val="20"/>
                <w:szCs w:val="20"/>
                <w:lang w:eastAsia="en-US"/>
              </w:rPr>
              <w:t>[F+H]</w:t>
            </w:r>
          </w:p>
        </w:tc>
        <w:tc>
          <w:tcPr>
            <w:tcW w:w="3973" w:type="dxa"/>
            <w:gridSpan w:val="2"/>
            <w:tcBorders>
              <w:bottom w:val="nil"/>
            </w:tcBorders>
            <w:vAlign w:val="center"/>
          </w:tcPr>
          <w:p w14:paraId="1CB07B60"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3A2FD9FA"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5DF8388B" w14:textId="367883C4"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w:t>
            </w:r>
            <w:r w:rsidR="00B77D4B" w:rsidRPr="00B77D4B">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3147" w:type="dxa"/>
            <w:gridSpan w:val="2"/>
            <w:tcBorders>
              <w:bottom w:val="nil"/>
            </w:tcBorders>
            <w:vAlign w:val="center"/>
          </w:tcPr>
          <w:p w14:paraId="7F807C72"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746EDE78" w14:textId="77777777" w:rsidR="008E4318" w:rsidRPr="0049776A" w:rsidRDefault="008E4318" w:rsidP="009C19C5">
            <w:pPr>
              <w:keepNext/>
              <w:keepLines/>
              <w:jc w:val="center"/>
              <w:rPr>
                <w:rFonts w:ascii="Arial Narrow" w:eastAsiaTheme="minorEastAsia" w:hAnsi="Arial Narrow" w:cs="Times New Roman"/>
                <w:sz w:val="20"/>
                <w:szCs w:val="20"/>
                <w:lang w:eastAsia="en-US"/>
              </w:rPr>
            </w:pPr>
          </w:p>
          <w:p w14:paraId="169E0DAE" w14:textId="61D2F0DB"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$20,771.10</w:t>
            </w:r>
          </w:p>
        </w:tc>
      </w:tr>
      <w:tr w:rsidR="00FA6D3A" w:rsidRPr="009A0E7B" w14:paraId="370715C8" w14:textId="77777777" w:rsidTr="009D3811">
        <w:trPr>
          <w:trHeight w:val="197"/>
        </w:trPr>
        <w:tc>
          <w:tcPr>
            <w:tcW w:w="281" w:type="dxa"/>
            <w:tcBorders>
              <w:top w:val="nil"/>
            </w:tcBorders>
          </w:tcPr>
          <w:p w14:paraId="61B38DAE" w14:textId="77777777" w:rsidR="00FA6D3A" w:rsidRPr="009A0E7B" w:rsidRDefault="00FA6D3A" w:rsidP="009C19C5">
            <w:pPr>
              <w:keepNext/>
              <w:keepLines/>
              <w:jc w:val="left"/>
              <w:rPr>
                <w:rFonts w:ascii="Arial Narrow" w:eastAsiaTheme="minorEastAsia" w:hAnsi="Arial Narrow" w:cs="Times New Roman"/>
                <w:sz w:val="20"/>
                <w:szCs w:val="20"/>
                <w:lang w:eastAsia="en-US"/>
              </w:rPr>
            </w:pPr>
          </w:p>
        </w:tc>
        <w:tc>
          <w:tcPr>
            <w:tcW w:w="1720" w:type="dxa"/>
            <w:tcBorders>
              <w:top w:val="nil"/>
            </w:tcBorders>
          </w:tcPr>
          <w:p w14:paraId="404F3F27" w14:textId="77777777" w:rsidR="00FA6D3A" w:rsidRPr="008E4318" w:rsidRDefault="00FA6D3A" w:rsidP="009C19C5">
            <w:pPr>
              <w:keepNext/>
              <w:keepLines/>
              <w:jc w:val="left"/>
              <w:rPr>
                <w:rFonts w:ascii="Arial Narrow" w:eastAsiaTheme="minorEastAsia" w:hAnsi="Arial Narrow" w:cs="Times New Roman"/>
                <w:b/>
                <w:sz w:val="20"/>
                <w:szCs w:val="20"/>
                <w:lang w:eastAsia="en-US"/>
              </w:rPr>
            </w:pPr>
            <w:r w:rsidRPr="008E4318">
              <w:rPr>
                <w:rFonts w:ascii="Arial Narrow" w:eastAsiaTheme="minorEastAsia" w:hAnsi="Arial Narrow" w:cs="Times New Roman"/>
                <w:b/>
                <w:sz w:val="20"/>
                <w:szCs w:val="20"/>
                <w:lang w:eastAsia="en-US"/>
              </w:rPr>
              <w:t>Revised</w:t>
            </w:r>
          </w:p>
        </w:tc>
        <w:tc>
          <w:tcPr>
            <w:tcW w:w="3973" w:type="dxa"/>
            <w:gridSpan w:val="2"/>
            <w:tcBorders>
              <w:top w:val="nil"/>
              <w:bottom w:val="single" w:sz="4" w:space="0" w:color="auto"/>
            </w:tcBorders>
            <w:vAlign w:val="center"/>
          </w:tcPr>
          <w:p w14:paraId="3B368712" w14:textId="062EB75D" w:rsidR="00FA6D3A" w:rsidRPr="0049776A" w:rsidRDefault="00FA6D3A" w:rsidP="009C19C5">
            <w:pPr>
              <w:pStyle w:val="TableText0"/>
              <w:keepLines/>
              <w:jc w:val="center"/>
              <w:rPr>
                <w:szCs w:val="20"/>
              </w:rPr>
            </w:pPr>
            <w:r w:rsidRPr="0049776A">
              <w:rPr>
                <w:rFonts w:eastAsiaTheme="minorEastAsia" w:cs="Times New Roman"/>
                <w:szCs w:val="20"/>
                <w:lang w:eastAsia="en-US"/>
              </w:rPr>
              <w:t>$</w:t>
            </w:r>
            <w:r w:rsidR="00B77D4B" w:rsidRPr="00B77D4B">
              <w:rPr>
                <w:rFonts w:eastAsiaTheme="minorEastAsia" w:cs="Times New Roman"/>
                <w:color w:val="000000"/>
                <w:szCs w:val="20"/>
                <w:shd w:val="solid" w:color="000000" w:fill="000000"/>
                <w:lang w:eastAsia="en-US"/>
                <w14:textFill>
                  <w14:solidFill>
                    <w14:srgbClr w14:val="000000">
                      <w14:alpha w14:val="100000"/>
                    </w14:srgbClr>
                  </w14:solidFill>
                </w14:textFill>
              </w:rPr>
              <w:t>|</w:t>
            </w:r>
          </w:p>
        </w:tc>
        <w:tc>
          <w:tcPr>
            <w:tcW w:w="3147" w:type="dxa"/>
            <w:gridSpan w:val="2"/>
            <w:tcBorders>
              <w:top w:val="nil"/>
            </w:tcBorders>
            <w:vAlign w:val="center"/>
          </w:tcPr>
          <w:p w14:paraId="35E89774" w14:textId="77777777" w:rsidR="00FA6D3A" w:rsidRPr="0049776A" w:rsidRDefault="00FA6D3A" w:rsidP="009C19C5">
            <w:pPr>
              <w:keepNext/>
              <w:keepLines/>
              <w:jc w:val="center"/>
              <w:rPr>
                <w:rFonts w:ascii="Arial Narrow" w:eastAsiaTheme="minorEastAsia" w:hAnsi="Arial Narrow" w:cs="Times New Roman"/>
                <w:sz w:val="20"/>
                <w:szCs w:val="20"/>
                <w:lang w:eastAsia="en-US"/>
              </w:rPr>
            </w:pPr>
            <w:r w:rsidRPr="0049776A">
              <w:rPr>
                <w:rFonts w:ascii="Arial Narrow" w:eastAsiaTheme="minorEastAsia" w:hAnsi="Arial Narrow" w:cs="Times New Roman"/>
                <w:sz w:val="20"/>
                <w:szCs w:val="20"/>
                <w:lang w:eastAsia="en-US"/>
              </w:rPr>
              <w:t>$19,732.55</w:t>
            </w:r>
          </w:p>
        </w:tc>
      </w:tr>
      <w:tr w:rsidR="00FA6D3A" w:rsidRPr="009A0E7B" w14:paraId="114E1429" w14:textId="77777777" w:rsidTr="009D3811">
        <w:trPr>
          <w:trHeight w:val="395"/>
        </w:trPr>
        <w:tc>
          <w:tcPr>
            <w:tcW w:w="281" w:type="dxa"/>
          </w:tcPr>
          <w:p w14:paraId="25DB6EED" w14:textId="77777777" w:rsidR="00FA6D3A" w:rsidRPr="009A0E7B" w:rsidRDefault="00FA6D3A" w:rsidP="009C19C5">
            <w:pPr>
              <w:pStyle w:val="TableText0"/>
              <w:keepLines/>
              <w:rPr>
                <w:szCs w:val="20"/>
              </w:rPr>
            </w:pPr>
            <w:r w:rsidRPr="009A0E7B">
              <w:rPr>
                <w:szCs w:val="20"/>
              </w:rPr>
              <w:t>J</w:t>
            </w:r>
          </w:p>
        </w:tc>
        <w:tc>
          <w:tcPr>
            <w:tcW w:w="1720" w:type="dxa"/>
          </w:tcPr>
          <w:p w14:paraId="6E3B48B2" w14:textId="77777777" w:rsidR="00FA6D3A" w:rsidRPr="008E4318" w:rsidRDefault="00FA6D3A" w:rsidP="009C19C5">
            <w:pPr>
              <w:pStyle w:val="TableText0"/>
              <w:keepLines/>
              <w:rPr>
                <w:b/>
                <w:szCs w:val="20"/>
              </w:rPr>
            </w:pPr>
            <w:r w:rsidRPr="008E4318">
              <w:rPr>
                <w:b/>
                <w:szCs w:val="20"/>
              </w:rPr>
              <w:t xml:space="preserve">Difference </w:t>
            </w:r>
          </w:p>
          <w:p w14:paraId="7360C341" w14:textId="77777777" w:rsidR="00FA6D3A" w:rsidRPr="008E4318" w:rsidRDefault="00FA6D3A" w:rsidP="009C19C5">
            <w:pPr>
              <w:pStyle w:val="TableText0"/>
              <w:keepLines/>
              <w:rPr>
                <w:rFonts w:eastAsiaTheme="minorEastAsia" w:cs="Times New Roman"/>
                <w:b/>
                <w:szCs w:val="20"/>
                <w:lang w:eastAsia="en-US"/>
              </w:rPr>
            </w:pPr>
            <w:r w:rsidRPr="008E4318">
              <w:rPr>
                <w:b/>
                <w:szCs w:val="20"/>
              </w:rPr>
              <w:t>Revised</w:t>
            </w:r>
          </w:p>
        </w:tc>
        <w:tc>
          <w:tcPr>
            <w:tcW w:w="7121" w:type="dxa"/>
            <w:gridSpan w:val="4"/>
          </w:tcPr>
          <w:p w14:paraId="622F98B6" w14:textId="77777777" w:rsidR="00FA6D3A" w:rsidRPr="009A0E7B" w:rsidRDefault="00FA6D3A" w:rsidP="009C19C5">
            <w:pPr>
              <w:pStyle w:val="TableText0"/>
              <w:keepLines/>
              <w:jc w:val="center"/>
              <w:rPr>
                <w:szCs w:val="20"/>
              </w:rPr>
            </w:pPr>
            <w:r w:rsidRPr="009A0E7B">
              <w:rPr>
                <w:szCs w:val="20"/>
              </w:rPr>
              <w:t>Equal costs</w:t>
            </w:r>
          </w:p>
          <w:p w14:paraId="570260F2" w14:textId="262C7641" w:rsidR="00FA6D3A" w:rsidRPr="009A0E7B" w:rsidRDefault="00FA6D3A" w:rsidP="009C19C5">
            <w:pPr>
              <w:keepNext/>
              <w:keepLines/>
              <w:jc w:val="center"/>
              <w:rPr>
                <w:rFonts w:ascii="Arial Narrow" w:hAnsi="Arial Narrow"/>
                <w:sz w:val="20"/>
                <w:szCs w:val="20"/>
              </w:rPr>
            </w:pPr>
            <w:r w:rsidRPr="009A0E7B">
              <w:rPr>
                <w:rFonts w:ascii="Arial Narrow" w:hAnsi="Arial Narrow"/>
                <w:sz w:val="20"/>
                <w:szCs w:val="20"/>
              </w:rPr>
              <w:t xml:space="preserve">OZA cost per patient over two-years is </w:t>
            </w:r>
            <w:r w:rsidR="00B77D4B" w:rsidRPr="00B77D4B">
              <w:rPr>
                <w:rFonts w:ascii="Arial Narrow" w:hAnsi="Arial Narrow"/>
                <w:color w:val="000000"/>
                <w:sz w:val="20"/>
                <w:szCs w:val="20"/>
                <w:shd w:val="solid" w:color="000000" w:fill="000000"/>
                <w14:textFill>
                  <w14:solidFill>
                    <w14:srgbClr w14:val="000000">
                      <w14:alpha w14:val="100000"/>
                    </w14:srgbClr>
                  </w14:solidFill>
                </w14:textFill>
              </w:rPr>
              <w:t>|</w:t>
            </w:r>
            <w:r w:rsidRPr="009A0E7B">
              <w:rPr>
                <w:rFonts w:ascii="Arial Narrow" w:hAnsi="Arial Narrow"/>
                <w:sz w:val="20"/>
                <w:szCs w:val="20"/>
              </w:rPr>
              <w:t>more costly.</w:t>
            </w:r>
          </w:p>
        </w:tc>
      </w:tr>
    </w:tbl>
    <w:p w14:paraId="7B68201D" w14:textId="77777777" w:rsidR="00FA6D3A" w:rsidRPr="009A0E7B" w:rsidRDefault="00FA6D3A" w:rsidP="009C19C5">
      <w:pPr>
        <w:pStyle w:val="TableFigureFooter"/>
        <w:keepNext/>
        <w:keepLines/>
      </w:pPr>
      <w:r w:rsidRPr="009A0E7B">
        <w:t xml:space="preserve">Source: Constructed during evaluation based on Table 160, p245 of the submission. Italicised figures calculated using Excel workbook ‘Attachment 2 ‘Economic evaluation (CMA)’. </w:t>
      </w:r>
    </w:p>
    <w:p w14:paraId="2507C36C" w14:textId="3A6747D4" w:rsidR="00955381" w:rsidRPr="009A0E7B" w:rsidRDefault="00955381" w:rsidP="009C19C5">
      <w:pPr>
        <w:pStyle w:val="TableFigureFooter"/>
        <w:keepNext/>
        <w:keepLines/>
      </w:pPr>
      <w:r w:rsidRPr="009A0E7B">
        <w:t>AEMP = approved ex-manufacturer price; EMP = ex-manufacturer price; IFX</w:t>
      </w:r>
      <w:r w:rsidR="00090B20">
        <w:t xml:space="preserve"> </w:t>
      </w:r>
      <w:r w:rsidRPr="009A0E7B">
        <w:t>=</w:t>
      </w:r>
      <w:r w:rsidR="00090B20">
        <w:t xml:space="preserve"> </w:t>
      </w:r>
      <w:r w:rsidRPr="009A0E7B">
        <w:t>infliximab; IV = intravenous; MBS = Medicare Benefits Schedule;</w:t>
      </w:r>
      <w:r w:rsidR="00090B20">
        <w:t xml:space="preserve"> mcg = microgram; OZA = ozanimod;</w:t>
      </w:r>
      <w:r w:rsidRPr="009A0E7B">
        <w:t xml:space="preserve"> PI = product information; PBS = Pharmaceutical Benefits Scheme</w:t>
      </w:r>
      <w:r w:rsidR="00090B20">
        <w:t>.</w:t>
      </w:r>
    </w:p>
    <w:p w14:paraId="2726A500" w14:textId="79999EC9" w:rsidR="00FA6D3A" w:rsidRPr="009A0E7B" w:rsidRDefault="00FA6D3A" w:rsidP="009C19C5">
      <w:pPr>
        <w:pStyle w:val="TableFigureFooter"/>
        <w:keepNext/>
        <w:keepLines/>
      </w:pPr>
      <w:proofErr w:type="spellStart"/>
      <w:r w:rsidRPr="009A0E7B">
        <w:rPr>
          <w:vertAlign w:val="superscript"/>
        </w:rPr>
        <w:t>a</w:t>
      </w:r>
      <w:proofErr w:type="spellEnd"/>
      <w:r w:rsidRPr="009A0E7B">
        <w:t xml:space="preserve"> </w:t>
      </w:r>
      <w:proofErr w:type="gramStart"/>
      <w:r w:rsidRPr="009A0E7B">
        <w:t>The</w:t>
      </w:r>
      <w:proofErr w:type="gramEnd"/>
      <w:r w:rsidRPr="009A0E7B">
        <w:t xml:space="preserve"> </w:t>
      </w:r>
      <w:r w:rsidR="00955381" w:rsidRPr="009A0E7B">
        <w:t>proposed</w:t>
      </w:r>
      <w:r w:rsidRPr="009A0E7B">
        <w:t xml:space="preserve"> effective DPMQ</w:t>
      </w:r>
    </w:p>
    <w:p w14:paraId="1094AB99" w14:textId="7E514AE3" w:rsidR="00FA6D3A" w:rsidRPr="009A0E7B" w:rsidRDefault="00FA6D3A" w:rsidP="009C19C5">
      <w:pPr>
        <w:pStyle w:val="TableFigureFooter"/>
        <w:keepNext/>
        <w:keepLines/>
      </w:pPr>
      <w:r w:rsidRPr="009A0E7B">
        <w:rPr>
          <w:vertAlign w:val="superscript"/>
        </w:rPr>
        <w:t>b</w:t>
      </w:r>
      <w:r w:rsidRPr="009A0E7B">
        <w:t xml:space="preserve"> The submission calculated the proposed effective EMP based on cost per day ($</w:t>
      </w:r>
      <w:proofErr w:type="gramStart"/>
      <w:r w:rsidR="00B77D4B" w:rsidRPr="00B77D4B">
        <w:rPr>
          <w:color w:val="000000"/>
          <w:spacing w:val="40"/>
          <w:shd w:val="solid" w:color="000000" w:fill="000000"/>
          <w:fitText w:val="280" w:id="-1504475904"/>
          <w14:textFill>
            <w14:solidFill>
              <w14:srgbClr w14:val="000000">
                <w14:alpha w14:val="100000"/>
              </w14:srgbClr>
            </w14:solidFill>
          </w14:textFill>
        </w:rPr>
        <w:t xml:space="preserve">|  </w:t>
      </w:r>
      <w:r w:rsidR="00B77D4B" w:rsidRPr="00B77D4B">
        <w:rPr>
          <w:color w:val="000000"/>
          <w:spacing w:val="2"/>
          <w:shd w:val="solid" w:color="000000" w:fill="000000"/>
          <w:fitText w:val="280" w:id="-1504475904"/>
          <w14:textFill>
            <w14:solidFill>
              <w14:srgbClr w14:val="000000">
                <w14:alpha w14:val="100000"/>
              </w14:srgbClr>
            </w14:solidFill>
          </w14:textFill>
        </w:rPr>
        <w:t>|</w:t>
      </w:r>
      <w:proofErr w:type="gramEnd"/>
      <w:r w:rsidRPr="009A0E7B">
        <w:t>) which is obtained by dividing total cost per patient over two years ($</w:t>
      </w:r>
      <w:r w:rsidR="00B77D4B" w:rsidRPr="00B77D4B">
        <w:rPr>
          <w:color w:val="000000"/>
          <w:spacing w:val="40"/>
          <w:shd w:val="solid" w:color="000000" w:fill="000000"/>
          <w:fitText w:val="280" w:id="-1504475903"/>
          <w14:textFill>
            <w14:solidFill>
              <w14:srgbClr w14:val="000000">
                <w14:alpha w14:val="100000"/>
              </w14:srgbClr>
            </w14:solidFill>
          </w14:textFill>
        </w:rPr>
        <w:t xml:space="preserve">|  </w:t>
      </w:r>
      <w:r w:rsidR="00B77D4B" w:rsidRPr="00B77D4B">
        <w:rPr>
          <w:color w:val="000000"/>
          <w:spacing w:val="2"/>
          <w:shd w:val="solid" w:color="000000" w:fill="000000"/>
          <w:fitText w:val="280" w:id="-1504475903"/>
          <w14:textFill>
            <w14:solidFill>
              <w14:srgbClr w14:val="000000">
                <w14:alpha w14:val="100000"/>
              </w14:srgbClr>
            </w14:solidFill>
          </w14:textFill>
        </w:rPr>
        <w:t>|</w:t>
      </w:r>
      <w:r w:rsidRPr="009A0E7B">
        <w:t xml:space="preserve"> by 735 days (105 weeks). The daily cost is then multiplied by 7 capsules and 28 capsules to calculate the proposed prices for OZA initiation pack and maintenance pack, respectively.</w:t>
      </w:r>
    </w:p>
    <w:p w14:paraId="3287C1B5" w14:textId="18B8B553" w:rsidR="00FA6D3A" w:rsidRPr="009A0E7B" w:rsidRDefault="00FA6D3A" w:rsidP="009C19C5">
      <w:pPr>
        <w:pStyle w:val="TableFigureFooter"/>
        <w:keepNext/>
        <w:keepLines/>
      </w:pPr>
      <w:r w:rsidRPr="009A0E7B">
        <w:rPr>
          <w:vertAlign w:val="superscript"/>
        </w:rPr>
        <w:t>c</w:t>
      </w:r>
      <w:r w:rsidRPr="009A0E7B">
        <w:t xml:space="preserve"> </w:t>
      </w:r>
      <w:r w:rsidR="003157FE" w:rsidRPr="009A0E7B">
        <w:t xml:space="preserve">Revised to </w:t>
      </w:r>
      <w:r w:rsidRPr="009A0E7B">
        <w:t>25.75 = (104 week</w:t>
      </w:r>
      <w:r w:rsidR="003157FE" w:rsidRPr="009A0E7B">
        <w:t>s</w:t>
      </w:r>
      <w:r w:rsidRPr="009A0E7B">
        <w:t xml:space="preserve"> – 1 week of escalation) x 7 days per week / 28 capsules per pack</w:t>
      </w:r>
      <w:r w:rsidR="003157FE" w:rsidRPr="009A0E7B">
        <w:t>, based on 104 weeks treatment duration, instead of submis</w:t>
      </w:r>
      <w:r w:rsidR="00C2092D" w:rsidRPr="009A0E7B">
        <w:t>sion duration of 105 weeks</w:t>
      </w:r>
      <w:r w:rsidR="003157FE" w:rsidRPr="009A0E7B">
        <w:t>.</w:t>
      </w:r>
    </w:p>
    <w:p w14:paraId="1D1F0E47" w14:textId="3B8A8E1F" w:rsidR="00FA6D3A" w:rsidRPr="009A0E7B" w:rsidRDefault="00FA6D3A" w:rsidP="009C19C5">
      <w:pPr>
        <w:pStyle w:val="TableFigureFooter"/>
        <w:keepNext/>
        <w:keepLines/>
      </w:pPr>
      <w:r w:rsidRPr="009A0E7B">
        <w:rPr>
          <w:vertAlign w:val="superscript"/>
        </w:rPr>
        <w:t>d</w:t>
      </w:r>
      <w:r w:rsidRPr="009A0E7B">
        <w:t xml:space="preserve"> </w:t>
      </w:r>
      <w:r w:rsidR="003157FE" w:rsidRPr="009A0E7B">
        <w:t>Revised to 14.25 = t</w:t>
      </w:r>
      <w:r w:rsidRPr="009A0E7B">
        <w:t>otal of 3 administration at induction (at Weeks 0, 2, 6) plus 11.25 administration from Week 14 to Week 104 (= 90 weeks / 8 weeks)</w:t>
      </w:r>
      <w:r w:rsidR="003157FE" w:rsidRPr="009A0E7B">
        <w:t>, based on 104 weeks duration, instead of submis</w:t>
      </w:r>
      <w:r w:rsidR="00C2092D" w:rsidRPr="009A0E7B">
        <w:t>sion duration of 105 weeks</w:t>
      </w:r>
      <w:r w:rsidR="003157FE" w:rsidRPr="009A0E7B">
        <w:t>.</w:t>
      </w:r>
    </w:p>
    <w:p w14:paraId="4B73853F" w14:textId="77777777" w:rsidR="00FA6D3A" w:rsidRPr="009A0E7B" w:rsidRDefault="00FA6D3A" w:rsidP="009C19C5">
      <w:pPr>
        <w:pStyle w:val="TableFigureFooter"/>
        <w:keepNext/>
        <w:keepLines/>
      </w:pPr>
      <w:r w:rsidRPr="009A0E7B">
        <w:rPr>
          <w:vertAlign w:val="superscript"/>
        </w:rPr>
        <w:t>e</w:t>
      </w:r>
      <w:r w:rsidRPr="009A0E7B">
        <w:t xml:space="preserve"> Fee for 100% benefit, obtained from MBS online December 2021.</w:t>
      </w:r>
    </w:p>
    <w:p w14:paraId="29CB985B" w14:textId="2D452F89" w:rsidR="00FA6D3A" w:rsidRPr="009A0E7B" w:rsidRDefault="00955381" w:rsidP="00FA6D3A">
      <w:pPr>
        <w:pStyle w:val="3-BodyText"/>
      </w:pPr>
      <w:r w:rsidRPr="009A0E7B">
        <w:t>The submission calculated the proposed effective</w:t>
      </w:r>
      <w:r w:rsidR="0025421B" w:rsidRPr="009A0E7B">
        <w:t xml:space="preserve"> </w:t>
      </w:r>
      <w:r w:rsidRPr="009A0E7B">
        <w:t>ex-manufacturer price (EMP) based on a constant cost per day ($</w:t>
      </w:r>
      <w:proofErr w:type="gramStart"/>
      <w:r w:rsidR="00B77D4B" w:rsidRPr="00931536">
        <w:rPr>
          <w:color w:val="000000"/>
          <w:w w:val="15"/>
          <w:shd w:val="solid" w:color="000000" w:fill="000000"/>
          <w:fitText w:val="-20" w:id="-1504475902"/>
          <w14:textFill>
            <w14:solidFill>
              <w14:srgbClr w14:val="000000">
                <w14:alpha w14:val="100000"/>
              </w14:srgbClr>
            </w14:solidFill>
          </w14:textFill>
        </w:rPr>
        <w:t xml:space="preserve">|  </w:t>
      </w:r>
      <w:r w:rsidR="00B77D4B" w:rsidRPr="00931536">
        <w:rPr>
          <w:color w:val="000000"/>
          <w:spacing w:val="-69"/>
          <w:w w:val="15"/>
          <w:shd w:val="solid" w:color="000000" w:fill="000000"/>
          <w:fitText w:val="-20" w:id="-1504475902"/>
          <w14:textFill>
            <w14:solidFill>
              <w14:srgbClr w14:val="000000">
                <w14:alpha w14:val="100000"/>
              </w14:srgbClr>
            </w14:solidFill>
          </w14:textFill>
        </w:rPr>
        <w:t>|</w:t>
      </w:r>
      <w:proofErr w:type="gramEnd"/>
      <w:r w:rsidRPr="009A0E7B">
        <w:t>), irrespective of the OZA capsule strength or treatment phase. The daily cost was obtained by dividing the total cost per patient over 2 years ($</w:t>
      </w:r>
      <w:proofErr w:type="gramStart"/>
      <w:r w:rsidR="00B77D4B" w:rsidRPr="00931536">
        <w:rPr>
          <w:color w:val="000000"/>
          <w:w w:val="15"/>
          <w:shd w:val="solid" w:color="000000" w:fill="000000"/>
          <w:fitText w:val="-20" w:id="-1504475901"/>
          <w14:textFill>
            <w14:solidFill>
              <w14:srgbClr w14:val="000000">
                <w14:alpha w14:val="100000"/>
              </w14:srgbClr>
            </w14:solidFill>
          </w14:textFill>
        </w:rPr>
        <w:t xml:space="preserve">|  </w:t>
      </w:r>
      <w:r w:rsidR="00B77D4B" w:rsidRPr="00931536">
        <w:rPr>
          <w:color w:val="000000"/>
          <w:spacing w:val="-69"/>
          <w:w w:val="15"/>
          <w:shd w:val="solid" w:color="000000" w:fill="000000"/>
          <w:fitText w:val="-20" w:id="-1504475901"/>
          <w14:textFill>
            <w14:solidFill>
              <w14:srgbClr w14:val="000000">
                <w14:alpha w14:val="100000"/>
              </w14:srgbClr>
            </w14:solidFill>
          </w14:textFill>
        </w:rPr>
        <w:t>|</w:t>
      </w:r>
      <w:proofErr w:type="gramEnd"/>
      <w:r w:rsidRPr="009A0E7B">
        <w:t xml:space="preserve">) by 735 days (105 weeks), rather than 728 days (104 weeks). The daily cost was then multiplied by 7 capsules and 28 capsules to calculate the proposed effective prices for OZA initiation pack and maintenance pack, respectively. During the evaluation, the number of administrations required for IFX IV over 104 weeks was </w:t>
      </w:r>
      <w:r w:rsidRPr="009A0E7B">
        <w:lastRenderedPageBreak/>
        <w:t xml:space="preserve">revised as 14.25 (15 in the submission). This reduced the total treatment cost with IFX IV over 104 weeks </w:t>
      </w:r>
      <w:r w:rsidRPr="006862CA">
        <w:t>to $19,732.55 (from $20,771.10</w:t>
      </w:r>
      <w:r w:rsidRPr="009A0E7B">
        <w:t xml:space="preserve">) per patient. Consequently, at the price of OZA calculated from the submission’s CMA of OZA </w:t>
      </w:r>
      <w:r w:rsidR="00A4760E" w:rsidRPr="009A0E7B">
        <w:t>vs.</w:t>
      </w:r>
      <w:r w:rsidRPr="009A0E7B">
        <w:t xml:space="preserve"> IFX IV, the total cost of OZA per patient over 104 weeks would be $</w:t>
      </w:r>
      <w:proofErr w:type="gramStart"/>
      <w:r w:rsidR="00B77D4B" w:rsidRPr="00931536">
        <w:rPr>
          <w:color w:val="000000"/>
          <w:w w:val="15"/>
          <w:shd w:val="solid" w:color="000000" w:fill="000000"/>
          <w:fitText w:val="-20" w:id="-1504475900"/>
          <w14:textFill>
            <w14:solidFill>
              <w14:srgbClr w14:val="000000">
                <w14:alpha w14:val="100000"/>
              </w14:srgbClr>
            </w14:solidFill>
          </w14:textFill>
        </w:rPr>
        <w:t xml:space="preserve">|  </w:t>
      </w:r>
      <w:r w:rsidR="00B77D4B" w:rsidRPr="00931536">
        <w:rPr>
          <w:color w:val="000000"/>
          <w:spacing w:val="-69"/>
          <w:w w:val="15"/>
          <w:shd w:val="solid" w:color="000000" w:fill="000000"/>
          <w:fitText w:val="-20" w:id="-1504475900"/>
          <w14:textFill>
            <w14:solidFill>
              <w14:srgbClr w14:val="000000">
                <w14:alpha w14:val="100000"/>
              </w14:srgbClr>
            </w14:solidFill>
          </w14:textFill>
        </w:rPr>
        <w:t>|</w:t>
      </w:r>
      <w:proofErr w:type="gramEnd"/>
      <w:r w:rsidRPr="009A0E7B">
        <w:t xml:space="preserve"> more costly than the treatment with IFX IV over the same period</w:t>
      </w:r>
      <w:r w:rsidR="00FA6D3A" w:rsidRPr="009A0E7B">
        <w:t>.</w:t>
      </w:r>
    </w:p>
    <w:p w14:paraId="58B654F4" w14:textId="20D8295A" w:rsidR="00C8312F" w:rsidRPr="003A790D" w:rsidRDefault="005323F5" w:rsidP="003A790D">
      <w:pPr>
        <w:numPr>
          <w:ilvl w:val="1"/>
          <w:numId w:val="1"/>
        </w:numPr>
        <w:spacing w:before="120" w:after="120"/>
        <w:rPr>
          <w:rFonts w:eastAsiaTheme="minorEastAsia"/>
          <w:iCs/>
          <w:color w:val="000000" w:themeColor="text1"/>
          <w:szCs w:val="22"/>
          <w:lang w:eastAsia="en-US"/>
        </w:rPr>
      </w:pPr>
      <w:r w:rsidRPr="009A0E7B">
        <w:rPr>
          <w:rFonts w:eastAsiaTheme="minorEastAsia"/>
          <w:iCs/>
          <w:color w:val="000000" w:themeColor="text1"/>
          <w:szCs w:val="22"/>
          <w:lang w:eastAsia="en-US"/>
        </w:rPr>
        <w:t xml:space="preserve">The PBAC could only recommend listing of OZA at a higher cost than an alternative therapy or therapies if it was satisfied that OZA provides, for some patients, a significant improvement in efficacy or reduction of toxicity (National Health Act 1953, Section 101(3B)). Given that no evidence has been provided to support OZA having a better efficacy or safety profile than alternative biological therapies, OZA should be considered </w:t>
      </w:r>
      <w:proofErr w:type="gramStart"/>
      <w:r w:rsidRPr="009A0E7B">
        <w:rPr>
          <w:rFonts w:eastAsiaTheme="minorEastAsia"/>
          <w:iCs/>
          <w:color w:val="000000" w:themeColor="text1"/>
          <w:szCs w:val="22"/>
          <w:lang w:eastAsia="en-US"/>
        </w:rPr>
        <w:t>on the basis of</w:t>
      </w:r>
      <w:proofErr w:type="gramEnd"/>
      <w:r w:rsidRPr="009A0E7B">
        <w:rPr>
          <w:rFonts w:eastAsiaTheme="minorEastAsia"/>
          <w:iCs/>
          <w:color w:val="000000" w:themeColor="text1"/>
          <w:szCs w:val="22"/>
          <w:lang w:eastAsia="en-US"/>
        </w:rPr>
        <w:t xml:space="preserve"> a CMA against </w:t>
      </w:r>
      <w:r w:rsidRPr="008E4318">
        <w:rPr>
          <w:rFonts w:eastAsiaTheme="minorEastAsia"/>
          <w:iCs/>
          <w:color w:val="000000" w:themeColor="text1"/>
          <w:szCs w:val="22"/>
          <w:lang w:eastAsia="en-US"/>
        </w:rPr>
        <w:t xml:space="preserve">the </w:t>
      </w:r>
      <w:r w:rsidR="00832AFC" w:rsidRPr="008E4318">
        <w:rPr>
          <w:rFonts w:eastAsiaTheme="minorEastAsia"/>
          <w:iCs/>
          <w:color w:val="000000" w:themeColor="text1"/>
          <w:szCs w:val="22"/>
          <w:lang w:eastAsia="en-US"/>
        </w:rPr>
        <w:t>least costly</w:t>
      </w:r>
      <w:r w:rsidR="00832AFC" w:rsidRPr="009A0E7B">
        <w:rPr>
          <w:rFonts w:eastAsiaTheme="minorEastAsia"/>
          <w:iCs/>
          <w:color w:val="000000" w:themeColor="text1"/>
          <w:szCs w:val="22"/>
          <w:lang w:eastAsia="en-US"/>
        </w:rPr>
        <w:t xml:space="preserve"> </w:t>
      </w:r>
      <w:r w:rsidRPr="009A0E7B">
        <w:rPr>
          <w:rFonts w:eastAsiaTheme="minorEastAsia"/>
          <w:iCs/>
          <w:color w:val="000000" w:themeColor="text1"/>
          <w:szCs w:val="22"/>
          <w:lang w:eastAsia="en-US"/>
        </w:rPr>
        <w:t>alternative therapy or therapies.</w:t>
      </w:r>
    </w:p>
    <w:p w14:paraId="7EEEF1CE" w14:textId="6DA7F667" w:rsidR="00D26A00" w:rsidRPr="009A0E7B" w:rsidRDefault="00FA6D3A" w:rsidP="00D26A00">
      <w:pPr>
        <w:pStyle w:val="4-SubsectionHeading"/>
      </w:pPr>
      <w:bookmarkStart w:id="43" w:name="_Toc22898858"/>
      <w:bookmarkStart w:id="44" w:name="_Toc93489242"/>
      <w:r w:rsidRPr="009A0E7B">
        <w:t>Ozanimod cost/patient/year</w:t>
      </w:r>
      <w:bookmarkEnd w:id="43"/>
      <w:bookmarkEnd w:id="44"/>
    </w:p>
    <w:p w14:paraId="514CBFB2" w14:textId="59828FF2" w:rsidR="00D26A00" w:rsidRPr="009A0E7B" w:rsidRDefault="00D26A00" w:rsidP="00D26A00">
      <w:pPr>
        <w:pStyle w:val="3-BodyText"/>
        <w:rPr>
          <w:snapToGrid/>
        </w:rPr>
      </w:pPr>
      <w:r w:rsidRPr="009A0E7B">
        <w:rPr>
          <w:snapToGrid/>
        </w:rPr>
        <w:t>The expected cost per patient of OZA is $</w:t>
      </w:r>
      <w:r w:rsidR="00B77D4B" w:rsidRPr="00AA1775">
        <w:rPr>
          <w:snapToGrid/>
          <w:color w:val="000000"/>
          <w:w w:val="60"/>
          <w:shd w:val="solid" w:color="000000" w:fill="000000"/>
          <w:fitText w:val="470" w:id="-1504475899"/>
          <w14:textFill>
            <w14:solidFill>
              <w14:srgbClr w14:val="000000">
                <w14:alpha w14:val="100000"/>
              </w14:srgbClr>
            </w14:solidFill>
          </w14:textFill>
        </w:rPr>
        <w:t>||</w:t>
      </w:r>
      <w:proofErr w:type="gramStart"/>
      <w:r w:rsidR="00B77D4B" w:rsidRPr="00AA1775">
        <w:rPr>
          <w:snapToGrid/>
          <w:color w:val="000000"/>
          <w:w w:val="60"/>
          <w:shd w:val="solid" w:color="000000" w:fill="000000"/>
          <w:fitText w:val="470" w:id="-1504475899"/>
          <w14:textFill>
            <w14:solidFill>
              <w14:srgbClr w14:val="000000">
                <w14:alpha w14:val="100000"/>
              </w14:srgbClr>
            </w14:solidFill>
          </w14:textFill>
        </w:rPr>
        <w:t>|  |</w:t>
      </w:r>
      <w:proofErr w:type="gramEnd"/>
      <w:r w:rsidR="00B77D4B" w:rsidRPr="00AA1775">
        <w:rPr>
          <w:snapToGrid/>
          <w:color w:val="000000"/>
          <w:w w:val="60"/>
          <w:shd w:val="solid" w:color="000000" w:fill="000000"/>
          <w:fitText w:val="470" w:id="-1504475899"/>
          <w14:textFill>
            <w14:solidFill>
              <w14:srgbClr w14:val="000000">
                <w14:alpha w14:val="100000"/>
              </w14:srgbClr>
            </w14:solidFill>
          </w14:textFill>
        </w:rPr>
        <w:t>|</w:t>
      </w:r>
      <w:r w:rsidR="00B77D4B" w:rsidRPr="00AA1775">
        <w:rPr>
          <w:snapToGrid/>
          <w:color w:val="000000"/>
          <w:spacing w:val="6"/>
          <w:w w:val="60"/>
          <w:shd w:val="solid" w:color="000000" w:fill="000000"/>
          <w:fitText w:val="470" w:id="-1504475899"/>
          <w14:textFill>
            <w14:solidFill>
              <w14:srgbClr w14:val="000000">
                <w14:alpha w14:val="100000"/>
              </w14:srgbClr>
            </w14:solidFill>
          </w14:textFill>
        </w:rPr>
        <w:t>|</w:t>
      </w:r>
      <w:r w:rsidRPr="009A0E7B">
        <w:rPr>
          <w:snapToGrid/>
        </w:rPr>
        <w:t xml:space="preserve"> over 52 weeks assuming full compliance</w:t>
      </w:r>
      <w:r w:rsidR="005C244F" w:rsidRPr="009A0E7B">
        <w:rPr>
          <w:snapToGrid/>
        </w:rPr>
        <w:t>, based on the effective proposed price</w:t>
      </w:r>
      <w:r w:rsidRPr="009A0E7B">
        <w:rPr>
          <w:snapToGrid/>
        </w:rPr>
        <w:t>. This is based on the daily cost of $</w:t>
      </w:r>
      <w:proofErr w:type="gramStart"/>
      <w:r w:rsidR="00B77D4B" w:rsidRPr="00931536">
        <w:rPr>
          <w:snapToGrid/>
          <w:color w:val="000000"/>
          <w:w w:val="15"/>
          <w:shd w:val="solid" w:color="000000" w:fill="000000"/>
          <w:fitText w:val="-20" w:id="-1504475898"/>
          <w14:textFill>
            <w14:solidFill>
              <w14:srgbClr w14:val="000000">
                <w14:alpha w14:val="100000"/>
              </w14:srgbClr>
            </w14:solidFill>
          </w14:textFill>
        </w:rPr>
        <w:t xml:space="preserve">|  </w:t>
      </w:r>
      <w:r w:rsidR="00B77D4B" w:rsidRPr="00931536">
        <w:rPr>
          <w:snapToGrid/>
          <w:color w:val="000000"/>
          <w:spacing w:val="-69"/>
          <w:w w:val="15"/>
          <w:shd w:val="solid" w:color="000000" w:fill="000000"/>
          <w:fitText w:val="-20" w:id="-1504475898"/>
          <w14:textFill>
            <w14:solidFill>
              <w14:srgbClr w14:val="000000">
                <w14:alpha w14:val="100000"/>
              </w14:srgbClr>
            </w14:solidFill>
          </w14:textFill>
        </w:rPr>
        <w:t>|</w:t>
      </w:r>
      <w:proofErr w:type="gramEnd"/>
      <w:r w:rsidRPr="009A0E7B">
        <w:rPr>
          <w:snapToGrid/>
        </w:rPr>
        <w:t xml:space="preserve"> estimated by the submission.</w:t>
      </w:r>
      <w:r w:rsidR="00955381" w:rsidRPr="009A0E7B">
        <w:rPr>
          <w:snapToGrid/>
        </w:rPr>
        <w:t xml:space="preserve"> </w:t>
      </w:r>
    </w:p>
    <w:p w14:paraId="0862FBCA" w14:textId="77777777" w:rsidR="00D26A00" w:rsidRPr="009A0E7B" w:rsidRDefault="00D26A00" w:rsidP="00D26A00">
      <w:pPr>
        <w:pStyle w:val="4-SubsectionHeading"/>
      </w:pPr>
      <w:bookmarkStart w:id="45" w:name="_Toc22898859"/>
      <w:bookmarkStart w:id="46" w:name="_Toc93489243"/>
      <w:r w:rsidRPr="009A0E7B">
        <w:t>Estimated PBS usage &amp; financial implications</w:t>
      </w:r>
      <w:bookmarkEnd w:id="45"/>
      <w:bookmarkEnd w:id="46"/>
    </w:p>
    <w:p w14:paraId="65DB5D5E" w14:textId="48B7383E" w:rsidR="00FA6D3A" w:rsidRPr="009A0E7B" w:rsidRDefault="00D26A00" w:rsidP="006C6A9A">
      <w:pPr>
        <w:pStyle w:val="3-BodyText"/>
      </w:pPr>
      <w:r w:rsidRPr="009A0E7B">
        <w:t xml:space="preserve">This submission </w:t>
      </w:r>
      <w:r w:rsidR="00621EAD" w:rsidRPr="009A0E7B">
        <w:t xml:space="preserve">was </w:t>
      </w:r>
      <w:r w:rsidRPr="009A0E7B">
        <w:t>not considered by DUSC.</w:t>
      </w:r>
    </w:p>
    <w:p w14:paraId="7EAA91AE" w14:textId="69FADB3F" w:rsidR="009A74E6" w:rsidRPr="009A0E7B" w:rsidRDefault="009A74E6" w:rsidP="006C6A9A">
      <w:pPr>
        <w:pStyle w:val="3-BodyText"/>
      </w:pPr>
      <w:r w:rsidRPr="009A0E7B">
        <w:t xml:space="preserve">The submission used a market share approach to predict the likely use and financial impact of listing of OZA on the PBS/RPBS. The key inputs for financial estimates are summarised </w:t>
      </w:r>
      <w:r w:rsidR="00061BBD">
        <w:t>in Table 13</w:t>
      </w:r>
      <w:r w:rsidRPr="009A0E7B">
        <w:t>.</w:t>
      </w:r>
    </w:p>
    <w:p w14:paraId="3393BCE7" w14:textId="2DE7F292" w:rsidR="00E42F73" w:rsidRPr="009A0E7B" w:rsidRDefault="00C361E0" w:rsidP="007925DF">
      <w:pPr>
        <w:pStyle w:val="TableFigureHeading"/>
        <w:rPr>
          <w:rStyle w:val="CommentReference"/>
          <w:b/>
          <w:szCs w:val="24"/>
        </w:rPr>
      </w:pPr>
      <w:r w:rsidRPr="009A0E7B">
        <w:t>Table</w:t>
      </w:r>
      <w:r w:rsidR="00061BBD">
        <w:t xml:space="preserve"> 13</w:t>
      </w:r>
      <w:r w:rsidRPr="009A0E7B">
        <w:t>:</w:t>
      </w:r>
      <w:r w:rsidRPr="009A0E7B">
        <w:rPr>
          <w:szCs w:val="16"/>
        </w:rPr>
        <w:t xml:space="preserve"> </w:t>
      </w:r>
      <w:r w:rsidR="00E42F73" w:rsidRPr="009A0E7B">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868"/>
        <w:gridCol w:w="946"/>
        <w:gridCol w:w="3658"/>
      </w:tblGrid>
      <w:tr w:rsidR="000F47AC" w:rsidRPr="009A0E7B" w14:paraId="2E0E0C7D" w14:textId="77777777" w:rsidTr="00FF4F83">
        <w:trPr>
          <w:tblHeader/>
        </w:trPr>
        <w:tc>
          <w:tcPr>
            <w:tcW w:w="858" w:type="pct"/>
            <w:vAlign w:val="center"/>
          </w:tcPr>
          <w:p w14:paraId="08FB1E3C" w14:textId="77777777" w:rsidR="000F47AC" w:rsidRPr="009A0E7B" w:rsidRDefault="000F47AC" w:rsidP="006E4DAE">
            <w:pPr>
              <w:pStyle w:val="TableText0"/>
              <w:rPr>
                <w:b/>
              </w:rPr>
            </w:pPr>
            <w:r w:rsidRPr="009A0E7B">
              <w:rPr>
                <w:b/>
              </w:rPr>
              <w:t>Data</w:t>
            </w:r>
          </w:p>
        </w:tc>
        <w:tc>
          <w:tcPr>
            <w:tcW w:w="2113" w:type="pct"/>
            <w:gridSpan w:val="2"/>
            <w:vAlign w:val="center"/>
          </w:tcPr>
          <w:p w14:paraId="24C39208" w14:textId="77777777" w:rsidR="000F47AC" w:rsidRPr="009A0E7B" w:rsidRDefault="000F47AC" w:rsidP="006E4DAE">
            <w:pPr>
              <w:jc w:val="center"/>
              <w:rPr>
                <w:rFonts w:ascii="Arial Narrow" w:eastAsiaTheme="majorEastAsia" w:hAnsi="Arial Narrow" w:cs="Times New Roman"/>
                <w:b/>
                <w:sz w:val="20"/>
              </w:rPr>
            </w:pPr>
            <w:r w:rsidRPr="009A0E7B">
              <w:rPr>
                <w:rFonts w:ascii="Arial Narrow" w:eastAsiaTheme="majorEastAsia" w:hAnsi="Arial Narrow" w:cs="Times New Roman"/>
                <w:b/>
                <w:sz w:val="20"/>
              </w:rPr>
              <w:t>Value</w:t>
            </w:r>
          </w:p>
        </w:tc>
        <w:tc>
          <w:tcPr>
            <w:tcW w:w="2030" w:type="pct"/>
            <w:vAlign w:val="center"/>
          </w:tcPr>
          <w:p w14:paraId="7DC5F327" w14:textId="77777777" w:rsidR="000F47AC" w:rsidRPr="009A0E7B" w:rsidRDefault="000F47AC" w:rsidP="006E4DAE">
            <w:pPr>
              <w:jc w:val="center"/>
              <w:rPr>
                <w:rFonts w:ascii="Arial Narrow" w:eastAsiaTheme="majorEastAsia" w:hAnsi="Arial Narrow" w:cs="Times New Roman"/>
                <w:b/>
                <w:sz w:val="20"/>
              </w:rPr>
            </w:pPr>
            <w:r w:rsidRPr="009A0E7B">
              <w:rPr>
                <w:rFonts w:ascii="Arial Narrow" w:eastAsiaTheme="majorEastAsia" w:hAnsi="Arial Narrow" w:cs="Times New Roman"/>
                <w:b/>
                <w:sz w:val="20"/>
              </w:rPr>
              <w:t>Source / Comment</w:t>
            </w:r>
          </w:p>
        </w:tc>
      </w:tr>
      <w:tr w:rsidR="000F47AC" w:rsidRPr="009A0E7B" w14:paraId="21A7F4E4" w14:textId="77777777" w:rsidTr="00FF4F83">
        <w:tc>
          <w:tcPr>
            <w:tcW w:w="5000" w:type="pct"/>
            <w:gridSpan w:val="4"/>
            <w:vAlign w:val="center"/>
          </w:tcPr>
          <w:p w14:paraId="6C01F1D9" w14:textId="77777777" w:rsidR="000F47AC" w:rsidRPr="009A0E7B" w:rsidRDefault="000F47AC" w:rsidP="00FF4F83">
            <w:pPr>
              <w:pStyle w:val="TableText0"/>
              <w:rPr>
                <w:b/>
              </w:rPr>
            </w:pPr>
            <w:r w:rsidRPr="009A0E7B">
              <w:rPr>
                <w:b/>
              </w:rPr>
              <w:t>Treatment utilisation</w:t>
            </w:r>
          </w:p>
        </w:tc>
      </w:tr>
      <w:tr w:rsidR="000F47AC" w:rsidRPr="009A0E7B" w14:paraId="781FFEA4" w14:textId="77777777" w:rsidTr="00FF4F83">
        <w:tc>
          <w:tcPr>
            <w:tcW w:w="858" w:type="pct"/>
            <w:vAlign w:val="center"/>
          </w:tcPr>
          <w:p w14:paraId="436A8766" w14:textId="42F5AC2E" w:rsidR="000F47AC" w:rsidRPr="009A0E7B" w:rsidRDefault="000F47AC" w:rsidP="00FF4F83">
            <w:pPr>
              <w:pStyle w:val="TableText0"/>
            </w:pPr>
            <w:r w:rsidRPr="009A0E7B">
              <w:t>In</w:t>
            </w:r>
            <w:r w:rsidR="0080229B">
              <w:t xml:space="preserve">dividual annual growth rate of </w:t>
            </w:r>
            <w:proofErr w:type="spellStart"/>
            <w:r w:rsidR="0080229B">
              <w:t>b</w:t>
            </w:r>
            <w:r w:rsidRPr="009A0E7B">
              <w:t>DMARDs</w:t>
            </w:r>
            <w:proofErr w:type="spellEnd"/>
            <w:r w:rsidRPr="009A0E7B">
              <w:t xml:space="preserve"> for MSUC</w:t>
            </w:r>
          </w:p>
        </w:tc>
        <w:tc>
          <w:tcPr>
            <w:tcW w:w="2113" w:type="pct"/>
            <w:gridSpan w:val="2"/>
            <w:vAlign w:val="center"/>
          </w:tcPr>
          <w:tbl>
            <w:tblPr>
              <w:tblStyle w:val="TableGrid"/>
              <w:tblW w:w="3492" w:type="dxa"/>
              <w:tblCellMar>
                <w:left w:w="28" w:type="dxa"/>
                <w:right w:w="28" w:type="dxa"/>
              </w:tblCellMar>
              <w:tblLook w:val="04A0" w:firstRow="1" w:lastRow="0" w:firstColumn="1" w:lastColumn="0" w:noHBand="0" w:noVBand="1"/>
            </w:tblPr>
            <w:tblGrid>
              <w:gridCol w:w="540"/>
              <w:gridCol w:w="738"/>
              <w:gridCol w:w="738"/>
              <w:gridCol w:w="738"/>
              <w:gridCol w:w="738"/>
            </w:tblGrid>
            <w:tr w:rsidR="000F47AC" w:rsidRPr="009A0E7B" w14:paraId="57222C5D" w14:textId="77777777" w:rsidTr="00FF4F83">
              <w:trPr>
                <w:trHeight w:val="365"/>
              </w:trPr>
              <w:tc>
                <w:tcPr>
                  <w:tcW w:w="540" w:type="dxa"/>
                  <w:tcBorders>
                    <w:top w:val="single" w:sz="4" w:space="0" w:color="auto"/>
                    <w:left w:val="single" w:sz="4" w:space="0" w:color="auto"/>
                    <w:bottom w:val="single" w:sz="4" w:space="0" w:color="auto"/>
                    <w:right w:val="single" w:sz="4" w:space="0" w:color="auto"/>
                  </w:tcBorders>
                  <w:hideMark/>
                </w:tcPr>
                <w:p w14:paraId="68D93336" w14:textId="77777777" w:rsidR="000F47AC" w:rsidRPr="009A0E7B" w:rsidRDefault="000F47AC" w:rsidP="00FF4F83">
                  <w:pPr>
                    <w:pStyle w:val="Tabletext"/>
                    <w:keepNext/>
                  </w:pPr>
                  <w:r w:rsidRPr="009A0E7B">
                    <w:t> </w:t>
                  </w:r>
                </w:p>
              </w:tc>
              <w:tc>
                <w:tcPr>
                  <w:tcW w:w="738" w:type="dxa"/>
                  <w:tcBorders>
                    <w:top w:val="single" w:sz="4" w:space="0" w:color="auto"/>
                    <w:left w:val="single" w:sz="4" w:space="0" w:color="auto"/>
                    <w:bottom w:val="single" w:sz="4" w:space="0" w:color="auto"/>
                    <w:right w:val="single" w:sz="4" w:space="0" w:color="auto"/>
                  </w:tcBorders>
                </w:tcPr>
                <w:p w14:paraId="6F8E92AE" w14:textId="77777777" w:rsidR="000F47AC" w:rsidRPr="009A0E7B" w:rsidRDefault="000F47AC" w:rsidP="00FF4F83">
                  <w:pPr>
                    <w:pStyle w:val="Tabletext"/>
                    <w:keepNext/>
                    <w:jc w:val="center"/>
                    <w:rPr>
                      <w:bCs/>
                    </w:rPr>
                  </w:pPr>
                  <w:r w:rsidRPr="009A0E7B">
                    <w:rPr>
                      <w:bCs/>
                    </w:rPr>
                    <w:t>IFX</w:t>
                  </w:r>
                </w:p>
              </w:tc>
              <w:tc>
                <w:tcPr>
                  <w:tcW w:w="738" w:type="dxa"/>
                  <w:tcBorders>
                    <w:top w:val="single" w:sz="4" w:space="0" w:color="auto"/>
                    <w:left w:val="single" w:sz="4" w:space="0" w:color="auto"/>
                    <w:bottom w:val="single" w:sz="4" w:space="0" w:color="auto"/>
                    <w:right w:val="single" w:sz="4" w:space="0" w:color="auto"/>
                  </w:tcBorders>
                </w:tcPr>
                <w:p w14:paraId="4B9E04E9" w14:textId="77777777" w:rsidR="000F47AC" w:rsidRPr="009A0E7B" w:rsidRDefault="000F47AC" w:rsidP="00FF4F83">
                  <w:pPr>
                    <w:pStyle w:val="Tabletext"/>
                    <w:keepNext/>
                    <w:jc w:val="center"/>
                    <w:rPr>
                      <w:bCs/>
                    </w:rPr>
                  </w:pPr>
                  <w:r w:rsidRPr="009A0E7B">
                    <w:rPr>
                      <w:bCs/>
                    </w:rPr>
                    <w:t>VED</w:t>
                  </w:r>
                </w:p>
              </w:tc>
              <w:tc>
                <w:tcPr>
                  <w:tcW w:w="738" w:type="dxa"/>
                  <w:tcBorders>
                    <w:top w:val="single" w:sz="4" w:space="0" w:color="auto"/>
                    <w:left w:val="single" w:sz="4" w:space="0" w:color="auto"/>
                    <w:bottom w:val="single" w:sz="4" w:space="0" w:color="auto"/>
                    <w:right w:val="single" w:sz="4" w:space="0" w:color="auto"/>
                  </w:tcBorders>
                </w:tcPr>
                <w:p w14:paraId="082F4779" w14:textId="77777777" w:rsidR="000F47AC" w:rsidRPr="009A0E7B" w:rsidRDefault="000F47AC" w:rsidP="00FF4F83">
                  <w:pPr>
                    <w:pStyle w:val="Tabletext"/>
                    <w:keepNext/>
                    <w:jc w:val="center"/>
                    <w:rPr>
                      <w:bCs/>
                    </w:rPr>
                  </w:pPr>
                  <w:r w:rsidRPr="009A0E7B">
                    <w:rPr>
                      <w:bCs/>
                    </w:rPr>
                    <w:t>ADA</w:t>
                  </w:r>
                </w:p>
              </w:tc>
              <w:tc>
                <w:tcPr>
                  <w:tcW w:w="738" w:type="dxa"/>
                  <w:tcBorders>
                    <w:top w:val="single" w:sz="4" w:space="0" w:color="auto"/>
                    <w:left w:val="single" w:sz="4" w:space="0" w:color="auto"/>
                    <w:bottom w:val="single" w:sz="4" w:space="0" w:color="auto"/>
                    <w:right w:val="single" w:sz="4" w:space="0" w:color="auto"/>
                  </w:tcBorders>
                  <w:hideMark/>
                </w:tcPr>
                <w:p w14:paraId="18D5A4DB" w14:textId="77777777" w:rsidR="000F47AC" w:rsidRPr="009A0E7B" w:rsidRDefault="000F47AC" w:rsidP="00FF4F83">
                  <w:pPr>
                    <w:pStyle w:val="Tabletext"/>
                    <w:keepNext/>
                    <w:jc w:val="center"/>
                    <w:rPr>
                      <w:bCs/>
                    </w:rPr>
                  </w:pPr>
                  <w:r w:rsidRPr="009A0E7B">
                    <w:rPr>
                      <w:bCs/>
                    </w:rPr>
                    <w:t>GOL</w:t>
                  </w:r>
                </w:p>
              </w:tc>
            </w:tr>
            <w:tr w:rsidR="000F47AC" w:rsidRPr="009A0E7B" w14:paraId="1B1571FA" w14:textId="77777777" w:rsidTr="00FF4F83">
              <w:trPr>
                <w:trHeight w:val="215"/>
              </w:trPr>
              <w:tc>
                <w:tcPr>
                  <w:tcW w:w="540" w:type="dxa"/>
                  <w:tcBorders>
                    <w:top w:val="single" w:sz="4" w:space="0" w:color="auto"/>
                    <w:left w:val="single" w:sz="4" w:space="0" w:color="auto"/>
                    <w:bottom w:val="single" w:sz="4" w:space="0" w:color="auto"/>
                    <w:right w:val="single" w:sz="4" w:space="0" w:color="auto"/>
                  </w:tcBorders>
                  <w:hideMark/>
                </w:tcPr>
                <w:p w14:paraId="550CDE93" w14:textId="77777777" w:rsidR="000F47AC" w:rsidRPr="009A0E7B" w:rsidRDefault="000F47AC" w:rsidP="00FF4F83">
                  <w:pPr>
                    <w:pStyle w:val="Tabletext"/>
                    <w:keepNext/>
                    <w:rPr>
                      <w:szCs w:val="20"/>
                    </w:rPr>
                  </w:pPr>
                  <w:r w:rsidRPr="009A0E7B">
                    <w:rPr>
                      <w:szCs w:val="20"/>
                    </w:rPr>
                    <w:t>2021</w:t>
                  </w:r>
                </w:p>
              </w:tc>
              <w:tc>
                <w:tcPr>
                  <w:tcW w:w="738" w:type="dxa"/>
                  <w:tcBorders>
                    <w:top w:val="single" w:sz="4" w:space="0" w:color="auto"/>
                    <w:left w:val="single" w:sz="4" w:space="0" w:color="auto"/>
                    <w:bottom w:val="single" w:sz="4" w:space="0" w:color="auto"/>
                    <w:right w:val="single" w:sz="4" w:space="0" w:color="auto"/>
                  </w:tcBorders>
                </w:tcPr>
                <w:p w14:paraId="69C391BB" w14:textId="77777777" w:rsidR="000F47AC" w:rsidRPr="009A0E7B" w:rsidRDefault="000F47AC" w:rsidP="00FF4F83">
                  <w:pPr>
                    <w:pStyle w:val="Tabletext"/>
                    <w:keepNext/>
                    <w:jc w:val="center"/>
                    <w:rPr>
                      <w:szCs w:val="20"/>
                    </w:rPr>
                  </w:pPr>
                  <w:r w:rsidRPr="009A0E7B">
                    <w:rPr>
                      <w:szCs w:val="20"/>
                    </w:rPr>
                    <w:t>-7.08%</w:t>
                  </w:r>
                </w:p>
              </w:tc>
              <w:tc>
                <w:tcPr>
                  <w:tcW w:w="738" w:type="dxa"/>
                  <w:tcBorders>
                    <w:top w:val="single" w:sz="4" w:space="0" w:color="auto"/>
                    <w:left w:val="single" w:sz="4" w:space="0" w:color="auto"/>
                    <w:bottom w:val="single" w:sz="4" w:space="0" w:color="auto"/>
                    <w:right w:val="single" w:sz="4" w:space="0" w:color="auto"/>
                  </w:tcBorders>
                </w:tcPr>
                <w:p w14:paraId="0EBA9518" w14:textId="77777777" w:rsidR="000F47AC" w:rsidRPr="009A0E7B" w:rsidRDefault="000F47AC" w:rsidP="00FF4F83">
                  <w:pPr>
                    <w:pStyle w:val="Tabletext"/>
                    <w:keepNext/>
                    <w:jc w:val="center"/>
                    <w:rPr>
                      <w:szCs w:val="20"/>
                    </w:rPr>
                  </w:pPr>
                  <w:r w:rsidRPr="009A0E7B">
                    <w:rPr>
                      <w:szCs w:val="20"/>
                    </w:rPr>
                    <w:t>13.40%</w:t>
                  </w:r>
                </w:p>
              </w:tc>
              <w:tc>
                <w:tcPr>
                  <w:tcW w:w="738" w:type="dxa"/>
                  <w:tcBorders>
                    <w:top w:val="single" w:sz="4" w:space="0" w:color="auto"/>
                    <w:left w:val="single" w:sz="4" w:space="0" w:color="auto"/>
                    <w:bottom w:val="single" w:sz="4" w:space="0" w:color="auto"/>
                    <w:right w:val="single" w:sz="4" w:space="0" w:color="auto"/>
                  </w:tcBorders>
                </w:tcPr>
                <w:p w14:paraId="26F66B40" w14:textId="77777777" w:rsidR="000F47AC" w:rsidRPr="009A0E7B" w:rsidRDefault="000F47AC" w:rsidP="00FF4F83">
                  <w:pPr>
                    <w:pStyle w:val="Tabletext"/>
                    <w:keepNext/>
                    <w:jc w:val="center"/>
                    <w:rPr>
                      <w:szCs w:val="20"/>
                    </w:rPr>
                  </w:pPr>
                  <w:r w:rsidRPr="009A0E7B">
                    <w:rPr>
                      <w:szCs w:val="20"/>
                    </w:rPr>
                    <w:t>15.76%</w:t>
                  </w:r>
                </w:p>
              </w:tc>
              <w:tc>
                <w:tcPr>
                  <w:tcW w:w="738" w:type="dxa"/>
                  <w:tcBorders>
                    <w:top w:val="single" w:sz="4" w:space="0" w:color="auto"/>
                    <w:left w:val="single" w:sz="4" w:space="0" w:color="auto"/>
                    <w:bottom w:val="single" w:sz="4" w:space="0" w:color="auto"/>
                    <w:right w:val="single" w:sz="4" w:space="0" w:color="auto"/>
                  </w:tcBorders>
                  <w:hideMark/>
                </w:tcPr>
                <w:p w14:paraId="567D2C33" w14:textId="77777777" w:rsidR="000F47AC" w:rsidRPr="009A0E7B" w:rsidRDefault="000F47AC" w:rsidP="00FF4F83">
                  <w:pPr>
                    <w:pStyle w:val="Tabletext"/>
                    <w:keepNext/>
                    <w:jc w:val="center"/>
                    <w:rPr>
                      <w:szCs w:val="20"/>
                    </w:rPr>
                  </w:pPr>
                  <w:r w:rsidRPr="009A0E7B">
                    <w:rPr>
                      <w:szCs w:val="20"/>
                    </w:rPr>
                    <w:t>19.08%</w:t>
                  </w:r>
                </w:p>
              </w:tc>
            </w:tr>
            <w:tr w:rsidR="000F47AC" w:rsidRPr="009A0E7B" w14:paraId="661D29FF" w14:textId="77777777" w:rsidTr="00FF4F83">
              <w:trPr>
                <w:trHeight w:val="255"/>
              </w:trPr>
              <w:tc>
                <w:tcPr>
                  <w:tcW w:w="540" w:type="dxa"/>
                  <w:tcBorders>
                    <w:top w:val="single" w:sz="4" w:space="0" w:color="auto"/>
                    <w:left w:val="single" w:sz="4" w:space="0" w:color="auto"/>
                    <w:bottom w:val="single" w:sz="4" w:space="0" w:color="auto"/>
                    <w:right w:val="single" w:sz="4" w:space="0" w:color="auto"/>
                  </w:tcBorders>
                  <w:noWrap/>
                  <w:hideMark/>
                </w:tcPr>
                <w:p w14:paraId="20C2484F" w14:textId="77777777" w:rsidR="000F47AC" w:rsidRPr="009A0E7B" w:rsidRDefault="000F47AC" w:rsidP="00FF4F83">
                  <w:pPr>
                    <w:pStyle w:val="Tabletext"/>
                    <w:keepNext/>
                    <w:rPr>
                      <w:szCs w:val="20"/>
                    </w:rPr>
                  </w:pPr>
                  <w:r w:rsidRPr="009A0E7B">
                    <w:rPr>
                      <w:szCs w:val="20"/>
                    </w:rPr>
                    <w:t>2022</w:t>
                  </w:r>
                </w:p>
              </w:tc>
              <w:tc>
                <w:tcPr>
                  <w:tcW w:w="738" w:type="dxa"/>
                  <w:tcBorders>
                    <w:top w:val="single" w:sz="4" w:space="0" w:color="auto"/>
                    <w:left w:val="single" w:sz="4" w:space="0" w:color="auto"/>
                    <w:bottom w:val="single" w:sz="4" w:space="0" w:color="auto"/>
                    <w:right w:val="single" w:sz="4" w:space="0" w:color="auto"/>
                  </w:tcBorders>
                </w:tcPr>
                <w:p w14:paraId="585CB2EC" w14:textId="77777777" w:rsidR="000F47AC" w:rsidRPr="009A0E7B" w:rsidRDefault="000F47AC" w:rsidP="00FF4F83">
                  <w:pPr>
                    <w:pStyle w:val="Tabletext"/>
                    <w:keepNext/>
                    <w:jc w:val="center"/>
                    <w:rPr>
                      <w:szCs w:val="20"/>
                    </w:rPr>
                  </w:pPr>
                  <w:r w:rsidRPr="009A0E7B">
                    <w:rPr>
                      <w:szCs w:val="20"/>
                    </w:rPr>
                    <w:t>-7.61%</w:t>
                  </w:r>
                </w:p>
              </w:tc>
              <w:tc>
                <w:tcPr>
                  <w:tcW w:w="738" w:type="dxa"/>
                  <w:tcBorders>
                    <w:top w:val="single" w:sz="4" w:space="0" w:color="auto"/>
                    <w:left w:val="single" w:sz="4" w:space="0" w:color="auto"/>
                    <w:bottom w:val="single" w:sz="4" w:space="0" w:color="auto"/>
                    <w:right w:val="single" w:sz="4" w:space="0" w:color="auto"/>
                  </w:tcBorders>
                </w:tcPr>
                <w:p w14:paraId="7748F8B9" w14:textId="77777777" w:rsidR="000F47AC" w:rsidRPr="009A0E7B" w:rsidRDefault="000F47AC" w:rsidP="00FF4F83">
                  <w:pPr>
                    <w:pStyle w:val="Tabletext"/>
                    <w:keepNext/>
                    <w:jc w:val="center"/>
                    <w:rPr>
                      <w:szCs w:val="20"/>
                    </w:rPr>
                  </w:pPr>
                  <w:r w:rsidRPr="009A0E7B">
                    <w:rPr>
                      <w:szCs w:val="20"/>
                    </w:rPr>
                    <w:t>11.81%</w:t>
                  </w:r>
                </w:p>
              </w:tc>
              <w:tc>
                <w:tcPr>
                  <w:tcW w:w="738" w:type="dxa"/>
                  <w:tcBorders>
                    <w:top w:val="single" w:sz="4" w:space="0" w:color="auto"/>
                    <w:left w:val="single" w:sz="4" w:space="0" w:color="auto"/>
                    <w:bottom w:val="single" w:sz="4" w:space="0" w:color="auto"/>
                    <w:right w:val="single" w:sz="4" w:space="0" w:color="auto"/>
                  </w:tcBorders>
                </w:tcPr>
                <w:p w14:paraId="457ACE1D" w14:textId="77777777" w:rsidR="000F47AC" w:rsidRPr="009A0E7B" w:rsidRDefault="000F47AC" w:rsidP="00FF4F83">
                  <w:pPr>
                    <w:pStyle w:val="Tabletext"/>
                    <w:keepNext/>
                    <w:jc w:val="center"/>
                    <w:rPr>
                      <w:szCs w:val="20"/>
                    </w:rPr>
                  </w:pPr>
                  <w:r w:rsidRPr="009A0E7B">
                    <w:rPr>
                      <w:szCs w:val="20"/>
                    </w:rPr>
                    <w:t>13.62%</w:t>
                  </w:r>
                </w:p>
              </w:tc>
              <w:tc>
                <w:tcPr>
                  <w:tcW w:w="738" w:type="dxa"/>
                  <w:tcBorders>
                    <w:top w:val="single" w:sz="4" w:space="0" w:color="auto"/>
                    <w:left w:val="single" w:sz="4" w:space="0" w:color="auto"/>
                    <w:bottom w:val="single" w:sz="4" w:space="0" w:color="auto"/>
                    <w:right w:val="single" w:sz="4" w:space="0" w:color="auto"/>
                  </w:tcBorders>
                  <w:noWrap/>
                  <w:hideMark/>
                </w:tcPr>
                <w:p w14:paraId="13420096" w14:textId="77777777" w:rsidR="000F47AC" w:rsidRPr="009A0E7B" w:rsidRDefault="000F47AC" w:rsidP="00FF4F83">
                  <w:pPr>
                    <w:pStyle w:val="Tabletext"/>
                    <w:keepNext/>
                    <w:jc w:val="center"/>
                    <w:rPr>
                      <w:szCs w:val="20"/>
                    </w:rPr>
                  </w:pPr>
                  <w:r w:rsidRPr="009A0E7B">
                    <w:rPr>
                      <w:szCs w:val="20"/>
                    </w:rPr>
                    <w:t>16.03%</w:t>
                  </w:r>
                </w:p>
              </w:tc>
            </w:tr>
            <w:tr w:rsidR="000F47AC" w:rsidRPr="009A0E7B" w14:paraId="6097FD05" w14:textId="77777777" w:rsidTr="00FF4F83">
              <w:trPr>
                <w:trHeight w:val="420"/>
              </w:trPr>
              <w:tc>
                <w:tcPr>
                  <w:tcW w:w="540" w:type="dxa"/>
                  <w:tcBorders>
                    <w:top w:val="single" w:sz="4" w:space="0" w:color="auto"/>
                    <w:left w:val="single" w:sz="4" w:space="0" w:color="auto"/>
                    <w:bottom w:val="single" w:sz="4" w:space="0" w:color="auto"/>
                    <w:right w:val="single" w:sz="4" w:space="0" w:color="auto"/>
                  </w:tcBorders>
                  <w:noWrap/>
                  <w:hideMark/>
                </w:tcPr>
                <w:p w14:paraId="07E0FBA0" w14:textId="77777777" w:rsidR="000F47AC" w:rsidRPr="009A0E7B" w:rsidRDefault="000F47AC" w:rsidP="00FF4F83">
                  <w:pPr>
                    <w:pStyle w:val="Tabletext"/>
                    <w:keepNext/>
                    <w:rPr>
                      <w:szCs w:val="20"/>
                    </w:rPr>
                  </w:pPr>
                  <w:r w:rsidRPr="009A0E7B">
                    <w:rPr>
                      <w:szCs w:val="20"/>
                    </w:rPr>
                    <w:t>2023</w:t>
                  </w:r>
                </w:p>
              </w:tc>
              <w:tc>
                <w:tcPr>
                  <w:tcW w:w="738" w:type="dxa"/>
                  <w:tcBorders>
                    <w:top w:val="single" w:sz="4" w:space="0" w:color="auto"/>
                    <w:left w:val="single" w:sz="4" w:space="0" w:color="auto"/>
                    <w:bottom w:val="single" w:sz="4" w:space="0" w:color="auto"/>
                    <w:right w:val="single" w:sz="4" w:space="0" w:color="auto"/>
                  </w:tcBorders>
                </w:tcPr>
                <w:p w14:paraId="5D21D063" w14:textId="77777777" w:rsidR="000F47AC" w:rsidRPr="009A0E7B" w:rsidRDefault="000F47AC" w:rsidP="00FF4F83">
                  <w:pPr>
                    <w:pStyle w:val="Tabletext"/>
                    <w:keepNext/>
                    <w:jc w:val="center"/>
                    <w:rPr>
                      <w:szCs w:val="20"/>
                    </w:rPr>
                  </w:pPr>
                  <w:r w:rsidRPr="009A0E7B">
                    <w:rPr>
                      <w:szCs w:val="20"/>
                    </w:rPr>
                    <w:t>-8.24%</w:t>
                  </w:r>
                </w:p>
              </w:tc>
              <w:tc>
                <w:tcPr>
                  <w:tcW w:w="738" w:type="dxa"/>
                  <w:tcBorders>
                    <w:top w:val="single" w:sz="4" w:space="0" w:color="auto"/>
                    <w:left w:val="single" w:sz="4" w:space="0" w:color="auto"/>
                    <w:bottom w:val="single" w:sz="4" w:space="0" w:color="auto"/>
                    <w:right w:val="single" w:sz="4" w:space="0" w:color="auto"/>
                  </w:tcBorders>
                </w:tcPr>
                <w:p w14:paraId="754446B2" w14:textId="77777777" w:rsidR="000F47AC" w:rsidRPr="009A0E7B" w:rsidRDefault="000F47AC" w:rsidP="00FF4F83">
                  <w:pPr>
                    <w:pStyle w:val="Tabletext"/>
                    <w:keepNext/>
                    <w:jc w:val="center"/>
                    <w:rPr>
                      <w:szCs w:val="20"/>
                    </w:rPr>
                  </w:pPr>
                  <w:r w:rsidRPr="009A0E7B">
                    <w:rPr>
                      <w:szCs w:val="20"/>
                    </w:rPr>
                    <w:t>10.57%</w:t>
                  </w:r>
                </w:p>
              </w:tc>
              <w:tc>
                <w:tcPr>
                  <w:tcW w:w="738" w:type="dxa"/>
                  <w:tcBorders>
                    <w:top w:val="single" w:sz="4" w:space="0" w:color="auto"/>
                    <w:left w:val="single" w:sz="4" w:space="0" w:color="auto"/>
                    <w:bottom w:val="single" w:sz="4" w:space="0" w:color="auto"/>
                    <w:right w:val="single" w:sz="4" w:space="0" w:color="auto"/>
                  </w:tcBorders>
                </w:tcPr>
                <w:p w14:paraId="5759079C" w14:textId="77777777" w:rsidR="000F47AC" w:rsidRPr="009A0E7B" w:rsidRDefault="000F47AC" w:rsidP="00FF4F83">
                  <w:pPr>
                    <w:pStyle w:val="Tabletext"/>
                    <w:keepNext/>
                    <w:jc w:val="center"/>
                    <w:rPr>
                      <w:szCs w:val="20"/>
                    </w:rPr>
                  </w:pPr>
                  <w:r w:rsidRPr="009A0E7B">
                    <w:rPr>
                      <w:szCs w:val="20"/>
                    </w:rPr>
                    <w:t>11.99%</w:t>
                  </w:r>
                </w:p>
              </w:tc>
              <w:tc>
                <w:tcPr>
                  <w:tcW w:w="738" w:type="dxa"/>
                  <w:tcBorders>
                    <w:top w:val="single" w:sz="4" w:space="0" w:color="auto"/>
                    <w:left w:val="single" w:sz="4" w:space="0" w:color="auto"/>
                    <w:bottom w:val="single" w:sz="4" w:space="0" w:color="auto"/>
                    <w:right w:val="single" w:sz="4" w:space="0" w:color="auto"/>
                  </w:tcBorders>
                  <w:noWrap/>
                  <w:hideMark/>
                </w:tcPr>
                <w:p w14:paraId="0D85C9B6" w14:textId="77777777" w:rsidR="000F47AC" w:rsidRPr="009A0E7B" w:rsidRDefault="000F47AC" w:rsidP="00FF4F83">
                  <w:pPr>
                    <w:pStyle w:val="Tabletext"/>
                    <w:keepNext/>
                    <w:jc w:val="center"/>
                    <w:rPr>
                      <w:szCs w:val="20"/>
                    </w:rPr>
                  </w:pPr>
                  <w:r w:rsidRPr="009A0E7B">
                    <w:rPr>
                      <w:szCs w:val="20"/>
                    </w:rPr>
                    <w:t>13.81%</w:t>
                  </w:r>
                </w:p>
              </w:tc>
            </w:tr>
            <w:tr w:rsidR="000F47AC" w:rsidRPr="009A0E7B" w14:paraId="65CAA1EB" w14:textId="77777777" w:rsidTr="00FF4F83">
              <w:trPr>
                <w:trHeight w:val="329"/>
              </w:trPr>
              <w:tc>
                <w:tcPr>
                  <w:tcW w:w="540" w:type="dxa"/>
                  <w:tcBorders>
                    <w:top w:val="single" w:sz="4" w:space="0" w:color="auto"/>
                    <w:left w:val="single" w:sz="4" w:space="0" w:color="auto"/>
                    <w:bottom w:val="single" w:sz="4" w:space="0" w:color="auto"/>
                    <w:right w:val="single" w:sz="4" w:space="0" w:color="auto"/>
                  </w:tcBorders>
                  <w:noWrap/>
                  <w:hideMark/>
                </w:tcPr>
                <w:p w14:paraId="41D2819B" w14:textId="77777777" w:rsidR="000F47AC" w:rsidRPr="009A0E7B" w:rsidRDefault="000F47AC" w:rsidP="00FF4F83">
                  <w:pPr>
                    <w:pStyle w:val="Tabletext"/>
                    <w:keepNext/>
                    <w:rPr>
                      <w:szCs w:val="20"/>
                    </w:rPr>
                  </w:pPr>
                  <w:r w:rsidRPr="009A0E7B">
                    <w:rPr>
                      <w:szCs w:val="20"/>
                    </w:rPr>
                    <w:t>2024</w:t>
                  </w:r>
                </w:p>
              </w:tc>
              <w:tc>
                <w:tcPr>
                  <w:tcW w:w="738" w:type="dxa"/>
                  <w:tcBorders>
                    <w:top w:val="single" w:sz="4" w:space="0" w:color="auto"/>
                    <w:left w:val="single" w:sz="4" w:space="0" w:color="auto"/>
                    <w:bottom w:val="single" w:sz="4" w:space="0" w:color="auto"/>
                    <w:right w:val="single" w:sz="4" w:space="0" w:color="auto"/>
                  </w:tcBorders>
                </w:tcPr>
                <w:p w14:paraId="43C2FA84" w14:textId="77777777" w:rsidR="000F47AC" w:rsidRPr="009A0E7B" w:rsidRDefault="000F47AC" w:rsidP="00FF4F83">
                  <w:pPr>
                    <w:pStyle w:val="Tabletext"/>
                    <w:keepNext/>
                    <w:jc w:val="center"/>
                    <w:rPr>
                      <w:szCs w:val="20"/>
                    </w:rPr>
                  </w:pPr>
                  <w:r w:rsidRPr="009A0E7B">
                    <w:rPr>
                      <w:szCs w:val="20"/>
                    </w:rPr>
                    <w:t>-8.98%</w:t>
                  </w:r>
                </w:p>
              </w:tc>
              <w:tc>
                <w:tcPr>
                  <w:tcW w:w="738" w:type="dxa"/>
                  <w:tcBorders>
                    <w:top w:val="single" w:sz="4" w:space="0" w:color="auto"/>
                    <w:left w:val="single" w:sz="4" w:space="0" w:color="auto"/>
                    <w:bottom w:val="single" w:sz="4" w:space="0" w:color="auto"/>
                    <w:right w:val="single" w:sz="4" w:space="0" w:color="auto"/>
                  </w:tcBorders>
                </w:tcPr>
                <w:p w14:paraId="2A116050" w14:textId="77777777" w:rsidR="000F47AC" w:rsidRPr="009A0E7B" w:rsidRDefault="000F47AC" w:rsidP="00FF4F83">
                  <w:pPr>
                    <w:pStyle w:val="Tabletext"/>
                    <w:keepNext/>
                    <w:jc w:val="center"/>
                    <w:rPr>
                      <w:szCs w:val="20"/>
                    </w:rPr>
                  </w:pPr>
                  <w:r w:rsidRPr="009A0E7B">
                    <w:rPr>
                      <w:szCs w:val="20"/>
                    </w:rPr>
                    <w:t>9.56%</w:t>
                  </w:r>
                </w:p>
              </w:tc>
              <w:tc>
                <w:tcPr>
                  <w:tcW w:w="738" w:type="dxa"/>
                  <w:tcBorders>
                    <w:top w:val="single" w:sz="4" w:space="0" w:color="auto"/>
                    <w:left w:val="single" w:sz="4" w:space="0" w:color="auto"/>
                    <w:bottom w:val="single" w:sz="4" w:space="0" w:color="auto"/>
                    <w:right w:val="single" w:sz="4" w:space="0" w:color="auto"/>
                  </w:tcBorders>
                </w:tcPr>
                <w:p w14:paraId="77A8A60A" w14:textId="77777777" w:rsidR="000F47AC" w:rsidRPr="009A0E7B" w:rsidRDefault="000F47AC" w:rsidP="00FF4F83">
                  <w:pPr>
                    <w:pStyle w:val="Tabletext"/>
                    <w:keepNext/>
                    <w:jc w:val="center"/>
                    <w:rPr>
                      <w:szCs w:val="20"/>
                    </w:rPr>
                  </w:pPr>
                  <w:r w:rsidRPr="009A0E7B">
                    <w:rPr>
                      <w:szCs w:val="20"/>
                    </w:rPr>
                    <w:t>10.70%</w:t>
                  </w:r>
                </w:p>
              </w:tc>
              <w:tc>
                <w:tcPr>
                  <w:tcW w:w="738" w:type="dxa"/>
                  <w:tcBorders>
                    <w:top w:val="single" w:sz="4" w:space="0" w:color="auto"/>
                    <w:left w:val="single" w:sz="4" w:space="0" w:color="auto"/>
                    <w:bottom w:val="single" w:sz="4" w:space="0" w:color="auto"/>
                    <w:right w:val="single" w:sz="4" w:space="0" w:color="auto"/>
                  </w:tcBorders>
                  <w:noWrap/>
                  <w:hideMark/>
                </w:tcPr>
                <w:p w14:paraId="1BF6CAB1" w14:textId="77777777" w:rsidR="000F47AC" w:rsidRPr="009A0E7B" w:rsidRDefault="000F47AC" w:rsidP="00FF4F83">
                  <w:pPr>
                    <w:pStyle w:val="Tabletext"/>
                    <w:keepNext/>
                    <w:jc w:val="center"/>
                    <w:rPr>
                      <w:szCs w:val="20"/>
                    </w:rPr>
                  </w:pPr>
                  <w:r w:rsidRPr="009A0E7B">
                    <w:rPr>
                      <w:szCs w:val="20"/>
                    </w:rPr>
                    <w:t>12.14%</w:t>
                  </w:r>
                </w:p>
              </w:tc>
            </w:tr>
            <w:tr w:rsidR="000F47AC" w:rsidRPr="009A0E7B" w14:paraId="2A367B59" w14:textId="77777777" w:rsidTr="00FF4F83">
              <w:trPr>
                <w:trHeight w:val="177"/>
              </w:trPr>
              <w:tc>
                <w:tcPr>
                  <w:tcW w:w="540" w:type="dxa"/>
                  <w:tcBorders>
                    <w:top w:val="single" w:sz="4" w:space="0" w:color="auto"/>
                    <w:left w:val="single" w:sz="4" w:space="0" w:color="auto"/>
                    <w:bottom w:val="single" w:sz="4" w:space="0" w:color="auto"/>
                    <w:right w:val="single" w:sz="4" w:space="0" w:color="auto"/>
                  </w:tcBorders>
                  <w:noWrap/>
                  <w:hideMark/>
                </w:tcPr>
                <w:p w14:paraId="29B2A85D" w14:textId="77777777" w:rsidR="000F47AC" w:rsidRPr="009A0E7B" w:rsidRDefault="000F47AC" w:rsidP="00FF4F83">
                  <w:pPr>
                    <w:pStyle w:val="Tabletext"/>
                    <w:keepNext/>
                    <w:rPr>
                      <w:szCs w:val="20"/>
                    </w:rPr>
                  </w:pPr>
                  <w:r w:rsidRPr="009A0E7B">
                    <w:rPr>
                      <w:szCs w:val="20"/>
                    </w:rPr>
                    <w:t>2025</w:t>
                  </w:r>
                </w:p>
              </w:tc>
              <w:tc>
                <w:tcPr>
                  <w:tcW w:w="738" w:type="dxa"/>
                  <w:tcBorders>
                    <w:top w:val="single" w:sz="4" w:space="0" w:color="auto"/>
                    <w:left w:val="single" w:sz="4" w:space="0" w:color="auto"/>
                    <w:bottom w:val="single" w:sz="4" w:space="0" w:color="auto"/>
                    <w:right w:val="single" w:sz="4" w:space="0" w:color="auto"/>
                  </w:tcBorders>
                </w:tcPr>
                <w:p w14:paraId="45F1B227" w14:textId="77777777" w:rsidR="000F47AC" w:rsidRPr="009A0E7B" w:rsidRDefault="000F47AC" w:rsidP="00FF4F83">
                  <w:pPr>
                    <w:pStyle w:val="Tabletext"/>
                    <w:keepNext/>
                    <w:jc w:val="center"/>
                    <w:rPr>
                      <w:szCs w:val="20"/>
                    </w:rPr>
                  </w:pPr>
                  <w:r w:rsidRPr="009A0E7B">
                    <w:rPr>
                      <w:szCs w:val="20"/>
                    </w:rPr>
                    <w:t>-9.87%</w:t>
                  </w:r>
                </w:p>
              </w:tc>
              <w:tc>
                <w:tcPr>
                  <w:tcW w:w="738" w:type="dxa"/>
                  <w:tcBorders>
                    <w:top w:val="single" w:sz="4" w:space="0" w:color="auto"/>
                    <w:left w:val="single" w:sz="4" w:space="0" w:color="auto"/>
                    <w:bottom w:val="single" w:sz="4" w:space="0" w:color="auto"/>
                    <w:right w:val="single" w:sz="4" w:space="0" w:color="auto"/>
                  </w:tcBorders>
                </w:tcPr>
                <w:p w14:paraId="644C6F1D" w14:textId="77777777" w:rsidR="000F47AC" w:rsidRPr="009A0E7B" w:rsidRDefault="000F47AC" w:rsidP="00FF4F83">
                  <w:pPr>
                    <w:pStyle w:val="Tabletext"/>
                    <w:keepNext/>
                    <w:jc w:val="center"/>
                    <w:rPr>
                      <w:szCs w:val="20"/>
                    </w:rPr>
                  </w:pPr>
                  <w:r w:rsidRPr="009A0E7B">
                    <w:rPr>
                      <w:szCs w:val="20"/>
                    </w:rPr>
                    <w:t>8.72%</w:t>
                  </w:r>
                </w:p>
              </w:tc>
              <w:tc>
                <w:tcPr>
                  <w:tcW w:w="738" w:type="dxa"/>
                  <w:tcBorders>
                    <w:top w:val="single" w:sz="4" w:space="0" w:color="auto"/>
                    <w:left w:val="single" w:sz="4" w:space="0" w:color="auto"/>
                    <w:bottom w:val="single" w:sz="4" w:space="0" w:color="auto"/>
                    <w:right w:val="single" w:sz="4" w:space="0" w:color="auto"/>
                  </w:tcBorders>
                </w:tcPr>
                <w:p w14:paraId="634F896B" w14:textId="77777777" w:rsidR="000F47AC" w:rsidRPr="009A0E7B" w:rsidRDefault="000F47AC" w:rsidP="00FF4F83">
                  <w:pPr>
                    <w:pStyle w:val="Tabletext"/>
                    <w:keepNext/>
                    <w:jc w:val="center"/>
                    <w:rPr>
                      <w:szCs w:val="20"/>
                    </w:rPr>
                  </w:pPr>
                  <w:r w:rsidRPr="009A0E7B">
                    <w:rPr>
                      <w:szCs w:val="20"/>
                    </w:rPr>
                    <w:t>9.67%</w:t>
                  </w:r>
                </w:p>
              </w:tc>
              <w:tc>
                <w:tcPr>
                  <w:tcW w:w="738" w:type="dxa"/>
                  <w:tcBorders>
                    <w:top w:val="single" w:sz="4" w:space="0" w:color="auto"/>
                    <w:left w:val="single" w:sz="4" w:space="0" w:color="auto"/>
                    <w:bottom w:val="single" w:sz="4" w:space="0" w:color="auto"/>
                    <w:right w:val="single" w:sz="4" w:space="0" w:color="auto"/>
                  </w:tcBorders>
                  <w:noWrap/>
                  <w:hideMark/>
                </w:tcPr>
                <w:p w14:paraId="7D57BE8F" w14:textId="77777777" w:rsidR="000F47AC" w:rsidRPr="009A0E7B" w:rsidRDefault="000F47AC" w:rsidP="00FF4F83">
                  <w:pPr>
                    <w:pStyle w:val="Tabletext"/>
                    <w:keepNext/>
                    <w:jc w:val="center"/>
                    <w:rPr>
                      <w:szCs w:val="20"/>
                    </w:rPr>
                  </w:pPr>
                  <w:r w:rsidRPr="009A0E7B">
                    <w:rPr>
                      <w:szCs w:val="20"/>
                    </w:rPr>
                    <w:t>10.82%</w:t>
                  </w:r>
                </w:p>
              </w:tc>
            </w:tr>
            <w:tr w:rsidR="000F47AC" w:rsidRPr="009A0E7B" w14:paraId="543EAB8D" w14:textId="77777777" w:rsidTr="00FF4F83">
              <w:trPr>
                <w:trHeight w:val="81"/>
              </w:trPr>
              <w:tc>
                <w:tcPr>
                  <w:tcW w:w="540" w:type="dxa"/>
                  <w:tcBorders>
                    <w:top w:val="single" w:sz="4" w:space="0" w:color="auto"/>
                    <w:left w:val="single" w:sz="4" w:space="0" w:color="auto"/>
                    <w:bottom w:val="single" w:sz="4" w:space="0" w:color="auto"/>
                    <w:right w:val="single" w:sz="4" w:space="0" w:color="auto"/>
                  </w:tcBorders>
                  <w:noWrap/>
                  <w:hideMark/>
                </w:tcPr>
                <w:p w14:paraId="0726C181" w14:textId="77777777" w:rsidR="000F47AC" w:rsidRPr="009A0E7B" w:rsidRDefault="000F47AC" w:rsidP="00FF4F83">
                  <w:pPr>
                    <w:pStyle w:val="Tabletext"/>
                    <w:keepNext/>
                    <w:rPr>
                      <w:szCs w:val="20"/>
                    </w:rPr>
                  </w:pPr>
                  <w:r w:rsidRPr="009A0E7B">
                    <w:rPr>
                      <w:szCs w:val="20"/>
                    </w:rPr>
                    <w:t>2026</w:t>
                  </w:r>
                </w:p>
              </w:tc>
              <w:tc>
                <w:tcPr>
                  <w:tcW w:w="738" w:type="dxa"/>
                  <w:tcBorders>
                    <w:top w:val="single" w:sz="4" w:space="0" w:color="auto"/>
                    <w:left w:val="single" w:sz="4" w:space="0" w:color="auto"/>
                    <w:bottom w:val="single" w:sz="4" w:space="0" w:color="auto"/>
                    <w:right w:val="single" w:sz="4" w:space="0" w:color="auto"/>
                  </w:tcBorders>
                </w:tcPr>
                <w:p w14:paraId="74DA1FDE" w14:textId="77777777" w:rsidR="000F47AC" w:rsidRPr="009A0E7B" w:rsidRDefault="000F47AC" w:rsidP="00FF4F83">
                  <w:pPr>
                    <w:pStyle w:val="Tabletext"/>
                    <w:keepNext/>
                    <w:jc w:val="center"/>
                    <w:rPr>
                      <w:szCs w:val="20"/>
                    </w:rPr>
                  </w:pPr>
                  <w:r w:rsidRPr="009A0E7B">
                    <w:rPr>
                      <w:szCs w:val="20"/>
                    </w:rPr>
                    <w:t>-10.95%</w:t>
                  </w:r>
                </w:p>
              </w:tc>
              <w:tc>
                <w:tcPr>
                  <w:tcW w:w="738" w:type="dxa"/>
                  <w:tcBorders>
                    <w:top w:val="single" w:sz="4" w:space="0" w:color="auto"/>
                    <w:left w:val="single" w:sz="4" w:space="0" w:color="auto"/>
                    <w:bottom w:val="single" w:sz="4" w:space="0" w:color="auto"/>
                    <w:right w:val="single" w:sz="4" w:space="0" w:color="auto"/>
                  </w:tcBorders>
                </w:tcPr>
                <w:p w14:paraId="6F0575B7" w14:textId="77777777" w:rsidR="000F47AC" w:rsidRPr="009A0E7B" w:rsidRDefault="000F47AC" w:rsidP="00FF4F83">
                  <w:pPr>
                    <w:pStyle w:val="Tabletext"/>
                    <w:keepNext/>
                    <w:jc w:val="center"/>
                    <w:rPr>
                      <w:szCs w:val="20"/>
                    </w:rPr>
                  </w:pPr>
                  <w:r w:rsidRPr="009A0E7B">
                    <w:rPr>
                      <w:szCs w:val="20"/>
                    </w:rPr>
                    <w:t>8.02%</w:t>
                  </w:r>
                </w:p>
              </w:tc>
              <w:tc>
                <w:tcPr>
                  <w:tcW w:w="738" w:type="dxa"/>
                  <w:tcBorders>
                    <w:top w:val="single" w:sz="4" w:space="0" w:color="auto"/>
                    <w:left w:val="single" w:sz="4" w:space="0" w:color="auto"/>
                    <w:bottom w:val="single" w:sz="4" w:space="0" w:color="auto"/>
                    <w:right w:val="single" w:sz="4" w:space="0" w:color="auto"/>
                  </w:tcBorders>
                </w:tcPr>
                <w:p w14:paraId="3F81E73D" w14:textId="77777777" w:rsidR="000F47AC" w:rsidRPr="009A0E7B" w:rsidRDefault="000F47AC" w:rsidP="00FF4F83">
                  <w:pPr>
                    <w:pStyle w:val="Tabletext"/>
                    <w:keepNext/>
                    <w:jc w:val="center"/>
                    <w:rPr>
                      <w:szCs w:val="20"/>
                    </w:rPr>
                  </w:pPr>
                  <w:r w:rsidRPr="009A0E7B">
                    <w:rPr>
                      <w:szCs w:val="20"/>
                    </w:rPr>
                    <w:t>8.82%</w:t>
                  </w:r>
                </w:p>
              </w:tc>
              <w:tc>
                <w:tcPr>
                  <w:tcW w:w="738" w:type="dxa"/>
                  <w:tcBorders>
                    <w:top w:val="single" w:sz="4" w:space="0" w:color="auto"/>
                    <w:left w:val="single" w:sz="4" w:space="0" w:color="auto"/>
                    <w:bottom w:val="single" w:sz="4" w:space="0" w:color="auto"/>
                    <w:right w:val="single" w:sz="4" w:space="0" w:color="auto"/>
                  </w:tcBorders>
                  <w:noWrap/>
                  <w:hideMark/>
                </w:tcPr>
                <w:p w14:paraId="7590EF71" w14:textId="77777777" w:rsidR="000F47AC" w:rsidRPr="009A0E7B" w:rsidRDefault="000F47AC" w:rsidP="00FF4F83">
                  <w:pPr>
                    <w:pStyle w:val="Tabletext"/>
                    <w:keepNext/>
                    <w:jc w:val="center"/>
                    <w:rPr>
                      <w:szCs w:val="20"/>
                    </w:rPr>
                  </w:pPr>
                  <w:r w:rsidRPr="009A0E7B">
                    <w:rPr>
                      <w:szCs w:val="20"/>
                    </w:rPr>
                    <w:t>9.77%</w:t>
                  </w:r>
                </w:p>
              </w:tc>
            </w:tr>
            <w:tr w:rsidR="000F47AC" w:rsidRPr="009A0E7B" w14:paraId="2C6F5E3A" w14:textId="77777777" w:rsidTr="00FF4F83">
              <w:trPr>
                <w:trHeight w:val="162"/>
              </w:trPr>
              <w:tc>
                <w:tcPr>
                  <w:tcW w:w="540" w:type="dxa"/>
                  <w:tcBorders>
                    <w:top w:val="single" w:sz="4" w:space="0" w:color="auto"/>
                    <w:left w:val="single" w:sz="4" w:space="0" w:color="auto"/>
                    <w:bottom w:val="single" w:sz="4" w:space="0" w:color="auto"/>
                    <w:right w:val="single" w:sz="4" w:space="0" w:color="auto"/>
                  </w:tcBorders>
                  <w:noWrap/>
                  <w:hideMark/>
                </w:tcPr>
                <w:p w14:paraId="0348107A" w14:textId="77777777" w:rsidR="000F47AC" w:rsidRPr="009A0E7B" w:rsidRDefault="000F47AC" w:rsidP="00FF4F83">
                  <w:pPr>
                    <w:pStyle w:val="Tabletext"/>
                    <w:keepNext/>
                    <w:rPr>
                      <w:szCs w:val="20"/>
                    </w:rPr>
                  </w:pPr>
                  <w:r w:rsidRPr="009A0E7B">
                    <w:rPr>
                      <w:szCs w:val="20"/>
                    </w:rPr>
                    <w:t>2027</w:t>
                  </w:r>
                </w:p>
              </w:tc>
              <w:tc>
                <w:tcPr>
                  <w:tcW w:w="738" w:type="dxa"/>
                  <w:tcBorders>
                    <w:top w:val="single" w:sz="4" w:space="0" w:color="auto"/>
                    <w:left w:val="single" w:sz="4" w:space="0" w:color="auto"/>
                    <w:bottom w:val="single" w:sz="4" w:space="0" w:color="auto"/>
                    <w:right w:val="single" w:sz="4" w:space="0" w:color="auto"/>
                  </w:tcBorders>
                </w:tcPr>
                <w:p w14:paraId="7EACBA09" w14:textId="77777777" w:rsidR="000F47AC" w:rsidRPr="009A0E7B" w:rsidRDefault="000F47AC" w:rsidP="00FF4F83">
                  <w:pPr>
                    <w:pStyle w:val="Tabletext"/>
                    <w:keepNext/>
                    <w:jc w:val="center"/>
                    <w:rPr>
                      <w:szCs w:val="20"/>
                    </w:rPr>
                  </w:pPr>
                  <w:r w:rsidRPr="009A0E7B">
                    <w:rPr>
                      <w:szCs w:val="20"/>
                    </w:rPr>
                    <w:t>-12.30%</w:t>
                  </w:r>
                </w:p>
              </w:tc>
              <w:tc>
                <w:tcPr>
                  <w:tcW w:w="738" w:type="dxa"/>
                  <w:tcBorders>
                    <w:top w:val="single" w:sz="4" w:space="0" w:color="auto"/>
                    <w:left w:val="single" w:sz="4" w:space="0" w:color="auto"/>
                    <w:bottom w:val="single" w:sz="4" w:space="0" w:color="auto"/>
                    <w:right w:val="single" w:sz="4" w:space="0" w:color="auto"/>
                  </w:tcBorders>
                </w:tcPr>
                <w:p w14:paraId="4369E16F" w14:textId="77777777" w:rsidR="000F47AC" w:rsidRPr="009A0E7B" w:rsidRDefault="000F47AC" w:rsidP="00FF4F83">
                  <w:pPr>
                    <w:pStyle w:val="Tabletext"/>
                    <w:keepNext/>
                    <w:jc w:val="center"/>
                    <w:rPr>
                      <w:szCs w:val="20"/>
                    </w:rPr>
                  </w:pPr>
                  <w:r w:rsidRPr="009A0E7B">
                    <w:rPr>
                      <w:szCs w:val="20"/>
                    </w:rPr>
                    <w:t>7.43%</w:t>
                  </w:r>
                </w:p>
              </w:tc>
              <w:tc>
                <w:tcPr>
                  <w:tcW w:w="738" w:type="dxa"/>
                  <w:tcBorders>
                    <w:top w:val="single" w:sz="4" w:space="0" w:color="auto"/>
                    <w:left w:val="single" w:sz="4" w:space="0" w:color="auto"/>
                    <w:bottom w:val="single" w:sz="4" w:space="0" w:color="auto"/>
                    <w:right w:val="single" w:sz="4" w:space="0" w:color="auto"/>
                  </w:tcBorders>
                </w:tcPr>
                <w:p w14:paraId="4FFA3AF6" w14:textId="77777777" w:rsidR="000F47AC" w:rsidRPr="009A0E7B" w:rsidRDefault="000F47AC" w:rsidP="00FF4F83">
                  <w:pPr>
                    <w:pStyle w:val="Tabletext"/>
                    <w:keepNext/>
                    <w:jc w:val="center"/>
                    <w:rPr>
                      <w:szCs w:val="20"/>
                    </w:rPr>
                  </w:pPr>
                  <w:r w:rsidRPr="009A0E7B">
                    <w:rPr>
                      <w:szCs w:val="20"/>
                    </w:rPr>
                    <w:t>8.10%</w:t>
                  </w:r>
                </w:p>
              </w:tc>
              <w:tc>
                <w:tcPr>
                  <w:tcW w:w="738" w:type="dxa"/>
                  <w:tcBorders>
                    <w:top w:val="single" w:sz="4" w:space="0" w:color="auto"/>
                    <w:left w:val="single" w:sz="4" w:space="0" w:color="auto"/>
                    <w:bottom w:val="single" w:sz="4" w:space="0" w:color="auto"/>
                    <w:right w:val="single" w:sz="4" w:space="0" w:color="auto"/>
                  </w:tcBorders>
                  <w:noWrap/>
                  <w:hideMark/>
                </w:tcPr>
                <w:p w14:paraId="4DB4CED3" w14:textId="77777777" w:rsidR="000F47AC" w:rsidRPr="009A0E7B" w:rsidRDefault="000F47AC" w:rsidP="00FF4F83">
                  <w:pPr>
                    <w:pStyle w:val="Tabletext"/>
                    <w:keepNext/>
                    <w:jc w:val="center"/>
                    <w:rPr>
                      <w:szCs w:val="20"/>
                    </w:rPr>
                  </w:pPr>
                  <w:r w:rsidRPr="009A0E7B">
                    <w:rPr>
                      <w:szCs w:val="20"/>
                    </w:rPr>
                    <w:t>8.90%</w:t>
                  </w:r>
                </w:p>
              </w:tc>
            </w:tr>
          </w:tbl>
          <w:p w14:paraId="477EAE49" w14:textId="77777777" w:rsidR="000F47AC" w:rsidRPr="009A0E7B" w:rsidRDefault="000F47AC" w:rsidP="00FF4F83">
            <w:pPr>
              <w:pStyle w:val="TableText0"/>
            </w:pPr>
          </w:p>
        </w:tc>
        <w:tc>
          <w:tcPr>
            <w:tcW w:w="2030" w:type="pct"/>
            <w:vAlign w:val="center"/>
          </w:tcPr>
          <w:p w14:paraId="61F110D7" w14:textId="57B9F141" w:rsidR="000F47AC" w:rsidRPr="009A0E7B" w:rsidRDefault="000F47AC" w:rsidP="00673F0B">
            <w:pPr>
              <w:pStyle w:val="TableText0"/>
            </w:pPr>
            <w:r w:rsidRPr="009A0E7B">
              <w:t xml:space="preserve">Prospection 10% Data (Jan 2015 – Dec 2020). The exclusion of TOF, IFX SC and VED SC due to limited claims data is not </w:t>
            </w:r>
            <w:proofErr w:type="gramStart"/>
            <w:r w:rsidRPr="009A0E7B">
              <w:t>reasonable, and</w:t>
            </w:r>
            <w:proofErr w:type="gramEnd"/>
            <w:r w:rsidRPr="009A0E7B">
              <w:t xml:space="preserve"> may not reflect total market growth.  In addition, the growth rate calculations based on initiating patient numbers could not be validated. </w:t>
            </w:r>
          </w:p>
        </w:tc>
      </w:tr>
      <w:tr w:rsidR="000F47AC" w:rsidRPr="009A0E7B" w14:paraId="466FA36E" w14:textId="77777777" w:rsidTr="00FF4F83">
        <w:tc>
          <w:tcPr>
            <w:tcW w:w="858" w:type="pct"/>
            <w:vMerge w:val="restart"/>
            <w:vAlign w:val="center"/>
          </w:tcPr>
          <w:p w14:paraId="7E78C10D" w14:textId="284C53D0" w:rsidR="000F47AC" w:rsidRPr="009A0E7B" w:rsidRDefault="0080229B" w:rsidP="006E4DAE">
            <w:pPr>
              <w:pStyle w:val="TableText0"/>
              <w:keepNext w:val="0"/>
            </w:pPr>
            <w:r>
              <w:t xml:space="preserve">Proportion of substitution of </w:t>
            </w:r>
            <w:proofErr w:type="spellStart"/>
            <w:r>
              <w:t>b</w:t>
            </w:r>
            <w:r w:rsidR="000F47AC" w:rsidRPr="009A0E7B">
              <w:t>DMARDs</w:t>
            </w:r>
            <w:proofErr w:type="spellEnd"/>
          </w:p>
        </w:tc>
        <w:tc>
          <w:tcPr>
            <w:tcW w:w="2113" w:type="pct"/>
            <w:gridSpan w:val="2"/>
            <w:vAlign w:val="center"/>
          </w:tcPr>
          <w:p w14:paraId="79930A14" w14:textId="77777777" w:rsidR="000F47AC" w:rsidRPr="009A0E7B" w:rsidRDefault="000F47AC" w:rsidP="006E4DAE">
            <w:pPr>
              <w:pStyle w:val="Tabletext"/>
            </w:pPr>
            <w:r w:rsidRPr="009A0E7B">
              <w:t>Treatment naïve uptake rate</w:t>
            </w:r>
          </w:p>
        </w:tc>
        <w:tc>
          <w:tcPr>
            <w:tcW w:w="2030" w:type="pct"/>
            <w:vMerge w:val="restart"/>
            <w:vAlign w:val="center"/>
          </w:tcPr>
          <w:p w14:paraId="18F692EF" w14:textId="6C8C637A" w:rsidR="000F47AC" w:rsidRPr="009A0E7B" w:rsidRDefault="000F47AC" w:rsidP="0048369E">
            <w:pPr>
              <w:pStyle w:val="TableText0"/>
            </w:pPr>
            <w:r w:rsidRPr="009A0E7B">
              <w:t xml:space="preserve">The assumptions were based on the </w:t>
            </w:r>
            <w:r w:rsidR="0048369E" w:rsidRPr="009A0E7B">
              <w:t xml:space="preserve">sponsor’s </w:t>
            </w:r>
            <w:r w:rsidRPr="009A0E7B">
              <w:t xml:space="preserve">Ozanimod UC pre-Advisory Board Survey (Sep </w:t>
            </w:r>
            <w:r w:rsidR="0084726C" w:rsidRPr="009A0E7B">
              <w:t>20</w:t>
            </w:r>
            <w:r w:rsidRPr="009A0E7B">
              <w:t>21).</w:t>
            </w:r>
            <w:r w:rsidR="0025421B" w:rsidRPr="009A0E7B">
              <w:t xml:space="preserve"> </w:t>
            </w:r>
            <w:r w:rsidR="004E349E" w:rsidRPr="009A0E7B">
              <w:rPr>
                <w:iCs/>
              </w:rPr>
              <w:t>These assumptions are</w:t>
            </w:r>
            <w:r w:rsidRPr="009A0E7B">
              <w:rPr>
                <w:iCs/>
              </w:rPr>
              <w:t xml:space="preserve"> </w:t>
            </w:r>
            <w:r w:rsidR="0025421B" w:rsidRPr="009A0E7B">
              <w:rPr>
                <w:iCs/>
              </w:rPr>
              <w:t>h</w:t>
            </w:r>
            <w:r w:rsidRPr="009A0E7B">
              <w:rPr>
                <w:iCs/>
              </w:rPr>
              <w:t xml:space="preserve">ighly </w:t>
            </w:r>
            <w:proofErr w:type="gramStart"/>
            <w:r w:rsidRPr="009A0E7B">
              <w:rPr>
                <w:iCs/>
              </w:rPr>
              <w:t>uncertain</w:t>
            </w:r>
            <w:r w:rsidRPr="009A0E7B">
              <w:t>, and</w:t>
            </w:r>
            <w:proofErr w:type="gramEnd"/>
            <w:r w:rsidRPr="009A0E7B">
              <w:t xml:space="preserve"> did not consider the current market dynamics (such as high VED market share in second line treatment or new products PBS listed for MSUC (i.e.: TOF, ADA biosimilars, IFX SC, VED SC).</w:t>
            </w:r>
          </w:p>
        </w:tc>
      </w:tr>
      <w:tr w:rsidR="000F47AC" w:rsidRPr="009A0E7B" w14:paraId="051EF1E9" w14:textId="77777777" w:rsidTr="00FF4F83">
        <w:trPr>
          <w:trHeight w:val="89"/>
        </w:trPr>
        <w:tc>
          <w:tcPr>
            <w:tcW w:w="858" w:type="pct"/>
            <w:vMerge/>
            <w:vAlign w:val="center"/>
          </w:tcPr>
          <w:p w14:paraId="43DD8D2D" w14:textId="77777777" w:rsidR="000F47AC" w:rsidRPr="009A0E7B" w:rsidRDefault="000F47AC" w:rsidP="006E4DAE">
            <w:pPr>
              <w:pStyle w:val="TableText0"/>
              <w:keepNext w:val="0"/>
            </w:pPr>
          </w:p>
        </w:tc>
        <w:tc>
          <w:tcPr>
            <w:tcW w:w="1591" w:type="pct"/>
          </w:tcPr>
          <w:p w14:paraId="257DC580" w14:textId="77777777" w:rsidR="000F47AC" w:rsidRPr="009A0E7B" w:rsidRDefault="000F47AC" w:rsidP="006E4DAE">
            <w:pPr>
              <w:pStyle w:val="TableText0"/>
              <w:keepNext w:val="0"/>
            </w:pPr>
            <w:r w:rsidRPr="009A0E7B">
              <w:t>Proportion of naïve patients treated with OZA</w:t>
            </w:r>
          </w:p>
        </w:tc>
        <w:tc>
          <w:tcPr>
            <w:tcW w:w="522" w:type="pct"/>
          </w:tcPr>
          <w:p w14:paraId="650E8448" w14:textId="77777777" w:rsidR="000F47AC" w:rsidRPr="009A0E7B" w:rsidRDefault="000F47AC" w:rsidP="006E4DAE">
            <w:pPr>
              <w:pStyle w:val="TableText0"/>
              <w:keepNext w:val="0"/>
            </w:pPr>
            <w:r w:rsidRPr="009A0E7B">
              <w:t>13.75%</w:t>
            </w:r>
          </w:p>
        </w:tc>
        <w:tc>
          <w:tcPr>
            <w:tcW w:w="2030" w:type="pct"/>
            <w:vMerge/>
            <w:vAlign w:val="center"/>
          </w:tcPr>
          <w:p w14:paraId="78F5B49D" w14:textId="77777777" w:rsidR="000F47AC" w:rsidRPr="009A0E7B" w:rsidRDefault="000F47AC" w:rsidP="006E4DAE">
            <w:pPr>
              <w:pStyle w:val="TableText0"/>
              <w:keepNext w:val="0"/>
            </w:pPr>
          </w:p>
        </w:tc>
      </w:tr>
      <w:tr w:rsidR="000F47AC" w:rsidRPr="009A0E7B" w14:paraId="4B42C657" w14:textId="77777777" w:rsidTr="00FF4F83">
        <w:trPr>
          <w:trHeight w:val="89"/>
        </w:trPr>
        <w:tc>
          <w:tcPr>
            <w:tcW w:w="858" w:type="pct"/>
            <w:vMerge/>
            <w:vAlign w:val="center"/>
          </w:tcPr>
          <w:p w14:paraId="0F332953" w14:textId="77777777" w:rsidR="000F47AC" w:rsidRPr="009A0E7B" w:rsidRDefault="000F47AC" w:rsidP="006E4DAE">
            <w:pPr>
              <w:pStyle w:val="TableText0"/>
              <w:keepNext w:val="0"/>
            </w:pPr>
          </w:p>
        </w:tc>
        <w:tc>
          <w:tcPr>
            <w:tcW w:w="2113" w:type="pct"/>
            <w:gridSpan w:val="2"/>
            <w:vAlign w:val="center"/>
          </w:tcPr>
          <w:p w14:paraId="38C5190A" w14:textId="77777777" w:rsidR="000F47AC" w:rsidRPr="009A0E7B" w:rsidRDefault="000F47AC" w:rsidP="006E4DAE">
            <w:pPr>
              <w:pStyle w:val="TableText0"/>
              <w:keepNext w:val="0"/>
            </w:pPr>
            <w:r w:rsidRPr="009A0E7B">
              <w:t>Treatment experienced uptake rate</w:t>
            </w:r>
          </w:p>
        </w:tc>
        <w:tc>
          <w:tcPr>
            <w:tcW w:w="2030" w:type="pct"/>
            <w:vMerge/>
            <w:vAlign w:val="center"/>
          </w:tcPr>
          <w:p w14:paraId="7C5E5DD6" w14:textId="77777777" w:rsidR="000F47AC" w:rsidRPr="009A0E7B" w:rsidRDefault="000F47AC" w:rsidP="006E4DAE">
            <w:pPr>
              <w:pStyle w:val="TableText0"/>
              <w:keepNext w:val="0"/>
            </w:pPr>
          </w:p>
        </w:tc>
      </w:tr>
      <w:tr w:rsidR="000F47AC" w:rsidRPr="009A0E7B" w14:paraId="1FAC7FC6" w14:textId="77777777" w:rsidTr="00FF4F83">
        <w:trPr>
          <w:trHeight w:val="214"/>
        </w:trPr>
        <w:tc>
          <w:tcPr>
            <w:tcW w:w="858" w:type="pct"/>
            <w:vMerge/>
            <w:vAlign w:val="center"/>
          </w:tcPr>
          <w:p w14:paraId="5BBFCB26" w14:textId="77777777" w:rsidR="000F47AC" w:rsidRPr="009A0E7B" w:rsidRDefault="000F47AC" w:rsidP="006E4DAE">
            <w:pPr>
              <w:pStyle w:val="TableText0"/>
              <w:keepNext w:val="0"/>
            </w:pPr>
          </w:p>
        </w:tc>
        <w:tc>
          <w:tcPr>
            <w:tcW w:w="1591" w:type="pct"/>
            <w:vAlign w:val="bottom"/>
          </w:tcPr>
          <w:p w14:paraId="67E15EF2" w14:textId="77777777" w:rsidR="000F47AC" w:rsidRPr="009A0E7B" w:rsidRDefault="000F47AC" w:rsidP="006E4DAE">
            <w:pPr>
              <w:pStyle w:val="TableText0"/>
              <w:keepNext w:val="0"/>
            </w:pPr>
            <w:r w:rsidRPr="009A0E7B">
              <w:t xml:space="preserve">Switch from IFX patients </w:t>
            </w:r>
          </w:p>
        </w:tc>
        <w:tc>
          <w:tcPr>
            <w:tcW w:w="522" w:type="pct"/>
            <w:vAlign w:val="bottom"/>
          </w:tcPr>
          <w:p w14:paraId="4C046A91" w14:textId="77777777" w:rsidR="000F47AC" w:rsidRPr="009A0E7B" w:rsidRDefault="000F47AC" w:rsidP="006E4DAE">
            <w:pPr>
              <w:pStyle w:val="TableText0"/>
              <w:keepNext w:val="0"/>
            </w:pPr>
            <w:r w:rsidRPr="009A0E7B">
              <w:t>33.33%</w:t>
            </w:r>
          </w:p>
        </w:tc>
        <w:tc>
          <w:tcPr>
            <w:tcW w:w="2030" w:type="pct"/>
            <w:vMerge/>
            <w:vAlign w:val="center"/>
          </w:tcPr>
          <w:p w14:paraId="607911CB" w14:textId="77777777" w:rsidR="000F47AC" w:rsidRPr="009A0E7B" w:rsidRDefault="000F47AC" w:rsidP="006E4DAE">
            <w:pPr>
              <w:pStyle w:val="TableText0"/>
              <w:keepNext w:val="0"/>
            </w:pPr>
          </w:p>
        </w:tc>
      </w:tr>
      <w:tr w:rsidR="000F47AC" w:rsidRPr="009A0E7B" w14:paraId="126A317C" w14:textId="77777777" w:rsidTr="00FF4F83">
        <w:trPr>
          <w:trHeight w:val="214"/>
        </w:trPr>
        <w:tc>
          <w:tcPr>
            <w:tcW w:w="858" w:type="pct"/>
            <w:vMerge/>
            <w:vAlign w:val="center"/>
          </w:tcPr>
          <w:p w14:paraId="37AE9F67" w14:textId="77777777" w:rsidR="000F47AC" w:rsidRPr="009A0E7B" w:rsidRDefault="000F47AC" w:rsidP="006E4DAE">
            <w:pPr>
              <w:pStyle w:val="TableText0"/>
              <w:keepNext w:val="0"/>
            </w:pPr>
          </w:p>
        </w:tc>
        <w:tc>
          <w:tcPr>
            <w:tcW w:w="1591" w:type="pct"/>
            <w:vAlign w:val="bottom"/>
          </w:tcPr>
          <w:p w14:paraId="41260F67" w14:textId="77777777" w:rsidR="000F47AC" w:rsidRPr="009A0E7B" w:rsidRDefault="000F47AC" w:rsidP="006E4DAE">
            <w:pPr>
              <w:pStyle w:val="TableText0"/>
              <w:keepNext w:val="0"/>
            </w:pPr>
            <w:r w:rsidRPr="009A0E7B">
              <w:t xml:space="preserve">Switch from GOL patients </w:t>
            </w:r>
          </w:p>
        </w:tc>
        <w:tc>
          <w:tcPr>
            <w:tcW w:w="522" w:type="pct"/>
            <w:vAlign w:val="bottom"/>
          </w:tcPr>
          <w:p w14:paraId="6C29CC37" w14:textId="77777777" w:rsidR="000F47AC" w:rsidRPr="009A0E7B" w:rsidRDefault="000F47AC" w:rsidP="006E4DAE">
            <w:pPr>
              <w:pStyle w:val="TableText0"/>
              <w:keepNext w:val="0"/>
            </w:pPr>
            <w:r w:rsidRPr="009A0E7B">
              <w:t>18.89%</w:t>
            </w:r>
          </w:p>
        </w:tc>
        <w:tc>
          <w:tcPr>
            <w:tcW w:w="2030" w:type="pct"/>
            <w:vMerge/>
            <w:vAlign w:val="center"/>
          </w:tcPr>
          <w:p w14:paraId="1A8C461B" w14:textId="77777777" w:rsidR="000F47AC" w:rsidRPr="009A0E7B" w:rsidRDefault="000F47AC" w:rsidP="006E4DAE">
            <w:pPr>
              <w:pStyle w:val="TableText0"/>
              <w:keepNext w:val="0"/>
            </w:pPr>
          </w:p>
        </w:tc>
      </w:tr>
      <w:tr w:rsidR="000F47AC" w:rsidRPr="009A0E7B" w14:paraId="09E6205A" w14:textId="77777777" w:rsidTr="00FF4F83">
        <w:trPr>
          <w:trHeight w:val="214"/>
        </w:trPr>
        <w:tc>
          <w:tcPr>
            <w:tcW w:w="858" w:type="pct"/>
            <w:vMerge/>
            <w:vAlign w:val="center"/>
          </w:tcPr>
          <w:p w14:paraId="0EF913F4" w14:textId="77777777" w:rsidR="000F47AC" w:rsidRPr="009A0E7B" w:rsidRDefault="000F47AC" w:rsidP="006E4DAE">
            <w:pPr>
              <w:pStyle w:val="TableText0"/>
              <w:keepNext w:val="0"/>
            </w:pPr>
          </w:p>
        </w:tc>
        <w:tc>
          <w:tcPr>
            <w:tcW w:w="1591" w:type="pct"/>
            <w:vAlign w:val="bottom"/>
          </w:tcPr>
          <w:p w14:paraId="047F2A12" w14:textId="77777777" w:rsidR="000F47AC" w:rsidRPr="009A0E7B" w:rsidRDefault="000F47AC" w:rsidP="006E4DAE">
            <w:pPr>
              <w:pStyle w:val="TableText0"/>
              <w:keepNext w:val="0"/>
            </w:pPr>
            <w:r w:rsidRPr="009A0E7B">
              <w:t xml:space="preserve">Switch from VED patients </w:t>
            </w:r>
          </w:p>
        </w:tc>
        <w:tc>
          <w:tcPr>
            <w:tcW w:w="522" w:type="pct"/>
            <w:vAlign w:val="bottom"/>
          </w:tcPr>
          <w:p w14:paraId="1D7DB162" w14:textId="77777777" w:rsidR="000F47AC" w:rsidRPr="009A0E7B" w:rsidRDefault="000F47AC" w:rsidP="006E4DAE">
            <w:pPr>
              <w:pStyle w:val="TableText0"/>
              <w:keepNext w:val="0"/>
            </w:pPr>
            <w:r w:rsidRPr="009A0E7B">
              <w:t>25.00%</w:t>
            </w:r>
          </w:p>
        </w:tc>
        <w:tc>
          <w:tcPr>
            <w:tcW w:w="2030" w:type="pct"/>
            <w:vMerge/>
            <w:vAlign w:val="center"/>
          </w:tcPr>
          <w:p w14:paraId="7A0AC2F5" w14:textId="77777777" w:rsidR="000F47AC" w:rsidRPr="009A0E7B" w:rsidRDefault="000F47AC" w:rsidP="006E4DAE">
            <w:pPr>
              <w:pStyle w:val="TableText0"/>
              <w:keepNext w:val="0"/>
            </w:pPr>
          </w:p>
        </w:tc>
      </w:tr>
      <w:tr w:rsidR="000F47AC" w:rsidRPr="009A0E7B" w14:paraId="66014FDC" w14:textId="77777777" w:rsidTr="00FF4F83">
        <w:trPr>
          <w:trHeight w:val="214"/>
        </w:trPr>
        <w:tc>
          <w:tcPr>
            <w:tcW w:w="858" w:type="pct"/>
            <w:vMerge/>
            <w:tcBorders>
              <w:bottom w:val="single" w:sz="4" w:space="0" w:color="auto"/>
            </w:tcBorders>
            <w:vAlign w:val="center"/>
          </w:tcPr>
          <w:p w14:paraId="5C73CD2C" w14:textId="77777777" w:rsidR="000F47AC" w:rsidRPr="009A0E7B" w:rsidRDefault="000F47AC" w:rsidP="006E4DAE">
            <w:pPr>
              <w:pStyle w:val="TableText0"/>
              <w:keepNext w:val="0"/>
            </w:pPr>
          </w:p>
        </w:tc>
        <w:tc>
          <w:tcPr>
            <w:tcW w:w="1591" w:type="pct"/>
            <w:vAlign w:val="bottom"/>
          </w:tcPr>
          <w:p w14:paraId="6192FED4" w14:textId="77777777" w:rsidR="000F47AC" w:rsidRPr="009A0E7B" w:rsidRDefault="000F47AC" w:rsidP="006E4DAE">
            <w:pPr>
              <w:pStyle w:val="TableText0"/>
              <w:keepNext w:val="0"/>
            </w:pPr>
            <w:r w:rsidRPr="009A0E7B">
              <w:t xml:space="preserve">Switch from ADA patients </w:t>
            </w:r>
          </w:p>
        </w:tc>
        <w:tc>
          <w:tcPr>
            <w:tcW w:w="522" w:type="pct"/>
            <w:vAlign w:val="bottom"/>
          </w:tcPr>
          <w:p w14:paraId="5F46EFCB" w14:textId="77777777" w:rsidR="000F47AC" w:rsidRPr="009A0E7B" w:rsidRDefault="000F47AC" w:rsidP="006E4DAE">
            <w:pPr>
              <w:pStyle w:val="TableText0"/>
              <w:keepNext w:val="0"/>
            </w:pPr>
            <w:r w:rsidRPr="009A0E7B">
              <w:t>21.11%</w:t>
            </w:r>
          </w:p>
        </w:tc>
        <w:tc>
          <w:tcPr>
            <w:tcW w:w="2030" w:type="pct"/>
            <w:vMerge/>
            <w:vAlign w:val="center"/>
          </w:tcPr>
          <w:p w14:paraId="3F6A2459" w14:textId="77777777" w:rsidR="000F47AC" w:rsidRPr="009A0E7B" w:rsidRDefault="000F47AC" w:rsidP="006E4DAE">
            <w:pPr>
              <w:pStyle w:val="TableText0"/>
              <w:keepNext w:val="0"/>
            </w:pPr>
          </w:p>
        </w:tc>
      </w:tr>
      <w:tr w:rsidR="000F47AC" w:rsidRPr="009A0E7B" w14:paraId="47BF1713" w14:textId="77777777" w:rsidTr="00FF4F83">
        <w:tc>
          <w:tcPr>
            <w:tcW w:w="858" w:type="pct"/>
            <w:tcBorders>
              <w:right w:val="single" w:sz="4" w:space="0" w:color="auto"/>
            </w:tcBorders>
            <w:vAlign w:val="center"/>
          </w:tcPr>
          <w:p w14:paraId="5B61897B" w14:textId="77777777" w:rsidR="000F47AC" w:rsidRPr="009A0E7B" w:rsidRDefault="000F47AC" w:rsidP="006E4DAE">
            <w:pPr>
              <w:pStyle w:val="TableText0"/>
              <w:keepNext w:val="0"/>
            </w:pPr>
            <w:r w:rsidRPr="009A0E7B">
              <w:t>Weighted uptake rate of OZA</w:t>
            </w:r>
          </w:p>
        </w:tc>
        <w:tc>
          <w:tcPr>
            <w:tcW w:w="2113" w:type="pct"/>
            <w:gridSpan w:val="2"/>
            <w:tcBorders>
              <w:left w:val="single" w:sz="4" w:space="0" w:color="auto"/>
            </w:tcBorders>
            <w:vAlign w:val="center"/>
          </w:tcPr>
          <w:tbl>
            <w:tblPr>
              <w:tblStyle w:val="TableGrid"/>
              <w:tblW w:w="3492" w:type="dxa"/>
              <w:tblCellMar>
                <w:left w:w="28" w:type="dxa"/>
                <w:right w:w="28" w:type="dxa"/>
              </w:tblCellMar>
              <w:tblLook w:val="04A0" w:firstRow="1" w:lastRow="0" w:firstColumn="1" w:lastColumn="0" w:noHBand="0" w:noVBand="1"/>
            </w:tblPr>
            <w:tblGrid>
              <w:gridCol w:w="540"/>
              <w:gridCol w:w="738"/>
              <w:gridCol w:w="738"/>
              <w:gridCol w:w="738"/>
              <w:gridCol w:w="738"/>
            </w:tblGrid>
            <w:tr w:rsidR="000F47AC" w:rsidRPr="009A0E7B" w14:paraId="7BA1B904" w14:textId="77777777" w:rsidTr="00FF4F83">
              <w:trPr>
                <w:trHeight w:val="293"/>
              </w:trPr>
              <w:tc>
                <w:tcPr>
                  <w:tcW w:w="540" w:type="dxa"/>
                  <w:tcBorders>
                    <w:top w:val="single" w:sz="4" w:space="0" w:color="auto"/>
                    <w:left w:val="single" w:sz="4" w:space="0" w:color="auto"/>
                    <w:bottom w:val="single" w:sz="4" w:space="0" w:color="auto"/>
                    <w:right w:val="single" w:sz="4" w:space="0" w:color="auto"/>
                  </w:tcBorders>
                  <w:hideMark/>
                </w:tcPr>
                <w:p w14:paraId="47E4165D" w14:textId="77777777" w:rsidR="000F47AC" w:rsidRPr="009A0E7B" w:rsidRDefault="000F47AC" w:rsidP="006E4DAE">
                  <w:pPr>
                    <w:pStyle w:val="Tabletext"/>
                  </w:pPr>
                </w:p>
              </w:tc>
              <w:tc>
                <w:tcPr>
                  <w:tcW w:w="738" w:type="dxa"/>
                  <w:tcBorders>
                    <w:top w:val="single" w:sz="4" w:space="0" w:color="auto"/>
                    <w:left w:val="single" w:sz="4" w:space="0" w:color="auto"/>
                    <w:bottom w:val="single" w:sz="4" w:space="0" w:color="auto"/>
                    <w:right w:val="single" w:sz="4" w:space="0" w:color="auto"/>
                  </w:tcBorders>
                </w:tcPr>
                <w:p w14:paraId="143AD018" w14:textId="77777777" w:rsidR="000F47AC" w:rsidRPr="009A0E7B" w:rsidRDefault="000F47AC" w:rsidP="006E4DAE">
                  <w:pPr>
                    <w:pStyle w:val="Tabletext"/>
                    <w:jc w:val="center"/>
                    <w:rPr>
                      <w:bCs/>
                    </w:rPr>
                  </w:pPr>
                  <w:r w:rsidRPr="009A0E7B">
                    <w:rPr>
                      <w:bCs/>
                    </w:rPr>
                    <w:t>IFX</w:t>
                  </w:r>
                </w:p>
              </w:tc>
              <w:tc>
                <w:tcPr>
                  <w:tcW w:w="738" w:type="dxa"/>
                  <w:tcBorders>
                    <w:top w:val="single" w:sz="4" w:space="0" w:color="auto"/>
                    <w:left w:val="single" w:sz="4" w:space="0" w:color="auto"/>
                    <w:bottom w:val="single" w:sz="4" w:space="0" w:color="auto"/>
                    <w:right w:val="single" w:sz="4" w:space="0" w:color="auto"/>
                  </w:tcBorders>
                </w:tcPr>
                <w:p w14:paraId="2F4DE82F" w14:textId="77777777" w:rsidR="000F47AC" w:rsidRPr="009A0E7B" w:rsidRDefault="000F47AC" w:rsidP="006E4DAE">
                  <w:pPr>
                    <w:pStyle w:val="Tabletext"/>
                    <w:jc w:val="center"/>
                    <w:rPr>
                      <w:bCs/>
                    </w:rPr>
                  </w:pPr>
                  <w:r w:rsidRPr="009A0E7B">
                    <w:rPr>
                      <w:bCs/>
                    </w:rPr>
                    <w:t>VED</w:t>
                  </w:r>
                </w:p>
              </w:tc>
              <w:tc>
                <w:tcPr>
                  <w:tcW w:w="738" w:type="dxa"/>
                  <w:tcBorders>
                    <w:top w:val="single" w:sz="4" w:space="0" w:color="auto"/>
                    <w:left w:val="single" w:sz="4" w:space="0" w:color="auto"/>
                    <w:bottom w:val="single" w:sz="4" w:space="0" w:color="auto"/>
                    <w:right w:val="single" w:sz="4" w:space="0" w:color="auto"/>
                  </w:tcBorders>
                </w:tcPr>
                <w:p w14:paraId="5AD12724" w14:textId="77777777" w:rsidR="000F47AC" w:rsidRPr="009A0E7B" w:rsidRDefault="000F47AC" w:rsidP="006E4DAE">
                  <w:pPr>
                    <w:pStyle w:val="Tabletext"/>
                    <w:jc w:val="center"/>
                    <w:rPr>
                      <w:bCs/>
                    </w:rPr>
                  </w:pPr>
                  <w:r w:rsidRPr="009A0E7B">
                    <w:rPr>
                      <w:bCs/>
                    </w:rPr>
                    <w:t>ADA</w:t>
                  </w:r>
                </w:p>
              </w:tc>
              <w:tc>
                <w:tcPr>
                  <w:tcW w:w="738" w:type="dxa"/>
                  <w:tcBorders>
                    <w:top w:val="single" w:sz="4" w:space="0" w:color="auto"/>
                    <w:left w:val="single" w:sz="4" w:space="0" w:color="auto"/>
                    <w:bottom w:val="single" w:sz="4" w:space="0" w:color="auto"/>
                    <w:right w:val="single" w:sz="4" w:space="0" w:color="auto"/>
                  </w:tcBorders>
                  <w:hideMark/>
                </w:tcPr>
                <w:p w14:paraId="24D788A4" w14:textId="77777777" w:rsidR="000F47AC" w:rsidRPr="009A0E7B" w:rsidRDefault="000F47AC" w:rsidP="006E4DAE">
                  <w:pPr>
                    <w:pStyle w:val="Tabletext"/>
                    <w:jc w:val="center"/>
                    <w:rPr>
                      <w:bCs/>
                    </w:rPr>
                  </w:pPr>
                  <w:r w:rsidRPr="009A0E7B">
                    <w:rPr>
                      <w:bCs/>
                    </w:rPr>
                    <w:t>GOL</w:t>
                  </w:r>
                </w:p>
              </w:tc>
            </w:tr>
            <w:tr w:rsidR="000F47AC" w:rsidRPr="009A0E7B" w14:paraId="0C14004F" w14:textId="77777777" w:rsidTr="00FF4F83">
              <w:trPr>
                <w:trHeight w:val="293"/>
              </w:trPr>
              <w:tc>
                <w:tcPr>
                  <w:tcW w:w="540" w:type="dxa"/>
                  <w:tcBorders>
                    <w:top w:val="single" w:sz="4" w:space="0" w:color="auto"/>
                    <w:left w:val="single" w:sz="4" w:space="0" w:color="auto"/>
                    <w:bottom w:val="single" w:sz="4" w:space="0" w:color="auto"/>
                    <w:right w:val="single" w:sz="4" w:space="0" w:color="auto"/>
                  </w:tcBorders>
                  <w:noWrap/>
                  <w:hideMark/>
                </w:tcPr>
                <w:p w14:paraId="0643CC90" w14:textId="77777777" w:rsidR="000F47AC" w:rsidRPr="009A0E7B" w:rsidRDefault="000F47AC" w:rsidP="006E4DAE">
                  <w:pPr>
                    <w:pStyle w:val="Tabletext"/>
                    <w:rPr>
                      <w:szCs w:val="20"/>
                    </w:rPr>
                  </w:pPr>
                  <w:r w:rsidRPr="009A0E7B">
                    <w:rPr>
                      <w:szCs w:val="20"/>
                    </w:rPr>
                    <w:t>2022</w:t>
                  </w:r>
                </w:p>
              </w:tc>
              <w:tc>
                <w:tcPr>
                  <w:tcW w:w="738" w:type="dxa"/>
                  <w:tcBorders>
                    <w:top w:val="single" w:sz="4" w:space="0" w:color="auto"/>
                    <w:left w:val="single" w:sz="4" w:space="0" w:color="auto"/>
                    <w:bottom w:val="single" w:sz="4" w:space="0" w:color="auto"/>
                    <w:right w:val="single" w:sz="4" w:space="0" w:color="auto"/>
                  </w:tcBorders>
                </w:tcPr>
                <w:p w14:paraId="720B5865" w14:textId="77777777" w:rsidR="000F47AC" w:rsidRPr="009A0E7B" w:rsidRDefault="000F47AC" w:rsidP="006E4DAE">
                  <w:pPr>
                    <w:pStyle w:val="Tabletext"/>
                    <w:jc w:val="center"/>
                    <w:rPr>
                      <w:szCs w:val="20"/>
                    </w:rPr>
                  </w:pPr>
                  <w:r w:rsidRPr="009A0E7B">
                    <w:rPr>
                      <w:szCs w:val="20"/>
                    </w:rPr>
                    <w:t>17.96%</w:t>
                  </w:r>
                </w:p>
              </w:tc>
              <w:tc>
                <w:tcPr>
                  <w:tcW w:w="738" w:type="dxa"/>
                  <w:tcBorders>
                    <w:top w:val="single" w:sz="4" w:space="0" w:color="auto"/>
                    <w:left w:val="single" w:sz="4" w:space="0" w:color="auto"/>
                    <w:bottom w:val="single" w:sz="4" w:space="0" w:color="auto"/>
                    <w:right w:val="single" w:sz="4" w:space="0" w:color="auto"/>
                  </w:tcBorders>
                </w:tcPr>
                <w:p w14:paraId="384B21B7" w14:textId="77777777" w:rsidR="000F47AC" w:rsidRPr="009A0E7B" w:rsidRDefault="000F47AC" w:rsidP="006E4DAE">
                  <w:pPr>
                    <w:pStyle w:val="Tabletext"/>
                    <w:jc w:val="center"/>
                    <w:rPr>
                      <w:szCs w:val="20"/>
                    </w:rPr>
                  </w:pPr>
                  <w:r w:rsidRPr="009A0E7B">
                    <w:rPr>
                      <w:szCs w:val="20"/>
                    </w:rPr>
                    <w:t>16.56%</w:t>
                  </w:r>
                </w:p>
              </w:tc>
              <w:tc>
                <w:tcPr>
                  <w:tcW w:w="738" w:type="dxa"/>
                  <w:tcBorders>
                    <w:top w:val="single" w:sz="4" w:space="0" w:color="auto"/>
                    <w:left w:val="single" w:sz="4" w:space="0" w:color="auto"/>
                    <w:bottom w:val="single" w:sz="4" w:space="0" w:color="auto"/>
                    <w:right w:val="single" w:sz="4" w:space="0" w:color="auto"/>
                  </w:tcBorders>
                </w:tcPr>
                <w:p w14:paraId="3559293F" w14:textId="77777777" w:rsidR="000F47AC" w:rsidRPr="009A0E7B" w:rsidRDefault="000F47AC" w:rsidP="006E4DAE">
                  <w:pPr>
                    <w:pStyle w:val="Tabletext"/>
                    <w:jc w:val="center"/>
                    <w:rPr>
                      <w:szCs w:val="20"/>
                    </w:rPr>
                  </w:pPr>
                  <w:r w:rsidRPr="009A0E7B">
                    <w:rPr>
                      <w:szCs w:val="20"/>
                    </w:rPr>
                    <w:t>14.61%</w:t>
                  </w:r>
                </w:p>
              </w:tc>
              <w:tc>
                <w:tcPr>
                  <w:tcW w:w="738" w:type="dxa"/>
                  <w:tcBorders>
                    <w:top w:val="single" w:sz="4" w:space="0" w:color="auto"/>
                    <w:left w:val="single" w:sz="4" w:space="0" w:color="auto"/>
                    <w:bottom w:val="single" w:sz="4" w:space="0" w:color="auto"/>
                    <w:right w:val="single" w:sz="4" w:space="0" w:color="auto"/>
                  </w:tcBorders>
                  <w:noWrap/>
                  <w:hideMark/>
                </w:tcPr>
                <w:p w14:paraId="38901F78" w14:textId="77777777" w:rsidR="000F47AC" w:rsidRPr="009A0E7B" w:rsidRDefault="000F47AC" w:rsidP="006E4DAE">
                  <w:pPr>
                    <w:pStyle w:val="Tabletext"/>
                    <w:jc w:val="center"/>
                    <w:rPr>
                      <w:szCs w:val="20"/>
                    </w:rPr>
                  </w:pPr>
                  <w:r w:rsidRPr="009A0E7B">
                    <w:rPr>
                      <w:szCs w:val="20"/>
                    </w:rPr>
                    <w:t>14.70%</w:t>
                  </w:r>
                </w:p>
              </w:tc>
            </w:tr>
            <w:tr w:rsidR="000F47AC" w:rsidRPr="009A0E7B" w14:paraId="0686F94C" w14:textId="77777777" w:rsidTr="00FF4F83">
              <w:trPr>
                <w:trHeight w:val="293"/>
              </w:trPr>
              <w:tc>
                <w:tcPr>
                  <w:tcW w:w="540" w:type="dxa"/>
                  <w:tcBorders>
                    <w:top w:val="single" w:sz="4" w:space="0" w:color="auto"/>
                    <w:left w:val="single" w:sz="4" w:space="0" w:color="auto"/>
                    <w:bottom w:val="single" w:sz="4" w:space="0" w:color="auto"/>
                    <w:right w:val="single" w:sz="4" w:space="0" w:color="auto"/>
                  </w:tcBorders>
                  <w:noWrap/>
                  <w:hideMark/>
                </w:tcPr>
                <w:p w14:paraId="765C95A3" w14:textId="77777777" w:rsidR="000F47AC" w:rsidRPr="009A0E7B" w:rsidRDefault="000F47AC" w:rsidP="006E4DAE">
                  <w:pPr>
                    <w:pStyle w:val="Tabletext"/>
                    <w:rPr>
                      <w:szCs w:val="20"/>
                    </w:rPr>
                  </w:pPr>
                  <w:r w:rsidRPr="009A0E7B">
                    <w:rPr>
                      <w:szCs w:val="20"/>
                    </w:rPr>
                    <w:lastRenderedPageBreak/>
                    <w:t>2023</w:t>
                  </w:r>
                </w:p>
              </w:tc>
              <w:tc>
                <w:tcPr>
                  <w:tcW w:w="738" w:type="dxa"/>
                  <w:tcBorders>
                    <w:top w:val="single" w:sz="4" w:space="0" w:color="auto"/>
                    <w:left w:val="single" w:sz="4" w:space="0" w:color="auto"/>
                    <w:bottom w:val="single" w:sz="4" w:space="0" w:color="auto"/>
                    <w:right w:val="single" w:sz="4" w:space="0" w:color="auto"/>
                  </w:tcBorders>
                </w:tcPr>
                <w:p w14:paraId="58E57E3B" w14:textId="77777777" w:rsidR="000F47AC" w:rsidRPr="009A0E7B" w:rsidRDefault="000F47AC" w:rsidP="006E4DAE">
                  <w:pPr>
                    <w:pStyle w:val="Tabletext"/>
                    <w:jc w:val="center"/>
                    <w:rPr>
                      <w:szCs w:val="20"/>
                    </w:rPr>
                  </w:pPr>
                  <w:r w:rsidRPr="009A0E7B">
                    <w:rPr>
                      <w:szCs w:val="20"/>
                    </w:rPr>
                    <w:t>18.94%</w:t>
                  </w:r>
                </w:p>
              </w:tc>
              <w:tc>
                <w:tcPr>
                  <w:tcW w:w="738" w:type="dxa"/>
                  <w:tcBorders>
                    <w:top w:val="single" w:sz="4" w:space="0" w:color="auto"/>
                    <w:left w:val="single" w:sz="4" w:space="0" w:color="auto"/>
                    <w:bottom w:val="single" w:sz="4" w:space="0" w:color="auto"/>
                    <w:right w:val="single" w:sz="4" w:space="0" w:color="auto"/>
                  </w:tcBorders>
                </w:tcPr>
                <w:p w14:paraId="77288C8D" w14:textId="77777777" w:rsidR="000F47AC" w:rsidRPr="009A0E7B" w:rsidRDefault="000F47AC" w:rsidP="006E4DAE">
                  <w:pPr>
                    <w:pStyle w:val="Tabletext"/>
                    <w:jc w:val="center"/>
                    <w:rPr>
                      <w:szCs w:val="20"/>
                    </w:rPr>
                  </w:pPr>
                  <w:r w:rsidRPr="009A0E7B">
                    <w:rPr>
                      <w:szCs w:val="20"/>
                    </w:rPr>
                    <w:t>16.55%</w:t>
                  </w:r>
                </w:p>
              </w:tc>
              <w:tc>
                <w:tcPr>
                  <w:tcW w:w="738" w:type="dxa"/>
                  <w:tcBorders>
                    <w:top w:val="single" w:sz="4" w:space="0" w:color="auto"/>
                    <w:left w:val="single" w:sz="4" w:space="0" w:color="auto"/>
                    <w:bottom w:val="single" w:sz="4" w:space="0" w:color="auto"/>
                    <w:right w:val="single" w:sz="4" w:space="0" w:color="auto"/>
                  </w:tcBorders>
                </w:tcPr>
                <w:p w14:paraId="69A4E55F" w14:textId="77777777" w:rsidR="000F47AC" w:rsidRPr="009A0E7B" w:rsidRDefault="000F47AC" w:rsidP="006E4DAE">
                  <w:pPr>
                    <w:pStyle w:val="Tabletext"/>
                    <w:jc w:val="center"/>
                    <w:rPr>
                      <w:szCs w:val="20"/>
                    </w:rPr>
                  </w:pPr>
                  <w:r w:rsidRPr="009A0E7B">
                    <w:rPr>
                      <w:szCs w:val="20"/>
                    </w:rPr>
                    <w:t>14.60%</w:t>
                  </w:r>
                </w:p>
              </w:tc>
              <w:tc>
                <w:tcPr>
                  <w:tcW w:w="738" w:type="dxa"/>
                  <w:tcBorders>
                    <w:top w:val="single" w:sz="4" w:space="0" w:color="auto"/>
                    <w:left w:val="single" w:sz="4" w:space="0" w:color="auto"/>
                    <w:bottom w:val="single" w:sz="4" w:space="0" w:color="auto"/>
                    <w:right w:val="single" w:sz="4" w:space="0" w:color="auto"/>
                  </w:tcBorders>
                  <w:noWrap/>
                  <w:hideMark/>
                </w:tcPr>
                <w:p w14:paraId="760059EE" w14:textId="77777777" w:rsidR="000F47AC" w:rsidRPr="009A0E7B" w:rsidRDefault="000F47AC" w:rsidP="006E4DAE">
                  <w:pPr>
                    <w:pStyle w:val="Tabletext"/>
                    <w:jc w:val="center"/>
                    <w:rPr>
                      <w:szCs w:val="20"/>
                    </w:rPr>
                  </w:pPr>
                  <w:r w:rsidRPr="009A0E7B">
                    <w:rPr>
                      <w:szCs w:val="20"/>
                    </w:rPr>
                    <w:t>14.69%</w:t>
                  </w:r>
                </w:p>
              </w:tc>
            </w:tr>
            <w:tr w:rsidR="000F47AC" w:rsidRPr="009A0E7B" w14:paraId="3B67D4F7" w14:textId="77777777" w:rsidTr="00FF4F83">
              <w:trPr>
                <w:trHeight w:val="293"/>
              </w:trPr>
              <w:tc>
                <w:tcPr>
                  <w:tcW w:w="540" w:type="dxa"/>
                  <w:tcBorders>
                    <w:top w:val="single" w:sz="4" w:space="0" w:color="auto"/>
                    <w:left w:val="single" w:sz="4" w:space="0" w:color="auto"/>
                    <w:bottom w:val="single" w:sz="4" w:space="0" w:color="auto"/>
                    <w:right w:val="single" w:sz="4" w:space="0" w:color="auto"/>
                  </w:tcBorders>
                  <w:noWrap/>
                  <w:hideMark/>
                </w:tcPr>
                <w:p w14:paraId="03169994" w14:textId="77777777" w:rsidR="000F47AC" w:rsidRPr="009A0E7B" w:rsidRDefault="000F47AC" w:rsidP="006E4DAE">
                  <w:pPr>
                    <w:pStyle w:val="Tabletext"/>
                    <w:rPr>
                      <w:szCs w:val="20"/>
                    </w:rPr>
                  </w:pPr>
                  <w:r w:rsidRPr="009A0E7B">
                    <w:rPr>
                      <w:szCs w:val="20"/>
                    </w:rPr>
                    <w:t>2024</w:t>
                  </w:r>
                </w:p>
              </w:tc>
              <w:tc>
                <w:tcPr>
                  <w:tcW w:w="738" w:type="dxa"/>
                  <w:tcBorders>
                    <w:top w:val="single" w:sz="4" w:space="0" w:color="auto"/>
                    <w:left w:val="single" w:sz="4" w:space="0" w:color="auto"/>
                    <w:bottom w:val="single" w:sz="4" w:space="0" w:color="auto"/>
                    <w:right w:val="single" w:sz="4" w:space="0" w:color="auto"/>
                  </w:tcBorders>
                </w:tcPr>
                <w:p w14:paraId="150E6263" w14:textId="77777777" w:rsidR="000F47AC" w:rsidRPr="009A0E7B" w:rsidRDefault="000F47AC" w:rsidP="006E4DAE">
                  <w:pPr>
                    <w:pStyle w:val="Tabletext"/>
                    <w:jc w:val="center"/>
                    <w:rPr>
                      <w:szCs w:val="20"/>
                    </w:rPr>
                  </w:pPr>
                  <w:r w:rsidRPr="009A0E7B">
                    <w:rPr>
                      <w:szCs w:val="20"/>
                    </w:rPr>
                    <w:t>20.08%</w:t>
                  </w:r>
                </w:p>
              </w:tc>
              <w:tc>
                <w:tcPr>
                  <w:tcW w:w="738" w:type="dxa"/>
                  <w:tcBorders>
                    <w:top w:val="single" w:sz="4" w:space="0" w:color="auto"/>
                    <w:left w:val="single" w:sz="4" w:space="0" w:color="auto"/>
                    <w:bottom w:val="single" w:sz="4" w:space="0" w:color="auto"/>
                    <w:right w:val="single" w:sz="4" w:space="0" w:color="auto"/>
                  </w:tcBorders>
                </w:tcPr>
                <w:p w14:paraId="63E13C78" w14:textId="77777777" w:rsidR="000F47AC" w:rsidRPr="009A0E7B" w:rsidRDefault="000F47AC" w:rsidP="006E4DAE">
                  <w:pPr>
                    <w:pStyle w:val="Tabletext"/>
                    <w:jc w:val="center"/>
                    <w:rPr>
                      <w:szCs w:val="20"/>
                    </w:rPr>
                  </w:pPr>
                  <w:r w:rsidRPr="009A0E7B">
                    <w:rPr>
                      <w:szCs w:val="20"/>
                    </w:rPr>
                    <w:t>16.55%</w:t>
                  </w:r>
                </w:p>
              </w:tc>
              <w:tc>
                <w:tcPr>
                  <w:tcW w:w="738" w:type="dxa"/>
                  <w:tcBorders>
                    <w:top w:val="single" w:sz="4" w:space="0" w:color="auto"/>
                    <w:left w:val="single" w:sz="4" w:space="0" w:color="auto"/>
                    <w:bottom w:val="single" w:sz="4" w:space="0" w:color="auto"/>
                    <w:right w:val="single" w:sz="4" w:space="0" w:color="auto"/>
                  </w:tcBorders>
                </w:tcPr>
                <w:p w14:paraId="52D9A388" w14:textId="77777777" w:rsidR="000F47AC" w:rsidRPr="009A0E7B" w:rsidRDefault="000F47AC" w:rsidP="006E4DAE">
                  <w:pPr>
                    <w:pStyle w:val="Tabletext"/>
                    <w:jc w:val="center"/>
                    <w:rPr>
                      <w:szCs w:val="20"/>
                    </w:rPr>
                  </w:pPr>
                  <w:r w:rsidRPr="009A0E7B">
                    <w:rPr>
                      <w:szCs w:val="20"/>
                    </w:rPr>
                    <w:t>14.60%</w:t>
                  </w:r>
                </w:p>
              </w:tc>
              <w:tc>
                <w:tcPr>
                  <w:tcW w:w="738" w:type="dxa"/>
                  <w:tcBorders>
                    <w:top w:val="single" w:sz="4" w:space="0" w:color="auto"/>
                    <w:left w:val="single" w:sz="4" w:space="0" w:color="auto"/>
                    <w:bottom w:val="single" w:sz="4" w:space="0" w:color="auto"/>
                    <w:right w:val="single" w:sz="4" w:space="0" w:color="auto"/>
                  </w:tcBorders>
                  <w:noWrap/>
                  <w:hideMark/>
                </w:tcPr>
                <w:p w14:paraId="02636D61" w14:textId="77777777" w:rsidR="000F47AC" w:rsidRPr="009A0E7B" w:rsidRDefault="000F47AC" w:rsidP="006E4DAE">
                  <w:pPr>
                    <w:pStyle w:val="Tabletext"/>
                    <w:jc w:val="center"/>
                    <w:rPr>
                      <w:szCs w:val="20"/>
                    </w:rPr>
                  </w:pPr>
                  <w:r w:rsidRPr="009A0E7B">
                    <w:rPr>
                      <w:szCs w:val="20"/>
                    </w:rPr>
                    <w:t>14.68%</w:t>
                  </w:r>
                </w:p>
              </w:tc>
            </w:tr>
            <w:tr w:rsidR="000F47AC" w:rsidRPr="009A0E7B" w14:paraId="56C15BDA" w14:textId="77777777" w:rsidTr="00FF4F83">
              <w:trPr>
                <w:trHeight w:val="293"/>
              </w:trPr>
              <w:tc>
                <w:tcPr>
                  <w:tcW w:w="540" w:type="dxa"/>
                  <w:tcBorders>
                    <w:top w:val="single" w:sz="4" w:space="0" w:color="auto"/>
                    <w:left w:val="single" w:sz="4" w:space="0" w:color="auto"/>
                    <w:bottom w:val="single" w:sz="4" w:space="0" w:color="auto"/>
                    <w:right w:val="single" w:sz="4" w:space="0" w:color="auto"/>
                  </w:tcBorders>
                  <w:noWrap/>
                  <w:hideMark/>
                </w:tcPr>
                <w:p w14:paraId="1961E073" w14:textId="77777777" w:rsidR="000F47AC" w:rsidRPr="009A0E7B" w:rsidRDefault="000F47AC" w:rsidP="006E4DAE">
                  <w:pPr>
                    <w:pStyle w:val="Tabletext"/>
                    <w:rPr>
                      <w:szCs w:val="20"/>
                    </w:rPr>
                  </w:pPr>
                  <w:r w:rsidRPr="009A0E7B">
                    <w:rPr>
                      <w:szCs w:val="20"/>
                    </w:rPr>
                    <w:t>2025</w:t>
                  </w:r>
                </w:p>
              </w:tc>
              <w:tc>
                <w:tcPr>
                  <w:tcW w:w="738" w:type="dxa"/>
                  <w:tcBorders>
                    <w:top w:val="single" w:sz="4" w:space="0" w:color="auto"/>
                    <w:left w:val="single" w:sz="4" w:space="0" w:color="auto"/>
                    <w:bottom w:val="single" w:sz="4" w:space="0" w:color="auto"/>
                    <w:right w:val="single" w:sz="4" w:space="0" w:color="auto"/>
                  </w:tcBorders>
                </w:tcPr>
                <w:p w14:paraId="5AEC68A7" w14:textId="77777777" w:rsidR="000F47AC" w:rsidRPr="009A0E7B" w:rsidRDefault="000F47AC" w:rsidP="006E4DAE">
                  <w:pPr>
                    <w:pStyle w:val="Tabletext"/>
                    <w:jc w:val="center"/>
                    <w:rPr>
                      <w:szCs w:val="20"/>
                    </w:rPr>
                  </w:pPr>
                  <w:r w:rsidRPr="009A0E7B">
                    <w:rPr>
                      <w:szCs w:val="20"/>
                    </w:rPr>
                    <w:t>23.03%</w:t>
                  </w:r>
                </w:p>
              </w:tc>
              <w:tc>
                <w:tcPr>
                  <w:tcW w:w="738" w:type="dxa"/>
                  <w:tcBorders>
                    <w:top w:val="single" w:sz="4" w:space="0" w:color="auto"/>
                    <w:left w:val="single" w:sz="4" w:space="0" w:color="auto"/>
                    <w:bottom w:val="single" w:sz="4" w:space="0" w:color="auto"/>
                    <w:right w:val="single" w:sz="4" w:space="0" w:color="auto"/>
                  </w:tcBorders>
                </w:tcPr>
                <w:p w14:paraId="3A77B672" w14:textId="77777777" w:rsidR="000F47AC" w:rsidRPr="009A0E7B" w:rsidRDefault="000F47AC" w:rsidP="006E4DAE">
                  <w:pPr>
                    <w:pStyle w:val="Tabletext"/>
                    <w:jc w:val="center"/>
                    <w:rPr>
                      <w:szCs w:val="20"/>
                    </w:rPr>
                  </w:pPr>
                  <w:r w:rsidRPr="009A0E7B">
                    <w:rPr>
                      <w:szCs w:val="20"/>
                    </w:rPr>
                    <w:t>16.55%</w:t>
                  </w:r>
                </w:p>
              </w:tc>
              <w:tc>
                <w:tcPr>
                  <w:tcW w:w="738" w:type="dxa"/>
                  <w:tcBorders>
                    <w:top w:val="single" w:sz="4" w:space="0" w:color="auto"/>
                    <w:left w:val="single" w:sz="4" w:space="0" w:color="auto"/>
                    <w:bottom w:val="single" w:sz="4" w:space="0" w:color="auto"/>
                    <w:right w:val="single" w:sz="4" w:space="0" w:color="auto"/>
                  </w:tcBorders>
                </w:tcPr>
                <w:p w14:paraId="1D9EFCD9" w14:textId="77777777" w:rsidR="000F47AC" w:rsidRPr="009A0E7B" w:rsidRDefault="000F47AC" w:rsidP="006E4DAE">
                  <w:pPr>
                    <w:pStyle w:val="Tabletext"/>
                    <w:jc w:val="center"/>
                    <w:rPr>
                      <w:szCs w:val="20"/>
                    </w:rPr>
                  </w:pPr>
                  <w:r w:rsidRPr="009A0E7B">
                    <w:rPr>
                      <w:szCs w:val="20"/>
                    </w:rPr>
                    <w:t>14.59%</w:t>
                  </w:r>
                </w:p>
              </w:tc>
              <w:tc>
                <w:tcPr>
                  <w:tcW w:w="738" w:type="dxa"/>
                  <w:tcBorders>
                    <w:top w:val="single" w:sz="4" w:space="0" w:color="auto"/>
                    <w:left w:val="single" w:sz="4" w:space="0" w:color="auto"/>
                    <w:bottom w:val="single" w:sz="4" w:space="0" w:color="auto"/>
                    <w:right w:val="single" w:sz="4" w:space="0" w:color="auto"/>
                  </w:tcBorders>
                  <w:noWrap/>
                  <w:hideMark/>
                </w:tcPr>
                <w:p w14:paraId="7756C49B" w14:textId="77777777" w:rsidR="000F47AC" w:rsidRPr="009A0E7B" w:rsidRDefault="000F47AC" w:rsidP="006E4DAE">
                  <w:pPr>
                    <w:pStyle w:val="Tabletext"/>
                    <w:jc w:val="center"/>
                    <w:rPr>
                      <w:szCs w:val="20"/>
                    </w:rPr>
                  </w:pPr>
                  <w:r w:rsidRPr="009A0E7B">
                    <w:rPr>
                      <w:szCs w:val="20"/>
                    </w:rPr>
                    <w:t>14.68%</w:t>
                  </w:r>
                </w:p>
              </w:tc>
            </w:tr>
            <w:tr w:rsidR="000F47AC" w:rsidRPr="009A0E7B" w14:paraId="799FFEAC" w14:textId="77777777" w:rsidTr="00FF4F83">
              <w:trPr>
                <w:trHeight w:val="293"/>
              </w:trPr>
              <w:tc>
                <w:tcPr>
                  <w:tcW w:w="540" w:type="dxa"/>
                  <w:tcBorders>
                    <w:top w:val="single" w:sz="4" w:space="0" w:color="auto"/>
                    <w:left w:val="single" w:sz="4" w:space="0" w:color="auto"/>
                    <w:bottom w:val="single" w:sz="4" w:space="0" w:color="auto"/>
                    <w:right w:val="single" w:sz="4" w:space="0" w:color="auto"/>
                  </w:tcBorders>
                  <w:noWrap/>
                  <w:hideMark/>
                </w:tcPr>
                <w:p w14:paraId="52EDA99D" w14:textId="77777777" w:rsidR="000F47AC" w:rsidRPr="009A0E7B" w:rsidRDefault="000F47AC" w:rsidP="006E4DAE">
                  <w:pPr>
                    <w:pStyle w:val="Tabletext"/>
                    <w:rPr>
                      <w:szCs w:val="20"/>
                    </w:rPr>
                  </w:pPr>
                  <w:r w:rsidRPr="009A0E7B">
                    <w:rPr>
                      <w:szCs w:val="20"/>
                    </w:rPr>
                    <w:t>2026</w:t>
                  </w:r>
                </w:p>
              </w:tc>
              <w:tc>
                <w:tcPr>
                  <w:tcW w:w="738" w:type="dxa"/>
                  <w:tcBorders>
                    <w:top w:val="single" w:sz="4" w:space="0" w:color="auto"/>
                    <w:left w:val="single" w:sz="4" w:space="0" w:color="auto"/>
                    <w:bottom w:val="single" w:sz="4" w:space="0" w:color="auto"/>
                    <w:right w:val="single" w:sz="4" w:space="0" w:color="auto"/>
                  </w:tcBorders>
                </w:tcPr>
                <w:p w14:paraId="0290C9B3" w14:textId="77777777" w:rsidR="000F47AC" w:rsidRPr="009A0E7B" w:rsidRDefault="000F47AC" w:rsidP="006E4DAE">
                  <w:pPr>
                    <w:pStyle w:val="Tabletext"/>
                    <w:jc w:val="center"/>
                    <w:rPr>
                      <w:szCs w:val="20"/>
                    </w:rPr>
                  </w:pPr>
                  <w:r w:rsidRPr="009A0E7B">
                    <w:rPr>
                      <w:szCs w:val="20"/>
                    </w:rPr>
                    <w:t>24.99%</w:t>
                  </w:r>
                </w:p>
              </w:tc>
              <w:tc>
                <w:tcPr>
                  <w:tcW w:w="738" w:type="dxa"/>
                  <w:tcBorders>
                    <w:top w:val="single" w:sz="4" w:space="0" w:color="auto"/>
                    <w:left w:val="single" w:sz="4" w:space="0" w:color="auto"/>
                    <w:bottom w:val="single" w:sz="4" w:space="0" w:color="auto"/>
                    <w:right w:val="single" w:sz="4" w:space="0" w:color="auto"/>
                  </w:tcBorders>
                </w:tcPr>
                <w:p w14:paraId="07968D74" w14:textId="77777777" w:rsidR="000F47AC" w:rsidRPr="009A0E7B" w:rsidRDefault="000F47AC" w:rsidP="006E4DAE">
                  <w:pPr>
                    <w:pStyle w:val="Tabletext"/>
                    <w:jc w:val="center"/>
                    <w:rPr>
                      <w:szCs w:val="20"/>
                    </w:rPr>
                  </w:pPr>
                  <w:r w:rsidRPr="009A0E7B">
                    <w:rPr>
                      <w:szCs w:val="20"/>
                    </w:rPr>
                    <w:t>16.53%</w:t>
                  </w:r>
                </w:p>
              </w:tc>
              <w:tc>
                <w:tcPr>
                  <w:tcW w:w="738" w:type="dxa"/>
                  <w:tcBorders>
                    <w:top w:val="single" w:sz="4" w:space="0" w:color="auto"/>
                    <w:left w:val="single" w:sz="4" w:space="0" w:color="auto"/>
                    <w:bottom w:val="single" w:sz="4" w:space="0" w:color="auto"/>
                    <w:right w:val="single" w:sz="4" w:space="0" w:color="auto"/>
                  </w:tcBorders>
                </w:tcPr>
                <w:p w14:paraId="35BD622D" w14:textId="77777777" w:rsidR="000F47AC" w:rsidRPr="009A0E7B" w:rsidRDefault="000F47AC" w:rsidP="006E4DAE">
                  <w:pPr>
                    <w:pStyle w:val="Tabletext"/>
                    <w:jc w:val="center"/>
                    <w:rPr>
                      <w:szCs w:val="20"/>
                    </w:rPr>
                  </w:pPr>
                  <w:r w:rsidRPr="009A0E7B">
                    <w:rPr>
                      <w:szCs w:val="20"/>
                    </w:rPr>
                    <w:t>14.59%</w:t>
                  </w:r>
                </w:p>
              </w:tc>
              <w:tc>
                <w:tcPr>
                  <w:tcW w:w="738" w:type="dxa"/>
                  <w:tcBorders>
                    <w:top w:val="single" w:sz="4" w:space="0" w:color="auto"/>
                    <w:left w:val="single" w:sz="4" w:space="0" w:color="auto"/>
                    <w:bottom w:val="single" w:sz="4" w:space="0" w:color="auto"/>
                    <w:right w:val="single" w:sz="4" w:space="0" w:color="auto"/>
                  </w:tcBorders>
                  <w:noWrap/>
                  <w:hideMark/>
                </w:tcPr>
                <w:p w14:paraId="3D6C2A4F" w14:textId="77777777" w:rsidR="000F47AC" w:rsidRPr="009A0E7B" w:rsidRDefault="000F47AC" w:rsidP="006E4DAE">
                  <w:pPr>
                    <w:pStyle w:val="Tabletext"/>
                    <w:jc w:val="center"/>
                    <w:rPr>
                      <w:szCs w:val="20"/>
                    </w:rPr>
                  </w:pPr>
                  <w:r w:rsidRPr="009A0E7B">
                    <w:rPr>
                      <w:szCs w:val="20"/>
                    </w:rPr>
                    <w:t>14.67%</w:t>
                  </w:r>
                </w:p>
              </w:tc>
            </w:tr>
            <w:tr w:rsidR="000F47AC" w:rsidRPr="009A0E7B" w14:paraId="5E5570BE" w14:textId="77777777" w:rsidTr="00FF4F83">
              <w:trPr>
                <w:trHeight w:val="293"/>
              </w:trPr>
              <w:tc>
                <w:tcPr>
                  <w:tcW w:w="540" w:type="dxa"/>
                  <w:tcBorders>
                    <w:top w:val="single" w:sz="4" w:space="0" w:color="auto"/>
                    <w:left w:val="single" w:sz="4" w:space="0" w:color="auto"/>
                    <w:bottom w:val="single" w:sz="4" w:space="0" w:color="auto"/>
                    <w:right w:val="single" w:sz="4" w:space="0" w:color="auto"/>
                  </w:tcBorders>
                  <w:noWrap/>
                  <w:hideMark/>
                </w:tcPr>
                <w:p w14:paraId="09FA14DC" w14:textId="77777777" w:rsidR="000F47AC" w:rsidRPr="009A0E7B" w:rsidRDefault="000F47AC" w:rsidP="006E4DAE">
                  <w:pPr>
                    <w:pStyle w:val="Tabletext"/>
                    <w:rPr>
                      <w:szCs w:val="20"/>
                    </w:rPr>
                  </w:pPr>
                  <w:r w:rsidRPr="009A0E7B">
                    <w:rPr>
                      <w:szCs w:val="20"/>
                    </w:rPr>
                    <w:t>2027</w:t>
                  </w:r>
                </w:p>
              </w:tc>
              <w:tc>
                <w:tcPr>
                  <w:tcW w:w="738" w:type="dxa"/>
                  <w:tcBorders>
                    <w:top w:val="single" w:sz="4" w:space="0" w:color="auto"/>
                    <w:left w:val="single" w:sz="4" w:space="0" w:color="auto"/>
                    <w:bottom w:val="single" w:sz="4" w:space="0" w:color="auto"/>
                    <w:right w:val="single" w:sz="4" w:space="0" w:color="auto"/>
                  </w:tcBorders>
                </w:tcPr>
                <w:p w14:paraId="59FEDF83" w14:textId="77777777" w:rsidR="000F47AC" w:rsidRPr="009A0E7B" w:rsidRDefault="000F47AC" w:rsidP="006E4DAE">
                  <w:pPr>
                    <w:pStyle w:val="Tabletext"/>
                    <w:jc w:val="center"/>
                    <w:rPr>
                      <w:szCs w:val="20"/>
                    </w:rPr>
                  </w:pPr>
                  <w:r w:rsidRPr="009A0E7B">
                    <w:rPr>
                      <w:szCs w:val="20"/>
                    </w:rPr>
                    <w:t>27.43%</w:t>
                  </w:r>
                </w:p>
              </w:tc>
              <w:tc>
                <w:tcPr>
                  <w:tcW w:w="738" w:type="dxa"/>
                  <w:tcBorders>
                    <w:top w:val="single" w:sz="4" w:space="0" w:color="auto"/>
                    <w:left w:val="single" w:sz="4" w:space="0" w:color="auto"/>
                    <w:bottom w:val="single" w:sz="4" w:space="0" w:color="auto"/>
                    <w:right w:val="single" w:sz="4" w:space="0" w:color="auto"/>
                  </w:tcBorders>
                </w:tcPr>
                <w:p w14:paraId="21D18925" w14:textId="77777777" w:rsidR="000F47AC" w:rsidRPr="009A0E7B" w:rsidRDefault="000F47AC" w:rsidP="006E4DAE">
                  <w:pPr>
                    <w:pStyle w:val="Tabletext"/>
                    <w:jc w:val="center"/>
                    <w:rPr>
                      <w:szCs w:val="20"/>
                    </w:rPr>
                  </w:pPr>
                  <w:r w:rsidRPr="009A0E7B">
                    <w:rPr>
                      <w:szCs w:val="20"/>
                    </w:rPr>
                    <w:t>16.53%</w:t>
                  </w:r>
                </w:p>
              </w:tc>
              <w:tc>
                <w:tcPr>
                  <w:tcW w:w="738" w:type="dxa"/>
                  <w:tcBorders>
                    <w:top w:val="single" w:sz="4" w:space="0" w:color="auto"/>
                    <w:left w:val="single" w:sz="4" w:space="0" w:color="auto"/>
                    <w:bottom w:val="single" w:sz="4" w:space="0" w:color="auto"/>
                    <w:right w:val="single" w:sz="4" w:space="0" w:color="auto"/>
                  </w:tcBorders>
                </w:tcPr>
                <w:p w14:paraId="7E872123" w14:textId="77777777" w:rsidR="000F47AC" w:rsidRPr="009A0E7B" w:rsidRDefault="000F47AC" w:rsidP="006E4DAE">
                  <w:pPr>
                    <w:pStyle w:val="Tabletext"/>
                    <w:jc w:val="center"/>
                    <w:rPr>
                      <w:szCs w:val="20"/>
                    </w:rPr>
                  </w:pPr>
                  <w:r w:rsidRPr="009A0E7B">
                    <w:rPr>
                      <w:szCs w:val="20"/>
                    </w:rPr>
                    <w:t>14.58%</w:t>
                  </w:r>
                </w:p>
              </w:tc>
              <w:tc>
                <w:tcPr>
                  <w:tcW w:w="738" w:type="dxa"/>
                  <w:tcBorders>
                    <w:top w:val="single" w:sz="4" w:space="0" w:color="auto"/>
                    <w:left w:val="single" w:sz="4" w:space="0" w:color="auto"/>
                    <w:bottom w:val="single" w:sz="4" w:space="0" w:color="auto"/>
                    <w:right w:val="single" w:sz="4" w:space="0" w:color="auto"/>
                  </w:tcBorders>
                  <w:noWrap/>
                  <w:hideMark/>
                </w:tcPr>
                <w:p w14:paraId="210F2D9C" w14:textId="77777777" w:rsidR="000F47AC" w:rsidRPr="009A0E7B" w:rsidRDefault="000F47AC" w:rsidP="006E4DAE">
                  <w:pPr>
                    <w:pStyle w:val="Tabletext"/>
                    <w:jc w:val="center"/>
                    <w:rPr>
                      <w:szCs w:val="20"/>
                    </w:rPr>
                  </w:pPr>
                  <w:r w:rsidRPr="009A0E7B">
                    <w:rPr>
                      <w:szCs w:val="20"/>
                    </w:rPr>
                    <w:t>14.67%</w:t>
                  </w:r>
                </w:p>
              </w:tc>
            </w:tr>
          </w:tbl>
          <w:p w14:paraId="0ED31646" w14:textId="77777777" w:rsidR="000F47AC" w:rsidRPr="009A0E7B" w:rsidRDefault="000F47AC" w:rsidP="006E4DAE">
            <w:pPr>
              <w:pStyle w:val="TableText0"/>
              <w:keepNext w:val="0"/>
            </w:pPr>
          </w:p>
        </w:tc>
        <w:tc>
          <w:tcPr>
            <w:tcW w:w="2030" w:type="pct"/>
          </w:tcPr>
          <w:p w14:paraId="530A2876" w14:textId="529842B2" w:rsidR="000F47AC" w:rsidRPr="009A0E7B" w:rsidRDefault="000F47AC" w:rsidP="007B5275">
            <w:pPr>
              <w:pStyle w:val="TableText0"/>
              <w:keepNext w:val="0"/>
            </w:pPr>
            <w:r w:rsidRPr="009A0E7B">
              <w:lastRenderedPageBreak/>
              <w:t xml:space="preserve">The proportion of substitution assumptions were applied to the initiating and switching </w:t>
            </w:r>
            <w:r w:rsidRPr="009A0E7B">
              <w:lastRenderedPageBreak/>
              <w:t xml:space="preserve">patient numbers for individual </w:t>
            </w:r>
            <w:proofErr w:type="spellStart"/>
            <w:r w:rsidRPr="009A0E7B">
              <w:t>bDMARDs</w:t>
            </w:r>
            <w:proofErr w:type="spellEnd"/>
            <w:r w:rsidRPr="009A0E7B">
              <w:t xml:space="preserve"> and the weighted uptake of OZA calculated was used to estimate the annual OZA scripts. </w:t>
            </w:r>
            <w:r w:rsidR="00DE777E" w:rsidRPr="009A0E7B">
              <w:t xml:space="preserve">The naïve and switch patient ratios were factored in </w:t>
            </w:r>
            <w:r w:rsidRPr="009A0E7B">
              <w:t>starting from 2015 (IFX and VED), 2016 (ADA) or 2018 (GOL), resulting in higher patient numbers for OZA in year 1 of listing</w:t>
            </w:r>
            <w:r w:rsidR="00DE777E" w:rsidRPr="009A0E7B">
              <w:t>.</w:t>
            </w:r>
            <w:r w:rsidRPr="009A0E7B">
              <w:t xml:space="preserve"> </w:t>
            </w:r>
            <w:r w:rsidR="00DE777E" w:rsidRPr="009A0E7B">
              <w:t xml:space="preserve">i.e.: </w:t>
            </w:r>
            <w:r w:rsidR="007B5275" w:rsidRPr="009A0E7B">
              <w:t>The</w:t>
            </w:r>
            <w:r w:rsidRPr="009A0E7B">
              <w:t xml:space="preserve"> uptake rate of OZA in </w:t>
            </w:r>
            <w:r w:rsidR="007B5275" w:rsidRPr="009A0E7B">
              <w:t>year 1</w:t>
            </w:r>
            <w:r w:rsidRPr="009A0E7B">
              <w:t xml:space="preserve"> </w:t>
            </w:r>
            <w:r w:rsidR="007B5275" w:rsidRPr="009A0E7B">
              <w:t xml:space="preserve">of listing, </w:t>
            </w:r>
            <w:r w:rsidRPr="009A0E7B">
              <w:t xml:space="preserve">should have been 13.75% of all treatment naïve patients, and then treatment </w:t>
            </w:r>
            <w:r w:rsidR="00DE777E" w:rsidRPr="009A0E7B">
              <w:t xml:space="preserve">uptake rates for </w:t>
            </w:r>
            <w:r w:rsidRPr="009A0E7B">
              <w:t xml:space="preserve">experienced </w:t>
            </w:r>
            <w:r w:rsidR="00DE777E" w:rsidRPr="009A0E7B">
              <w:t xml:space="preserve">patients should be factored in for individual </w:t>
            </w:r>
            <w:proofErr w:type="spellStart"/>
            <w:r w:rsidR="00DE777E" w:rsidRPr="009A0E7B">
              <w:t>bDMARDs</w:t>
            </w:r>
            <w:proofErr w:type="spellEnd"/>
            <w:r w:rsidR="00DE777E" w:rsidRPr="009A0E7B">
              <w:t>.</w:t>
            </w:r>
          </w:p>
        </w:tc>
      </w:tr>
      <w:tr w:rsidR="000F47AC" w:rsidRPr="009A0E7B" w14:paraId="737D8F9E" w14:textId="77777777" w:rsidTr="00FF4F83">
        <w:tc>
          <w:tcPr>
            <w:tcW w:w="858" w:type="pct"/>
            <w:tcBorders>
              <w:right w:val="nil"/>
            </w:tcBorders>
            <w:vAlign w:val="center"/>
          </w:tcPr>
          <w:p w14:paraId="08E51670" w14:textId="77777777" w:rsidR="000F47AC" w:rsidRPr="009A0E7B" w:rsidRDefault="000F47AC" w:rsidP="006E4DAE">
            <w:pPr>
              <w:pStyle w:val="TableText0"/>
              <w:keepNext w:val="0"/>
            </w:pPr>
            <w:r w:rsidRPr="009A0E7B">
              <w:lastRenderedPageBreak/>
              <w:t>Conversion factors</w:t>
            </w:r>
          </w:p>
        </w:tc>
        <w:tc>
          <w:tcPr>
            <w:tcW w:w="1591" w:type="pct"/>
            <w:tcBorders>
              <w:left w:val="nil"/>
            </w:tcBorders>
            <w:vAlign w:val="center"/>
          </w:tcPr>
          <w:p w14:paraId="579A74B1" w14:textId="77777777" w:rsidR="000F47AC" w:rsidRPr="009A0E7B" w:rsidRDefault="000F47AC" w:rsidP="006E4DAE">
            <w:pPr>
              <w:pStyle w:val="TableText0"/>
              <w:keepNext w:val="0"/>
            </w:pPr>
            <w:r w:rsidRPr="009A0E7B">
              <w:t>Induction Scripts</w:t>
            </w:r>
          </w:p>
        </w:tc>
        <w:tc>
          <w:tcPr>
            <w:tcW w:w="522" w:type="pct"/>
            <w:tcBorders>
              <w:left w:val="nil"/>
            </w:tcBorders>
          </w:tcPr>
          <w:p w14:paraId="5B7B985E" w14:textId="77777777" w:rsidR="000F47AC" w:rsidRPr="009A0E7B" w:rsidRDefault="000F47AC" w:rsidP="006E4DAE">
            <w:pPr>
              <w:pStyle w:val="TableText0"/>
              <w:keepNext w:val="0"/>
            </w:pPr>
            <w:r w:rsidRPr="009A0E7B">
              <w:t>Factor</w:t>
            </w:r>
          </w:p>
        </w:tc>
        <w:tc>
          <w:tcPr>
            <w:tcW w:w="2030" w:type="pct"/>
            <w:vMerge w:val="restart"/>
            <w:vAlign w:val="center"/>
          </w:tcPr>
          <w:p w14:paraId="2F9147D5" w14:textId="13691DA3" w:rsidR="000F47AC" w:rsidRPr="009A0E7B" w:rsidRDefault="000F47AC" w:rsidP="00686468">
            <w:pPr>
              <w:pStyle w:val="TableText0"/>
              <w:keepNext w:val="0"/>
            </w:pPr>
            <w:r w:rsidRPr="009A0E7B">
              <w:t>Table 11, TOF</w:t>
            </w:r>
            <w:r w:rsidR="0084726C" w:rsidRPr="009A0E7B">
              <w:t xml:space="preserve"> (MSUC)</w:t>
            </w:r>
            <w:r w:rsidRPr="009A0E7B">
              <w:t xml:space="preserve"> PSD, November 2020 PBAC meeting was adjusted for OZA. </w:t>
            </w:r>
          </w:p>
        </w:tc>
      </w:tr>
      <w:tr w:rsidR="000F47AC" w:rsidRPr="009A0E7B" w14:paraId="16841F27" w14:textId="77777777" w:rsidTr="00FF4F83">
        <w:tc>
          <w:tcPr>
            <w:tcW w:w="858" w:type="pct"/>
            <w:vMerge w:val="restart"/>
            <w:vAlign w:val="center"/>
          </w:tcPr>
          <w:p w14:paraId="32FB870D" w14:textId="77777777" w:rsidR="000F47AC" w:rsidRPr="009A0E7B" w:rsidRDefault="000F47AC" w:rsidP="006E4DAE">
            <w:pPr>
              <w:pStyle w:val="Tabletext"/>
            </w:pPr>
            <w:r w:rsidRPr="009A0E7B">
              <w:t>OZA=1</w:t>
            </w:r>
          </w:p>
          <w:p w14:paraId="7678D1DD" w14:textId="77777777" w:rsidR="000F47AC" w:rsidRPr="009A0E7B" w:rsidRDefault="000F47AC" w:rsidP="006E4DAE">
            <w:pPr>
              <w:pStyle w:val="TableText0"/>
              <w:keepNext w:val="0"/>
            </w:pPr>
            <w:r w:rsidRPr="009A0E7B">
              <w:rPr>
                <w:szCs w:val="20"/>
              </w:rPr>
              <w:t>0.23 mg capsules [4] &amp; 0.46 mg [3] capsules</w:t>
            </w:r>
          </w:p>
        </w:tc>
        <w:tc>
          <w:tcPr>
            <w:tcW w:w="1591" w:type="pct"/>
            <w:vAlign w:val="center"/>
          </w:tcPr>
          <w:p w14:paraId="14180AD1" w14:textId="77777777" w:rsidR="000F47AC" w:rsidRPr="009A0E7B" w:rsidRDefault="000F47AC" w:rsidP="006E4DAE">
            <w:pPr>
              <w:pStyle w:val="TableText0"/>
              <w:keepNext w:val="0"/>
            </w:pPr>
            <w:r w:rsidRPr="009A0E7B">
              <w:t>ADA 20/40 mg = 3</w:t>
            </w:r>
          </w:p>
        </w:tc>
        <w:tc>
          <w:tcPr>
            <w:tcW w:w="522" w:type="pct"/>
            <w:vAlign w:val="center"/>
          </w:tcPr>
          <w:p w14:paraId="7963AD65" w14:textId="77777777" w:rsidR="000F47AC" w:rsidRPr="009A0E7B" w:rsidRDefault="000F47AC" w:rsidP="006E4DAE">
            <w:pPr>
              <w:pStyle w:val="TableText0"/>
              <w:keepNext w:val="0"/>
            </w:pPr>
            <w:r w:rsidRPr="009A0E7B">
              <w:t>0.33</w:t>
            </w:r>
          </w:p>
        </w:tc>
        <w:tc>
          <w:tcPr>
            <w:tcW w:w="2030" w:type="pct"/>
            <w:vMerge/>
            <w:vAlign w:val="center"/>
          </w:tcPr>
          <w:p w14:paraId="7FFFE1BD" w14:textId="77777777" w:rsidR="000F47AC" w:rsidRPr="009A0E7B" w:rsidRDefault="000F47AC" w:rsidP="006E4DAE">
            <w:pPr>
              <w:pStyle w:val="TableText0"/>
              <w:keepNext w:val="0"/>
            </w:pPr>
          </w:p>
        </w:tc>
      </w:tr>
      <w:tr w:rsidR="000F47AC" w:rsidRPr="009A0E7B" w14:paraId="4E9918E2" w14:textId="77777777" w:rsidTr="00FF4F83">
        <w:tc>
          <w:tcPr>
            <w:tcW w:w="858" w:type="pct"/>
            <w:vMerge/>
            <w:vAlign w:val="center"/>
          </w:tcPr>
          <w:p w14:paraId="65ABC8A6" w14:textId="77777777" w:rsidR="000F47AC" w:rsidRPr="009A0E7B" w:rsidRDefault="000F47AC" w:rsidP="006E4DAE">
            <w:pPr>
              <w:pStyle w:val="TableText0"/>
              <w:keepNext w:val="0"/>
            </w:pPr>
          </w:p>
        </w:tc>
        <w:tc>
          <w:tcPr>
            <w:tcW w:w="1591" w:type="pct"/>
            <w:vAlign w:val="center"/>
          </w:tcPr>
          <w:p w14:paraId="0A3D6BF7" w14:textId="77777777" w:rsidR="000F47AC" w:rsidRPr="009A0E7B" w:rsidRDefault="000F47AC" w:rsidP="006E4DAE">
            <w:pPr>
              <w:pStyle w:val="TableText0"/>
              <w:keepNext w:val="0"/>
            </w:pPr>
            <w:r w:rsidRPr="009A0E7B">
              <w:t>VED 300 mg = 3</w:t>
            </w:r>
          </w:p>
        </w:tc>
        <w:tc>
          <w:tcPr>
            <w:tcW w:w="522" w:type="pct"/>
            <w:vAlign w:val="center"/>
          </w:tcPr>
          <w:p w14:paraId="7163862B" w14:textId="77777777" w:rsidR="000F47AC" w:rsidRPr="009A0E7B" w:rsidRDefault="000F47AC" w:rsidP="006E4DAE">
            <w:pPr>
              <w:pStyle w:val="TableText0"/>
              <w:keepNext w:val="0"/>
            </w:pPr>
            <w:r w:rsidRPr="009A0E7B">
              <w:t>0.33</w:t>
            </w:r>
          </w:p>
        </w:tc>
        <w:tc>
          <w:tcPr>
            <w:tcW w:w="2030" w:type="pct"/>
            <w:vMerge/>
            <w:vAlign w:val="center"/>
          </w:tcPr>
          <w:p w14:paraId="121F1C9B" w14:textId="77777777" w:rsidR="000F47AC" w:rsidRPr="009A0E7B" w:rsidRDefault="000F47AC" w:rsidP="006E4DAE">
            <w:pPr>
              <w:pStyle w:val="TableText0"/>
              <w:keepNext w:val="0"/>
            </w:pPr>
          </w:p>
        </w:tc>
      </w:tr>
      <w:tr w:rsidR="000F47AC" w:rsidRPr="009A0E7B" w14:paraId="3ADB4D36" w14:textId="77777777" w:rsidTr="00FF4F83">
        <w:tc>
          <w:tcPr>
            <w:tcW w:w="858" w:type="pct"/>
            <w:vMerge/>
            <w:vAlign w:val="center"/>
          </w:tcPr>
          <w:p w14:paraId="625C873E" w14:textId="77777777" w:rsidR="000F47AC" w:rsidRPr="009A0E7B" w:rsidRDefault="000F47AC" w:rsidP="006E4DAE">
            <w:pPr>
              <w:pStyle w:val="TableText0"/>
              <w:keepNext w:val="0"/>
            </w:pPr>
          </w:p>
        </w:tc>
        <w:tc>
          <w:tcPr>
            <w:tcW w:w="1591" w:type="pct"/>
            <w:vAlign w:val="center"/>
          </w:tcPr>
          <w:p w14:paraId="12BD3A01" w14:textId="77777777" w:rsidR="000F47AC" w:rsidRPr="009A0E7B" w:rsidRDefault="000F47AC" w:rsidP="006E4DAE">
            <w:pPr>
              <w:pStyle w:val="TableText0"/>
              <w:keepNext w:val="0"/>
            </w:pPr>
            <w:r w:rsidRPr="009A0E7B">
              <w:t>IFX 400 mg = 3</w:t>
            </w:r>
          </w:p>
        </w:tc>
        <w:tc>
          <w:tcPr>
            <w:tcW w:w="522" w:type="pct"/>
            <w:vAlign w:val="center"/>
          </w:tcPr>
          <w:p w14:paraId="00670219" w14:textId="77777777" w:rsidR="000F47AC" w:rsidRPr="009A0E7B" w:rsidRDefault="000F47AC" w:rsidP="006E4DAE">
            <w:pPr>
              <w:pStyle w:val="TableText0"/>
              <w:keepNext w:val="0"/>
            </w:pPr>
            <w:r w:rsidRPr="009A0E7B">
              <w:t>0.33</w:t>
            </w:r>
          </w:p>
        </w:tc>
        <w:tc>
          <w:tcPr>
            <w:tcW w:w="2030" w:type="pct"/>
            <w:vMerge/>
            <w:vAlign w:val="center"/>
          </w:tcPr>
          <w:p w14:paraId="0AC8225F" w14:textId="77777777" w:rsidR="000F47AC" w:rsidRPr="009A0E7B" w:rsidRDefault="000F47AC" w:rsidP="006E4DAE">
            <w:pPr>
              <w:pStyle w:val="TableText0"/>
              <w:keepNext w:val="0"/>
            </w:pPr>
          </w:p>
        </w:tc>
      </w:tr>
      <w:tr w:rsidR="000F47AC" w:rsidRPr="009A0E7B" w14:paraId="3B694B0E" w14:textId="77777777" w:rsidTr="00FF4F83">
        <w:tc>
          <w:tcPr>
            <w:tcW w:w="858" w:type="pct"/>
            <w:vMerge/>
            <w:tcBorders>
              <w:bottom w:val="single" w:sz="4" w:space="0" w:color="auto"/>
            </w:tcBorders>
            <w:vAlign w:val="center"/>
          </w:tcPr>
          <w:p w14:paraId="0A2DE967" w14:textId="77777777" w:rsidR="000F47AC" w:rsidRPr="009A0E7B" w:rsidRDefault="000F47AC" w:rsidP="006E4DAE">
            <w:pPr>
              <w:pStyle w:val="TableText0"/>
              <w:keepNext w:val="0"/>
            </w:pPr>
          </w:p>
        </w:tc>
        <w:tc>
          <w:tcPr>
            <w:tcW w:w="1591" w:type="pct"/>
            <w:tcBorders>
              <w:bottom w:val="single" w:sz="4" w:space="0" w:color="auto"/>
            </w:tcBorders>
            <w:vAlign w:val="center"/>
          </w:tcPr>
          <w:p w14:paraId="1E5FC1FA" w14:textId="77777777" w:rsidR="000F47AC" w:rsidRPr="009A0E7B" w:rsidRDefault="000F47AC" w:rsidP="006E4DAE">
            <w:pPr>
              <w:pStyle w:val="TableText0"/>
              <w:keepNext w:val="0"/>
            </w:pPr>
            <w:r w:rsidRPr="009A0E7B">
              <w:t>GOL 100 mg = 2</w:t>
            </w:r>
          </w:p>
        </w:tc>
        <w:tc>
          <w:tcPr>
            <w:tcW w:w="522" w:type="pct"/>
            <w:tcBorders>
              <w:bottom w:val="single" w:sz="4" w:space="0" w:color="auto"/>
            </w:tcBorders>
            <w:vAlign w:val="center"/>
          </w:tcPr>
          <w:p w14:paraId="5AA15814" w14:textId="77777777" w:rsidR="000F47AC" w:rsidRPr="009A0E7B" w:rsidRDefault="000F47AC" w:rsidP="006E4DAE">
            <w:pPr>
              <w:pStyle w:val="TableText0"/>
              <w:keepNext w:val="0"/>
            </w:pPr>
            <w:r w:rsidRPr="009A0E7B">
              <w:t>0.50</w:t>
            </w:r>
          </w:p>
        </w:tc>
        <w:tc>
          <w:tcPr>
            <w:tcW w:w="2030" w:type="pct"/>
            <w:vMerge/>
            <w:vAlign w:val="center"/>
          </w:tcPr>
          <w:p w14:paraId="7ABCE34F" w14:textId="77777777" w:rsidR="000F47AC" w:rsidRPr="009A0E7B" w:rsidRDefault="000F47AC" w:rsidP="006E4DAE">
            <w:pPr>
              <w:pStyle w:val="TableText0"/>
              <w:keepNext w:val="0"/>
            </w:pPr>
          </w:p>
        </w:tc>
      </w:tr>
      <w:tr w:rsidR="000F47AC" w:rsidRPr="009A0E7B" w14:paraId="148680A8" w14:textId="77777777" w:rsidTr="00FF4F83">
        <w:tc>
          <w:tcPr>
            <w:tcW w:w="858" w:type="pct"/>
            <w:tcBorders>
              <w:right w:val="nil"/>
            </w:tcBorders>
            <w:vAlign w:val="center"/>
          </w:tcPr>
          <w:p w14:paraId="51712D94" w14:textId="77777777" w:rsidR="000F47AC" w:rsidRPr="009A0E7B" w:rsidRDefault="000F47AC" w:rsidP="006E4DAE">
            <w:pPr>
              <w:pStyle w:val="TableText0"/>
              <w:keepNext w:val="0"/>
            </w:pPr>
          </w:p>
        </w:tc>
        <w:tc>
          <w:tcPr>
            <w:tcW w:w="1591" w:type="pct"/>
            <w:tcBorders>
              <w:left w:val="nil"/>
            </w:tcBorders>
            <w:vAlign w:val="center"/>
          </w:tcPr>
          <w:p w14:paraId="7DEE6A44" w14:textId="77777777" w:rsidR="000F47AC" w:rsidRPr="009A0E7B" w:rsidRDefault="000F47AC" w:rsidP="006E4DAE">
            <w:pPr>
              <w:pStyle w:val="TableText0"/>
              <w:keepNext w:val="0"/>
            </w:pPr>
            <w:r w:rsidRPr="009A0E7B">
              <w:t>Maintenance Scripts</w:t>
            </w:r>
          </w:p>
        </w:tc>
        <w:tc>
          <w:tcPr>
            <w:tcW w:w="522" w:type="pct"/>
            <w:tcBorders>
              <w:left w:val="nil"/>
            </w:tcBorders>
            <w:vAlign w:val="center"/>
          </w:tcPr>
          <w:p w14:paraId="3E6FBB4C" w14:textId="77777777" w:rsidR="000F47AC" w:rsidRPr="009A0E7B" w:rsidRDefault="000F47AC" w:rsidP="006E4DAE">
            <w:pPr>
              <w:pStyle w:val="TableText0"/>
              <w:keepNext w:val="0"/>
            </w:pPr>
          </w:p>
        </w:tc>
        <w:tc>
          <w:tcPr>
            <w:tcW w:w="2030" w:type="pct"/>
            <w:vMerge/>
            <w:vAlign w:val="center"/>
          </w:tcPr>
          <w:p w14:paraId="5F71318B" w14:textId="77777777" w:rsidR="000F47AC" w:rsidRPr="009A0E7B" w:rsidRDefault="000F47AC" w:rsidP="006E4DAE">
            <w:pPr>
              <w:pStyle w:val="TableText0"/>
              <w:keepNext w:val="0"/>
            </w:pPr>
          </w:p>
        </w:tc>
      </w:tr>
      <w:tr w:rsidR="000F47AC" w:rsidRPr="009A0E7B" w14:paraId="2F9A3EB0" w14:textId="77777777" w:rsidTr="00FF4F83">
        <w:tc>
          <w:tcPr>
            <w:tcW w:w="858" w:type="pct"/>
            <w:vMerge w:val="restart"/>
            <w:vAlign w:val="center"/>
          </w:tcPr>
          <w:p w14:paraId="07027ABC" w14:textId="77777777" w:rsidR="000F47AC" w:rsidRPr="009A0E7B" w:rsidRDefault="000F47AC" w:rsidP="006E4DAE">
            <w:pPr>
              <w:pStyle w:val="Tabletext"/>
            </w:pPr>
            <w:r w:rsidRPr="009A0E7B">
              <w:t>OZA=13.04</w:t>
            </w:r>
          </w:p>
          <w:p w14:paraId="052B3FA3" w14:textId="77777777" w:rsidR="000F47AC" w:rsidRPr="009A0E7B" w:rsidRDefault="000F47AC" w:rsidP="006E4DAE">
            <w:pPr>
              <w:pStyle w:val="TableText0"/>
              <w:keepNext w:val="0"/>
            </w:pPr>
            <w:r w:rsidRPr="009A0E7B">
              <w:t>0.92 mg capsules x 28</w:t>
            </w:r>
          </w:p>
        </w:tc>
        <w:tc>
          <w:tcPr>
            <w:tcW w:w="1591" w:type="pct"/>
            <w:vAlign w:val="center"/>
          </w:tcPr>
          <w:p w14:paraId="673512AD" w14:textId="77777777" w:rsidR="000F47AC" w:rsidRPr="009A0E7B" w:rsidRDefault="000F47AC" w:rsidP="006E4DAE">
            <w:pPr>
              <w:pStyle w:val="TableText0"/>
              <w:keepNext w:val="0"/>
            </w:pPr>
            <w:r w:rsidRPr="009A0E7B">
              <w:t>ADA 20/40 mg = 13/year</w:t>
            </w:r>
          </w:p>
        </w:tc>
        <w:tc>
          <w:tcPr>
            <w:tcW w:w="522" w:type="pct"/>
            <w:vAlign w:val="center"/>
          </w:tcPr>
          <w:p w14:paraId="7A1A551B" w14:textId="77777777" w:rsidR="000F47AC" w:rsidRPr="009A0E7B" w:rsidRDefault="000F47AC" w:rsidP="006E4DAE">
            <w:pPr>
              <w:pStyle w:val="TableText0"/>
              <w:keepNext w:val="0"/>
            </w:pPr>
            <w:r w:rsidRPr="009A0E7B">
              <w:t>1.00</w:t>
            </w:r>
          </w:p>
        </w:tc>
        <w:tc>
          <w:tcPr>
            <w:tcW w:w="2030" w:type="pct"/>
            <w:vMerge/>
            <w:vAlign w:val="center"/>
          </w:tcPr>
          <w:p w14:paraId="5F3FD9FA" w14:textId="77777777" w:rsidR="000F47AC" w:rsidRPr="009A0E7B" w:rsidRDefault="000F47AC" w:rsidP="006E4DAE">
            <w:pPr>
              <w:pStyle w:val="TableText0"/>
              <w:keepNext w:val="0"/>
            </w:pPr>
          </w:p>
        </w:tc>
      </w:tr>
      <w:tr w:rsidR="000F47AC" w:rsidRPr="009A0E7B" w14:paraId="1A02394A" w14:textId="77777777" w:rsidTr="00FF4F83">
        <w:tc>
          <w:tcPr>
            <w:tcW w:w="858" w:type="pct"/>
            <w:vMerge/>
            <w:vAlign w:val="center"/>
          </w:tcPr>
          <w:p w14:paraId="4B63AADF" w14:textId="77777777" w:rsidR="000F47AC" w:rsidRPr="009A0E7B" w:rsidRDefault="000F47AC" w:rsidP="006E4DAE">
            <w:pPr>
              <w:pStyle w:val="TableText0"/>
              <w:keepNext w:val="0"/>
            </w:pPr>
          </w:p>
        </w:tc>
        <w:tc>
          <w:tcPr>
            <w:tcW w:w="1591" w:type="pct"/>
            <w:vAlign w:val="center"/>
          </w:tcPr>
          <w:p w14:paraId="499F0B0C" w14:textId="77777777" w:rsidR="000F47AC" w:rsidRPr="009A0E7B" w:rsidRDefault="000F47AC" w:rsidP="006E4DAE">
            <w:pPr>
              <w:pStyle w:val="TableText0"/>
              <w:keepNext w:val="0"/>
            </w:pPr>
            <w:r w:rsidRPr="009A0E7B">
              <w:t>ADA 20/40 mg = 4.35/year</w:t>
            </w:r>
          </w:p>
        </w:tc>
        <w:tc>
          <w:tcPr>
            <w:tcW w:w="522" w:type="pct"/>
            <w:vAlign w:val="center"/>
          </w:tcPr>
          <w:p w14:paraId="7577A39F" w14:textId="77777777" w:rsidR="000F47AC" w:rsidRPr="009A0E7B" w:rsidRDefault="000F47AC" w:rsidP="006E4DAE">
            <w:pPr>
              <w:pStyle w:val="TableText0"/>
              <w:keepNext w:val="0"/>
            </w:pPr>
            <w:r w:rsidRPr="009A0E7B">
              <w:t>3.00</w:t>
            </w:r>
          </w:p>
        </w:tc>
        <w:tc>
          <w:tcPr>
            <w:tcW w:w="2030" w:type="pct"/>
            <w:vMerge/>
            <w:vAlign w:val="center"/>
          </w:tcPr>
          <w:p w14:paraId="09CD09EB" w14:textId="77777777" w:rsidR="000F47AC" w:rsidRPr="009A0E7B" w:rsidRDefault="000F47AC" w:rsidP="006E4DAE">
            <w:pPr>
              <w:pStyle w:val="TableText0"/>
              <w:keepNext w:val="0"/>
            </w:pPr>
          </w:p>
        </w:tc>
      </w:tr>
      <w:tr w:rsidR="000F47AC" w:rsidRPr="009A0E7B" w14:paraId="4D588B1C" w14:textId="77777777" w:rsidTr="00FF4F83">
        <w:tc>
          <w:tcPr>
            <w:tcW w:w="858" w:type="pct"/>
            <w:vMerge/>
            <w:vAlign w:val="center"/>
          </w:tcPr>
          <w:p w14:paraId="625C9935" w14:textId="77777777" w:rsidR="000F47AC" w:rsidRPr="009A0E7B" w:rsidRDefault="000F47AC" w:rsidP="006E4DAE">
            <w:pPr>
              <w:pStyle w:val="TableText0"/>
              <w:keepNext w:val="0"/>
            </w:pPr>
          </w:p>
        </w:tc>
        <w:tc>
          <w:tcPr>
            <w:tcW w:w="1591" w:type="pct"/>
            <w:vAlign w:val="center"/>
          </w:tcPr>
          <w:p w14:paraId="156E717B" w14:textId="77777777" w:rsidR="000F47AC" w:rsidRPr="009A0E7B" w:rsidRDefault="000F47AC" w:rsidP="006E4DAE">
            <w:pPr>
              <w:pStyle w:val="TableText0"/>
              <w:keepNext w:val="0"/>
            </w:pPr>
            <w:r w:rsidRPr="009A0E7B">
              <w:t>VED 300 mg = 7.1/year</w:t>
            </w:r>
          </w:p>
        </w:tc>
        <w:tc>
          <w:tcPr>
            <w:tcW w:w="522" w:type="pct"/>
            <w:vAlign w:val="center"/>
          </w:tcPr>
          <w:p w14:paraId="49042C63" w14:textId="77777777" w:rsidR="000F47AC" w:rsidRPr="009A0E7B" w:rsidRDefault="000F47AC" w:rsidP="006E4DAE">
            <w:pPr>
              <w:pStyle w:val="TableText0"/>
              <w:keepNext w:val="0"/>
            </w:pPr>
            <w:r w:rsidRPr="009A0E7B">
              <w:t>1.83</w:t>
            </w:r>
          </w:p>
        </w:tc>
        <w:tc>
          <w:tcPr>
            <w:tcW w:w="2030" w:type="pct"/>
            <w:vMerge/>
            <w:vAlign w:val="center"/>
          </w:tcPr>
          <w:p w14:paraId="4027AE5A" w14:textId="77777777" w:rsidR="000F47AC" w:rsidRPr="009A0E7B" w:rsidRDefault="000F47AC" w:rsidP="006E4DAE">
            <w:pPr>
              <w:pStyle w:val="TableText0"/>
              <w:keepNext w:val="0"/>
            </w:pPr>
          </w:p>
        </w:tc>
      </w:tr>
      <w:tr w:rsidR="000F47AC" w:rsidRPr="009A0E7B" w14:paraId="6E11B49D" w14:textId="77777777" w:rsidTr="00FF4F83">
        <w:tc>
          <w:tcPr>
            <w:tcW w:w="858" w:type="pct"/>
            <w:vMerge/>
            <w:vAlign w:val="center"/>
          </w:tcPr>
          <w:p w14:paraId="58DD97E6" w14:textId="77777777" w:rsidR="000F47AC" w:rsidRPr="009A0E7B" w:rsidRDefault="000F47AC" w:rsidP="006E4DAE">
            <w:pPr>
              <w:pStyle w:val="TableText0"/>
              <w:keepNext w:val="0"/>
            </w:pPr>
          </w:p>
        </w:tc>
        <w:tc>
          <w:tcPr>
            <w:tcW w:w="1591" w:type="pct"/>
            <w:vAlign w:val="center"/>
          </w:tcPr>
          <w:p w14:paraId="48192D84" w14:textId="77777777" w:rsidR="000F47AC" w:rsidRPr="009A0E7B" w:rsidRDefault="000F47AC" w:rsidP="006E4DAE">
            <w:pPr>
              <w:pStyle w:val="TableText0"/>
              <w:keepNext w:val="0"/>
            </w:pPr>
            <w:r w:rsidRPr="009A0E7B">
              <w:t>IFX 400 mg = 6.5/year</w:t>
            </w:r>
          </w:p>
        </w:tc>
        <w:tc>
          <w:tcPr>
            <w:tcW w:w="522" w:type="pct"/>
            <w:vAlign w:val="center"/>
          </w:tcPr>
          <w:p w14:paraId="08F40E6D" w14:textId="77777777" w:rsidR="000F47AC" w:rsidRPr="009A0E7B" w:rsidRDefault="000F47AC" w:rsidP="006E4DAE">
            <w:pPr>
              <w:pStyle w:val="TableText0"/>
              <w:keepNext w:val="0"/>
            </w:pPr>
            <w:r w:rsidRPr="009A0E7B">
              <w:t>2.00</w:t>
            </w:r>
          </w:p>
        </w:tc>
        <w:tc>
          <w:tcPr>
            <w:tcW w:w="2030" w:type="pct"/>
            <w:vMerge/>
            <w:vAlign w:val="center"/>
          </w:tcPr>
          <w:p w14:paraId="15DA2D8A" w14:textId="77777777" w:rsidR="000F47AC" w:rsidRPr="009A0E7B" w:rsidRDefault="000F47AC" w:rsidP="006E4DAE">
            <w:pPr>
              <w:pStyle w:val="TableText0"/>
              <w:keepNext w:val="0"/>
            </w:pPr>
          </w:p>
        </w:tc>
      </w:tr>
      <w:tr w:rsidR="000F47AC" w:rsidRPr="009A0E7B" w14:paraId="217BFF65" w14:textId="77777777" w:rsidTr="00FF4F83">
        <w:tc>
          <w:tcPr>
            <w:tcW w:w="858" w:type="pct"/>
            <w:vMerge/>
            <w:vAlign w:val="center"/>
          </w:tcPr>
          <w:p w14:paraId="384ACEB1" w14:textId="77777777" w:rsidR="000F47AC" w:rsidRPr="009A0E7B" w:rsidRDefault="000F47AC" w:rsidP="006E4DAE">
            <w:pPr>
              <w:pStyle w:val="TableText0"/>
              <w:keepNext w:val="0"/>
            </w:pPr>
          </w:p>
        </w:tc>
        <w:tc>
          <w:tcPr>
            <w:tcW w:w="1591" w:type="pct"/>
            <w:vAlign w:val="center"/>
          </w:tcPr>
          <w:p w14:paraId="28E82642" w14:textId="77777777" w:rsidR="000F47AC" w:rsidRPr="009A0E7B" w:rsidRDefault="000F47AC" w:rsidP="006E4DAE">
            <w:pPr>
              <w:pStyle w:val="TableText0"/>
              <w:keepNext w:val="0"/>
            </w:pPr>
            <w:r w:rsidRPr="009A0E7B">
              <w:t>IFX biosimilar (11796W/11461F) 400 mg = 2.17/year</w:t>
            </w:r>
          </w:p>
        </w:tc>
        <w:tc>
          <w:tcPr>
            <w:tcW w:w="522" w:type="pct"/>
            <w:vAlign w:val="center"/>
          </w:tcPr>
          <w:p w14:paraId="6D10702A" w14:textId="77777777" w:rsidR="000F47AC" w:rsidRPr="009A0E7B" w:rsidRDefault="000F47AC" w:rsidP="006E4DAE">
            <w:pPr>
              <w:pStyle w:val="TableText0"/>
              <w:keepNext w:val="0"/>
            </w:pPr>
            <w:r w:rsidRPr="009A0E7B">
              <w:t>6.00</w:t>
            </w:r>
          </w:p>
        </w:tc>
        <w:tc>
          <w:tcPr>
            <w:tcW w:w="2030" w:type="pct"/>
            <w:vMerge/>
            <w:vAlign w:val="center"/>
          </w:tcPr>
          <w:p w14:paraId="2AABF252" w14:textId="77777777" w:rsidR="000F47AC" w:rsidRPr="009A0E7B" w:rsidRDefault="000F47AC" w:rsidP="006E4DAE">
            <w:pPr>
              <w:pStyle w:val="TableText0"/>
              <w:keepNext w:val="0"/>
            </w:pPr>
          </w:p>
        </w:tc>
      </w:tr>
      <w:tr w:rsidR="000F47AC" w:rsidRPr="009A0E7B" w14:paraId="5FBF26D4" w14:textId="77777777" w:rsidTr="00FF4F83">
        <w:tc>
          <w:tcPr>
            <w:tcW w:w="858" w:type="pct"/>
            <w:vMerge/>
            <w:vAlign w:val="center"/>
          </w:tcPr>
          <w:p w14:paraId="2D0183BC" w14:textId="77777777" w:rsidR="000F47AC" w:rsidRPr="009A0E7B" w:rsidRDefault="000F47AC" w:rsidP="006E4DAE">
            <w:pPr>
              <w:pStyle w:val="TableText0"/>
              <w:keepNext w:val="0"/>
            </w:pPr>
          </w:p>
        </w:tc>
        <w:tc>
          <w:tcPr>
            <w:tcW w:w="1591" w:type="pct"/>
            <w:vAlign w:val="center"/>
          </w:tcPr>
          <w:p w14:paraId="2E27860F" w14:textId="77777777" w:rsidR="000F47AC" w:rsidRPr="009A0E7B" w:rsidRDefault="000F47AC" w:rsidP="006E4DAE">
            <w:pPr>
              <w:pStyle w:val="TableText0"/>
              <w:keepNext w:val="0"/>
            </w:pPr>
            <w:r w:rsidRPr="009A0E7B">
              <w:t>GOL 100 mg = 13/year</w:t>
            </w:r>
          </w:p>
        </w:tc>
        <w:tc>
          <w:tcPr>
            <w:tcW w:w="522" w:type="pct"/>
            <w:vAlign w:val="center"/>
          </w:tcPr>
          <w:p w14:paraId="3D4EC138" w14:textId="77777777" w:rsidR="000F47AC" w:rsidRPr="009A0E7B" w:rsidRDefault="000F47AC" w:rsidP="006E4DAE">
            <w:pPr>
              <w:pStyle w:val="TableText0"/>
              <w:keepNext w:val="0"/>
            </w:pPr>
            <w:r w:rsidRPr="009A0E7B">
              <w:t>1.00</w:t>
            </w:r>
          </w:p>
        </w:tc>
        <w:tc>
          <w:tcPr>
            <w:tcW w:w="2030" w:type="pct"/>
            <w:vMerge/>
            <w:vAlign w:val="center"/>
          </w:tcPr>
          <w:p w14:paraId="11575E09" w14:textId="77777777" w:rsidR="000F47AC" w:rsidRPr="009A0E7B" w:rsidRDefault="000F47AC" w:rsidP="006E4DAE">
            <w:pPr>
              <w:pStyle w:val="TableText0"/>
              <w:keepNext w:val="0"/>
            </w:pPr>
          </w:p>
        </w:tc>
      </w:tr>
      <w:tr w:rsidR="000F47AC" w:rsidRPr="009A0E7B" w14:paraId="3A51D1F6" w14:textId="77777777" w:rsidTr="00FF4F83">
        <w:tc>
          <w:tcPr>
            <w:tcW w:w="858" w:type="pct"/>
            <w:vAlign w:val="center"/>
          </w:tcPr>
          <w:p w14:paraId="43418F9F" w14:textId="77777777" w:rsidR="000F47AC" w:rsidRPr="009A0E7B" w:rsidRDefault="000F47AC" w:rsidP="006E4DAE">
            <w:pPr>
              <w:pStyle w:val="TableText0"/>
              <w:keepNext w:val="0"/>
            </w:pPr>
            <w:r w:rsidRPr="009A0E7B">
              <w:t>Compliance</w:t>
            </w:r>
          </w:p>
        </w:tc>
        <w:tc>
          <w:tcPr>
            <w:tcW w:w="2113" w:type="pct"/>
            <w:gridSpan w:val="2"/>
            <w:vAlign w:val="center"/>
          </w:tcPr>
          <w:p w14:paraId="452FA339" w14:textId="77777777" w:rsidR="000F47AC" w:rsidRPr="009A0E7B" w:rsidRDefault="000F47AC" w:rsidP="006E4DAE">
            <w:pPr>
              <w:pStyle w:val="TableText0"/>
              <w:keepNext w:val="0"/>
            </w:pPr>
            <w:r w:rsidRPr="009A0E7B">
              <w:t>100%</w:t>
            </w:r>
          </w:p>
        </w:tc>
        <w:tc>
          <w:tcPr>
            <w:tcW w:w="2030" w:type="pct"/>
            <w:vAlign w:val="center"/>
          </w:tcPr>
          <w:p w14:paraId="4F95A117" w14:textId="42A2B395" w:rsidR="000F47AC" w:rsidRPr="009A0E7B" w:rsidRDefault="000F47AC" w:rsidP="00686468">
            <w:pPr>
              <w:pStyle w:val="TableText0"/>
              <w:keepNext w:val="0"/>
            </w:pPr>
            <w:r w:rsidRPr="009A0E7B">
              <w:t xml:space="preserve">TOF PSD March 2019, PBAC meeting. </w:t>
            </w:r>
          </w:p>
        </w:tc>
      </w:tr>
      <w:tr w:rsidR="000F47AC" w:rsidRPr="009A0E7B" w14:paraId="7E11D456" w14:textId="77777777" w:rsidTr="00FF4F83">
        <w:tc>
          <w:tcPr>
            <w:tcW w:w="5000" w:type="pct"/>
            <w:gridSpan w:val="4"/>
            <w:vAlign w:val="center"/>
          </w:tcPr>
          <w:p w14:paraId="6FF0A5B4" w14:textId="77777777" w:rsidR="000F47AC" w:rsidRPr="009A0E7B" w:rsidRDefault="000F47AC" w:rsidP="00FF4F83">
            <w:pPr>
              <w:keepNext/>
              <w:jc w:val="left"/>
              <w:rPr>
                <w:rFonts w:ascii="Arial Narrow" w:eastAsiaTheme="majorEastAsia" w:hAnsi="Arial Narrow" w:cs="Times New Roman"/>
                <w:b/>
                <w:bCs/>
                <w:sz w:val="20"/>
              </w:rPr>
            </w:pPr>
            <w:r w:rsidRPr="009A0E7B">
              <w:rPr>
                <w:rFonts w:ascii="Arial Narrow" w:eastAsiaTheme="majorEastAsia" w:hAnsi="Arial Narrow" w:cs="Times New Roman"/>
                <w:b/>
                <w:bCs/>
                <w:sz w:val="20"/>
              </w:rPr>
              <w:t>Costs</w:t>
            </w:r>
          </w:p>
        </w:tc>
      </w:tr>
      <w:tr w:rsidR="000F47AC" w:rsidRPr="009A0E7B" w14:paraId="062D78EF" w14:textId="77777777" w:rsidTr="00FF4F83">
        <w:tc>
          <w:tcPr>
            <w:tcW w:w="858" w:type="pct"/>
            <w:vAlign w:val="center"/>
          </w:tcPr>
          <w:p w14:paraId="0D0BE174" w14:textId="77777777" w:rsidR="000F47AC" w:rsidRPr="009A0E7B" w:rsidRDefault="000F47AC" w:rsidP="00FF4F83">
            <w:pPr>
              <w:keepNext/>
              <w:jc w:val="left"/>
              <w:rPr>
                <w:rFonts w:ascii="Arial Narrow" w:eastAsiaTheme="majorEastAsia" w:hAnsi="Arial Narrow" w:cs="Times New Roman"/>
                <w:b/>
                <w:bCs/>
                <w:sz w:val="20"/>
              </w:rPr>
            </w:pPr>
            <w:r w:rsidRPr="009A0E7B">
              <w:rPr>
                <w:rFonts w:ascii="Arial Narrow" w:eastAsiaTheme="majorEastAsia" w:hAnsi="Arial Narrow" w:cs="Times New Roman"/>
                <w:b/>
                <w:bCs/>
                <w:sz w:val="20"/>
              </w:rPr>
              <w:t>Ozanimod</w:t>
            </w:r>
          </w:p>
        </w:tc>
        <w:tc>
          <w:tcPr>
            <w:tcW w:w="1591" w:type="pct"/>
            <w:vAlign w:val="center"/>
          </w:tcPr>
          <w:p w14:paraId="1BD4DC82" w14:textId="77777777" w:rsidR="000F47AC" w:rsidRPr="009A0E7B" w:rsidRDefault="000F47AC" w:rsidP="00FF4F83">
            <w:pPr>
              <w:keepNext/>
              <w:jc w:val="center"/>
              <w:rPr>
                <w:rFonts w:ascii="Arial Narrow" w:eastAsiaTheme="majorEastAsia" w:hAnsi="Arial Narrow" w:cs="Times New Roman"/>
                <w:bCs/>
                <w:sz w:val="20"/>
              </w:rPr>
            </w:pPr>
            <w:r w:rsidRPr="009A0E7B">
              <w:rPr>
                <w:rFonts w:ascii="Arial Narrow" w:eastAsiaTheme="majorEastAsia" w:hAnsi="Arial Narrow" w:cs="Times New Roman"/>
                <w:bCs/>
                <w:sz w:val="20"/>
              </w:rPr>
              <w:t>EMP</w:t>
            </w:r>
          </w:p>
        </w:tc>
        <w:tc>
          <w:tcPr>
            <w:tcW w:w="522" w:type="pct"/>
            <w:vAlign w:val="center"/>
          </w:tcPr>
          <w:p w14:paraId="501C3800" w14:textId="77777777" w:rsidR="000F47AC" w:rsidRPr="009A0E7B" w:rsidRDefault="000F47AC" w:rsidP="00FF4F83">
            <w:pPr>
              <w:keepNext/>
              <w:jc w:val="center"/>
              <w:rPr>
                <w:rFonts w:ascii="Arial Narrow" w:eastAsiaTheme="majorEastAsia" w:hAnsi="Arial Narrow" w:cs="Times New Roman"/>
                <w:bCs/>
                <w:sz w:val="20"/>
              </w:rPr>
            </w:pPr>
            <w:r w:rsidRPr="009A0E7B">
              <w:rPr>
                <w:rFonts w:ascii="Arial Narrow" w:eastAsiaTheme="majorEastAsia" w:hAnsi="Arial Narrow" w:cs="Times New Roman"/>
                <w:bCs/>
                <w:sz w:val="20"/>
              </w:rPr>
              <w:t>DPMQ</w:t>
            </w:r>
          </w:p>
        </w:tc>
        <w:tc>
          <w:tcPr>
            <w:tcW w:w="2030" w:type="pct"/>
            <w:vMerge w:val="restart"/>
            <w:vAlign w:val="center"/>
          </w:tcPr>
          <w:p w14:paraId="659D2A7E" w14:textId="77777777" w:rsidR="000F47AC" w:rsidRPr="009A0E7B" w:rsidRDefault="000F47AC" w:rsidP="00FF4F83">
            <w:pPr>
              <w:keepNext/>
              <w:jc w:val="left"/>
              <w:rPr>
                <w:rFonts w:ascii="Arial Narrow" w:eastAsiaTheme="majorEastAsia" w:hAnsi="Arial Narrow" w:cs="Times New Roman"/>
                <w:bCs/>
                <w:sz w:val="20"/>
              </w:rPr>
            </w:pPr>
            <w:r w:rsidRPr="009A0E7B">
              <w:rPr>
                <w:rFonts w:ascii="Arial Narrow" w:eastAsiaTheme="majorEastAsia" w:hAnsi="Arial Narrow" w:cs="Times New Roman"/>
                <w:bCs/>
                <w:sz w:val="20"/>
              </w:rPr>
              <w:t>Requested published price</w:t>
            </w:r>
          </w:p>
          <w:p w14:paraId="59742373" w14:textId="77777777" w:rsidR="000F47AC" w:rsidRPr="009A0E7B" w:rsidRDefault="000F47AC" w:rsidP="00FF4F83">
            <w:pPr>
              <w:keepNext/>
              <w:jc w:val="left"/>
              <w:rPr>
                <w:rFonts w:ascii="Arial Narrow" w:eastAsiaTheme="majorEastAsia" w:hAnsi="Arial Narrow" w:cs="Times New Roman"/>
                <w:bCs/>
                <w:sz w:val="20"/>
              </w:rPr>
            </w:pPr>
            <w:r w:rsidRPr="009A0E7B">
              <w:rPr>
                <w:rFonts w:ascii="Arial Narrow" w:eastAsiaTheme="majorEastAsia" w:hAnsi="Arial Narrow" w:cs="Times New Roman"/>
                <w:bCs/>
                <w:sz w:val="20"/>
              </w:rPr>
              <w:t>(Requested effective price)</w:t>
            </w:r>
          </w:p>
          <w:p w14:paraId="5780E065" w14:textId="26399FD4" w:rsidR="000F47AC" w:rsidRPr="009A0E7B" w:rsidRDefault="000F47AC" w:rsidP="00FF4F83">
            <w:pPr>
              <w:keepNext/>
              <w:jc w:val="left"/>
              <w:rPr>
                <w:rFonts w:ascii="Arial Narrow" w:eastAsiaTheme="majorEastAsia" w:hAnsi="Arial Narrow" w:cs="Times New Roman"/>
                <w:bCs/>
                <w:sz w:val="20"/>
              </w:rPr>
            </w:pPr>
            <w:r w:rsidRPr="009A0E7B">
              <w:rPr>
                <w:rFonts w:ascii="Arial Narrow" w:eastAsiaTheme="majorEastAsia" w:hAnsi="Arial Narrow" w:cs="Times New Roman"/>
                <w:bCs/>
                <w:sz w:val="20"/>
              </w:rPr>
              <w:t>The</w:t>
            </w:r>
            <w:r w:rsidR="001370D2" w:rsidRPr="009A0E7B">
              <w:rPr>
                <w:rFonts w:ascii="Arial Narrow" w:eastAsiaTheme="majorEastAsia" w:hAnsi="Arial Narrow" w:cs="Times New Roman"/>
                <w:bCs/>
                <w:sz w:val="20"/>
              </w:rPr>
              <w:t xml:space="preserve"> proposed</w:t>
            </w:r>
            <w:r w:rsidRPr="009A0E7B">
              <w:rPr>
                <w:rFonts w:ascii="Arial Narrow" w:eastAsiaTheme="majorEastAsia" w:hAnsi="Arial Narrow" w:cs="Times New Roman"/>
                <w:bCs/>
                <w:sz w:val="20"/>
              </w:rPr>
              <w:t xml:space="preserve"> effective EMP was revised as $</w:t>
            </w:r>
            <w:r w:rsidR="00B77D4B" w:rsidRPr="00B77D4B">
              <w:rPr>
                <w:rFonts w:ascii="Arial Narrow" w:eastAsiaTheme="majorEastAsia" w:hAnsi="Arial Narrow" w:cs="Times New Roman"/>
                <w:bCs/>
                <w:color w:val="000000"/>
                <w:spacing w:val="52"/>
                <w:sz w:val="20"/>
                <w:shd w:val="solid" w:color="000000" w:fill="000000"/>
                <w:fitText w:val="330" w:id="-1504475897"/>
                <w14:textFill>
                  <w14:solidFill>
                    <w14:srgbClr w14:val="000000">
                      <w14:alpha w14:val="100000"/>
                    </w14:srgbClr>
                  </w14:solidFill>
                </w14:textFill>
              </w:rPr>
              <w:t>|||</w:t>
            </w:r>
            <w:r w:rsidR="00B77D4B" w:rsidRPr="00B77D4B">
              <w:rPr>
                <w:rFonts w:ascii="Arial Narrow" w:eastAsiaTheme="majorEastAsia" w:hAnsi="Arial Narrow" w:cs="Times New Roman"/>
                <w:bCs/>
                <w:color w:val="000000"/>
                <w:spacing w:val="2"/>
                <w:sz w:val="20"/>
                <w:shd w:val="solid" w:color="000000" w:fill="000000"/>
                <w:fitText w:val="330" w:id="-1504475897"/>
                <w14:textFill>
                  <w14:solidFill>
                    <w14:srgbClr w14:val="000000">
                      <w14:alpha w14:val="100000"/>
                    </w14:srgbClr>
                  </w14:solidFill>
                </w14:textFill>
              </w:rPr>
              <w:t>|</w:t>
            </w:r>
            <w:r w:rsidRPr="009A0E7B">
              <w:rPr>
                <w:rFonts w:ascii="Arial Narrow" w:eastAsiaTheme="majorEastAsia" w:hAnsi="Arial Narrow" w:cs="Times New Roman"/>
                <w:bCs/>
                <w:sz w:val="20"/>
              </w:rPr>
              <w:t>and $</w:t>
            </w:r>
            <w:r w:rsidR="00B77D4B" w:rsidRPr="00B77D4B">
              <w:rPr>
                <w:rFonts w:ascii="Arial Narrow" w:eastAsiaTheme="majorEastAsia" w:hAnsi="Arial Narrow" w:cs="Times New Roman"/>
                <w:bCs/>
                <w:color w:val="000000"/>
                <w:spacing w:val="52"/>
                <w:sz w:val="20"/>
                <w:shd w:val="solid" w:color="000000" w:fill="000000"/>
                <w:fitText w:val="330" w:id="-1504475896"/>
                <w14:textFill>
                  <w14:solidFill>
                    <w14:srgbClr w14:val="000000">
                      <w14:alpha w14:val="100000"/>
                    </w14:srgbClr>
                  </w14:solidFill>
                </w14:textFill>
              </w:rPr>
              <w:t>|||</w:t>
            </w:r>
            <w:r w:rsidR="00B77D4B" w:rsidRPr="00B77D4B">
              <w:rPr>
                <w:rFonts w:ascii="Arial Narrow" w:eastAsiaTheme="majorEastAsia" w:hAnsi="Arial Narrow" w:cs="Times New Roman"/>
                <w:bCs/>
                <w:color w:val="000000"/>
                <w:spacing w:val="2"/>
                <w:sz w:val="20"/>
                <w:shd w:val="solid" w:color="000000" w:fill="000000"/>
                <w:fitText w:val="330" w:id="-1504475896"/>
                <w14:textFill>
                  <w14:solidFill>
                    <w14:srgbClr w14:val="000000">
                      <w14:alpha w14:val="100000"/>
                    </w14:srgbClr>
                  </w14:solidFill>
                </w14:textFill>
              </w:rPr>
              <w:t>|</w:t>
            </w:r>
            <w:r w:rsidRPr="009A0E7B">
              <w:rPr>
                <w:rFonts w:ascii="Arial Narrow" w:eastAsiaTheme="majorEastAsia" w:hAnsi="Arial Narrow" w:cs="Times New Roman"/>
                <w:bCs/>
                <w:sz w:val="20"/>
              </w:rPr>
              <w:t xml:space="preserve">during the evaluation for OZA initiation and continuing packs, respectively, </w:t>
            </w:r>
            <w:proofErr w:type="gramStart"/>
            <w:r w:rsidRPr="009A0E7B">
              <w:rPr>
                <w:rFonts w:ascii="Arial Narrow" w:eastAsiaTheme="majorEastAsia" w:hAnsi="Arial Narrow" w:cs="Times New Roman"/>
                <w:bCs/>
                <w:sz w:val="20"/>
              </w:rPr>
              <w:t>on the basis of</w:t>
            </w:r>
            <w:proofErr w:type="gramEnd"/>
            <w:r w:rsidRPr="009A0E7B">
              <w:rPr>
                <w:rFonts w:ascii="Arial Narrow" w:eastAsiaTheme="majorEastAsia" w:hAnsi="Arial Narrow" w:cs="Times New Roman"/>
                <w:bCs/>
                <w:sz w:val="20"/>
              </w:rPr>
              <w:t xml:space="preserve"> CMA compared to </w:t>
            </w:r>
            <w:r w:rsidRPr="009A0E7B">
              <w:rPr>
                <w:rStyle w:val="TableTextChar0"/>
                <w:sz w:val="20"/>
                <w:szCs w:val="20"/>
              </w:rPr>
              <w:t xml:space="preserve">IFX </w:t>
            </w:r>
            <w:r w:rsidR="001370D2" w:rsidRPr="009A0E7B">
              <w:rPr>
                <w:rStyle w:val="TableTextChar0"/>
                <w:sz w:val="20"/>
                <w:szCs w:val="20"/>
              </w:rPr>
              <w:t>IV</w:t>
            </w:r>
            <w:r w:rsidRPr="009A0E7B">
              <w:rPr>
                <w:rFonts w:ascii="Arial Narrow" w:eastAsiaTheme="majorEastAsia" w:hAnsi="Arial Narrow" w:cs="Times New Roman"/>
                <w:bCs/>
                <w:sz w:val="20"/>
                <w:szCs w:val="20"/>
              </w:rPr>
              <w:t>.</w:t>
            </w:r>
          </w:p>
        </w:tc>
      </w:tr>
      <w:tr w:rsidR="000F47AC" w:rsidRPr="009A0E7B" w14:paraId="63F89233" w14:textId="77777777" w:rsidTr="00FF4F83">
        <w:trPr>
          <w:trHeight w:val="492"/>
        </w:trPr>
        <w:tc>
          <w:tcPr>
            <w:tcW w:w="858" w:type="pct"/>
            <w:vAlign w:val="center"/>
          </w:tcPr>
          <w:p w14:paraId="19850E11" w14:textId="77777777" w:rsidR="000F47AC" w:rsidRPr="009A0E7B" w:rsidRDefault="000F47AC" w:rsidP="006E4DAE">
            <w:pPr>
              <w:jc w:val="left"/>
              <w:rPr>
                <w:rFonts w:ascii="Arial Narrow" w:eastAsiaTheme="majorEastAsia" w:hAnsi="Arial Narrow" w:cs="Times New Roman"/>
                <w:bCs/>
                <w:sz w:val="20"/>
              </w:rPr>
            </w:pPr>
            <w:r w:rsidRPr="009A0E7B">
              <w:rPr>
                <w:rFonts w:ascii="Arial Narrow" w:eastAsiaTheme="majorEastAsia" w:hAnsi="Arial Narrow" w:cs="Times New Roman"/>
                <w:bCs/>
                <w:sz w:val="20"/>
                <w:szCs w:val="20"/>
              </w:rPr>
              <w:t>0.23 mg capsules [4] &amp; 0.46 mg [3] capsules</w:t>
            </w:r>
          </w:p>
        </w:tc>
        <w:tc>
          <w:tcPr>
            <w:tcW w:w="1591" w:type="pct"/>
            <w:vAlign w:val="center"/>
          </w:tcPr>
          <w:p w14:paraId="20796038" w14:textId="77777777" w:rsidR="000F47AC" w:rsidRPr="009A0E7B" w:rsidRDefault="000F47AC" w:rsidP="006E4DAE">
            <w:pPr>
              <w:jc w:val="center"/>
              <w:rPr>
                <w:rFonts w:ascii="Arial Narrow" w:eastAsiaTheme="majorEastAsia" w:hAnsi="Arial Narrow" w:cs="Times New Roman"/>
                <w:bCs/>
                <w:sz w:val="20"/>
              </w:rPr>
            </w:pPr>
            <w:r w:rsidRPr="006862CA">
              <w:rPr>
                <w:rFonts w:ascii="Arial Narrow" w:eastAsiaTheme="majorEastAsia" w:hAnsi="Arial Narrow" w:cs="Times New Roman"/>
                <w:bCs/>
                <w:sz w:val="20"/>
              </w:rPr>
              <w:t>$514.57</w:t>
            </w:r>
          </w:p>
          <w:p w14:paraId="6B6D071A" w14:textId="48A0F35B" w:rsidR="000F47AC" w:rsidRPr="009A0E7B" w:rsidRDefault="000F47AC" w:rsidP="006E4DAE">
            <w:pPr>
              <w:jc w:val="center"/>
              <w:rPr>
                <w:rFonts w:ascii="Arial Narrow" w:eastAsiaTheme="majorEastAsia" w:hAnsi="Arial Narrow" w:cs="Times New Roman"/>
                <w:bCs/>
                <w:sz w:val="20"/>
              </w:rPr>
            </w:pPr>
            <w:r w:rsidRPr="009A0E7B">
              <w:rPr>
                <w:rFonts w:ascii="Arial Narrow" w:eastAsiaTheme="majorEastAsia" w:hAnsi="Arial Narrow" w:cs="Times New Roman"/>
                <w:bCs/>
                <w:sz w:val="20"/>
              </w:rPr>
              <w:t>($</w:t>
            </w:r>
            <w:r w:rsidR="00B77D4B" w:rsidRPr="00B77D4B">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Pr="009A0E7B">
              <w:rPr>
                <w:rFonts w:ascii="Arial Narrow" w:eastAsiaTheme="majorEastAsia" w:hAnsi="Arial Narrow" w:cs="Times New Roman"/>
                <w:bCs/>
                <w:sz w:val="20"/>
              </w:rPr>
              <w:t>)</w:t>
            </w:r>
          </w:p>
        </w:tc>
        <w:tc>
          <w:tcPr>
            <w:tcW w:w="522" w:type="pct"/>
            <w:vAlign w:val="center"/>
          </w:tcPr>
          <w:p w14:paraId="50B66A94" w14:textId="77777777" w:rsidR="000F47AC" w:rsidRPr="009A0E7B" w:rsidRDefault="000F47AC" w:rsidP="006E4DAE">
            <w:pPr>
              <w:jc w:val="center"/>
              <w:rPr>
                <w:rFonts w:ascii="Arial Narrow" w:eastAsiaTheme="majorEastAsia" w:hAnsi="Arial Narrow" w:cs="Times New Roman"/>
                <w:bCs/>
                <w:sz w:val="20"/>
              </w:rPr>
            </w:pPr>
            <w:r w:rsidRPr="006862CA">
              <w:rPr>
                <w:rFonts w:ascii="Arial Narrow" w:eastAsiaTheme="majorEastAsia" w:hAnsi="Arial Narrow" w:cs="Times New Roman"/>
                <w:bCs/>
                <w:sz w:val="20"/>
              </w:rPr>
              <w:t>$588.01</w:t>
            </w:r>
          </w:p>
          <w:p w14:paraId="01238C9B" w14:textId="2D7D2D4F" w:rsidR="000F47AC" w:rsidRPr="009A0E7B" w:rsidRDefault="000F47AC" w:rsidP="006E4DAE">
            <w:pPr>
              <w:jc w:val="center"/>
              <w:rPr>
                <w:rFonts w:ascii="Arial Narrow" w:eastAsiaTheme="majorEastAsia" w:hAnsi="Arial Narrow" w:cs="Times New Roman"/>
                <w:bCs/>
                <w:sz w:val="20"/>
              </w:rPr>
            </w:pPr>
            <w:r w:rsidRPr="009A0E7B">
              <w:rPr>
                <w:rFonts w:ascii="Arial Narrow" w:eastAsiaTheme="majorEastAsia" w:hAnsi="Arial Narrow" w:cs="Times New Roman"/>
                <w:bCs/>
                <w:sz w:val="20"/>
              </w:rPr>
              <w:t>($</w:t>
            </w:r>
            <w:r w:rsidR="00B77D4B" w:rsidRPr="00B77D4B">
              <w:rPr>
                <w:rFonts w:ascii="Arial Narrow" w:eastAsiaTheme="majorEastAsia" w:hAnsi="Arial Narrow" w:cs="Times New Roman"/>
                <w:bCs/>
                <w:color w:val="000000"/>
                <w:spacing w:val="194"/>
                <w:sz w:val="20"/>
                <w:shd w:val="solid" w:color="000000" w:fill="000000"/>
                <w:fitText w:val="280" w:id="-1504475895"/>
                <w14:textFill>
                  <w14:solidFill>
                    <w14:srgbClr w14:val="000000">
                      <w14:alpha w14:val="100000"/>
                    </w14:srgbClr>
                  </w14:solidFill>
                </w14:textFill>
              </w:rPr>
              <w:t>|</w:t>
            </w:r>
            <w:r w:rsidR="00B77D4B" w:rsidRPr="00B77D4B">
              <w:rPr>
                <w:rFonts w:ascii="Arial Narrow" w:eastAsiaTheme="majorEastAsia" w:hAnsi="Arial Narrow" w:cs="Times New Roman"/>
                <w:bCs/>
                <w:color w:val="000000"/>
                <w:spacing w:val="1"/>
                <w:sz w:val="20"/>
                <w:shd w:val="solid" w:color="000000" w:fill="000000"/>
                <w:fitText w:val="280" w:id="-1504475895"/>
                <w14:textFill>
                  <w14:solidFill>
                    <w14:srgbClr w14:val="000000">
                      <w14:alpha w14:val="100000"/>
                    </w14:srgbClr>
                  </w14:solidFill>
                </w14:textFill>
              </w:rPr>
              <w:t>|</w:t>
            </w:r>
            <w:r w:rsidRPr="009A0E7B">
              <w:rPr>
                <w:rFonts w:ascii="Arial Narrow" w:eastAsiaTheme="majorEastAsia" w:hAnsi="Arial Narrow" w:cs="Times New Roman"/>
                <w:bCs/>
                <w:sz w:val="20"/>
              </w:rPr>
              <w:t>)</w:t>
            </w:r>
          </w:p>
        </w:tc>
        <w:tc>
          <w:tcPr>
            <w:tcW w:w="2030" w:type="pct"/>
            <w:vMerge/>
            <w:vAlign w:val="center"/>
          </w:tcPr>
          <w:p w14:paraId="4BD5CBCF" w14:textId="77777777" w:rsidR="000F47AC" w:rsidRPr="009A0E7B" w:rsidRDefault="000F47AC" w:rsidP="006E4DAE">
            <w:pPr>
              <w:jc w:val="left"/>
              <w:rPr>
                <w:rFonts w:ascii="Arial Narrow" w:eastAsiaTheme="majorEastAsia" w:hAnsi="Arial Narrow" w:cs="Times New Roman"/>
                <w:bCs/>
                <w:i/>
                <w:sz w:val="20"/>
              </w:rPr>
            </w:pPr>
          </w:p>
        </w:tc>
      </w:tr>
      <w:tr w:rsidR="000F47AC" w:rsidRPr="009A0E7B" w14:paraId="2420A836" w14:textId="77777777" w:rsidTr="00FF4F83">
        <w:trPr>
          <w:trHeight w:val="210"/>
        </w:trPr>
        <w:tc>
          <w:tcPr>
            <w:tcW w:w="858" w:type="pct"/>
            <w:vAlign w:val="center"/>
          </w:tcPr>
          <w:p w14:paraId="520D9734" w14:textId="77777777" w:rsidR="000F47AC" w:rsidRPr="009A0E7B" w:rsidRDefault="000F47AC" w:rsidP="006E4DAE">
            <w:pPr>
              <w:jc w:val="left"/>
              <w:rPr>
                <w:rFonts w:ascii="Arial Narrow" w:eastAsiaTheme="majorEastAsia" w:hAnsi="Arial Narrow" w:cs="Times New Roman"/>
                <w:bCs/>
                <w:sz w:val="20"/>
              </w:rPr>
            </w:pPr>
            <w:r w:rsidRPr="009A0E7B">
              <w:rPr>
                <w:rFonts w:ascii="Arial Narrow" w:eastAsiaTheme="majorEastAsia" w:hAnsi="Arial Narrow" w:cs="Times New Roman"/>
                <w:bCs/>
                <w:sz w:val="20"/>
              </w:rPr>
              <w:t>0.92 mg capsules [28]</w:t>
            </w:r>
          </w:p>
        </w:tc>
        <w:tc>
          <w:tcPr>
            <w:tcW w:w="1591" w:type="pct"/>
            <w:vAlign w:val="center"/>
          </w:tcPr>
          <w:p w14:paraId="6E6E7636" w14:textId="77777777" w:rsidR="000F47AC" w:rsidRPr="009A0E7B" w:rsidRDefault="000F47AC" w:rsidP="006E4DAE">
            <w:pPr>
              <w:jc w:val="center"/>
              <w:rPr>
                <w:rFonts w:ascii="Arial Narrow" w:eastAsiaTheme="majorEastAsia" w:hAnsi="Arial Narrow" w:cs="Times New Roman"/>
                <w:bCs/>
                <w:sz w:val="20"/>
              </w:rPr>
            </w:pPr>
            <w:r w:rsidRPr="00A866AC">
              <w:rPr>
                <w:rFonts w:ascii="Arial Narrow" w:eastAsiaTheme="majorEastAsia" w:hAnsi="Arial Narrow" w:cs="Times New Roman"/>
                <w:bCs/>
                <w:sz w:val="20"/>
              </w:rPr>
              <w:t>$2,058.29</w:t>
            </w:r>
          </w:p>
          <w:p w14:paraId="1EB9EB08" w14:textId="71125010" w:rsidR="000F47AC" w:rsidRPr="009A0E7B" w:rsidRDefault="000F47AC" w:rsidP="006E4DAE">
            <w:pPr>
              <w:jc w:val="center"/>
              <w:rPr>
                <w:rFonts w:ascii="Arial Narrow" w:eastAsiaTheme="majorEastAsia" w:hAnsi="Arial Narrow" w:cs="Times New Roman"/>
                <w:bCs/>
                <w:sz w:val="20"/>
              </w:rPr>
            </w:pPr>
            <w:r w:rsidRPr="009A0E7B">
              <w:rPr>
                <w:rFonts w:ascii="Arial Narrow" w:eastAsiaTheme="majorEastAsia" w:hAnsi="Arial Narrow" w:cs="Times New Roman"/>
                <w:bCs/>
                <w:sz w:val="20"/>
              </w:rPr>
              <w:t>($</w:t>
            </w:r>
            <w:r w:rsidR="00B77D4B" w:rsidRPr="00B77D4B">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Pr="009A0E7B">
              <w:rPr>
                <w:rFonts w:ascii="Arial Narrow" w:eastAsiaTheme="majorEastAsia" w:hAnsi="Arial Narrow" w:cs="Times New Roman"/>
                <w:bCs/>
                <w:sz w:val="20"/>
              </w:rPr>
              <w:t>)</w:t>
            </w:r>
          </w:p>
        </w:tc>
        <w:tc>
          <w:tcPr>
            <w:tcW w:w="522" w:type="pct"/>
            <w:vAlign w:val="center"/>
          </w:tcPr>
          <w:p w14:paraId="5D7A5DA8" w14:textId="77777777" w:rsidR="000F47AC" w:rsidRPr="009A0E7B" w:rsidRDefault="000F47AC" w:rsidP="006E4DAE">
            <w:pPr>
              <w:jc w:val="center"/>
              <w:rPr>
                <w:rFonts w:ascii="Arial Narrow" w:eastAsiaTheme="majorEastAsia" w:hAnsi="Arial Narrow" w:cs="Times New Roman"/>
                <w:bCs/>
                <w:sz w:val="20"/>
              </w:rPr>
            </w:pPr>
            <w:r w:rsidRPr="00A866AC">
              <w:rPr>
                <w:rFonts w:ascii="Arial Narrow" w:eastAsiaTheme="majorEastAsia" w:hAnsi="Arial Narrow" w:cs="Times New Roman"/>
                <w:bCs/>
                <w:sz w:val="20"/>
              </w:rPr>
              <w:t>$2,219.51</w:t>
            </w:r>
          </w:p>
          <w:p w14:paraId="3A67E85F" w14:textId="352B014B" w:rsidR="000F47AC" w:rsidRPr="009A0E7B" w:rsidRDefault="000F47AC" w:rsidP="006E4DAE">
            <w:pPr>
              <w:jc w:val="center"/>
              <w:rPr>
                <w:rFonts w:ascii="Arial Narrow" w:eastAsiaTheme="majorEastAsia" w:hAnsi="Arial Narrow" w:cs="Times New Roman"/>
                <w:bCs/>
                <w:sz w:val="20"/>
              </w:rPr>
            </w:pPr>
            <w:r w:rsidRPr="009A0E7B">
              <w:rPr>
                <w:rFonts w:ascii="Arial Narrow" w:eastAsiaTheme="majorEastAsia" w:hAnsi="Arial Narrow" w:cs="Times New Roman"/>
                <w:bCs/>
                <w:sz w:val="20"/>
              </w:rPr>
              <w:t>($</w:t>
            </w:r>
            <w:r w:rsidR="00B77D4B" w:rsidRPr="00B77D4B">
              <w:rPr>
                <w:rFonts w:ascii="Arial Narrow" w:eastAsiaTheme="majorEastAsia" w:hAnsi="Arial Narrow" w:cs="Times New Roman"/>
                <w:bCs/>
                <w:color w:val="000000"/>
                <w:spacing w:val="194"/>
                <w:sz w:val="20"/>
                <w:shd w:val="solid" w:color="000000" w:fill="000000"/>
                <w:fitText w:val="280" w:id="-1504475894"/>
                <w14:textFill>
                  <w14:solidFill>
                    <w14:srgbClr w14:val="000000">
                      <w14:alpha w14:val="100000"/>
                    </w14:srgbClr>
                  </w14:solidFill>
                </w14:textFill>
              </w:rPr>
              <w:t>|</w:t>
            </w:r>
            <w:r w:rsidR="00B77D4B" w:rsidRPr="00B77D4B">
              <w:rPr>
                <w:rFonts w:ascii="Arial Narrow" w:eastAsiaTheme="majorEastAsia" w:hAnsi="Arial Narrow" w:cs="Times New Roman"/>
                <w:bCs/>
                <w:color w:val="000000"/>
                <w:spacing w:val="1"/>
                <w:sz w:val="20"/>
                <w:shd w:val="solid" w:color="000000" w:fill="000000"/>
                <w:fitText w:val="280" w:id="-1504475894"/>
                <w14:textFill>
                  <w14:solidFill>
                    <w14:srgbClr w14:val="000000">
                      <w14:alpha w14:val="100000"/>
                    </w14:srgbClr>
                  </w14:solidFill>
                </w14:textFill>
              </w:rPr>
              <w:t>|</w:t>
            </w:r>
            <w:r w:rsidRPr="009A0E7B">
              <w:rPr>
                <w:rFonts w:ascii="Arial Narrow" w:eastAsiaTheme="majorEastAsia" w:hAnsi="Arial Narrow" w:cs="Times New Roman"/>
                <w:bCs/>
                <w:sz w:val="20"/>
              </w:rPr>
              <w:t>)</w:t>
            </w:r>
          </w:p>
        </w:tc>
        <w:tc>
          <w:tcPr>
            <w:tcW w:w="2030" w:type="pct"/>
            <w:vMerge/>
            <w:vAlign w:val="center"/>
          </w:tcPr>
          <w:p w14:paraId="3F4A6565" w14:textId="77777777" w:rsidR="000F47AC" w:rsidRPr="009A0E7B" w:rsidRDefault="000F47AC" w:rsidP="006E4DAE">
            <w:pPr>
              <w:jc w:val="left"/>
              <w:rPr>
                <w:rFonts w:ascii="Arial Narrow" w:eastAsiaTheme="majorEastAsia" w:hAnsi="Arial Narrow" w:cs="Times New Roman"/>
                <w:bCs/>
                <w:sz w:val="20"/>
              </w:rPr>
            </w:pPr>
          </w:p>
        </w:tc>
      </w:tr>
    </w:tbl>
    <w:p w14:paraId="13E1F543" w14:textId="77777777" w:rsidR="000F47AC" w:rsidRPr="009A0E7B" w:rsidRDefault="000F47AC" w:rsidP="000F47AC">
      <w:pPr>
        <w:pStyle w:val="TableFigureFooter"/>
      </w:pPr>
      <w:r w:rsidRPr="009A0E7B">
        <w:t>Source: Tables 162-164, pp250-2 of the submission.</w:t>
      </w:r>
      <w:r w:rsidRPr="009A0E7B">
        <w:tab/>
      </w:r>
    </w:p>
    <w:p w14:paraId="5E8AD66B" w14:textId="718C9251" w:rsidR="000F47AC" w:rsidRPr="009A0E7B" w:rsidRDefault="000F47AC" w:rsidP="000F47AC">
      <w:pPr>
        <w:pStyle w:val="TableFigureFooter"/>
        <w:rPr>
          <w:rStyle w:val="CommentReference"/>
          <w:b w:val="0"/>
          <w:sz w:val="18"/>
          <w:szCs w:val="22"/>
        </w:rPr>
      </w:pPr>
      <w:r w:rsidRPr="009A0E7B">
        <w:t xml:space="preserve">ADA = adalimumab; </w:t>
      </w:r>
      <w:proofErr w:type="spellStart"/>
      <w:r w:rsidRPr="009A0E7B">
        <w:t>bDMARD</w:t>
      </w:r>
      <w:proofErr w:type="spellEnd"/>
      <w:r w:rsidRPr="009A0E7B">
        <w:t xml:space="preserve"> =</w:t>
      </w:r>
      <w:r w:rsidRPr="009A0E7B">
        <w:rPr>
          <w:rFonts w:eastAsiaTheme="minorHAnsi"/>
        </w:rPr>
        <w:t xml:space="preserve"> biologic disease-modifying anti-rheumatic drug</w:t>
      </w:r>
      <w:r w:rsidRPr="009A0E7B">
        <w:t>; DPMQ = dispensed price maximum quantity; EMP = ex-manufacturer price; GOL = golimumab; IFX = infliximab; IV = intravenous; MSUC = moderate to severe ulcerative colitis; OZA = ozanimod; PSD = public summary document; SC = subcutaneous; TOF = tofacitinib; VED = vedolizumab</w:t>
      </w:r>
      <w:r w:rsidR="00954999">
        <w:t>.</w:t>
      </w:r>
    </w:p>
    <w:p w14:paraId="7DBDDA11" w14:textId="3B0D46CC" w:rsidR="008F588B" w:rsidRPr="009A0E7B" w:rsidRDefault="008F588B" w:rsidP="008F588B">
      <w:pPr>
        <w:pStyle w:val="3-BodyText"/>
      </w:pPr>
      <w:r w:rsidRPr="009A0E7B">
        <w:t xml:space="preserve">The submission utilised Prospection 10% Data </w:t>
      </w:r>
      <w:r w:rsidRPr="009A0E7B">
        <w:rPr>
          <w:bCs/>
        </w:rPr>
        <w:t>(Jan 2015 – Dec 2020)</w:t>
      </w:r>
      <w:r w:rsidR="0080229B">
        <w:t xml:space="preserve"> to estimate the growth of the </w:t>
      </w:r>
      <w:r w:rsidRPr="009A0E7B">
        <w:t>DMARDs market. The exclusion of TOF, and SC form</w:t>
      </w:r>
      <w:r w:rsidR="0084726C" w:rsidRPr="009A0E7B">
        <w:t>ulations</w:t>
      </w:r>
      <w:r w:rsidRPr="009A0E7B">
        <w:t xml:space="preserve"> of IFX and VED in the analysis due to limited claims data may have failed to capture the impact of the recently listed subcutaneous formulations of IFX and VED, biosimilars of ADA</w:t>
      </w:r>
      <w:r w:rsidR="00D518C8" w:rsidRPr="009A0E7B">
        <w:t>,</w:t>
      </w:r>
      <w:r w:rsidRPr="009A0E7B">
        <w:t xml:space="preserve"> and the first oral therapy, TOF, </w:t>
      </w:r>
      <w:r w:rsidR="0080229B">
        <w:t xml:space="preserve">on the total market growth for </w:t>
      </w:r>
      <w:r w:rsidRPr="009A0E7B">
        <w:t xml:space="preserve">DMARDs in the treatment of MSUC. </w:t>
      </w:r>
    </w:p>
    <w:p w14:paraId="34AAD583" w14:textId="4EDF586C" w:rsidR="008F588B" w:rsidRPr="009A0E7B" w:rsidRDefault="008F588B" w:rsidP="008F588B">
      <w:pPr>
        <w:pStyle w:val="3-BodyText"/>
      </w:pPr>
      <w:r w:rsidRPr="009A0E7B">
        <w:t xml:space="preserve">The submission assumed that the listing of OZA will not affect current market growth and that OZA will substitute for listed </w:t>
      </w:r>
      <w:proofErr w:type="spellStart"/>
      <w:r w:rsidRPr="009A0E7B">
        <w:t>bDMARDs</w:t>
      </w:r>
      <w:proofErr w:type="spellEnd"/>
      <w:r w:rsidRPr="009A0E7B">
        <w:t xml:space="preserve"> of ADA, GOL, IFX, and VED. OZA, if listed, as a second oral treatment option for MSUC and with its different mechanism of action, may increase the market growth, particularly for patients who may have </w:t>
      </w:r>
      <w:r w:rsidRPr="009A0E7B">
        <w:lastRenderedPageBreak/>
        <w:t>ceased previous biologic treatment due to an inability to achieve long-term remission or disease control, and/or for whom injectable therapy is inconvenient or undesirable.</w:t>
      </w:r>
    </w:p>
    <w:p w14:paraId="69501407" w14:textId="714F9A5F" w:rsidR="00A018FD" w:rsidRPr="007858ED" w:rsidRDefault="00A018FD" w:rsidP="008F588B">
      <w:pPr>
        <w:pStyle w:val="3-BodyText"/>
      </w:pPr>
      <w:r w:rsidRPr="007858ED">
        <w:t>The PSCR acknowledged there had been recent changes to the PBS treatment landscape for MSUC, including the listing of an oral agent (TOF) and subcutaneous formulations of IFX and VED</w:t>
      </w:r>
      <w:r w:rsidR="00FD2694" w:rsidRPr="007858ED">
        <w:t>;</w:t>
      </w:r>
      <w:r w:rsidRPr="007858ED">
        <w:t xml:space="preserve"> however</w:t>
      </w:r>
      <w:r w:rsidR="00FD2694" w:rsidRPr="007858ED">
        <w:t>, it</w:t>
      </w:r>
      <w:r w:rsidRPr="007858ED">
        <w:t xml:space="preserve"> argued that these listings were recent and there was insufficient data available upon which to estimate the</w:t>
      </w:r>
      <w:r w:rsidR="00FD2694" w:rsidRPr="007858ED">
        <w:t>ir</w:t>
      </w:r>
      <w:r w:rsidRPr="007858ED">
        <w:t xml:space="preserve"> impact. The ESC considered this was reasonable</w:t>
      </w:r>
      <w:r w:rsidR="007226D6" w:rsidRPr="007858ED">
        <w:t xml:space="preserve"> and agreed that, where a </w:t>
      </w:r>
      <w:r w:rsidR="00387C47">
        <w:t>CMA</w:t>
      </w:r>
      <w:r w:rsidR="007226D6" w:rsidRPr="007858ED">
        <w:t xml:space="preserve"> is accepted</w:t>
      </w:r>
      <w:r w:rsidR="00A70498" w:rsidRPr="007858ED">
        <w:t>,</w:t>
      </w:r>
      <w:r w:rsidR="007226D6" w:rsidRPr="007858ED">
        <w:t xml:space="preserve"> the financial implications are likely to be minimal. </w:t>
      </w:r>
      <w:r w:rsidRPr="007858ED">
        <w:t xml:space="preserve"> </w:t>
      </w:r>
      <w:r w:rsidR="007226D6" w:rsidRPr="007858ED">
        <w:t>H</w:t>
      </w:r>
      <w:r w:rsidRPr="007858ED">
        <w:t>owever</w:t>
      </w:r>
      <w:r w:rsidR="007226D6" w:rsidRPr="007858ED">
        <w:t>, the ESC</w:t>
      </w:r>
      <w:r w:rsidRPr="007858ED">
        <w:t xml:space="preserve"> also considered it would be informative for the PBAC to </w:t>
      </w:r>
      <w:r w:rsidR="00FD2694" w:rsidRPr="007858ED">
        <w:t>see</w:t>
      </w:r>
      <w:r w:rsidRPr="007858ED">
        <w:t xml:space="preserve"> some preliminary utilisation data from these listings, particularly with the listing of TOF as the first oral agent for MSUC.</w:t>
      </w:r>
      <w:r w:rsidR="007858ED">
        <w:t xml:space="preserve"> The Pre-PBAC Response presented a summary of PBS data from the Medicare Statistics resource, which included some data on </w:t>
      </w:r>
      <w:r w:rsidR="00673F0B">
        <w:t>TOF</w:t>
      </w:r>
      <w:r w:rsidR="007858ED">
        <w:t xml:space="preserve"> and subcutaneous (SC) VED/IFX </w:t>
      </w:r>
      <w:proofErr w:type="gramStart"/>
      <w:r w:rsidR="007858ED">
        <w:t>prescribing, and</w:t>
      </w:r>
      <w:proofErr w:type="gramEnd"/>
      <w:r w:rsidR="007858ED">
        <w:t xml:space="preserve"> argued that while there had been some recent growth, this appeared to be largely driven by SC VED/IFX prescribing, which increased the number of prescriptions for these therapies due to the different dosing regimens for the SC forms (compared to the IV forms). </w:t>
      </w:r>
    </w:p>
    <w:p w14:paraId="15080BE8" w14:textId="30CF9DB6" w:rsidR="002553D8" w:rsidRPr="009A0E7B" w:rsidRDefault="008F588B" w:rsidP="002553D8">
      <w:pPr>
        <w:pStyle w:val="3-BodyText"/>
      </w:pPr>
      <w:r w:rsidRPr="009A0E7B">
        <w:t xml:space="preserve">The estimated net financial implications for the proposed listing of OZA for MSUC over the first 6 years are summarised </w:t>
      </w:r>
      <w:r w:rsidR="00E8049E" w:rsidRPr="009A0E7B">
        <w:t>in Table 14</w:t>
      </w:r>
      <w:r w:rsidR="00F70D9E">
        <w:t xml:space="preserve"> (revised during the evaluation to correct for </w:t>
      </w:r>
      <w:r w:rsidR="00AE0CAC" w:rsidRPr="009A0E7B">
        <w:t xml:space="preserve">annual growth rates and weighted uptake rates of individual </w:t>
      </w:r>
      <w:proofErr w:type="spellStart"/>
      <w:r w:rsidR="00AE0CAC" w:rsidRPr="009A0E7B">
        <w:t>bDMARDs</w:t>
      </w:r>
      <w:proofErr w:type="spellEnd"/>
      <w:r w:rsidR="00AE0CAC">
        <w:t xml:space="preserve">, the corrected daily cost of OZA on the basis of the CMA compared to IFX </w:t>
      </w:r>
      <w:proofErr w:type="gramStart"/>
      <w:r w:rsidR="00AE0CAC">
        <w:t>IV, and</w:t>
      </w:r>
      <w:proofErr w:type="gramEnd"/>
      <w:r w:rsidR="00AE0CAC">
        <w:t xml:space="preserve"> using MBS item 116)</w:t>
      </w:r>
      <w:r w:rsidRPr="009A0E7B">
        <w:t xml:space="preserve">. </w:t>
      </w:r>
    </w:p>
    <w:p w14:paraId="38EC053C" w14:textId="005B0B99" w:rsidR="00C25D9C" w:rsidRPr="009A0E7B" w:rsidRDefault="00BF65A4" w:rsidP="00E8049E">
      <w:pPr>
        <w:pStyle w:val="TableFigureHeading"/>
        <w:keepLines/>
      </w:pPr>
      <w:r w:rsidRPr="009A0E7B">
        <w:lastRenderedPageBreak/>
        <w:t>Table</w:t>
      </w:r>
      <w:r w:rsidR="00061BBD">
        <w:t xml:space="preserve"> 14</w:t>
      </w:r>
      <w:r w:rsidR="002A2F50" w:rsidRPr="009A0E7B">
        <w:rPr>
          <w:rStyle w:val="CommentReference"/>
          <w:b/>
          <w:szCs w:val="24"/>
        </w:rPr>
        <w:t>: Estimated use and financial implications</w:t>
      </w:r>
      <w:r w:rsidRPr="009A0E7B">
        <w:rPr>
          <w:rStyle w:val="CommentReference"/>
          <w:b/>
          <w:szCs w:val="24"/>
        </w:rPr>
        <w:t xml:space="preserve"> (based on effective price of OZA</w:t>
      </w:r>
      <w:r w:rsidR="00832AFC" w:rsidRPr="009A0E7B">
        <w:rPr>
          <w:rStyle w:val="CommentReference"/>
          <w:b/>
          <w:szCs w:val="24"/>
        </w:rPr>
        <w:t>, using published price of comparators</w:t>
      </w:r>
      <w:r w:rsidRPr="009A0E7B">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916"/>
        <w:gridCol w:w="209"/>
        <w:gridCol w:w="958"/>
        <w:gridCol w:w="168"/>
        <w:gridCol w:w="999"/>
        <w:gridCol w:w="126"/>
        <w:gridCol w:w="1041"/>
        <w:gridCol w:w="85"/>
        <w:gridCol w:w="1082"/>
        <w:gridCol w:w="43"/>
        <w:gridCol w:w="1127"/>
      </w:tblGrid>
      <w:tr w:rsidR="00BF65A4" w:rsidRPr="009A0E7B" w14:paraId="779F4824" w14:textId="77777777" w:rsidTr="006E4DAE">
        <w:trPr>
          <w:tblHeader/>
        </w:trPr>
        <w:tc>
          <w:tcPr>
            <w:tcW w:w="1255" w:type="pct"/>
            <w:shd w:val="clear" w:color="auto" w:fill="auto"/>
            <w:vAlign w:val="center"/>
          </w:tcPr>
          <w:p w14:paraId="4DE797F7" w14:textId="77777777" w:rsidR="00BF65A4" w:rsidRPr="009A0E7B" w:rsidRDefault="00BF65A4" w:rsidP="00E8049E">
            <w:pPr>
              <w:pStyle w:val="In-tableHeading"/>
              <w:keepLines/>
              <w:jc w:val="center"/>
              <w:rPr>
                <w:lang w:val="en-AU"/>
              </w:rPr>
            </w:pPr>
          </w:p>
        </w:tc>
        <w:tc>
          <w:tcPr>
            <w:tcW w:w="508" w:type="pct"/>
            <w:shd w:val="clear" w:color="auto" w:fill="auto"/>
          </w:tcPr>
          <w:p w14:paraId="48BDC502" w14:textId="77777777" w:rsidR="00BF65A4" w:rsidRPr="009A0E7B" w:rsidRDefault="00BF65A4" w:rsidP="00E8049E">
            <w:pPr>
              <w:pStyle w:val="In-tableHeading"/>
              <w:keepLines/>
              <w:jc w:val="center"/>
              <w:rPr>
                <w:lang w:val="en-AU"/>
              </w:rPr>
            </w:pPr>
            <w:r w:rsidRPr="009A0E7B">
              <w:rPr>
                <w:lang w:val="en-AU"/>
              </w:rPr>
              <w:t>2022</w:t>
            </w:r>
          </w:p>
        </w:tc>
        <w:tc>
          <w:tcPr>
            <w:tcW w:w="647" w:type="pct"/>
            <w:gridSpan w:val="2"/>
            <w:shd w:val="clear" w:color="auto" w:fill="auto"/>
          </w:tcPr>
          <w:p w14:paraId="333BB53E" w14:textId="77777777" w:rsidR="00BF65A4" w:rsidRPr="009A0E7B" w:rsidRDefault="00BF65A4" w:rsidP="00E8049E">
            <w:pPr>
              <w:pStyle w:val="In-tableHeading"/>
              <w:keepLines/>
              <w:jc w:val="center"/>
              <w:rPr>
                <w:lang w:val="en-AU"/>
              </w:rPr>
            </w:pPr>
            <w:r w:rsidRPr="009A0E7B">
              <w:rPr>
                <w:lang w:val="en-AU"/>
              </w:rPr>
              <w:t>2023</w:t>
            </w:r>
          </w:p>
        </w:tc>
        <w:tc>
          <w:tcPr>
            <w:tcW w:w="647" w:type="pct"/>
            <w:gridSpan w:val="2"/>
            <w:shd w:val="clear" w:color="auto" w:fill="auto"/>
          </w:tcPr>
          <w:p w14:paraId="14A4EB5C" w14:textId="77777777" w:rsidR="00BF65A4" w:rsidRPr="009A0E7B" w:rsidRDefault="00BF65A4" w:rsidP="00E8049E">
            <w:pPr>
              <w:pStyle w:val="In-tableHeading"/>
              <w:keepLines/>
              <w:jc w:val="center"/>
              <w:rPr>
                <w:lang w:val="en-AU"/>
              </w:rPr>
            </w:pPr>
            <w:r w:rsidRPr="009A0E7B">
              <w:rPr>
                <w:lang w:val="en-AU"/>
              </w:rPr>
              <w:t>2024</w:t>
            </w:r>
          </w:p>
        </w:tc>
        <w:tc>
          <w:tcPr>
            <w:tcW w:w="647" w:type="pct"/>
            <w:gridSpan w:val="2"/>
            <w:shd w:val="clear" w:color="auto" w:fill="auto"/>
          </w:tcPr>
          <w:p w14:paraId="15E5E81D" w14:textId="77777777" w:rsidR="00BF65A4" w:rsidRPr="009A0E7B" w:rsidRDefault="00BF65A4" w:rsidP="00E8049E">
            <w:pPr>
              <w:pStyle w:val="In-tableHeading"/>
              <w:keepLines/>
              <w:jc w:val="center"/>
              <w:rPr>
                <w:lang w:val="en-AU"/>
              </w:rPr>
            </w:pPr>
            <w:r w:rsidRPr="009A0E7B">
              <w:rPr>
                <w:lang w:val="en-AU"/>
              </w:rPr>
              <w:t>2025</w:t>
            </w:r>
          </w:p>
        </w:tc>
        <w:tc>
          <w:tcPr>
            <w:tcW w:w="647" w:type="pct"/>
            <w:gridSpan w:val="2"/>
            <w:shd w:val="clear" w:color="auto" w:fill="auto"/>
          </w:tcPr>
          <w:p w14:paraId="30066326" w14:textId="77777777" w:rsidR="00BF65A4" w:rsidRPr="009A0E7B" w:rsidRDefault="00BF65A4" w:rsidP="00E8049E">
            <w:pPr>
              <w:pStyle w:val="In-tableHeading"/>
              <w:keepLines/>
              <w:jc w:val="center"/>
              <w:rPr>
                <w:lang w:val="en-AU"/>
              </w:rPr>
            </w:pPr>
            <w:r w:rsidRPr="009A0E7B">
              <w:rPr>
                <w:lang w:val="en-AU"/>
              </w:rPr>
              <w:t>2026</w:t>
            </w:r>
          </w:p>
        </w:tc>
        <w:tc>
          <w:tcPr>
            <w:tcW w:w="649" w:type="pct"/>
            <w:gridSpan w:val="2"/>
          </w:tcPr>
          <w:p w14:paraId="00166EA4" w14:textId="77777777" w:rsidR="00BF65A4" w:rsidRPr="009A0E7B" w:rsidRDefault="00BF65A4" w:rsidP="00E8049E">
            <w:pPr>
              <w:pStyle w:val="In-tableHeading"/>
              <w:keepLines/>
              <w:jc w:val="center"/>
              <w:rPr>
                <w:lang w:val="en-AU"/>
              </w:rPr>
            </w:pPr>
            <w:r w:rsidRPr="009A0E7B">
              <w:rPr>
                <w:lang w:val="en-AU"/>
              </w:rPr>
              <w:t>2027</w:t>
            </w:r>
          </w:p>
        </w:tc>
      </w:tr>
      <w:tr w:rsidR="00BF65A4" w:rsidRPr="009A0E7B" w14:paraId="66161878" w14:textId="77777777" w:rsidTr="006E4DAE">
        <w:tc>
          <w:tcPr>
            <w:tcW w:w="5000" w:type="pct"/>
            <w:gridSpan w:val="12"/>
            <w:shd w:val="clear" w:color="auto" w:fill="auto"/>
            <w:vAlign w:val="center"/>
          </w:tcPr>
          <w:p w14:paraId="349F809F" w14:textId="77777777" w:rsidR="00BF65A4" w:rsidRPr="009A0E7B" w:rsidRDefault="00BF65A4" w:rsidP="00E8049E">
            <w:pPr>
              <w:pStyle w:val="In-tableHeading"/>
              <w:keepLines/>
              <w:rPr>
                <w:bCs/>
                <w:color w:val="000000"/>
                <w:lang w:val="en-AU"/>
              </w:rPr>
            </w:pPr>
            <w:r w:rsidRPr="009A0E7B">
              <w:rPr>
                <w:bCs/>
                <w:color w:val="000000"/>
                <w:lang w:val="en-AU"/>
              </w:rPr>
              <w:t>Estimated extent of use</w:t>
            </w:r>
          </w:p>
        </w:tc>
      </w:tr>
      <w:tr w:rsidR="00BF65A4" w:rsidRPr="009A0E7B" w14:paraId="51B63982" w14:textId="77777777" w:rsidTr="006E4DAE">
        <w:tc>
          <w:tcPr>
            <w:tcW w:w="1255" w:type="pct"/>
            <w:shd w:val="clear" w:color="auto" w:fill="auto"/>
            <w:vAlign w:val="center"/>
          </w:tcPr>
          <w:p w14:paraId="78B5A315" w14:textId="6A454101" w:rsidR="00BF65A4" w:rsidRPr="009A0E7B" w:rsidRDefault="00BF65A4" w:rsidP="00E8049E">
            <w:pPr>
              <w:pStyle w:val="TableText0"/>
              <w:keepLines/>
              <w:rPr>
                <w:rFonts w:ascii="Times" w:hAnsi="Times"/>
              </w:rPr>
            </w:pPr>
          </w:p>
        </w:tc>
        <w:tc>
          <w:tcPr>
            <w:tcW w:w="624" w:type="pct"/>
            <w:gridSpan w:val="2"/>
            <w:shd w:val="clear" w:color="auto" w:fill="auto"/>
            <w:vAlign w:val="center"/>
          </w:tcPr>
          <w:p w14:paraId="6B3E679E" w14:textId="7DDBAF42" w:rsidR="00BF65A4" w:rsidRPr="009A0E7B" w:rsidRDefault="00BF65A4" w:rsidP="00E8049E">
            <w:pPr>
              <w:pStyle w:val="TableText0"/>
              <w:keepLines/>
              <w:jc w:val="center"/>
              <w:rPr>
                <w:color w:val="000000"/>
              </w:rPr>
            </w:pPr>
          </w:p>
        </w:tc>
        <w:tc>
          <w:tcPr>
            <w:tcW w:w="624" w:type="pct"/>
            <w:gridSpan w:val="2"/>
            <w:shd w:val="clear" w:color="auto" w:fill="auto"/>
            <w:vAlign w:val="center"/>
          </w:tcPr>
          <w:p w14:paraId="541A1680" w14:textId="6FDF6664" w:rsidR="00BF65A4" w:rsidRPr="009A0E7B" w:rsidRDefault="00BF65A4" w:rsidP="00E8049E">
            <w:pPr>
              <w:pStyle w:val="TableText0"/>
              <w:keepLines/>
              <w:jc w:val="center"/>
              <w:rPr>
                <w:color w:val="000000"/>
              </w:rPr>
            </w:pPr>
          </w:p>
        </w:tc>
        <w:tc>
          <w:tcPr>
            <w:tcW w:w="624" w:type="pct"/>
            <w:gridSpan w:val="2"/>
            <w:shd w:val="clear" w:color="auto" w:fill="auto"/>
            <w:vAlign w:val="center"/>
          </w:tcPr>
          <w:p w14:paraId="07DE2151" w14:textId="68680E6D" w:rsidR="00BF65A4" w:rsidRPr="009A0E7B" w:rsidRDefault="00BF65A4" w:rsidP="00E8049E">
            <w:pPr>
              <w:pStyle w:val="TableText0"/>
              <w:keepLines/>
              <w:jc w:val="center"/>
              <w:rPr>
                <w:color w:val="000000"/>
              </w:rPr>
            </w:pPr>
          </w:p>
        </w:tc>
        <w:tc>
          <w:tcPr>
            <w:tcW w:w="624" w:type="pct"/>
            <w:gridSpan w:val="2"/>
            <w:shd w:val="clear" w:color="auto" w:fill="auto"/>
            <w:vAlign w:val="center"/>
          </w:tcPr>
          <w:p w14:paraId="6FB0DAB8" w14:textId="7AFE4E6D" w:rsidR="00BF65A4" w:rsidRPr="009A0E7B" w:rsidRDefault="00BF65A4" w:rsidP="00E8049E">
            <w:pPr>
              <w:pStyle w:val="TableText0"/>
              <w:keepLines/>
              <w:jc w:val="center"/>
              <w:rPr>
                <w:color w:val="000000"/>
              </w:rPr>
            </w:pPr>
          </w:p>
        </w:tc>
        <w:tc>
          <w:tcPr>
            <w:tcW w:w="624" w:type="pct"/>
            <w:gridSpan w:val="2"/>
            <w:shd w:val="clear" w:color="auto" w:fill="auto"/>
            <w:vAlign w:val="center"/>
          </w:tcPr>
          <w:p w14:paraId="6EC3AAD2" w14:textId="09139BD8" w:rsidR="00BF65A4" w:rsidRPr="009A0E7B" w:rsidRDefault="00BF65A4" w:rsidP="00E8049E">
            <w:pPr>
              <w:pStyle w:val="TableText0"/>
              <w:keepLines/>
              <w:jc w:val="center"/>
              <w:rPr>
                <w:color w:val="000000"/>
              </w:rPr>
            </w:pPr>
          </w:p>
        </w:tc>
        <w:tc>
          <w:tcPr>
            <w:tcW w:w="625" w:type="pct"/>
            <w:vAlign w:val="center"/>
          </w:tcPr>
          <w:p w14:paraId="637D1C5E" w14:textId="504E64D7" w:rsidR="00BF65A4" w:rsidRPr="009A0E7B" w:rsidRDefault="00BF65A4" w:rsidP="00E8049E">
            <w:pPr>
              <w:pStyle w:val="TableText0"/>
              <w:keepLines/>
              <w:jc w:val="center"/>
              <w:rPr>
                <w:color w:val="000000"/>
              </w:rPr>
            </w:pPr>
          </w:p>
        </w:tc>
      </w:tr>
      <w:tr w:rsidR="00BF65A4" w:rsidRPr="009A0E7B" w14:paraId="6363117D" w14:textId="77777777" w:rsidTr="00694B02">
        <w:tc>
          <w:tcPr>
            <w:tcW w:w="1255" w:type="pct"/>
            <w:shd w:val="clear" w:color="auto" w:fill="auto"/>
            <w:vAlign w:val="center"/>
          </w:tcPr>
          <w:p w14:paraId="56C917A0" w14:textId="35CCD732" w:rsidR="00BF65A4" w:rsidRPr="009A0E7B" w:rsidRDefault="00673F0B" w:rsidP="00E8049E">
            <w:pPr>
              <w:pStyle w:val="TableText0"/>
              <w:keepLines/>
            </w:pPr>
            <w:r w:rsidRPr="009A0E7B">
              <w:t xml:space="preserve">Number of scripts dispensed (OZA </w:t>
            </w:r>
            <w:proofErr w:type="gramStart"/>
            <w:r w:rsidRPr="009A0E7B">
              <w:t>initiation)</w:t>
            </w:r>
            <w:r w:rsidR="00BF65A4" w:rsidRPr="009A0E7B">
              <w:rPr>
                <w:vertAlign w:val="superscript"/>
              </w:rPr>
              <w:t>a</w:t>
            </w:r>
            <w:proofErr w:type="gramEnd"/>
          </w:p>
        </w:tc>
        <w:tc>
          <w:tcPr>
            <w:tcW w:w="624" w:type="pct"/>
            <w:gridSpan w:val="2"/>
            <w:shd w:val="clear" w:color="auto" w:fill="auto"/>
            <w:vAlign w:val="center"/>
          </w:tcPr>
          <w:p w14:paraId="7B9C4870" w14:textId="3481C98F" w:rsidR="00BF65A4" w:rsidRPr="009A0E7B" w:rsidRDefault="00B77D4B" w:rsidP="00E8049E">
            <w:pPr>
              <w:pStyle w:val="TableText0"/>
              <w:keepLines/>
              <w:jc w:val="center"/>
            </w:pPr>
            <w:r w:rsidRPr="00B77D4B">
              <w:rPr>
                <w:rFonts w:hint="eastAsia"/>
                <w:color w:val="000000"/>
                <w:w w:val="15"/>
                <w:shd w:val="solid" w:color="000000" w:fill="000000"/>
                <w:fitText w:val="30" w:id="-1504475893"/>
                <w14:textFill>
                  <w14:solidFill>
                    <w14:srgbClr w14:val="000000">
                      <w14:alpha w14:val="100000"/>
                    </w14:srgbClr>
                  </w14:solidFill>
                </w14:textFill>
              </w:rPr>
              <w:t xml:space="preserve">　</w:t>
            </w:r>
            <w:r w:rsidRPr="00B77D4B">
              <w:rPr>
                <w:color w:val="000000"/>
                <w:w w:val="15"/>
                <w:shd w:val="solid" w:color="000000" w:fill="000000"/>
                <w:fitText w:val="30" w:id="-1504475893"/>
                <w14:textFill>
                  <w14:solidFill>
                    <w14:srgbClr w14:val="000000">
                      <w14:alpha w14:val="100000"/>
                    </w14:srgbClr>
                  </w14:solidFill>
                </w14:textFill>
              </w:rPr>
              <w:t>|</w:t>
            </w:r>
            <w:r w:rsidRPr="00B77D4B">
              <w:rPr>
                <w:rFonts w:hint="eastAsia"/>
                <w:color w:val="000000"/>
                <w:spacing w:val="-35"/>
                <w:w w:val="15"/>
                <w:shd w:val="solid" w:color="000000" w:fill="000000"/>
                <w:fitText w:val="30" w:id="-1504475893"/>
                <w14:textFill>
                  <w14:solidFill>
                    <w14:srgbClr w14:val="000000">
                      <w14:alpha w14:val="100000"/>
                    </w14:srgbClr>
                  </w14:solidFill>
                </w14:textFill>
              </w:rPr>
              <w:t xml:space="preserve">　</w:t>
            </w:r>
            <w:r w:rsidR="005826E5">
              <w:rPr>
                <w:vertAlign w:val="superscript"/>
              </w:rPr>
              <w:t>1</w:t>
            </w:r>
            <w:r w:rsidR="00BF65A4" w:rsidRPr="009A0E7B">
              <w:t xml:space="preserve"> </w:t>
            </w:r>
          </w:p>
        </w:tc>
        <w:tc>
          <w:tcPr>
            <w:tcW w:w="624" w:type="pct"/>
            <w:gridSpan w:val="2"/>
            <w:shd w:val="clear" w:color="auto" w:fill="auto"/>
            <w:vAlign w:val="center"/>
          </w:tcPr>
          <w:p w14:paraId="3593DF6F" w14:textId="44B38256" w:rsidR="00BF65A4" w:rsidRPr="009A0E7B" w:rsidRDefault="00B77D4B" w:rsidP="00E8049E">
            <w:pPr>
              <w:pStyle w:val="TableText0"/>
              <w:keepLines/>
              <w:jc w:val="center"/>
            </w:pPr>
            <w:r w:rsidRPr="00B77D4B">
              <w:rPr>
                <w:rFonts w:hint="eastAsia"/>
                <w:color w:val="000000"/>
                <w:w w:val="15"/>
                <w:shd w:val="solid" w:color="000000" w:fill="000000"/>
                <w:fitText w:val="30" w:id="-1504475892"/>
                <w14:textFill>
                  <w14:solidFill>
                    <w14:srgbClr w14:val="000000">
                      <w14:alpha w14:val="100000"/>
                    </w14:srgbClr>
                  </w14:solidFill>
                </w14:textFill>
              </w:rPr>
              <w:t xml:space="preserve">　</w:t>
            </w:r>
            <w:r w:rsidRPr="00B77D4B">
              <w:rPr>
                <w:color w:val="000000"/>
                <w:w w:val="15"/>
                <w:shd w:val="solid" w:color="000000" w:fill="000000"/>
                <w:fitText w:val="30" w:id="-1504475892"/>
                <w14:textFill>
                  <w14:solidFill>
                    <w14:srgbClr w14:val="000000">
                      <w14:alpha w14:val="100000"/>
                    </w14:srgbClr>
                  </w14:solidFill>
                </w14:textFill>
              </w:rPr>
              <w:t>|</w:t>
            </w:r>
            <w:r w:rsidRPr="00B77D4B">
              <w:rPr>
                <w:rFonts w:hint="eastAsia"/>
                <w:color w:val="000000"/>
                <w:spacing w:val="-35"/>
                <w:w w:val="15"/>
                <w:shd w:val="solid" w:color="000000" w:fill="000000"/>
                <w:fitText w:val="30" w:id="-1504475892"/>
                <w14:textFill>
                  <w14:solidFill>
                    <w14:srgbClr w14:val="000000">
                      <w14:alpha w14:val="100000"/>
                    </w14:srgbClr>
                  </w14:solidFill>
                </w14:textFill>
              </w:rPr>
              <w:t xml:space="preserve">　</w:t>
            </w:r>
            <w:r w:rsidR="005826E5">
              <w:rPr>
                <w:vertAlign w:val="superscript"/>
              </w:rPr>
              <w:t>1</w:t>
            </w:r>
            <w:r w:rsidR="00BF65A4" w:rsidRPr="009A0E7B">
              <w:t xml:space="preserve"> </w:t>
            </w:r>
          </w:p>
        </w:tc>
        <w:tc>
          <w:tcPr>
            <w:tcW w:w="624" w:type="pct"/>
            <w:gridSpan w:val="2"/>
            <w:shd w:val="clear" w:color="auto" w:fill="auto"/>
            <w:vAlign w:val="center"/>
          </w:tcPr>
          <w:p w14:paraId="04EF6AC9" w14:textId="08BCEB3A" w:rsidR="00BF65A4" w:rsidRPr="009A0E7B" w:rsidRDefault="00B77D4B" w:rsidP="00E8049E">
            <w:pPr>
              <w:pStyle w:val="TableText0"/>
              <w:keepLines/>
              <w:jc w:val="center"/>
            </w:pPr>
            <w:r w:rsidRPr="00B77D4B">
              <w:rPr>
                <w:rFonts w:hint="eastAsia"/>
                <w:color w:val="000000"/>
                <w:w w:val="15"/>
                <w:shd w:val="solid" w:color="000000" w:fill="000000"/>
                <w:fitText w:val="30" w:id="-1504475891"/>
                <w14:textFill>
                  <w14:solidFill>
                    <w14:srgbClr w14:val="000000">
                      <w14:alpha w14:val="100000"/>
                    </w14:srgbClr>
                  </w14:solidFill>
                </w14:textFill>
              </w:rPr>
              <w:t xml:space="preserve">　</w:t>
            </w:r>
            <w:r w:rsidRPr="00B77D4B">
              <w:rPr>
                <w:color w:val="000000"/>
                <w:w w:val="15"/>
                <w:shd w:val="solid" w:color="000000" w:fill="000000"/>
                <w:fitText w:val="30" w:id="-1504475891"/>
                <w14:textFill>
                  <w14:solidFill>
                    <w14:srgbClr w14:val="000000">
                      <w14:alpha w14:val="100000"/>
                    </w14:srgbClr>
                  </w14:solidFill>
                </w14:textFill>
              </w:rPr>
              <w:t>|</w:t>
            </w:r>
            <w:r w:rsidRPr="00B77D4B">
              <w:rPr>
                <w:rFonts w:hint="eastAsia"/>
                <w:color w:val="000000"/>
                <w:spacing w:val="-35"/>
                <w:w w:val="15"/>
                <w:shd w:val="solid" w:color="000000" w:fill="000000"/>
                <w:fitText w:val="30" w:id="-1504475891"/>
                <w14:textFill>
                  <w14:solidFill>
                    <w14:srgbClr w14:val="000000">
                      <w14:alpha w14:val="100000"/>
                    </w14:srgbClr>
                  </w14:solidFill>
                </w14:textFill>
              </w:rPr>
              <w:t xml:space="preserve">　</w:t>
            </w:r>
            <w:r w:rsidR="005826E5">
              <w:rPr>
                <w:vertAlign w:val="superscript"/>
              </w:rPr>
              <w:t>1</w:t>
            </w:r>
            <w:r w:rsidR="00BF65A4" w:rsidRPr="009A0E7B">
              <w:t xml:space="preserve"> </w:t>
            </w:r>
          </w:p>
        </w:tc>
        <w:tc>
          <w:tcPr>
            <w:tcW w:w="624" w:type="pct"/>
            <w:gridSpan w:val="2"/>
            <w:shd w:val="clear" w:color="auto" w:fill="auto"/>
            <w:vAlign w:val="center"/>
          </w:tcPr>
          <w:p w14:paraId="6FE0631B" w14:textId="038C221E" w:rsidR="00BF65A4" w:rsidRPr="009A0E7B" w:rsidRDefault="00B77D4B" w:rsidP="00E8049E">
            <w:pPr>
              <w:pStyle w:val="TableText0"/>
              <w:keepLines/>
              <w:jc w:val="center"/>
            </w:pPr>
            <w:r w:rsidRPr="00B77D4B">
              <w:rPr>
                <w:rFonts w:hint="eastAsia"/>
                <w:color w:val="000000"/>
                <w:w w:val="15"/>
                <w:shd w:val="solid" w:color="000000" w:fill="000000"/>
                <w:fitText w:val="30" w:id="-1504475890"/>
                <w14:textFill>
                  <w14:solidFill>
                    <w14:srgbClr w14:val="000000">
                      <w14:alpha w14:val="100000"/>
                    </w14:srgbClr>
                  </w14:solidFill>
                </w14:textFill>
              </w:rPr>
              <w:t xml:space="preserve">　</w:t>
            </w:r>
            <w:r w:rsidRPr="00B77D4B">
              <w:rPr>
                <w:color w:val="000000"/>
                <w:w w:val="15"/>
                <w:shd w:val="solid" w:color="000000" w:fill="000000"/>
                <w:fitText w:val="30" w:id="-1504475890"/>
                <w14:textFill>
                  <w14:solidFill>
                    <w14:srgbClr w14:val="000000">
                      <w14:alpha w14:val="100000"/>
                    </w14:srgbClr>
                  </w14:solidFill>
                </w14:textFill>
              </w:rPr>
              <w:t>|</w:t>
            </w:r>
            <w:r w:rsidRPr="00B77D4B">
              <w:rPr>
                <w:rFonts w:hint="eastAsia"/>
                <w:color w:val="000000"/>
                <w:spacing w:val="-35"/>
                <w:w w:val="15"/>
                <w:shd w:val="solid" w:color="000000" w:fill="000000"/>
                <w:fitText w:val="30" w:id="-1504475890"/>
                <w14:textFill>
                  <w14:solidFill>
                    <w14:srgbClr w14:val="000000">
                      <w14:alpha w14:val="100000"/>
                    </w14:srgbClr>
                  </w14:solidFill>
                </w14:textFill>
              </w:rPr>
              <w:t xml:space="preserve">　</w:t>
            </w:r>
            <w:r w:rsidR="005826E5">
              <w:rPr>
                <w:vertAlign w:val="superscript"/>
              </w:rPr>
              <w:t>1</w:t>
            </w:r>
            <w:r w:rsidR="00BF65A4" w:rsidRPr="009A0E7B">
              <w:t xml:space="preserve"> </w:t>
            </w:r>
          </w:p>
        </w:tc>
        <w:tc>
          <w:tcPr>
            <w:tcW w:w="624" w:type="pct"/>
            <w:gridSpan w:val="2"/>
            <w:shd w:val="clear" w:color="auto" w:fill="auto"/>
            <w:vAlign w:val="center"/>
          </w:tcPr>
          <w:p w14:paraId="0E46E498" w14:textId="3062F1E6" w:rsidR="00BF65A4" w:rsidRPr="009A0E7B" w:rsidRDefault="00B77D4B" w:rsidP="00E8049E">
            <w:pPr>
              <w:pStyle w:val="TableText0"/>
              <w:keepLines/>
              <w:jc w:val="center"/>
            </w:pPr>
            <w:r w:rsidRPr="00B77D4B">
              <w:rPr>
                <w:rFonts w:hint="eastAsia"/>
                <w:color w:val="000000"/>
                <w:w w:val="15"/>
                <w:shd w:val="solid" w:color="000000" w:fill="000000"/>
                <w:fitText w:val="30" w:id="-1504475889"/>
                <w14:textFill>
                  <w14:solidFill>
                    <w14:srgbClr w14:val="000000">
                      <w14:alpha w14:val="100000"/>
                    </w14:srgbClr>
                  </w14:solidFill>
                </w14:textFill>
              </w:rPr>
              <w:t xml:space="preserve">　</w:t>
            </w:r>
            <w:r w:rsidRPr="00B77D4B">
              <w:rPr>
                <w:color w:val="000000"/>
                <w:w w:val="15"/>
                <w:shd w:val="solid" w:color="000000" w:fill="000000"/>
                <w:fitText w:val="30" w:id="-1504475889"/>
                <w14:textFill>
                  <w14:solidFill>
                    <w14:srgbClr w14:val="000000">
                      <w14:alpha w14:val="100000"/>
                    </w14:srgbClr>
                  </w14:solidFill>
                </w14:textFill>
              </w:rPr>
              <w:t>|</w:t>
            </w:r>
            <w:r w:rsidRPr="00B77D4B">
              <w:rPr>
                <w:rFonts w:hint="eastAsia"/>
                <w:color w:val="000000"/>
                <w:spacing w:val="-35"/>
                <w:w w:val="15"/>
                <w:shd w:val="solid" w:color="000000" w:fill="000000"/>
                <w:fitText w:val="30" w:id="-1504475889"/>
                <w14:textFill>
                  <w14:solidFill>
                    <w14:srgbClr w14:val="000000">
                      <w14:alpha w14:val="100000"/>
                    </w14:srgbClr>
                  </w14:solidFill>
                </w14:textFill>
              </w:rPr>
              <w:t xml:space="preserve">　</w:t>
            </w:r>
            <w:r w:rsidR="005826E5">
              <w:rPr>
                <w:vertAlign w:val="superscript"/>
              </w:rPr>
              <w:t>1</w:t>
            </w:r>
            <w:r w:rsidR="00BF65A4" w:rsidRPr="009A0E7B">
              <w:t xml:space="preserve"> </w:t>
            </w:r>
          </w:p>
        </w:tc>
        <w:tc>
          <w:tcPr>
            <w:tcW w:w="625" w:type="pct"/>
            <w:vAlign w:val="center"/>
          </w:tcPr>
          <w:p w14:paraId="50BC5058" w14:textId="2D360128" w:rsidR="00BF65A4" w:rsidRPr="009A0E7B" w:rsidRDefault="00B77D4B" w:rsidP="00E8049E">
            <w:pPr>
              <w:pStyle w:val="TableText0"/>
              <w:keepLines/>
              <w:jc w:val="center"/>
            </w:pPr>
            <w:r w:rsidRPr="00B77D4B">
              <w:rPr>
                <w:rFonts w:hint="eastAsia"/>
                <w:color w:val="000000"/>
                <w:w w:val="15"/>
                <w:shd w:val="solid" w:color="000000" w:fill="000000"/>
                <w:fitText w:val="30" w:id="-1504475888"/>
                <w14:textFill>
                  <w14:solidFill>
                    <w14:srgbClr w14:val="000000">
                      <w14:alpha w14:val="100000"/>
                    </w14:srgbClr>
                  </w14:solidFill>
                </w14:textFill>
              </w:rPr>
              <w:t xml:space="preserve">　</w:t>
            </w:r>
            <w:r w:rsidRPr="00B77D4B">
              <w:rPr>
                <w:color w:val="000000"/>
                <w:w w:val="15"/>
                <w:shd w:val="solid" w:color="000000" w:fill="000000"/>
                <w:fitText w:val="30" w:id="-1504475888"/>
                <w14:textFill>
                  <w14:solidFill>
                    <w14:srgbClr w14:val="000000">
                      <w14:alpha w14:val="100000"/>
                    </w14:srgbClr>
                  </w14:solidFill>
                </w14:textFill>
              </w:rPr>
              <w:t>|</w:t>
            </w:r>
            <w:r w:rsidRPr="00B77D4B">
              <w:rPr>
                <w:rFonts w:hint="eastAsia"/>
                <w:color w:val="000000"/>
                <w:spacing w:val="-35"/>
                <w:w w:val="15"/>
                <w:shd w:val="solid" w:color="000000" w:fill="000000"/>
                <w:fitText w:val="30" w:id="-1504475888"/>
                <w14:textFill>
                  <w14:solidFill>
                    <w14:srgbClr w14:val="000000">
                      <w14:alpha w14:val="100000"/>
                    </w14:srgbClr>
                  </w14:solidFill>
                </w14:textFill>
              </w:rPr>
              <w:t xml:space="preserve">　</w:t>
            </w:r>
            <w:r w:rsidR="005826E5">
              <w:rPr>
                <w:vertAlign w:val="superscript"/>
              </w:rPr>
              <w:t>1</w:t>
            </w:r>
            <w:r w:rsidR="00BF65A4" w:rsidRPr="009A0E7B">
              <w:t xml:space="preserve"> </w:t>
            </w:r>
          </w:p>
        </w:tc>
      </w:tr>
      <w:tr w:rsidR="00BF65A4" w:rsidRPr="009A0E7B" w14:paraId="5D6F3BA8" w14:textId="77777777" w:rsidTr="00694B02">
        <w:tc>
          <w:tcPr>
            <w:tcW w:w="1255" w:type="pct"/>
            <w:shd w:val="clear" w:color="auto" w:fill="auto"/>
            <w:vAlign w:val="center"/>
          </w:tcPr>
          <w:p w14:paraId="0EAC2DFC" w14:textId="593E9174" w:rsidR="00BF65A4" w:rsidRPr="009A0E7B" w:rsidRDefault="00F15C07" w:rsidP="00E8049E">
            <w:pPr>
              <w:pStyle w:val="TableText0"/>
              <w:keepLines/>
            </w:pPr>
            <w:r w:rsidRPr="009A0E7B">
              <w:t xml:space="preserve">Number of scripts dispensed (OZA </w:t>
            </w:r>
            <w:proofErr w:type="gramStart"/>
            <w:r w:rsidRPr="009A0E7B">
              <w:t>continuing)</w:t>
            </w:r>
            <w:r w:rsidR="00BF65A4" w:rsidRPr="009A0E7B">
              <w:rPr>
                <w:vertAlign w:val="superscript"/>
              </w:rPr>
              <w:t>a</w:t>
            </w:r>
            <w:proofErr w:type="gramEnd"/>
          </w:p>
        </w:tc>
        <w:tc>
          <w:tcPr>
            <w:tcW w:w="624" w:type="pct"/>
            <w:gridSpan w:val="2"/>
            <w:shd w:val="clear" w:color="auto" w:fill="auto"/>
            <w:vAlign w:val="center"/>
          </w:tcPr>
          <w:p w14:paraId="7E6CC60E" w14:textId="759F2731" w:rsidR="00BF65A4" w:rsidRPr="005826E5" w:rsidRDefault="00B77D4B" w:rsidP="00E8049E">
            <w:pPr>
              <w:pStyle w:val="TableText0"/>
              <w:keepLines/>
              <w:jc w:val="center"/>
              <w:rPr>
                <w:vertAlign w:val="superscript"/>
              </w:rPr>
            </w:pPr>
            <w:r w:rsidRPr="00B77D4B">
              <w:rPr>
                <w:rFonts w:hint="eastAsia"/>
                <w:color w:val="000000"/>
                <w:w w:val="15"/>
                <w:shd w:val="solid" w:color="000000" w:fill="000000"/>
                <w:fitText w:val="30" w:id="-1504475904"/>
                <w14:textFill>
                  <w14:solidFill>
                    <w14:srgbClr w14:val="000000">
                      <w14:alpha w14:val="100000"/>
                    </w14:srgbClr>
                  </w14:solidFill>
                </w14:textFill>
              </w:rPr>
              <w:t xml:space="preserve">　</w:t>
            </w:r>
            <w:r w:rsidRPr="00B77D4B">
              <w:rPr>
                <w:color w:val="000000"/>
                <w:w w:val="15"/>
                <w:shd w:val="solid" w:color="000000" w:fill="000000"/>
                <w:fitText w:val="30" w:id="-1504475904"/>
                <w14:textFill>
                  <w14:solidFill>
                    <w14:srgbClr w14:val="000000">
                      <w14:alpha w14:val="100000"/>
                    </w14:srgbClr>
                  </w14:solidFill>
                </w14:textFill>
              </w:rPr>
              <w:t>|</w:t>
            </w:r>
            <w:r w:rsidRPr="00B77D4B">
              <w:rPr>
                <w:rFonts w:hint="eastAsia"/>
                <w:color w:val="000000"/>
                <w:spacing w:val="-35"/>
                <w:w w:val="15"/>
                <w:shd w:val="solid" w:color="000000" w:fill="000000"/>
                <w:fitText w:val="30" w:id="-1504475904"/>
                <w14:textFill>
                  <w14:solidFill>
                    <w14:srgbClr w14:val="000000">
                      <w14:alpha w14:val="100000"/>
                    </w14:srgbClr>
                  </w14:solidFill>
                </w14:textFill>
              </w:rPr>
              <w:t xml:space="preserve">　</w:t>
            </w:r>
            <w:r w:rsidR="005826E5">
              <w:rPr>
                <w:vertAlign w:val="superscript"/>
              </w:rPr>
              <w:t>2</w:t>
            </w:r>
            <w:r w:rsidR="00BF65A4" w:rsidRPr="009A0E7B">
              <w:t xml:space="preserve"> </w:t>
            </w:r>
          </w:p>
        </w:tc>
        <w:tc>
          <w:tcPr>
            <w:tcW w:w="624" w:type="pct"/>
            <w:gridSpan w:val="2"/>
            <w:shd w:val="clear" w:color="auto" w:fill="auto"/>
            <w:vAlign w:val="center"/>
          </w:tcPr>
          <w:p w14:paraId="2DF6F90E" w14:textId="5486FA20" w:rsidR="00BF65A4" w:rsidRPr="009A0E7B" w:rsidRDefault="00B77D4B" w:rsidP="00E8049E">
            <w:pPr>
              <w:pStyle w:val="TableText0"/>
              <w:keepLines/>
              <w:jc w:val="center"/>
            </w:pPr>
            <w:r w:rsidRPr="00B77D4B">
              <w:rPr>
                <w:rFonts w:hint="eastAsia"/>
                <w:color w:val="000000"/>
                <w:w w:val="15"/>
                <w:shd w:val="solid" w:color="000000" w:fill="000000"/>
                <w:fitText w:val="30" w:id="-1504475903"/>
                <w14:textFill>
                  <w14:solidFill>
                    <w14:srgbClr w14:val="000000">
                      <w14:alpha w14:val="100000"/>
                    </w14:srgbClr>
                  </w14:solidFill>
                </w14:textFill>
              </w:rPr>
              <w:t xml:space="preserve">　</w:t>
            </w:r>
            <w:r w:rsidRPr="00B77D4B">
              <w:rPr>
                <w:color w:val="000000"/>
                <w:w w:val="15"/>
                <w:shd w:val="solid" w:color="000000" w:fill="000000"/>
                <w:fitText w:val="30" w:id="-1504475903"/>
                <w14:textFill>
                  <w14:solidFill>
                    <w14:srgbClr w14:val="000000">
                      <w14:alpha w14:val="100000"/>
                    </w14:srgbClr>
                  </w14:solidFill>
                </w14:textFill>
              </w:rPr>
              <w:t>|</w:t>
            </w:r>
            <w:r w:rsidRPr="00B77D4B">
              <w:rPr>
                <w:rFonts w:hint="eastAsia"/>
                <w:color w:val="000000"/>
                <w:spacing w:val="-35"/>
                <w:w w:val="15"/>
                <w:shd w:val="solid" w:color="000000" w:fill="000000"/>
                <w:fitText w:val="30" w:id="-1504475903"/>
                <w14:textFill>
                  <w14:solidFill>
                    <w14:srgbClr w14:val="000000">
                      <w14:alpha w14:val="100000"/>
                    </w14:srgbClr>
                  </w14:solidFill>
                </w14:textFill>
              </w:rPr>
              <w:t xml:space="preserve">　</w:t>
            </w:r>
            <w:r w:rsidR="005826E5">
              <w:rPr>
                <w:vertAlign w:val="superscript"/>
              </w:rPr>
              <w:t>2</w:t>
            </w:r>
            <w:r w:rsidR="00BF65A4" w:rsidRPr="009A0E7B">
              <w:t xml:space="preserve"> </w:t>
            </w:r>
          </w:p>
        </w:tc>
        <w:tc>
          <w:tcPr>
            <w:tcW w:w="624" w:type="pct"/>
            <w:gridSpan w:val="2"/>
            <w:shd w:val="clear" w:color="auto" w:fill="auto"/>
            <w:vAlign w:val="center"/>
          </w:tcPr>
          <w:p w14:paraId="76BD4C33" w14:textId="6067BEDC" w:rsidR="00BF65A4" w:rsidRPr="009A0E7B" w:rsidRDefault="00B77D4B" w:rsidP="00E8049E">
            <w:pPr>
              <w:pStyle w:val="TableText0"/>
              <w:keepLines/>
              <w:jc w:val="center"/>
            </w:pPr>
            <w:r w:rsidRPr="00B77D4B">
              <w:rPr>
                <w:rFonts w:hint="eastAsia"/>
                <w:color w:val="000000"/>
                <w:w w:val="15"/>
                <w:shd w:val="solid" w:color="000000" w:fill="000000"/>
                <w:fitText w:val="30" w:id="-1504475902"/>
                <w14:textFill>
                  <w14:solidFill>
                    <w14:srgbClr w14:val="000000">
                      <w14:alpha w14:val="100000"/>
                    </w14:srgbClr>
                  </w14:solidFill>
                </w14:textFill>
              </w:rPr>
              <w:t xml:space="preserve">　</w:t>
            </w:r>
            <w:r w:rsidRPr="00B77D4B">
              <w:rPr>
                <w:color w:val="000000"/>
                <w:w w:val="15"/>
                <w:shd w:val="solid" w:color="000000" w:fill="000000"/>
                <w:fitText w:val="30" w:id="-1504475902"/>
                <w14:textFill>
                  <w14:solidFill>
                    <w14:srgbClr w14:val="000000">
                      <w14:alpha w14:val="100000"/>
                    </w14:srgbClr>
                  </w14:solidFill>
                </w14:textFill>
              </w:rPr>
              <w:t>|</w:t>
            </w:r>
            <w:r w:rsidRPr="00B77D4B">
              <w:rPr>
                <w:rFonts w:hint="eastAsia"/>
                <w:color w:val="000000"/>
                <w:spacing w:val="-35"/>
                <w:w w:val="15"/>
                <w:shd w:val="solid" w:color="000000" w:fill="000000"/>
                <w:fitText w:val="30" w:id="-1504475902"/>
                <w14:textFill>
                  <w14:solidFill>
                    <w14:srgbClr w14:val="000000">
                      <w14:alpha w14:val="100000"/>
                    </w14:srgbClr>
                  </w14:solidFill>
                </w14:textFill>
              </w:rPr>
              <w:t xml:space="preserve">　</w:t>
            </w:r>
            <w:r w:rsidR="005826E5">
              <w:rPr>
                <w:vertAlign w:val="superscript"/>
              </w:rPr>
              <w:t>2</w:t>
            </w:r>
            <w:r w:rsidR="00BF65A4" w:rsidRPr="009A0E7B">
              <w:t xml:space="preserve"> </w:t>
            </w:r>
          </w:p>
        </w:tc>
        <w:tc>
          <w:tcPr>
            <w:tcW w:w="624" w:type="pct"/>
            <w:gridSpan w:val="2"/>
            <w:shd w:val="clear" w:color="auto" w:fill="auto"/>
            <w:vAlign w:val="center"/>
          </w:tcPr>
          <w:p w14:paraId="5721309E" w14:textId="6A67942D" w:rsidR="00BF65A4" w:rsidRPr="009A0E7B" w:rsidRDefault="00B77D4B" w:rsidP="00E8049E">
            <w:pPr>
              <w:pStyle w:val="TableText0"/>
              <w:keepLines/>
              <w:jc w:val="center"/>
            </w:pPr>
            <w:r w:rsidRPr="00B77D4B">
              <w:rPr>
                <w:rFonts w:hint="eastAsia"/>
                <w:color w:val="000000"/>
                <w:w w:val="15"/>
                <w:shd w:val="solid" w:color="000000" w:fill="000000"/>
                <w:fitText w:val="30" w:id="-1504475901"/>
                <w14:textFill>
                  <w14:solidFill>
                    <w14:srgbClr w14:val="000000">
                      <w14:alpha w14:val="100000"/>
                    </w14:srgbClr>
                  </w14:solidFill>
                </w14:textFill>
              </w:rPr>
              <w:t xml:space="preserve">　</w:t>
            </w:r>
            <w:r w:rsidRPr="00B77D4B">
              <w:rPr>
                <w:color w:val="000000"/>
                <w:w w:val="15"/>
                <w:shd w:val="solid" w:color="000000" w:fill="000000"/>
                <w:fitText w:val="30" w:id="-1504475901"/>
                <w14:textFill>
                  <w14:solidFill>
                    <w14:srgbClr w14:val="000000">
                      <w14:alpha w14:val="100000"/>
                    </w14:srgbClr>
                  </w14:solidFill>
                </w14:textFill>
              </w:rPr>
              <w:t>|</w:t>
            </w:r>
            <w:r w:rsidRPr="00B77D4B">
              <w:rPr>
                <w:rFonts w:hint="eastAsia"/>
                <w:color w:val="000000"/>
                <w:spacing w:val="-35"/>
                <w:w w:val="15"/>
                <w:shd w:val="solid" w:color="000000" w:fill="000000"/>
                <w:fitText w:val="30" w:id="-1504475901"/>
                <w14:textFill>
                  <w14:solidFill>
                    <w14:srgbClr w14:val="000000">
                      <w14:alpha w14:val="100000"/>
                    </w14:srgbClr>
                  </w14:solidFill>
                </w14:textFill>
              </w:rPr>
              <w:t xml:space="preserve">　</w:t>
            </w:r>
            <w:r w:rsidR="005826E5">
              <w:rPr>
                <w:vertAlign w:val="superscript"/>
              </w:rPr>
              <w:t>2</w:t>
            </w:r>
            <w:r w:rsidR="00BF65A4" w:rsidRPr="009A0E7B">
              <w:t xml:space="preserve"> </w:t>
            </w:r>
          </w:p>
        </w:tc>
        <w:tc>
          <w:tcPr>
            <w:tcW w:w="624" w:type="pct"/>
            <w:gridSpan w:val="2"/>
            <w:shd w:val="clear" w:color="auto" w:fill="auto"/>
            <w:vAlign w:val="center"/>
          </w:tcPr>
          <w:p w14:paraId="2F531369" w14:textId="67C60935" w:rsidR="00BF65A4" w:rsidRPr="009A0E7B" w:rsidRDefault="00B77D4B" w:rsidP="00E8049E">
            <w:pPr>
              <w:pStyle w:val="TableText0"/>
              <w:keepLines/>
              <w:jc w:val="center"/>
            </w:pPr>
            <w:r w:rsidRPr="00B77D4B">
              <w:rPr>
                <w:rFonts w:hint="eastAsia"/>
                <w:color w:val="000000"/>
                <w:w w:val="15"/>
                <w:shd w:val="solid" w:color="000000" w:fill="000000"/>
                <w:fitText w:val="30" w:id="-1504475900"/>
                <w14:textFill>
                  <w14:solidFill>
                    <w14:srgbClr w14:val="000000">
                      <w14:alpha w14:val="100000"/>
                    </w14:srgbClr>
                  </w14:solidFill>
                </w14:textFill>
              </w:rPr>
              <w:t xml:space="preserve">　</w:t>
            </w:r>
            <w:r w:rsidRPr="00B77D4B">
              <w:rPr>
                <w:color w:val="000000"/>
                <w:w w:val="15"/>
                <w:shd w:val="solid" w:color="000000" w:fill="000000"/>
                <w:fitText w:val="30" w:id="-1504475900"/>
                <w14:textFill>
                  <w14:solidFill>
                    <w14:srgbClr w14:val="000000">
                      <w14:alpha w14:val="100000"/>
                    </w14:srgbClr>
                  </w14:solidFill>
                </w14:textFill>
              </w:rPr>
              <w:t>|</w:t>
            </w:r>
            <w:r w:rsidRPr="00B77D4B">
              <w:rPr>
                <w:rFonts w:hint="eastAsia"/>
                <w:color w:val="000000"/>
                <w:spacing w:val="-35"/>
                <w:w w:val="15"/>
                <w:shd w:val="solid" w:color="000000" w:fill="000000"/>
                <w:fitText w:val="30" w:id="-1504475900"/>
                <w14:textFill>
                  <w14:solidFill>
                    <w14:srgbClr w14:val="000000">
                      <w14:alpha w14:val="100000"/>
                    </w14:srgbClr>
                  </w14:solidFill>
                </w14:textFill>
              </w:rPr>
              <w:t xml:space="preserve">　</w:t>
            </w:r>
            <w:r w:rsidR="005826E5">
              <w:rPr>
                <w:vertAlign w:val="superscript"/>
              </w:rPr>
              <w:t>2</w:t>
            </w:r>
            <w:r w:rsidR="00BF65A4" w:rsidRPr="009A0E7B">
              <w:t xml:space="preserve"> </w:t>
            </w:r>
          </w:p>
        </w:tc>
        <w:tc>
          <w:tcPr>
            <w:tcW w:w="625" w:type="pct"/>
            <w:vAlign w:val="center"/>
          </w:tcPr>
          <w:p w14:paraId="211C8035" w14:textId="3911FF9F" w:rsidR="00BF65A4" w:rsidRPr="009A0E7B" w:rsidRDefault="00B77D4B" w:rsidP="00E8049E">
            <w:pPr>
              <w:pStyle w:val="TableText0"/>
              <w:keepLines/>
              <w:jc w:val="center"/>
            </w:pPr>
            <w:r w:rsidRPr="00B77D4B">
              <w:rPr>
                <w:rFonts w:hint="eastAsia"/>
                <w:color w:val="000000"/>
                <w:w w:val="15"/>
                <w:shd w:val="solid" w:color="000000" w:fill="000000"/>
                <w:fitText w:val="30" w:id="-1504475899"/>
                <w14:textFill>
                  <w14:solidFill>
                    <w14:srgbClr w14:val="000000">
                      <w14:alpha w14:val="100000"/>
                    </w14:srgbClr>
                  </w14:solidFill>
                </w14:textFill>
              </w:rPr>
              <w:t xml:space="preserve">　</w:t>
            </w:r>
            <w:r w:rsidRPr="00B77D4B">
              <w:rPr>
                <w:color w:val="000000"/>
                <w:w w:val="15"/>
                <w:shd w:val="solid" w:color="000000" w:fill="000000"/>
                <w:fitText w:val="30" w:id="-1504475899"/>
                <w14:textFill>
                  <w14:solidFill>
                    <w14:srgbClr w14:val="000000">
                      <w14:alpha w14:val="100000"/>
                    </w14:srgbClr>
                  </w14:solidFill>
                </w14:textFill>
              </w:rPr>
              <w:t>|</w:t>
            </w:r>
            <w:r w:rsidRPr="00B77D4B">
              <w:rPr>
                <w:rFonts w:hint="eastAsia"/>
                <w:color w:val="000000"/>
                <w:spacing w:val="-35"/>
                <w:w w:val="15"/>
                <w:shd w:val="solid" w:color="000000" w:fill="000000"/>
                <w:fitText w:val="30" w:id="-1504475899"/>
                <w14:textFill>
                  <w14:solidFill>
                    <w14:srgbClr w14:val="000000">
                      <w14:alpha w14:val="100000"/>
                    </w14:srgbClr>
                  </w14:solidFill>
                </w14:textFill>
              </w:rPr>
              <w:t xml:space="preserve">　</w:t>
            </w:r>
            <w:r w:rsidR="005826E5">
              <w:rPr>
                <w:vertAlign w:val="superscript"/>
              </w:rPr>
              <w:t>2</w:t>
            </w:r>
            <w:r w:rsidR="00BF65A4" w:rsidRPr="009A0E7B">
              <w:t xml:space="preserve"> </w:t>
            </w:r>
          </w:p>
        </w:tc>
      </w:tr>
      <w:tr w:rsidR="00BF65A4" w:rsidRPr="009A0E7B" w14:paraId="1EE6053E" w14:textId="77777777" w:rsidTr="006E4DAE">
        <w:tc>
          <w:tcPr>
            <w:tcW w:w="5000" w:type="pct"/>
            <w:gridSpan w:val="12"/>
            <w:shd w:val="clear" w:color="auto" w:fill="auto"/>
            <w:vAlign w:val="center"/>
          </w:tcPr>
          <w:p w14:paraId="0F508409" w14:textId="77777777" w:rsidR="00BF65A4" w:rsidRPr="009A0E7B" w:rsidRDefault="00BF65A4" w:rsidP="00E8049E">
            <w:pPr>
              <w:pStyle w:val="In-tableHeading"/>
              <w:keepLines/>
              <w:rPr>
                <w:lang w:val="en-AU"/>
              </w:rPr>
            </w:pPr>
            <w:r w:rsidRPr="009A0E7B">
              <w:rPr>
                <w:lang w:val="en-AU"/>
              </w:rPr>
              <w:t>Estimated financial implications of OZA</w:t>
            </w:r>
          </w:p>
        </w:tc>
      </w:tr>
      <w:tr w:rsidR="00BF65A4" w:rsidRPr="009A0E7B" w14:paraId="282FFF21" w14:textId="77777777" w:rsidTr="006E4DAE">
        <w:tc>
          <w:tcPr>
            <w:tcW w:w="1255" w:type="pct"/>
            <w:shd w:val="clear" w:color="auto" w:fill="auto"/>
            <w:vAlign w:val="center"/>
          </w:tcPr>
          <w:p w14:paraId="55EBC69E" w14:textId="505F042E" w:rsidR="00BF65A4" w:rsidRPr="009A0E7B" w:rsidRDefault="00773988" w:rsidP="00694B02">
            <w:pPr>
              <w:pStyle w:val="TableText0"/>
              <w:keepLines/>
              <w:rPr>
                <w:szCs w:val="20"/>
              </w:rPr>
            </w:pPr>
            <w:r w:rsidRPr="009A0E7B">
              <w:rPr>
                <w:sz w:val="19"/>
                <w:szCs w:val="19"/>
              </w:rPr>
              <w:t xml:space="preserve">Cost to PBS/RPBS less </w:t>
            </w:r>
            <w:proofErr w:type="spellStart"/>
            <w:r w:rsidRPr="009A0E7B">
              <w:rPr>
                <w:sz w:val="19"/>
                <w:szCs w:val="19"/>
              </w:rPr>
              <w:t>copayments</w:t>
            </w:r>
            <w:r w:rsidR="00BF65A4" w:rsidRPr="009A0E7B">
              <w:rPr>
                <w:vertAlign w:val="superscript"/>
              </w:rPr>
              <w:t>b</w:t>
            </w:r>
            <w:proofErr w:type="spellEnd"/>
          </w:p>
        </w:tc>
        <w:tc>
          <w:tcPr>
            <w:tcW w:w="624" w:type="pct"/>
            <w:gridSpan w:val="2"/>
            <w:shd w:val="clear" w:color="auto" w:fill="auto"/>
            <w:vAlign w:val="center"/>
          </w:tcPr>
          <w:p w14:paraId="512F6F78" w14:textId="1C0A6BDD" w:rsidR="00BF65A4" w:rsidRPr="00064B28" w:rsidRDefault="00BF65A4" w:rsidP="00E8049E">
            <w:pPr>
              <w:pStyle w:val="TableText0"/>
              <w:keepLines/>
              <w:jc w:val="center"/>
              <w:rPr>
                <w:rFonts w:cs="Calibri"/>
                <w:color w:val="000000"/>
                <w:vertAlign w:val="superscript"/>
              </w:rPr>
            </w:pPr>
            <w:r w:rsidRPr="009A0E7B">
              <w:t>$</w:t>
            </w:r>
            <w:r w:rsidR="00B77D4B" w:rsidRPr="00B77D4B">
              <w:rPr>
                <w:rFonts w:hint="eastAsia"/>
                <w:color w:val="000000"/>
                <w:w w:val="20"/>
                <w:shd w:val="solid" w:color="000000" w:fill="000000"/>
                <w:fitText w:val="90" w:id="-1504475898"/>
                <w14:textFill>
                  <w14:solidFill>
                    <w14:srgbClr w14:val="000000">
                      <w14:alpha w14:val="100000"/>
                    </w14:srgbClr>
                  </w14:solidFill>
                </w14:textFill>
              </w:rPr>
              <w:t xml:space="preserve">　</w:t>
            </w:r>
            <w:r w:rsidR="00B77D4B" w:rsidRPr="00B77D4B">
              <w:rPr>
                <w:color w:val="000000"/>
                <w:w w:val="20"/>
                <w:shd w:val="solid" w:color="000000" w:fill="000000"/>
                <w:fitText w:val="90" w:id="-1504475898"/>
                <w14:textFill>
                  <w14:solidFill>
                    <w14:srgbClr w14:val="000000">
                      <w14:alpha w14:val="100000"/>
                    </w14:srgbClr>
                  </w14:solidFill>
                </w14:textFill>
              </w:rPr>
              <w:t>|</w:t>
            </w:r>
            <w:r w:rsidR="00B77D4B" w:rsidRPr="00B77D4B">
              <w:rPr>
                <w:rFonts w:hint="eastAsia"/>
                <w:color w:val="000000"/>
                <w:spacing w:val="3"/>
                <w:w w:val="20"/>
                <w:shd w:val="solid" w:color="000000" w:fill="000000"/>
                <w:fitText w:val="90" w:id="-1504475898"/>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23D420CB" w14:textId="482DCF5E" w:rsidR="00BF65A4" w:rsidRPr="00064B28" w:rsidRDefault="00BF65A4" w:rsidP="00E8049E">
            <w:pPr>
              <w:pStyle w:val="TableText0"/>
              <w:keepLines/>
              <w:jc w:val="center"/>
              <w:rPr>
                <w:rFonts w:cs="Calibri"/>
                <w:color w:val="000000"/>
                <w:vertAlign w:val="superscript"/>
              </w:rPr>
            </w:pPr>
            <w:r w:rsidRPr="009A0E7B">
              <w:t>$</w:t>
            </w:r>
            <w:r w:rsidR="00B77D4B" w:rsidRPr="00B77D4B">
              <w:rPr>
                <w:rFonts w:hint="eastAsia"/>
                <w:color w:val="000000"/>
                <w:w w:val="20"/>
                <w:shd w:val="solid" w:color="000000" w:fill="000000"/>
                <w:fitText w:val="90" w:id="-1504475897"/>
                <w14:textFill>
                  <w14:solidFill>
                    <w14:srgbClr w14:val="000000">
                      <w14:alpha w14:val="100000"/>
                    </w14:srgbClr>
                  </w14:solidFill>
                </w14:textFill>
              </w:rPr>
              <w:t xml:space="preserve">　</w:t>
            </w:r>
            <w:r w:rsidR="00B77D4B" w:rsidRPr="00B77D4B">
              <w:rPr>
                <w:color w:val="000000"/>
                <w:w w:val="20"/>
                <w:shd w:val="solid" w:color="000000" w:fill="000000"/>
                <w:fitText w:val="90" w:id="-1504475897"/>
                <w14:textFill>
                  <w14:solidFill>
                    <w14:srgbClr w14:val="000000">
                      <w14:alpha w14:val="100000"/>
                    </w14:srgbClr>
                  </w14:solidFill>
                </w14:textFill>
              </w:rPr>
              <w:t>|</w:t>
            </w:r>
            <w:r w:rsidR="00B77D4B" w:rsidRPr="00B77D4B">
              <w:rPr>
                <w:rFonts w:hint="eastAsia"/>
                <w:color w:val="000000"/>
                <w:spacing w:val="3"/>
                <w:w w:val="20"/>
                <w:shd w:val="solid" w:color="000000" w:fill="000000"/>
                <w:fitText w:val="90" w:id="-1504475897"/>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1BFAC931" w14:textId="2DC95E8D" w:rsidR="00BF65A4" w:rsidRPr="00064B28" w:rsidRDefault="00BF65A4" w:rsidP="00E8049E">
            <w:pPr>
              <w:pStyle w:val="TableText0"/>
              <w:keepLines/>
              <w:jc w:val="center"/>
              <w:rPr>
                <w:rFonts w:cs="Calibri"/>
                <w:color w:val="000000"/>
                <w:vertAlign w:val="superscript"/>
              </w:rPr>
            </w:pPr>
            <w:r w:rsidRPr="009A0E7B">
              <w:t>$</w:t>
            </w:r>
            <w:r w:rsidR="00B77D4B" w:rsidRPr="00B77D4B">
              <w:rPr>
                <w:rFonts w:hint="eastAsia"/>
                <w:color w:val="000000"/>
                <w:w w:val="20"/>
                <w:shd w:val="solid" w:color="000000" w:fill="000000"/>
                <w:fitText w:val="90" w:id="-1504475896"/>
                <w14:textFill>
                  <w14:solidFill>
                    <w14:srgbClr w14:val="000000">
                      <w14:alpha w14:val="100000"/>
                    </w14:srgbClr>
                  </w14:solidFill>
                </w14:textFill>
              </w:rPr>
              <w:t xml:space="preserve">　</w:t>
            </w:r>
            <w:r w:rsidR="00B77D4B" w:rsidRPr="00B77D4B">
              <w:rPr>
                <w:color w:val="000000"/>
                <w:w w:val="20"/>
                <w:shd w:val="solid" w:color="000000" w:fill="000000"/>
                <w:fitText w:val="90" w:id="-1504475896"/>
                <w14:textFill>
                  <w14:solidFill>
                    <w14:srgbClr w14:val="000000">
                      <w14:alpha w14:val="100000"/>
                    </w14:srgbClr>
                  </w14:solidFill>
                </w14:textFill>
              </w:rPr>
              <w:t>|</w:t>
            </w:r>
            <w:r w:rsidR="00B77D4B" w:rsidRPr="00B77D4B">
              <w:rPr>
                <w:rFonts w:hint="eastAsia"/>
                <w:color w:val="000000"/>
                <w:spacing w:val="3"/>
                <w:w w:val="20"/>
                <w:shd w:val="solid" w:color="000000" w:fill="000000"/>
                <w:fitText w:val="90" w:id="-1504475896"/>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7F050E2D" w14:textId="788B2BB7" w:rsidR="00BF65A4" w:rsidRPr="00064B28" w:rsidRDefault="00BF65A4" w:rsidP="00E8049E">
            <w:pPr>
              <w:pStyle w:val="TableText0"/>
              <w:keepLines/>
              <w:jc w:val="center"/>
              <w:rPr>
                <w:rFonts w:cs="Calibri"/>
                <w:color w:val="000000"/>
                <w:vertAlign w:val="superscript"/>
              </w:rPr>
            </w:pPr>
            <w:r w:rsidRPr="009A0E7B">
              <w:t>$</w:t>
            </w:r>
            <w:r w:rsidR="00B77D4B" w:rsidRPr="00B77D4B">
              <w:rPr>
                <w:rFonts w:hint="eastAsia"/>
                <w:color w:val="000000"/>
                <w:w w:val="20"/>
                <w:shd w:val="solid" w:color="000000" w:fill="000000"/>
                <w:fitText w:val="90" w:id="-1504475895"/>
                <w14:textFill>
                  <w14:solidFill>
                    <w14:srgbClr w14:val="000000">
                      <w14:alpha w14:val="100000"/>
                    </w14:srgbClr>
                  </w14:solidFill>
                </w14:textFill>
              </w:rPr>
              <w:t xml:space="preserve">　</w:t>
            </w:r>
            <w:r w:rsidR="00B77D4B" w:rsidRPr="00B77D4B">
              <w:rPr>
                <w:color w:val="000000"/>
                <w:w w:val="20"/>
                <w:shd w:val="solid" w:color="000000" w:fill="000000"/>
                <w:fitText w:val="90" w:id="-1504475895"/>
                <w14:textFill>
                  <w14:solidFill>
                    <w14:srgbClr w14:val="000000">
                      <w14:alpha w14:val="100000"/>
                    </w14:srgbClr>
                  </w14:solidFill>
                </w14:textFill>
              </w:rPr>
              <w:t>|</w:t>
            </w:r>
            <w:r w:rsidR="00B77D4B" w:rsidRPr="00B77D4B">
              <w:rPr>
                <w:rFonts w:hint="eastAsia"/>
                <w:color w:val="000000"/>
                <w:spacing w:val="3"/>
                <w:w w:val="20"/>
                <w:shd w:val="solid" w:color="000000" w:fill="000000"/>
                <w:fitText w:val="90" w:id="-1504475895"/>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7FFDC915" w14:textId="485D8FAE" w:rsidR="00BF65A4" w:rsidRPr="00064B28" w:rsidRDefault="00BF65A4" w:rsidP="00E8049E">
            <w:pPr>
              <w:pStyle w:val="TableText0"/>
              <w:keepLines/>
              <w:jc w:val="center"/>
              <w:rPr>
                <w:rFonts w:cs="Calibri"/>
                <w:color w:val="000000"/>
                <w:vertAlign w:val="superscript"/>
              </w:rPr>
            </w:pPr>
            <w:r w:rsidRPr="009A0E7B">
              <w:t>$</w:t>
            </w:r>
            <w:r w:rsidR="00B77D4B" w:rsidRPr="00B77D4B">
              <w:rPr>
                <w:rFonts w:hint="eastAsia"/>
                <w:color w:val="000000"/>
                <w:w w:val="20"/>
                <w:shd w:val="solid" w:color="000000" w:fill="000000"/>
                <w:fitText w:val="90" w:id="-1504475894"/>
                <w14:textFill>
                  <w14:solidFill>
                    <w14:srgbClr w14:val="000000">
                      <w14:alpha w14:val="100000"/>
                    </w14:srgbClr>
                  </w14:solidFill>
                </w14:textFill>
              </w:rPr>
              <w:t xml:space="preserve">　</w:t>
            </w:r>
            <w:r w:rsidR="00B77D4B" w:rsidRPr="00B77D4B">
              <w:rPr>
                <w:color w:val="000000"/>
                <w:w w:val="20"/>
                <w:shd w:val="solid" w:color="000000" w:fill="000000"/>
                <w:fitText w:val="90" w:id="-1504475894"/>
                <w14:textFill>
                  <w14:solidFill>
                    <w14:srgbClr w14:val="000000">
                      <w14:alpha w14:val="100000"/>
                    </w14:srgbClr>
                  </w14:solidFill>
                </w14:textFill>
              </w:rPr>
              <w:t>|</w:t>
            </w:r>
            <w:r w:rsidR="00B77D4B" w:rsidRPr="00B77D4B">
              <w:rPr>
                <w:rFonts w:hint="eastAsia"/>
                <w:color w:val="000000"/>
                <w:spacing w:val="3"/>
                <w:w w:val="20"/>
                <w:shd w:val="solid" w:color="000000" w:fill="000000"/>
                <w:fitText w:val="90" w:id="-1504475894"/>
                <w14:textFill>
                  <w14:solidFill>
                    <w14:srgbClr w14:val="000000">
                      <w14:alpha w14:val="100000"/>
                    </w14:srgbClr>
                  </w14:solidFill>
                </w14:textFill>
              </w:rPr>
              <w:t xml:space="preserve">　</w:t>
            </w:r>
            <w:r w:rsidR="00064B28">
              <w:rPr>
                <w:vertAlign w:val="superscript"/>
              </w:rPr>
              <w:t>4</w:t>
            </w:r>
          </w:p>
        </w:tc>
        <w:tc>
          <w:tcPr>
            <w:tcW w:w="625" w:type="pct"/>
            <w:vAlign w:val="center"/>
          </w:tcPr>
          <w:p w14:paraId="46182AD5" w14:textId="4D8612B3" w:rsidR="00BF65A4" w:rsidRPr="00064B28" w:rsidRDefault="00BF65A4" w:rsidP="00E8049E">
            <w:pPr>
              <w:pStyle w:val="TableText0"/>
              <w:keepLines/>
              <w:jc w:val="center"/>
              <w:rPr>
                <w:rFonts w:cs="Calibri"/>
                <w:color w:val="000000"/>
                <w:vertAlign w:val="superscript"/>
              </w:rPr>
            </w:pPr>
            <w:r w:rsidRPr="009A0E7B">
              <w:t>$</w:t>
            </w:r>
            <w:r w:rsidR="00B77D4B" w:rsidRPr="00B77D4B">
              <w:rPr>
                <w:rFonts w:hint="eastAsia"/>
                <w:color w:val="000000"/>
                <w:w w:val="20"/>
                <w:shd w:val="solid" w:color="000000" w:fill="000000"/>
                <w:fitText w:val="90" w:id="-1504475893"/>
                <w14:textFill>
                  <w14:solidFill>
                    <w14:srgbClr w14:val="000000">
                      <w14:alpha w14:val="100000"/>
                    </w14:srgbClr>
                  </w14:solidFill>
                </w14:textFill>
              </w:rPr>
              <w:t xml:space="preserve">　</w:t>
            </w:r>
            <w:r w:rsidR="00B77D4B" w:rsidRPr="00B77D4B">
              <w:rPr>
                <w:color w:val="000000"/>
                <w:w w:val="20"/>
                <w:shd w:val="solid" w:color="000000" w:fill="000000"/>
                <w:fitText w:val="90" w:id="-1504475893"/>
                <w14:textFill>
                  <w14:solidFill>
                    <w14:srgbClr w14:val="000000">
                      <w14:alpha w14:val="100000"/>
                    </w14:srgbClr>
                  </w14:solidFill>
                </w14:textFill>
              </w:rPr>
              <w:t>|</w:t>
            </w:r>
            <w:r w:rsidR="00B77D4B" w:rsidRPr="00B77D4B">
              <w:rPr>
                <w:rFonts w:hint="eastAsia"/>
                <w:color w:val="000000"/>
                <w:spacing w:val="3"/>
                <w:w w:val="20"/>
                <w:shd w:val="solid" w:color="000000" w:fill="000000"/>
                <w:fitText w:val="90" w:id="-1504475893"/>
                <w14:textFill>
                  <w14:solidFill>
                    <w14:srgbClr w14:val="000000">
                      <w14:alpha w14:val="100000"/>
                    </w14:srgbClr>
                  </w14:solidFill>
                </w14:textFill>
              </w:rPr>
              <w:t xml:space="preserve">　</w:t>
            </w:r>
            <w:r w:rsidR="00064B28">
              <w:rPr>
                <w:vertAlign w:val="superscript"/>
              </w:rPr>
              <w:t>4</w:t>
            </w:r>
          </w:p>
        </w:tc>
      </w:tr>
      <w:tr w:rsidR="00BF65A4" w:rsidRPr="009A0E7B" w14:paraId="3A132C58" w14:textId="77777777" w:rsidTr="006E4DAE">
        <w:tc>
          <w:tcPr>
            <w:tcW w:w="5000" w:type="pct"/>
            <w:gridSpan w:val="12"/>
            <w:shd w:val="clear" w:color="auto" w:fill="auto"/>
            <w:vAlign w:val="center"/>
          </w:tcPr>
          <w:p w14:paraId="50CF4191" w14:textId="77777777" w:rsidR="00BF65A4" w:rsidRPr="009A0E7B" w:rsidRDefault="00BF65A4" w:rsidP="00E8049E">
            <w:pPr>
              <w:pStyle w:val="TableText0"/>
              <w:keepLines/>
              <w:rPr>
                <w:b/>
              </w:rPr>
            </w:pPr>
            <w:r w:rsidRPr="009A0E7B">
              <w:rPr>
                <w:b/>
              </w:rPr>
              <w:t xml:space="preserve">Estimated financial implications for other </w:t>
            </w:r>
            <w:proofErr w:type="spellStart"/>
            <w:r w:rsidRPr="009A0E7B">
              <w:rPr>
                <w:b/>
              </w:rPr>
              <w:t>bDMARDs</w:t>
            </w:r>
            <w:proofErr w:type="spellEnd"/>
            <w:r w:rsidRPr="009A0E7B">
              <w:rPr>
                <w:b/>
              </w:rPr>
              <w:t xml:space="preserve"> </w:t>
            </w:r>
          </w:p>
        </w:tc>
      </w:tr>
      <w:tr w:rsidR="00BF65A4" w:rsidRPr="009A0E7B" w14:paraId="5A8BA701" w14:textId="77777777" w:rsidTr="00694B02">
        <w:tc>
          <w:tcPr>
            <w:tcW w:w="1255" w:type="pct"/>
            <w:shd w:val="clear" w:color="auto" w:fill="auto"/>
          </w:tcPr>
          <w:p w14:paraId="6C51C553" w14:textId="683027E8" w:rsidR="00BF65A4" w:rsidRPr="009A0E7B" w:rsidRDefault="00694B02" w:rsidP="00694B02">
            <w:pPr>
              <w:pStyle w:val="TableText0"/>
              <w:keepLines/>
              <w:rPr>
                <w:sz w:val="19"/>
                <w:szCs w:val="19"/>
              </w:rPr>
            </w:pPr>
            <w:r w:rsidRPr="009A0E7B">
              <w:rPr>
                <w:sz w:val="19"/>
                <w:szCs w:val="19"/>
              </w:rPr>
              <w:t xml:space="preserve">Cost to PBS/RPBS less </w:t>
            </w:r>
            <w:proofErr w:type="spellStart"/>
            <w:r w:rsidRPr="009A0E7B">
              <w:rPr>
                <w:sz w:val="19"/>
                <w:szCs w:val="19"/>
              </w:rPr>
              <w:t>copayments</w:t>
            </w:r>
            <w:r w:rsidR="00BF65A4" w:rsidRPr="009A0E7B">
              <w:rPr>
                <w:vertAlign w:val="superscript"/>
              </w:rPr>
              <w:t>a</w:t>
            </w:r>
            <w:proofErr w:type="spellEnd"/>
          </w:p>
        </w:tc>
        <w:tc>
          <w:tcPr>
            <w:tcW w:w="624" w:type="pct"/>
            <w:gridSpan w:val="2"/>
            <w:shd w:val="clear" w:color="auto" w:fill="auto"/>
            <w:vAlign w:val="center"/>
          </w:tcPr>
          <w:p w14:paraId="180BE88E" w14:textId="38BD4E62" w:rsidR="00BF65A4" w:rsidRPr="00064B28" w:rsidRDefault="00BF65A4" w:rsidP="00E8049E">
            <w:pPr>
              <w:pStyle w:val="TableText0"/>
              <w:keepLines/>
              <w:jc w:val="center"/>
              <w:rPr>
                <w:vertAlign w:val="superscript"/>
              </w:rPr>
            </w:pPr>
            <w:r w:rsidRPr="009A0E7B">
              <w:t>-$</w:t>
            </w:r>
            <w:r w:rsidR="00B77D4B" w:rsidRPr="00B77D4B">
              <w:rPr>
                <w:rFonts w:hint="eastAsia"/>
                <w:color w:val="000000"/>
                <w:w w:val="27"/>
                <w:shd w:val="solid" w:color="000000" w:fill="000000"/>
                <w:fitText w:val="120" w:id="-1504475892"/>
                <w14:textFill>
                  <w14:solidFill>
                    <w14:srgbClr w14:val="000000">
                      <w14:alpha w14:val="100000"/>
                    </w14:srgbClr>
                  </w14:solidFill>
                </w14:textFill>
              </w:rPr>
              <w:t xml:space="preserve">　</w:t>
            </w:r>
            <w:r w:rsidR="00B77D4B" w:rsidRPr="00B77D4B">
              <w:rPr>
                <w:color w:val="000000"/>
                <w:w w:val="27"/>
                <w:shd w:val="solid" w:color="000000" w:fill="000000"/>
                <w:fitText w:val="120" w:id="-1504475892"/>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892"/>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1BE55C8A" w14:textId="1828D00E" w:rsidR="00BF65A4" w:rsidRPr="00064B28" w:rsidRDefault="00BF65A4" w:rsidP="00E8049E">
            <w:pPr>
              <w:pStyle w:val="TableText0"/>
              <w:keepLines/>
              <w:jc w:val="center"/>
              <w:rPr>
                <w:vertAlign w:val="superscript"/>
              </w:rPr>
            </w:pPr>
            <w:r w:rsidRPr="009A0E7B">
              <w:t>-$</w:t>
            </w:r>
            <w:r w:rsidR="00B77D4B" w:rsidRPr="00B77D4B">
              <w:rPr>
                <w:rFonts w:hint="eastAsia"/>
                <w:color w:val="000000"/>
                <w:w w:val="27"/>
                <w:shd w:val="solid" w:color="000000" w:fill="000000"/>
                <w:fitText w:val="120" w:id="-1504475891"/>
                <w14:textFill>
                  <w14:solidFill>
                    <w14:srgbClr w14:val="000000">
                      <w14:alpha w14:val="100000"/>
                    </w14:srgbClr>
                  </w14:solidFill>
                </w14:textFill>
              </w:rPr>
              <w:t xml:space="preserve">　</w:t>
            </w:r>
            <w:r w:rsidR="00B77D4B" w:rsidRPr="00B77D4B">
              <w:rPr>
                <w:color w:val="000000"/>
                <w:w w:val="27"/>
                <w:shd w:val="solid" w:color="000000" w:fill="000000"/>
                <w:fitText w:val="120" w:id="-1504475891"/>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891"/>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491BE283" w14:textId="5B163520" w:rsidR="00BF65A4" w:rsidRPr="00064B28" w:rsidRDefault="00BF65A4" w:rsidP="00E8049E">
            <w:pPr>
              <w:pStyle w:val="TableText0"/>
              <w:keepLines/>
              <w:jc w:val="center"/>
              <w:rPr>
                <w:vertAlign w:val="superscript"/>
              </w:rPr>
            </w:pPr>
            <w:r w:rsidRPr="009A0E7B">
              <w:t>-$</w:t>
            </w:r>
            <w:r w:rsidR="00B77D4B" w:rsidRPr="00B77D4B">
              <w:rPr>
                <w:rFonts w:hint="eastAsia"/>
                <w:color w:val="000000"/>
                <w:w w:val="27"/>
                <w:shd w:val="solid" w:color="000000" w:fill="000000"/>
                <w:fitText w:val="120" w:id="-1504475890"/>
                <w14:textFill>
                  <w14:solidFill>
                    <w14:srgbClr w14:val="000000">
                      <w14:alpha w14:val="100000"/>
                    </w14:srgbClr>
                  </w14:solidFill>
                </w14:textFill>
              </w:rPr>
              <w:t xml:space="preserve">　</w:t>
            </w:r>
            <w:r w:rsidR="00B77D4B" w:rsidRPr="00B77D4B">
              <w:rPr>
                <w:color w:val="000000"/>
                <w:w w:val="27"/>
                <w:shd w:val="solid" w:color="000000" w:fill="000000"/>
                <w:fitText w:val="120" w:id="-1504475890"/>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890"/>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4DCDA743" w14:textId="62E1256E" w:rsidR="00BF65A4" w:rsidRPr="00064B28" w:rsidRDefault="00BF65A4" w:rsidP="00E8049E">
            <w:pPr>
              <w:pStyle w:val="TableText0"/>
              <w:keepLines/>
              <w:jc w:val="center"/>
              <w:rPr>
                <w:vertAlign w:val="superscript"/>
              </w:rPr>
            </w:pPr>
            <w:r w:rsidRPr="009A0E7B">
              <w:t>-$</w:t>
            </w:r>
            <w:r w:rsidR="00B77D4B" w:rsidRPr="00B77D4B">
              <w:rPr>
                <w:rFonts w:hint="eastAsia"/>
                <w:color w:val="000000"/>
                <w:w w:val="27"/>
                <w:shd w:val="solid" w:color="000000" w:fill="000000"/>
                <w:fitText w:val="120" w:id="-1504475889"/>
                <w14:textFill>
                  <w14:solidFill>
                    <w14:srgbClr w14:val="000000">
                      <w14:alpha w14:val="100000"/>
                    </w14:srgbClr>
                  </w14:solidFill>
                </w14:textFill>
              </w:rPr>
              <w:t xml:space="preserve">　</w:t>
            </w:r>
            <w:r w:rsidR="00B77D4B" w:rsidRPr="00B77D4B">
              <w:rPr>
                <w:color w:val="000000"/>
                <w:w w:val="27"/>
                <w:shd w:val="solid" w:color="000000" w:fill="000000"/>
                <w:fitText w:val="120" w:id="-1504475889"/>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889"/>
                <w14:textFill>
                  <w14:solidFill>
                    <w14:srgbClr w14:val="000000">
                      <w14:alpha w14:val="100000"/>
                    </w14:srgbClr>
                  </w14:solidFill>
                </w14:textFill>
              </w:rPr>
              <w:t xml:space="preserve">　</w:t>
            </w:r>
            <w:r w:rsidR="00064B28">
              <w:rPr>
                <w:vertAlign w:val="superscript"/>
              </w:rPr>
              <w:t>4</w:t>
            </w:r>
          </w:p>
        </w:tc>
        <w:tc>
          <w:tcPr>
            <w:tcW w:w="624" w:type="pct"/>
            <w:gridSpan w:val="2"/>
            <w:shd w:val="clear" w:color="auto" w:fill="auto"/>
            <w:vAlign w:val="center"/>
          </w:tcPr>
          <w:p w14:paraId="65968FDA" w14:textId="213B6B5F" w:rsidR="00BF65A4" w:rsidRPr="00064B28" w:rsidRDefault="00BF65A4" w:rsidP="00E8049E">
            <w:pPr>
              <w:pStyle w:val="TableText0"/>
              <w:keepLines/>
              <w:jc w:val="center"/>
              <w:rPr>
                <w:vertAlign w:val="superscript"/>
              </w:rPr>
            </w:pPr>
            <w:r w:rsidRPr="009A0E7B">
              <w:t>-$</w:t>
            </w:r>
            <w:r w:rsidR="00B77D4B" w:rsidRPr="00B77D4B">
              <w:rPr>
                <w:rFonts w:hint="eastAsia"/>
                <w:color w:val="000000"/>
                <w:w w:val="27"/>
                <w:shd w:val="solid" w:color="000000" w:fill="000000"/>
                <w:fitText w:val="120" w:id="-1504475888"/>
                <w14:textFill>
                  <w14:solidFill>
                    <w14:srgbClr w14:val="000000">
                      <w14:alpha w14:val="100000"/>
                    </w14:srgbClr>
                  </w14:solidFill>
                </w14:textFill>
              </w:rPr>
              <w:t xml:space="preserve">　</w:t>
            </w:r>
            <w:r w:rsidR="00B77D4B" w:rsidRPr="00B77D4B">
              <w:rPr>
                <w:color w:val="000000"/>
                <w:w w:val="27"/>
                <w:shd w:val="solid" w:color="000000" w:fill="000000"/>
                <w:fitText w:val="120" w:id="-1504475888"/>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888"/>
                <w14:textFill>
                  <w14:solidFill>
                    <w14:srgbClr w14:val="000000">
                      <w14:alpha w14:val="100000"/>
                    </w14:srgbClr>
                  </w14:solidFill>
                </w14:textFill>
              </w:rPr>
              <w:t xml:space="preserve">　</w:t>
            </w:r>
            <w:r w:rsidR="00064B28">
              <w:rPr>
                <w:vertAlign w:val="superscript"/>
              </w:rPr>
              <w:t>4</w:t>
            </w:r>
          </w:p>
        </w:tc>
        <w:tc>
          <w:tcPr>
            <w:tcW w:w="625" w:type="pct"/>
            <w:vAlign w:val="center"/>
          </w:tcPr>
          <w:p w14:paraId="5C198838" w14:textId="32FE9C0F" w:rsidR="00BF65A4" w:rsidRPr="00064B28" w:rsidRDefault="00BF65A4" w:rsidP="00E8049E">
            <w:pPr>
              <w:pStyle w:val="TableText0"/>
              <w:keepLines/>
              <w:jc w:val="center"/>
              <w:rPr>
                <w:vertAlign w:val="superscript"/>
              </w:rPr>
            </w:pPr>
            <w:r w:rsidRPr="009A0E7B">
              <w:t>-$</w:t>
            </w:r>
            <w:r w:rsidR="00B77D4B" w:rsidRPr="00B77D4B">
              <w:rPr>
                <w:rFonts w:hint="eastAsia"/>
                <w:color w:val="000000"/>
                <w:w w:val="27"/>
                <w:shd w:val="solid" w:color="000000" w:fill="000000"/>
                <w:fitText w:val="120" w:id="-1504475904"/>
                <w14:textFill>
                  <w14:solidFill>
                    <w14:srgbClr w14:val="000000">
                      <w14:alpha w14:val="100000"/>
                    </w14:srgbClr>
                  </w14:solidFill>
                </w14:textFill>
              </w:rPr>
              <w:t xml:space="preserve">　</w:t>
            </w:r>
            <w:r w:rsidR="00B77D4B" w:rsidRPr="00B77D4B">
              <w:rPr>
                <w:color w:val="000000"/>
                <w:w w:val="27"/>
                <w:shd w:val="solid" w:color="000000" w:fill="000000"/>
                <w:fitText w:val="120" w:id="-1504475904"/>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904"/>
                <w14:textFill>
                  <w14:solidFill>
                    <w14:srgbClr w14:val="000000">
                      <w14:alpha w14:val="100000"/>
                    </w14:srgbClr>
                  </w14:solidFill>
                </w14:textFill>
              </w:rPr>
              <w:t xml:space="preserve">　</w:t>
            </w:r>
            <w:r w:rsidR="00064B28">
              <w:rPr>
                <w:vertAlign w:val="superscript"/>
              </w:rPr>
              <w:t>4</w:t>
            </w:r>
          </w:p>
        </w:tc>
      </w:tr>
      <w:tr w:rsidR="00BF65A4" w:rsidRPr="009A0E7B" w14:paraId="2C424793" w14:textId="77777777" w:rsidTr="006E4DAE">
        <w:tc>
          <w:tcPr>
            <w:tcW w:w="5000" w:type="pct"/>
            <w:gridSpan w:val="12"/>
            <w:shd w:val="clear" w:color="auto" w:fill="auto"/>
            <w:vAlign w:val="center"/>
          </w:tcPr>
          <w:p w14:paraId="3A92C953" w14:textId="77777777" w:rsidR="00BF65A4" w:rsidRPr="009A0E7B" w:rsidRDefault="00BF65A4" w:rsidP="00E8049E">
            <w:pPr>
              <w:pStyle w:val="In-tableHeading"/>
              <w:keepLines/>
              <w:rPr>
                <w:lang w:val="en-AU"/>
              </w:rPr>
            </w:pPr>
            <w:r w:rsidRPr="009A0E7B">
              <w:rPr>
                <w:lang w:val="en-AU"/>
              </w:rPr>
              <w:t>Net financial implications</w:t>
            </w:r>
            <w:r w:rsidRPr="009A0E7B">
              <w:rPr>
                <w:color w:val="4BACC6" w:themeColor="accent5"/>
                <w:lang w:val="en-AU"/>
              </w:rPr>
              <w:t xml:space="preserve"> </w:t>
            </w:r>
          </w:p>
        </w:tc>
      </w:tr>
      <w:tr w:rsidR="00BF65A4" w:rsidRPr="009A0E7B" w14:paraId="75B4F75D" w14:textId="77777777" w:rsidTr="006E4DAE">
        <w:tc>
          <w:tcPr>
            <w:tcW w:w="1255" w:type="pct"/>
            <w:shd w:val="clear" w:color="auto" w:fill="auto"/>
            <w:vAlign w:val="center"/>
          </w:tcPr>
          <w:p w14:paraId="7CCFA3A1" w14:textId="06229A1C" w:rsidR="00BF65A4" w:rsidRPr="009A0E7B" w:rsidRDefault="00301069" w:rsidP="00F70D9E">
            <w:pPr>
              <w:pStyle w:val="TableText0"/>
              <w:keepLines/>
              <w:rPr>
                <w:sz w:val="19"/>
                <w:szCs w:val="19"/>
              </w:rPr>
            </w:pPr>
            <w:r w:rsidRPr="009A0E7B">
              <w:rPr>
                <w:sz w:val="19"/>
                <w:szCs w:val="19"/>
              </w:rPr>
              <w:t>Net cost to PBS/</w:t>
            </w:r>
            <w:proofErr w:type="spellStart"/>
            <w:r w:rsidRPr="009A0E7B">
              <w:rPr>
                <w:sz w:val="19"/>
                <w:szCs w:val="19"/>
              </w:rPr>
              <w:t>RPBS</w:t>
            </w:r>
            <w:r w:rsidR="00BF65A4" w:rsidRPr="009A0E7B">
              <w:rPr>
                <w:vertAlign w:val="superscript"/>
              </w:rPr>
              <w:t>b</w:t>
            </w:r>
            <w:proofErr w:type="spellEnd"/>
          </w:p>
        </w:tc>
        <w:tc>
          <w:tcPr>
            <w:tcW w:w="624" w:type="pct"/>
            <w:gridSpan w:val="2"/>
            <w:shd w:val="clear" w:color="auto" w:fill="auto"/>
          </w:tcPr>
          <w:p w14:paraId="44C55F69" w14:textId="01B09D8E" w:rsidR="00BF65A4" w:rsidRPr="00064B28" w:rsidRDefault="00BF65A4" w:rsidP="00E8049E">
            <w:pPr>
              <w:pStyle w:val="TableText0"/>
              <w:keepLines/>
              <w:jc w:val="center"/>
              <w:rPr>
                <w:szCs w:val="20"/>
                <w:vertAlign w:val="superscript"/>
              </w:rPr>
            </w:pPr>
            <w:r w:rsidRPr="009A0E7B">
              <w:t>-$</w:t>
            </w:r>
            <w:r w:rsidR="00B77D4B" w:rsidRPr="00B77D4B">
              <w:rPr>
                <w:rFonts w:hint="eastAsia"/>
                <w:color w:val="000000"/>
                <w:w w:val="27"/>
                <w:shd w:val="solid" w:color="000000" w:fill="000000"/>
                <w:fitText w:val="120" w:id="-1504475903"/>
                <w14:textFill>
                  <w14:solidFill>
                    <w14:srgbClr w14:val="000000">
                      <w14:alpha w14:val="100000"/>
                    </w14:srgbClr>
                  </w14:solidFill>
                </w14:textFill>
              </w:rPr>
              <w:t xml:space="preserve">　</w:t>
            </w:r>
            <w:r w:rsidR="00B77D4B" w:rsidRPr="00B77D4B">
              <w:rPr>
                <w:color w:val="000000"/>
                <w:w w:val="27"/>
                <w:shd w:val="solid" w:color="000000" w:fill="000000"/>
                <w:fitText w:val="120" w:id="-1504475903"/>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903"/>
                <w14:textFill>
                  <w14:solidFill>
                    <w14:srgbClr w14:val="000000">
                      <w14:alpha w14:val="100000"/>
                    </w14:srgbClr>
                  </w14:solidFill>
                </w14:textFill>
              </w:rPr>
              <w:t xml:space="preserve">　</w:t>
            </w:r>
            <w:r w:rsidR="00064B28">
              <w:rPr>
                <w:vertAlign w:val="superscript"/>
              </w:rPr>
              <w:t>3</w:t>
            </w:r>
          </w:p>
        </w:tc>
        <w:tc>
          <w:tcPr>
            <w:tcW w:w="624" w:type="pct"/>
            <w:gridSpan w:val="2"/>
            <w:shd w:val="clear" w:color="auto" w:fill="auto"/>
          </w:tcPr>
          <w:p w14:paraId="62EA1CBA" w14:textId="79A8DAEC" w:rsidR="00BF65A4" w:rsidRPr="00064B28" w:rsidRDefault="00BF65A4" w:rsidP="00E8049E">
            <w:pPr>
              <w:pStyle w:val="TableText0"/>
              <w:keepLines/>
              <w:jc w:val="center"/>
              <w:rPr>
                <w:szCs w:val="20"/>
                <w:vertAlign w:val="superscript"/>
              </w:rPr>
            </w:pPr>
            <w:r w:rsidRPr="009A0E7B">
              <w:t>-$</w:t>
            </w:r>
            <w:r w:rsidR="00B77D4B" w:rsidRPr="00B77D4B">
              <w:rPr>
                <w:rFonts w:hint="eastAsia"/>
                <w:color w:val="000000"/>
                <w:w w:val="27"/>
                <w:shd w:val="solid" w:color="000000" w:fill="000000"/>
                <w:fitText w:val="120" w:id="-1504475902"/>
                <w14:textFill>
                  <w14:solidFill>
                    <w14:srgbClr w14:val="000000">
                      <w14:alpha w14:val="100000"/>
                    </w14:srgbClr>
                  </w14:solidFill>
                </w14:textFill>
              </w:rPr>
              <w:t xml:space="preserve">　</w:t>
            </w:r>
            <w:r w:rsidR="00B77D4B" w:rsidRPr="00B77D4B">
              <w:rPr>
                <w:color w:val="000000"/>
                <w:w w:val="27"/>
                <w:shd w:val="solid" w:color="000000" w:fill="000000"/>
                <w:fitText w:val="120" w:id="-1504475902"/>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902"/>
                <w14:textFill>
                  <w14:solidFill>
                    <w14:srgbClr w14:val="000000">
                      <w14:alpha w14:val="100000"/>
                    </w14:srgbClr>
                  </w14:solidFill>
                </w14:textFill>
              </w:rPr>
              <w:t xml:space="preserve">　</w:t>
            </w:r>
            <w:r w:rsidR="00064B28">
              <w:rPr>
                <w:vertAlign w:val="superscript"/>
              </w:rPr>
              <w:t>3</w:t>
            </w:r>
          </w:p>
        </w:tc>
        <w:tc>
          <w:tcPr>
            <w:tcW w:w="624" w:type="pct"/>
            <w:gridSpan w:val="2"/>
            <w:shd w:val="clear" w:color="auto" w:fill="auto"/>
          </w:tcPr>
          <w:p w14:paraId="4A5D06C1" w14:textId="5BC4B885" w:rsidR="00BF65A4" w:rsidRPr="00064B28" w:rsidRDefault="00BF65A4" w:rsidP="00E8049E">
            <w:pPr>
              <w:pStyle w:val="TableText0"/>
              <w:keepLines/>
              <w:jc w:val="center"/>
              <w:rPr>
                <w:szCs w:val="20"/>
                <w:vertAlign w:val="superscript"/>
              </w:rPr>
            </w:pPr>
            <w:r w:rsidRPr="009A0E7B">
              <w:t>-$</w:t>
            </w:r>
            <w:r w:rsidR="00B77D4B" w:rsidRPr="00B77D4B">
              <w:rPr>
                <w:rFonts w:hint="eastAsia"/>
                <w:color w:val="000000"/>
                <w:w w:val="27"/>
                <w:shd w:val="solid" w:color="000000" w:fill="000000"/>
                <w:fitText w:val="120" w:id="-1504475901"/>
                <w14:textFill>
                  <w14:solidFill>
                    <w14:srgbClr w14:val="000000">
                      <w14:alpha w14:val="100000"/>
                    </w14:srgbClr>
                  </w14:solidFill>
                </w14:textFill>
              </w:rPr>
              <w:t xml:space="preserve">　</w:t>
            </w:r>
            <w:r w:rsidR="00B77D4B" w:rsidRPr="00B77D4B">
              <w:rPr>
                <w:color w:val="000000"/>
                <w:w w:val="27"/>
                <w:shd w:val="solid" w:color="000000" w:fill="000000"/>
                <w:fitText w:val="120" w:id="-1504475901"/>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901"/>
                <w14:textFill>
                  <w14:solidFill>
                    <w14:srgbClr w14:val="000000">
                      <w14:alpha w14:val="100000"/>
                    </w14:srgbClr>
                  </w14:solidFill>
                </w14:textFill>
              </w:rPr>
              <w:t xml:space="preserve">　</w:t>
            </w:r>
            <w:r w:rsidR="00064B28">
              <w:rPr>
                <w:vertAlign w:val="superscript"/>
              </w:rPr>
              <w:t>3</w:t>
            </w:r>
          </w:p>
        </w:tc>
        <w:tc>
          <w:tcPr>
            <w:tcW w:w="624" w:type="pct"/>
            <w:gridSpan w:val="2"/>
            <w:shd w:val="clear" w:color="auto" w:fill="auto"/>
          </w:tcPr>
          <w:p w14:paraId="6DD8E544" w14:textId="76DFA63A" w:rsidR="00BF65A4" w:rsidRPr="00064B28" w:rsidRDefault="00BF65A4" w:rsidP="00E8049E">
            <w:pPr>
              <w:pStyle w:val="TableText0"/>
              <w:keepLines/>
              <w:jc w:val="center"/>
              <w:rPr>
                <w:szCs w:val="20"/>
                <w:vertAlign w:val="superscript"/>
              </w:rPr>
            </w:pPr>
            <w:r w:rsidRPr="009A0E7B">
              <w:t>-$</w:t>
            </w:r>
            <w:r w:rsidR="00B77D4B" w:rsidRPr="00B77D4B">
              <w:rPr>
                <w:rFonts w:hint="eastAsia"/>
                <w:color w:val="000000"/>
                <w:w w:val="27"/>
                <w:shd w:val="solid" w:color="000000" w:fill="000000"/>
                <w:fitText w:val="120" w:id="-1504475900"/>
                <w14:textFill>
                  <w14:solidFill>
                    <w14:srgbClr w14:val="000000">
                      <w14:alpha w14:val="100000"/>
                    </w14:srgbClr>
                  </w14:solidFill>
                </w14:textFill>
              </w:rPr>
              <w:t xml:space="preserve">　</w:t>
            </w:r>
            <w:r w:rsidR="00B77D4B" w:rsidRPr="00B77D4B">
              <w:rPr>
                <w:color w:val="000000"/>
                <w:w w:val="27"/>
                <w:shd w:val="solid" w:color="000000" w:fill="000000"/>
                <w:fitText w:val="120" w:id="-1504475900"/>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900"/>
                <w14:textFill>
                  <w14:solidFill>
                    <w14:srgbClr w14:val="000000">
                      <w14:alpha w14:val="100000"/>
                    </w14:srgbClr>
                  </w14:solidFill>
                </w14:textFill>
              </w:rPr>
              <w:t xml:space="preserve">　</w:t>
            </w:r>
            <w:r w:rsidR="00064B28">
              <w:rPr>
                <w:vertAlign w:val="superscript"/>
              </w:rPr>
              <w:t>3</w:t>
            </w:r>
          </w:p>
        </w:tc>
        <w:tc>
          <w:tcPr>
            <w:tcW w:w="624" w:type="pct"/>
            <w:gridSpan w:val="2"/>
            <w:shd w:val="clear" w:color="auto" w:fill="auto"/>
          </w:tcPr>
          <w:p w14:paraId="34E042A9" w14:textId="1D0DF9ED" w:rsidR="00BF65A4" w:rsidRPr="00064B28" w:rsidRDefault="00BF65A4" w:rsidP="00E8049E">
            <w:pPr>
              <w:pStyle w:val="TableText0"/>
              <w:keepLines/>
              <w:jc w:val="center"/>
              <w:rPr>
                <w:szCs w:val="20"/>
                <w:vertAlign w:val="superscript"/>
              </w:rPr>
            </w:pPr>
            <w:r w:rsidRPr="009A0E7B">
              <w:t>-$</w:t>
            </w:r>
            <w:r w:rsidR="00B77D4B" w:rsidRPr="00B77D4B">
              <w:rPr>
                <w:rFonts w:hint="eastAsia"/>
                <w:color w:val="000000"/>
                <w:w w:val="27"/>
                <w:shd w:val="solid" w:color="000000" w:fill="000000"/>
                <w:fitText w:val="120" w:id="-1504475899"/>
                <w14:textFill>
                  <w14:solidFill>
                    <w14:srgbClr w14:val="000000">
                      <w14:alpha w14:val="100000"/>
                    </w14:srgbClr>
                  </w14:solidFill>
                </w14:textFill>
              </w:rPr>
              <w:t xml:space="preserve">　</w:t>
            </w:r>
            <w:r w:rsidR="00B77D4B" w:rsidRPr="00B77D4B">
              <w:rPr>
                <w:color w:val="000000"/>
                <w:w w:val="27"/>
                <w:shd w:val="solid" w:color="000000" w:fill="000000"/>
                <w:fitText w:val="120" w:id="-1504475899"/>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899"/>
                <w14:textFill>
                  <w14:solidFill>
                    <w14:srgbClr w14:val="000000">
                      <w14:alpha w14:val="100000"/>
                    </w14:srgbClr>
                  </w14:solidFill>
                </w14:textFill>
              </w:rPr>
              <w:t xml:space="preserve">　</w:t>
            </w:r>
            <w:r w:rsidR="00064B28">
              <w:rPr>
                <w:vertAlign w:val="superscript"/>
              </w:rPr>
              <w:t>3</w:t>
            </w:r>
          </w:p>
        </w:tc>
        <w:tc>
          <w:tcPr>
            <w:tcW w:w="625" w:type="pct"/>
          </w:tcPr>
          <w:p w14:paraId="1A6A2909" w14:textId="5B4049E5" w:rsidR="00BF65A4" w:rsidRPr="00064B28" w:rsidRDefault="00BF65A4" w:rsidP="00E8049E">
            <w:pPr>
              <w:pStyle w:val="TableText0"/>
              <w:keepLines/>
              <w:jc w:val="center"/>
              <w:rPr>
                <w:szCs w:val="20"/>
                <w:vertAlign w:val="superscript"/>
              </w:rPr>
            </w:pPr>
            <w:r w:rsidRPr="009A0E7B">
              <w:t>-$</w:t>
            </w:r>
            <w:r w:rsidR="00B77D4B" w:rsidRPr="00B77D4B">
              <w:rPr>
                <w:rFonts w:hint="eastAsia"/>
                <w:color w:val="000000"/>
                <w:w w:val="27"/>
                <w:shd w:val="solid" w:color="000000" w:fill="000000"/>
                <w:fitText w:val="120" w:id="-1504475898"/>
                <w14:textFill>
                  <w14:solidFill>
                    <w14:srgbClr w14:val="000000">
                      <w14:alpha w14:val="100000"/>
                    </w14:srgbClr>
                  </w14:solidFill>
                </w14:textFill>
              </w:rPr>
              <w:t xml:space="preserve">　</w:t>
            </w:r>
            <w:r w:rsidR="00B77D4B" w:rsidRPr="00B77D4B">
              <w:rPr>
                <w:color w:val="000000"/>
                <w:w w:val="27"/>
                <w:shd w:val="solid" w:color="000000" w:fill="000000"/>
                <w:fitText w:val="120" w:id="-1504475898"/>
                <w14:textFill>
                  <w14:solidFill>
                    <w14:srgbClr w14:val="000000">
                      <w14:alpha w14:val="100000"/>
                    </w14:srgbClr>
                  </w14:solidFill>
                </w14:textFill>
              </w:rPr>
              <w:t>|</w:t>
            </w:r>
            <w:r w:rsidR="00B77D4B" w:rsidRPr="00B77D4B">
              <w:rPr>
                <w:rFonts w:hint="eastAsia"/>
                <w:color w:val="000000"/>
                <w:spacing w:val="1"/>
                <w:w w:val="27"/>
                <w:shd w:val="solid" w:color="000000" w:fill="000000"/>
                <w:fitText w:val="120" w:id="-1504475898"/>
                <w14:textFill>
                  <w14:solidFill>
                    <w14:srgbClr w14:val="000000">
                      <w14:alpha w14:val="100000"/>
                    </w14:srgbClr>
                  </w14:solidFill>
                </w14:textFill>
              </w:rPr>
              <w:t xml:space="preserve">　</w:t>
            </w:r>
            <w:r w:rsidR="00064B28">
              <w:rPr>
                <w:vertAlign w:val="superscript"/>
              </w:rPr>
              <w:t>3</w:t>
            </w:r>
          </w:p>
        </w:tc>
      </w:tr>
      <w:tr w:rsidR="00BF65A4" w:rsidRPr="009A0E7B" w14:paraId="32172156" w14:textId="77777777" w:rsidTr="006E4DAE">
        <w:tc>
          <w:tcPr>
            <w:tcW w:w="1255" w:type="pct"/>
            <w:shd w:val="clear" w:color="auto" w:fill="auto"/>
            <w:vAlign w:val="center"/>
          </w:tcPr>
          <w:p w14:paraId="7435930F" w14:textId="787EE38F" w:rsidR="00BF65A4" w:rsidRPr="009A0E7B" w:rsidRDefault="00301069" w:rsidP="00F70D9E">
            <w:pPr>
              <w:pStyle w:val="TableText0"/>
              <w:keepLines/>
              <w:rPr>
                <w:sz w:val="19"/>
                <w:szCs w:val="19"/>
              </w:rPr>
            </w:pPr>
            <w:r w:rsidRPr="009A0E7B">
              <w:rPr>
                <w:sz w:val="19"/>
                <w:szCs w:val="19"/>
              </w:rPr>
              <w:t xml:space="preserve">Net cost to </w:t>
            </w:r>
            <w:proofErr w:type="spellStart"/>
            <w:r w:rsidRPr="009A0E7B">
              <w:rPr>
                <w:sz w:val="19"/>
                <w:szCs w:val="19"/>
              </w:rPr>
              <w:t>MBS</w:t>
            </w:r>
            <w:r w:rsidR="0048369E" w:rsidRPr="009A0E7B">
              <w:rPr>
                <w:rFonts w:cstheme="minorHAnsi"/>
                <w:szCs w:val="20"/>
                <w:vertAlign w:val="superscript"/>
              </w:rPr>
              <w:t>c</w:t>
            </w:r>
            <w:proofErr w:type="spellEnd"/>
          </w:p>
        </w:tc>
        <w:tc>
          <w:tcPr>
            <w:tcW w:w="624" w:type="pct"/>
            <w:gridSpan w:val="2"/>
            <w:shd w:val="clear" w:color="auto" w:fill="auto"/>
          </w:tcPr>
          <w:p w14:paraId="46579711" w14:textId="1F01DF63" w:rsidR="00BF65A4" w:rsidRPr="00064B28" w:rsidRDefault="00BF65A4" w:rsidP="00E8049E">
            <w:pPr>
              <w:pStyle w:val="TableText0"/>
              <w:keepLines/>
              <w:jc w:val="center"/>
              <w:rPr>
                <w:vertAlign w:val="superscript"/>
              </w:rPr>
            </w:pPr>
            <w:r w:rsidRPr="009A0E7B">
              <w:rPr>
                <w:szCs w:val="20"/>
              </w:rPr>
              <w:t>-$</w:t>
            </w:r>
            <w:r w:rsidR="00B77D4B" w:rsidRPr="00B77D4B">
              <w:rPr>
                <w:rFonts w:hint="eastAsia"/>
                <w:color w:val="000000"/>
                <w:w w:val="27"/>
                <w:szCs w:val="20"/>
                <w:shd w:val="solid" w:color="000000" w:fill="000000"/>
                <w:fitText w:val="120" w:id="-1504475897"/>
                <w14:textFill>
                  <w14:solidFill>
                    <w14:srgbClr w14:val="000000">
                      <w14:alpha w14:val="100000"/>
                    </w14:srgbClr>
                  </w14:solidFill>
                </w14:textFill>
              </w:rPr>
              <w:t xml:space="preserve">　</w:t>
            </w:r>
            <w:r w:rsidR="00B77D4B" w:rsidRPr="00B77D4B">
              <w:rPr>
                <w:color w:val="000000"/>
                <w:w w:val="27"/>
                <w:szCs w:val="20"/>
                <w:shd w:val="solid" w:color="000000" w:fill="000000"/>
                <w:fitText w:val="120" w:id="-1504475897"/>
                <w14:textFill>
                  <w14:solidFill>
                    <w14:srgbClr w14:val="000000">
                      <w14:alpha w14:val="100000"/>
                    </w14:srgbClr>
                  </w14:solidFill>
                </w14:textFill>
              </w:rPr>
              <w:t>|</w:t>
            </w:r>
            <w:r w:rsidR="00B77D4B" w:rsidRPr="00B77D4B">
              <w:rPr>
                <w:rFonts w:hint="eastAsia"/>
                <w:color w:val="000000"/>
                <w:spacing w:val="1"/>
                <w:w w:val="27"/>
                <w:szCs w:val="20"/>
                <w:shd w:val="solid" w:color="000000" w:fill="000000"/>
                <w:fitText w:val="120" w:id="-1504475897"/>
                <w14:textFill>
                  <w14:solidFill>
                    <w14:srgbClr w14:val="000000">
                      <w14:alpha w14:val="100000"/>
                    </w14:srgbClr>
                  </w14:solidFill>
                </w14:textFill>
              </w:rPr>
              <w:t xml:space="preserve">　</w:t>
            </w:r>
            <w:r w:rsidR="00064B28">
              <w:rPr>
                <w:szCs w:val="20"/>
                <w:vertAlign w:val="superscript"/>
              </w:rPr>
              <w:t>3</w:t>
            </w:r>
          </w:p>
        </w:tc>
        <w:tc>
          <w:tcPr>
            <w:tcW w:w="624" w:type="pct"/>
            <w:gridSpan w:val="2"/>
            <w:shd w:val="clear" w:color="auto" w:fill="auto"/>
          </w:tcPr>
          <w:p w14:paraId="294B4151" w14:textId="79DA4D5E" w:rsidR="00BF65A4" w:rsidRPr="00064B28" w:rsidRDefault="00BF65A4" w:rsidP="00E8049E">
            <w:pPr>
              <w:pStyle w:val="TableText0"/>
              <w:keepLines/>
              <w:jc w:val="center"/>
              <w:rPr>
                <w:vertAlign w:val="superscript"/>
              </w:rPr>
            </w:pPr>
            <w:r w:rsidRPr="009A0E7B">
              <w:rPr>
                <w:szCs w:val="20"/>
              </w:rPr>
              <w:t>-$</w:t>
            </w:r>
            <w:r w:rsidR="00B77D4B" w:rsidRPr="00B77D4B">
              <w:rPr>
                <w:rFonts w:hint="eastAsia"/>
                <w:color w:val="000000"/>
                <w:w w:val="27"/>
                <w:szCs w:val="20"/>
                <w:shd w:val="solid" w:color="000000" w:fill="000000"/>
                <w:fitText w:val="120" w:id="-1504475896"/>
                <w14:textFill>
                  <w14:solidFill>
                    <w14:srgbClr w14:val="000000">
                      <w14:alpha w14:val="100000"/>
                    </w14:srgbClr>
                  </w14:solidFill>
                </w14:textFill>
              </w:rPr>
              <w:t xml:space="preserve">　</w:t>
            </w:r>
            <w:r w:rsidR="00B77D4B" w:rsidRPr="00B77D4B">
              <w:rPr>
                <w:color w:val="000000"/>
                <w:w w:val="27"/>
                <w:szCs w:val="20"/>
                <w:shd w:val="solid" w:color="000000" w:fill="000000"/>
                <w:fitText w:val="120" w:id="-1504475896"/>
                <w14:textFill>
                  <w14:solidFill>
                    <w14:srgbClr w14:val="000000">
                      <w14:alpha w14:val="100000"/>
                    </w14:srgbClr>
                  </w14:solidFill>
                </w14:textFill>
              </w:rPr>
              <w:t>|</w:t>
            </w:r>
            <w:r w:rsidR="00B77D4B" w:rsidRPr="00B77D4B">
              <w:rPr>
                <w:rFonts w:hint="eastAsia"/>
                <w:color w:val="000000"/>
                <w:spacing w:val="1"/>
                <w:w w:val="27"/>
                <w:szCs w:val="20"/>
                <w:shd w:val="solid" w:color="000000" w:fill="000000"/>
                <w:fitText w:val="120" w:id="-1504475896"/>
                <w14:textFill>
                  <w14:solidFill>
                    <w14:srgbClr w14:val="000000">
                      <w14:alpha w14:val="100000"/>
                    </w14:srgbClr>
                  </w14:solidFill>
                </w14:textFill>
              </w:rPr>
              <w:t xml:space="preserve">　</w:t>
            </w:r>
            <w:r w:rsidR="00064B28">
              <w:rPr>
                <w:szCs w:val="20"/>
                <w:vertAlign w:val="superscript"/>
              </w:rPr>
              <w:t>3</w:t>
            </w:r>
          </w:p>
        </w:tc>
        <w:tc>
          <w:tcPr>
            <w:tcW w:w="624" w:type="pct"/>
            <w:gridSpan w:val="2"/>
            <w:shd w:val="clear" w:color="auto" w:fill="auto"/>
          </w:tcPr>
          <w:p w14:paraId="4715879C" w14:textId="4D8FB240" w:rsidR="00BF65A4" w:rsidRPr="00064B28" w:rsidRDefault="00BF65A4" w:rsidP="00E8049E">
            <w:pPr>
              <w:pStyle w:val="TableText0"/>
              <w:keepLines/>
              <w:jc w:val="center"/>
              <w:rPr>
                <w:vertAlign w:val="superscript"/>
              </w:rPr>
            </w:pPr>
            <w:r w:rsidRPr="009A0E7B">
              <w:rPr>
                <w:szCs w:val="20"/>
              </w:rPr>
              <w:t>-$</w:t>
            </w:r>
            <w:r w:rsidR="00B77D4B" w:rsidRPr="00B77D4B">
              <w:rPr>
                <w:rFonts w:hint="eastAsia"/>
                <w:color w:val="000000"/>
                <w:w w:val="27"/>
                <w:szCs w:val="20"/>
                <w:shd w:val="solid" w:color="000000" w:fill="000000"/>
                <w:fitText w:val="120" w:id="-1504475895"/>
                <w14:textFill>
                  <w14:solidFill>
                    <w14:srgbClr w14:val="000000">
                      <w14:alpha w14:val="100000"/>
                    </w14:srgbClr>
                  </w14:solidFill>
                </w14:textFill>
              </w:rPr>
              <w:t xml:space="preserve">　</w:t>
            </w:r>
            <w:r w:rsidR="00B77D4B" w:rsidRPr="00B77D4B">
              <w:rPr>
                <w:color w:val="000000"/>
                <w:w w:val="27"/>
                <w:szCs w:val="20"/>
                <w:shd w:val="solid" w:color="000000" w:fill="000000"/>
                <w:fitText w:val="120" w:id="-1504475895"/>
                <w14:textFill>
                  <w14:solidFill>
                    <w14:srgbClr w14:val="000000">
                      <w14:alpha w14:val="100000"/>
                    </w14:srgbClr>
                  </w14:solidFill>
                </w14:textFill>
              </w:rPr>
              <w:t>|</w:t>
            </w:r>
            <w:r w:rsidR="00B77D4B" w:rsidRPr="00B77D4B">
              <w:rPr>
                <w:rFonts w:hint="eastAsia"/>
                <w:color w:val="000000"/>
                <w:spacing w:val="1"/>
                <w:w w:val="27"/>
                <w:szCs w:val="20"/>
                <w:shd w:val="solid" w:color="000000" w:fill="000000"/>
                <w:fitText w:val="120" w:id="-1504475895"/>
                <w14:textFill>
                  <w14:solidFill>
                    <w14:srgbClr w14:val="000000">
                      <w14:alpha w14:val="100000"/>
                    </w14:srgbClr>
                  </w14:solidFill>
                </w14:textFill>
              </w:rPr>
              <w:t xml:space="preserve">　</w:t>
            </w:r>
            <w:r w:rsidR="00064B28">
              <w:rPr>
                <w:szCs w:val="20"/>
                <w:vertAlign w:val="superscript"/>
              </w:rPr>
              <w:t>3</w:t>
            </w:r>
          </w:p>
        </w:tc>
        <w:tc>
          <w:tcPr>
            <w:tcW w:w="624" w:type="pct"/>
            <w:gridSpan w:val="2"/>
            <w:shd w:val="clear" w:color="auto" w:fill="auto"/>
          </w:tcPr>
          <w:p w14:paraId="20003494" w14:textId="56ACD25E" w:rsidR="00BF65A4" w:rsidRPr="00064B28" w:rsidRDefault="00BF65A4" w:rsidP="00E8049E">
            <w:pPr>
              <w:pStyle w:val="TableText0"/>
              <w:keepLines/>
              <w:jc w:val="center"/>
              <w:rPr>
                <w:vertAlign w:val="superscript"/>
              </w:rPr>
            </w:pPr>
            <w:r w:rsidRPr="009A0E7B">
              <w:rPr>
                <w:szCs w:val="20"/>
              </w:rPr>
              <w:t>-$</w:t>
            </w:r>
            <w:r w:rsidR="00B77D4B" w:rsidRPr="00B77D4B">
              <w:rPr>
                <w:rFonts w:hint="eastAsia"/>
                <w:color w:val="000000"/>
                <w:w w:val="27"/>
                <w:szCs w:val="20"/>
                <w:shd w:val="solid" w:color="000000" w:fill="000000"/>
                <w:fitText w:val="120" w:id="-1504475894"/>
                <w14:textFill>
                  <w14:solidFill>
                    <w14:srgbClr w14:val="000000">
                      <w14:alpha w14:val="100000"/>
                    </w14:srgbClr>
                  </w14:solidFill>
                </w14:textFill>
              </w:rPr>
              <w:t xml:space="preserve">　</w:t>
            </w:r>
            <w:r w:rsidR="00B77D4B" w:rsidRPr="00B77D4B">
              <w:rPr>
                <w:color w:val="000000"/>
                <w:w w:val="27"/>
                <w:szCs w:val="20"/>
                <w:shd w:val="solid" w:color="000000" w:fill="000000"/>
                <w:fitText w:val="120" w:id="-1504475894"/>
                <w14:textFill>
                  <w14:solidFill>
                    <w14:srgbClr w14:val="000000">
                      <w14:alpha w14:val="100000"/>
                    </w14:srgbClr>
                  </w14:solidFill>
                </w14:textFill>
              </w:rPr>
              <w:t>|</w:t>
            </w:r>
            <w:r w:rsidR="00B77D4B" w:rsidRPr="00B77D4B">
              <w:rPr>
                <w:rFonts w:hint="eastAsia"/>
                <w:color w:val="000000"/>
                <w:spacing w:val="1"/>
                <w:w w:val="27"/>
                <w:szCs w:val="20"/>
                <w:shd w:val="solid" w:color="000000" w:fill="000000"/>
                <w:fitText w:val="120" w:id="-1504475894"/>
                <w14:textFill>
                  <w14:solidFill>
                    <w14:srgbClr w14:val="000000">
                      <w14:alpha w14:val="100000"/>
                    </w14:srgbClr>
                  </w14:solidFill>
                </w14:textFill>
              </w:rPr>
              <w:t xml:space="preserve">　</w:t>
            </w:r>
            <w:r w:rsidR="00064B28">
              <w:rPr>
                <w:szCs w:val="20"/>
                <w:vertAlign w:val="superscript"/>
              </w:rPr>
              <w:t>3</w:t>
            </w:r>
          </w:p>
        </w:tc>
        <w:tc>
          <w:tcPr>
            <w:tcW w:w="624" w:type="pct"/>
            <w:gridSpan w:val="2"/>
            <w:shd w:val="clear" w:color="auto" w:fill="auto"/>
          </w:tcPr>
          <w:p w14:paraId="42EDE17D" w14:textId="18321A43" w:rsidR="00BF65A4" w:rsidRPr="00064B28" w:rsidRDefault="00BF65A4" w:rsidP="00E8049E">
            <w:pPr>
              <w:pStyle w:val="TableText0"/>
              <w:keepLines/>
              <w:jc w:val="center"/>
              <w:rPr>
                <w:vertAlign w:val="superscript"/>
              </w:rPr>
            </w:pPr>
            <w:r w:rsidRPr="009A0E7B">
              <w:rPr>
                <w:szCs w:val="20"/>
              </w:rPr>
              <w:t>-$</w:t>
            </w:r>
            <w:r w:rsidR="00B77D4B" w:rsidRPr="00B77D4B">
              <w:rPr>
                <w:rFonts w:hint="eastAsia"/>
                <w:color w:val="000000"/>
                <w:w w:val="27"/>
                <w:szCs w:val="20"/>
                <w:shd w:val="solid" w:color="000000" w:fill="000000"/>
                <w:fitText w:val="120" w:id="-1504475893"/>
                <w14:textFill>
                  <w14:solidFill>
                    <w14:srgbClr w14:val="000000">
                      <w14:alpha w14:val="100000"/>
                    </w14:srgbClr>
                  </w14:solidFill>
                </w14:textFill>
              </w:rPr>
              <w:t xml:space="preserve">　</w:t>
            </w:r>
            <w:r w:rsidR="00B77D4B" w:rsidRPr="00B77D4B">
              <w:rPr>
                <w:color w:val="000000"/>
                <w:w w:val="27"/>
                <w:szCs w:val="20"/>
                <w:shd w:val="solid" w:color="000000" w:fill="000000"/>
                <w:fitText w:val="120" w:id="-1504475893"/>
                <w14:textFill>
                  <w14:solidFill>
                    <w14:srgbClr w14:val="000000">
                      <w14:alpha w14:val="100000"/>
                    </w14:srgbClr>
                  </w14:solidFill>
                </w14:textFill>
              </w:rPr>
              <w:t>|</w:t>
            </w:r>
            <w:r w:rsidR="00B77D4B" w:rsidRPr="00B77D4B">
              <w:rPr>
                <w:rFonts w:hint="eastAsia"/>
                <w:color w:val="000000"/>
                <w:spacing w:val="1"/>
                <w:w w:val="27"/>
                <w:szCs w:val="20"/>
                <w:shd w:val="solid" w:color="000000" w:fill="000000"/>
                <w:fitText w:val="120" w:id="-1504475893"/>
                <w14:textFill>
                  <w14:solidFill>
                    <w14:srgbClr w14:val="000000">
                      <w14:alpha w14:val="100000"/>
                    </w14:srgbClr>
                  </w14:solidFill>
                </w14:textFill>
              </w:rPr>
              <w:t xml:space="preserve">　</w:t>
            </w:r>
            <w:r w:rsidR="00064B28">
              <w:rPr>
                <w:szCs w:val="20"/>
                <w:vertAlign w:val="superscript"/>
              </w:rPr>
              <w:t>3</w:t>
            </w:r>
          </w:p>
        </w:tc>
        <w:tc>
          <w:tcPr>
            <w:tcW w:w="625" w:type="pct"/>
          </w:tcPr>
          <w:p w14:paraId="3AF05C71" w14:textId="0CE629CA" w:rsidR="00BF65A4" w:rsidRPr="00064B28" w:rsidRDefault="00BF65A4" w:rsidP="00E8049E">
            <w:pPr>
              <w:pStyle w:val="TableText0"/>
              <w:keepLines/>
              <w:jc w:val="center"/>
              <w:rPr>
                <w:vertAlign w:val="superscript"/>
              </w:rPr>
            </w:pPr>
            <w:r w:rsidRPr="009A0E7B">
              <w:rPr>
                <w:szCs w:val="20"/>
              </w:rPr>
              <w:t>-$</w:t>
            </w:r>
            <w:r w:rsidR="00B77D4B" w:rsidRPr="00B77D4B">
              <w:rPr>
                <w:rFonts w:hint="eastAsia"/>
                <w:color w:val="000000"/>
                <w:w w:val="27"/>
                <w:szCs w:val="20"/>
                <w:shd w:val="solid" w:color="000000" w:fill="000000"/>
                <w:fitText w:val="120" w:id="-1504475892"/>
                <w14:textFill>
                  <w14:solidFill>
                    <w14:srgbClr w14:val="000000">
                      <w14:alpha w14:val="100000"/>
                    </w14:srgbClr>
                  </w14:solidFill>
                </w14:textFill>
              </w:rPr>
              <w:t xml:space="preserve">　</w:t>
            </w:r>
            <w:r w:rsidR="00B77D4B" w:rsidRPr="00B77D4B">
              <w:rPr>
                <w:color w:val="000000"/>
                <w:w w:val="27"/>
                <w:szCs w:val="20"/>
                <w:shd w:val="solid" w:color="000000" w:fill="000000"/>
                <w:fitText w:val="120" w:id="-1504475892"/>
                <w14:textFill>
                  <w14:solidFill>
                    <w14:srgbClr w14:val="000000">
                      <w14:alpha w14:val="100000"/>
                    </w14:srgbClr>
                  </w14:solidFill>
                </w14:textFill>
              </w:rPr>
              <w:t>|</w:t>
            </w:r>
            <w:r w:rsidR="00B77D4B" w:rsidRPr="00B77D4B">
              <w:rPr>
                <w:rFonts w:hint="eastAsia"/>
                <w:color w:val="000000"/>
                <w:spacing w:val="1"/>
                <w:w w:val="27"/>
                <w:szCs w:val="20"/>
                <w:shd w:val="solid" w:color="000000" w:fill="000000"/>
                <w:fitText w:val="120" w:id="-1504475892"/>
                <w14:textFill>
                  <w14:solidFill>
                    <w14:srgbClr w14:val="000000">
                      <w14:alpha w14:val="100000"/>
                    </w14:srgbClr>
                  </w14:solidFill>
                </w14:textFill>
              </w:rPr>
              <w:t xml:space="preserve">　</w:t>
            </w:r>
            <w:r w:rsidR="00064B28">
              <w:rPr>
                <w:szCs w:val="20"/>
                <w:vertAlign w:val="superscript"/>
              </w:rPr>
              <w:t>3</w:t>
            </w:r>
          </w:p>
        </w:tc>
      </w:tr>
      <w:tr w:rsidR="00BF65A4" w:rsidRPr="009A0E7B" w14:paraId="42207F4F" w14:textId="77777777" w:rsidTr="006E4DAE">
        <w:tc>
          <w:tcPr>
            <w:tcW w:w="1255" w:type="pct"/>
            <w:shd w:val="clear" w:color="auto" w:fill="auto"/>
            <w:vAlign w:val="center"/>
          </w:tcPr>
          <w:p w14:paraId="108F0FED" w14:textId="36ECD86A" w:rsidR="00BF65A4" w:rsidRPr="009A0E7B" w:rsidRDefault="00301069" w:rsidP="00E8049E">
            <w:pPr>
              <w:pStyle w:val="TableText0"/>
              <w:keepLines/>
              <w:rPr>
                <w:sz w:val="19"/>
                <w:szCs w:val="19"/>
              </w:rPr>
            </w:pPr>
            <w:r w:rsidRPr="009A0E7B">
              <w:rPr>
                <w:b/>
                <w:sz w:val="19"/>
                <w:szCs w:val="19"/>
              </w:rPr>
              <w:t>Net cost to PBS/RPBS/MBS</w:t>
            </w:r>
            <w:r w:rsidRPr="009A0E7B" w:rsidDel="00301069">
              <w:t xml:space="preserve"> </w:t>
            </w:r>
            <w:r w:rsidR="00BF65A4" w:rsidRPr="009A0E7B">
              <w:rPr>
                <w:vertAlign w:val="superscript"/>
              </w:rPr>
              <w:t>b</w:t>
            </w:r>
          </w:p>
        </w:tc>
        <w:tc>
          <w:tcPr>
            <w:tcW w:w="624" w:type="pct"/>
            <w:gridSpan w:val="2"/>
            <w:shd w:val="clear" w:color="auto" w:fill="auto"/>
          </w:tcPr>
          <w:p w14:paraId="5B62A9BF" w14:textId="4255E905" w:rsidR="00BF65A4" w:rsidRPr="00064B28" w:rsidRDefault="00BF65A4" w:rsidP="00E8049E">
            <w:pPr>
              <w:pStyle w:val="TableText0"/>
              <w:keepLines/>
              <w:jc w:val="center"/>
              <w:rPr>
                <w:b/>
                <w:vertAlign w:val="superscript"/>
              </w:rPr>
            </w:pPr>
            <w:r w:rsidRPr="00301069">
              <w:rPr>
                <w:b/>
              </w:rPr>
              <w:t>-$</w:t>
            </w:r>
            <w:r w:rsidR="00B77D4B" w:rsidRPr="00B77D4B">
              <w:rPr>
                <w:rFonts w:hint="eastAsia"/>
                <w:b/>
                <w:color w:val="000000"/>
                <w:w w:val="33"/>
                <w:shd w:val="solid" w:color="000000" w:fill="000000"/>
                <w:fitText w:val="150" w:id="-1504475891"/>
                <w14:textFill>
                  <w14:solidFill>
                    <w14:srgbClr w14:val="000000">
                      <w14:alpha w14:val="100000"/>
                    </w14:srgbClr>
                  </w14:solidFill>
                </w14:textFill>
              </w:rPr>
              <w:t xml:space="preserve">　</w:t>
            </w:r>
            <w:r w:rsidR="00B77D4B" w:rsidRPr="00B77D4B">
              <w:rPr>
                <w:b/>
                <w:color w:val="000000"/>
                <w:w w:val="33"/>
                <w:shd w:val="solid" w:color="000000" w:fill="000000"/>
                <w:fitText w:val="150" w:id="-1504475891"/>
                <w14:textFill>
                  <w14:solidFill>
                    <w14:srgbClr w14:val="000000">
                      <w14:alpha w14:val="100000"/>
                    </w14:srgbClr>
                  </w14:solidFill>
                </w14:textFill>
              </w:rPr>
              <w:t>|</w:t>
            </w:r>
            <w:r w:rsidR="00B77D4B" w:rsidRPr="00B77D4B">
              <w:rPr>
                <w:rFonts w:hint="eastAsia"/>
                <w:b/>
                <w:color w:val="000000"/>
                <w:spacing w:val="3"/>
                <w:w w:val="33"/>
                <w:shd w:val="solid" w:color="000000" w:fill="000000"/>
                <w:fitText w:val="150" w:id="-1504475891"/>
                <w14:textFill>
                  <w14:solidFill>
                    <w14:srgbClr w14:val="000000">
                      <w14:alpha w14:val="100000"/>
                    </w14:srgbClr>
                  </w14:solidFill>
                </w14:textFill>
              </w:rPr>
              <w:t xml:space="preserve">　</w:t>
            </w:r>
            <w:r w:rsidR="00064B28">
              <w:rPr>
                <w:b/>
                <w:vertAlign w:val="superscript"/>
              </w:rPr>
              <w:t>3</w:t>
            </w:r>
          </w:p>
        </w:tc>
        <w:tc>
          <w:tcPr>
            <w:tcW w:w="624" w:type="pct"/>
            <w:gridSpan w:val="2"/>
            <w:shd w:val="clear" w:color="auto" w:fill="auto"/>
          </w:tcPr>
          <w:p w14:paraId="7316FC7E" w14:textId="3B6E5A3E" w:rsidR="00BF65A4" w:rsidRPr="00064B28" w:rsidRDefault="00BF65A4" w:rsidP="00E8049E">
            <w:pPr>
              <w:pStyle w:val="TableText0"/>
              <w:keepLines/>
              <w:jc w:val="center"/>
              <w:rPr>
                <w:b/>
                <w:vertAlign w:val="superscript"/>
              </w:rPr>
            </w:pPr>
            <w:r w:rsidRPr="00301069">
              <w:rPr>
                <w:b/>
              </w:rPr>
              <w:t>-$</w:t>
            </w:r>
            <w:r w:rsidR="00B77D4B" w:rsidRPr="00B77D4B">
              <w:rPr>
                <w:rFonts w:hint="eastAsia"/>
                <w:b/>
                <w:color w:val="000000"/>
                <w:w w:val="33"/>
                <w:shd w:val="solid" w:color="000000" w:fill="000000"/>
                <w:fitText w:val="150" w:id="-1504475890"/>
                <w14:textFill>
                  <w14:solidFill>
                    <w14:srgbClr w14:val="000000">
                      <w14:alpha w14:val="100000"/>
                    </w14:srgbClr>
                  </w14:solidFill>
                </w14:textFill>
              </w:rPr>
              <w:t xml:space="preserve">　</w:t>
            </w:r>
            <w:r w:rsidR="00B77D4B" w:rsidRPr="00B77D4B">
              <w:rPr>
                <w:b/>
                <w:color w:val="000000"/>
                <w:w w:val="33"/>
                <w:shd w:val="solid" w:color="000000" w:fill="000000"/>
                <w:fitText w:val="150" w:id="-1504475890"/>
                <w14:textFill>
                  <w14:solidFill>
                    <w14:srgbClr w14:val="000000">
                      <w14:alpha w14:val="100000"/>
                    </w14:srgbClr>
                  </w14:solidFill>
                </w14:textFill>
              </w:rPr>
              <w:t>|</w:t>
            </w:r>
            <w:r w:rsidR="00B77D4B" w:rsidRPr="00B77D4B">
              <w:rPr>
                <w:rFonts w:hint="eastAsia"/>
                <w:b/>
                <w:color w:val="000000"/>
                <w:spacing w:val="3"/>
                <w:w w:val="33"/>
                <w:shd w:val="solid" w:color="000000" w:fill="000000"/>
                <w:fitText w:val="150" w:id="-1504475890"/>
                <w14:textFill>
                  <w14:solidFill>
                    <w14:srgbClr w14:val="000000">
                      <w14:alpha w14:val="100000"/>
                    </w14:srgbClr>
                  </w14:solidFill>
                </w14:textFill>
              </w:rPr>
              <w:t xml:space="preserve">　</w:t>
            </w:r>
            <w:r w:rsidR="00064B28">
              <w:rPr>
                <w:b/>
                <w:vertAlign w:val="superscript"/>
              </w:rPr>
              <w:t>3</w:t>
            </w:r>
          </w:p>
        </w:tc>
        <w:tc>
          <w:tcPr>
            <w:tcW w:w="624" w:type="pct"/>
            <w:gridSpan w:val="2"/>
            <w:shd w:val="clear" w:color="auto" w:fill="auto"/>
          </w:tcPr>
          <w:p w14:paraId="53E1747E" w14:textId="1591C258" w:rsidR="00BF65A4" w:rsidRPr="00064B28" w:rsidRDefault="00BF65A4" w:rsidP="00E8049E">
            <w:pPr>
              <w:pStyle w:val="TableText0"/>
              <w:keepLines/>
              <w:jc w:val="center"/>
              <w:rPr>
                <w:b/>
                <w:vertAlign w:val="superscript"/>
              </w:rPr>
            </w:pPr>
            <w:r w:rsidRPr="00301069">
              <w:rPr>
                <w:b/>
              </w:rPr>
              <w:t>-$</w:t>
            </w:r>
            <w:r w:rsidR="00B77D4B" w:rsidRPr="00B77D4B">
              <w:rPr>
                <w:rFonts w:hint="eastAsia"/>
                <w:b/>
                <w:color w:val="000000"/>
                <w:w w:val="33"/>
                <w:shd w:val="solid" w:color="000000" w:fill="000000"/>
                <w:fitText w:val="150" w:id="-1504475889"/>
                <w14:textFill>
                  <w14:solidFill>
                    <w14:srgbClr w14:val="000000">
                      <w14:alpha w14:val="100000"/>
                    </w14:srgbClr>
                  </w14:solidFill>
                </w14:textFill>
              </w:rPr>
              <w:t xml:space="preserve">　</w:t>
            </w:r>
            <w:r w:rsidR="00B77D4B" w:rsidRPr="00B77D4B">
              <w:rPr>
                <w:b/>
                <w:color w:val="000000"/>
                <w:w w:val="33"/>
                <w:shd w:val="solid" w:color="000000" w:fill="000000"/>
                <w:fitText w:val="150" w:id="-1504475889"/>
                <w14:textFill>
                  <w14:solidFill>
                    <w14:srgbClr w14:val="000000">
                      <w14:alpha w14:val="100000"/>
                    </w14:srgbClr>
                  </w14:solidFill>
                </w14:textFill>
              </w:rPr>
              <w:t>|</w:t>
            </w:r>
            <w:r w:rsidR="00B77D4B" w:rsidRPr="00B77D4B">
              <w:rPr>
                <w:rFonts w:hint="eastAsia"/>
                <w:b/>
                <w:color w:val="000000"/>
                <w:spacing w:val="3"/>
                <w:w w:val="33"/>
                <w:shd w:val="solid" w:color="000000" w:fill="000000"/>
                <w:fitText w:val="150" w:id="-1504475889"/>
                <w14:textFill>
                  <w14:solidFill>
                    <w14:srgbClr w14:val="000000">
                      <w14:alpha w14:val="100000"/>
                    </w14:srgbClr>
                  </w14:solidFill>
                </w14:textFill>
              </w:rPr>
              <w:t xml:space="preserve">　</w:t>
            </w:r>
            <w:r w:rsidR="00064B28">
              <w:rPr>
                <w:b/>
                <w:vertAlign w:val="superscript"/>
              </w:rPr>
              <w:t>3</w:t>
            </w:r>
          </w:p>
        </w:tc>
        <w:tc>
          <w:tcPr>
            <w:tcW w:w="624" w:type="pct"/>
            <w:gridSpan w:val="2"/>
            <w:shd w:val="clear" w:color="auto" w:fill="auto"/>
          </w:tcPr>
          <w:p w14:paraId="0B3EF665" w14:textId="0971E0EC" w:rsidR="00BF65A4" w:rsidRPr="00064B28" w:rsidRDefault="00BF65A4" w:rsidP="00E8049E">
            <w:pPr>
              <w:pStyle w:val="TableText0"/>
              <w:keepLines/>
              <w:jc w:val="center"/>
              <w:rPr>
                <w:b/>
                <w:vertAlign w:val="superscript"/>
              </w:rPr>
            </w:pPr>
            <w:r w:rsidRPr="00301069">
              <w:rPr>
                <w:b/>
              </w:rPr>
              <w:t>-$</w:t>
            </w:r>
            <w:r w:rsidR="00B77D4B" w:rsidRPr="00B77D4B">
              <w:rPr>
                <w:rFonts w:hint="eastAsia"/>
                <w:b/>
                <w:color w:val="000000"/>
                <w:w w:val="33"/>
                <w:shd w:val="solid" w:color="000000" w:fill="000000"/>
                <w:fitText w:val="150" w:id="-1504475888"/>
                <w14:textFill>
                  <w14:solidFill>
                    <w14:srgbClr w14:val="000000">
                      <w14:alpha w14:val="100000"/>
                    </w14:srgbClr>
                  </w14:solidFill>
                </w14:textFill>
              </w:rPr>
              <w:t xml:space="preserve">　</w:t>
            </w:r>
            <w:r w:rsidR="00B77D4B" w:rsidRPr="00B77D4B">
              <w:rPr>
                <w:b/>
                <w:color w:val="000000"/>
                <w:w w:val="33"/>
                <w:shd w:val="solid" w:color="000000" w:fill="000000"/>
                <w:fitText w:val="150" w:id="-1504475888"/>
                <w14:textFill>
                  <w14:solidFill>
                    <w14:srgbClr w14:val="000000">
                      <w14:alpha w14:val="100000"/>
                    </w14:srgbClr>
                  </w14:solidFill>
                </w14:textFill>
              </w:rPr>
              <w:t>|</w:t>
            </w:r>
            <w:r w:rsidR="00B77D4B" w:rsidRPr="00B77D4B">
              <w:rPr>
                <w:rFonts w:hint="eastAsia"/>
                <w:b/>
                <w:color w:val="000000"/>
                <w:spacing w:val="3"/>
                <w:w w:val="33"/>
                <w:shd w:val="solid" w:color="000000" w:fill="000000"/>
                <w:fitText w:val="150" w:id="-1504475888"/>
                <w14:textFill>
                  <w14:solidFill>
                    <w14:srgbClr w14:val="000000">
                      <w14:alpha w14:val="100000"/>
                    </w14:srgbClr>
                  </w14:solidFill>
                </w14:textFill>
              </w:rPr>
              <w:t xml:space="preserve">　</w:t>
            </w:r>
            <w:r w:rsidR="00064B28">
              <w:rPr>
                <w:b/>
                <w:vertAlign w:val="superscript"/>
              </w:rPr>
              <w:t>3</w:t>
            </w:r>
          </w:p>
        </w:tc>
        <w:tc>
          <w:tcPr>
            <w:tcW w:w="624" w:type="pct"/>
            <w:gridSpan w:val="2"/>
            <w:shd w:val="clear" w:color="auto" w:fill="auto"/>
          </w:tcPr>
          <w:p w14:paraId="097F3465" w14:textId="216B3AA9" w:rsidR="00BF65A4" w:rsidRPr="00064B28" w:rsidRDefault="00BF65A4" w:rsidP="00E8049E">
            <w:pPr>
              <w:pStyle w:val="TableText0"/>
              <w:keepLines/>
              <w:jc w:val="center"/>
              <w:rPr>
                <w:b/>
                <w:vertAlign w:val="superscript"/>
              </w:rPr>
            </w:pPr>
            <w:r w:rsidRPr="00301069">
              <w:rPr>
                <w:b/>
              </w:rPr>
              <w:t>-$</w:t>
            </w:r>
            <w:r w:rsidR="00B77D4B" w:rsidRPr="00B77D4B">
              <w:rPr>
                <w:rFonts w:hint="eastAsia"/>
                <w:b/>
                <w:color w:val="000000"/>
                <w:w w:val="33"/>
                <w:shd w:val="solid" w:color="000000" w:fill="000000"/>
                <w:fitText w:val="150" w:id="-1504475904"/>
                <w14:textFill>
                  <w14:solidFill>
                    <w14:srgbClr w14:val="000000">
                      <w14:alpha w14:val="100000"/>
                    </w14:srgbClr>
                  </w14:solidFill>
                </w14:textFill>
              </w:rPr>
              <w:t xml:space="preserve">　</w:t>
            </w:r>
            <w:r w:rsidR="00B77D4B" w:rsidRPr="00B77D4B">
              <w:rPr>
                <w:b/>
                <w:color w:val="000000"/>
                <w:w w:val="33"/>
                <w:shd w:val="solid" w:color="000000" w:fill="000000"/>
                <w:fitText w:val="150" w:id="-1504475904"/>
                <w14:textFill>
                  <w14:solidFill>
                    <w14:srgbClr w14:val="000000">
                      <w14:alpha w14:val="100000"/>
                    </w14:srgbClr>
                  </w14:solidFill>
                </w14:textFill>
              </w:rPr>
              <w:t>|</w:t>
            </w:r>
            <w:r w:rsidR="00B77D4B" w:rsidRPr="00B77D4B">
              <w:rPr>
                <w:rFonts w:hint="eastAsia"/>
                <w:b/>
                <w:color w:val="000000"/>
                <w:spacing w:val="3"/>
                <w:w w:val="33"/>
                <w:shd w:val="solid" w:color="000000" w:fill="000000"/>
                <w:fitText w:val="150" w:id="-1504475904"/>
                <w14:textFill>
                  <w14:solidFill>
                    <w14:srgbClr w14:val="000000">
                      <w14:alpha w14:val="100000"/>
                    </w14:srgbClr>
                  </w14:solidFill>
                </w14:textFill>
              </w:rPr>
              <w:t xml:space="preserve">　</w:t>
            </w:r>
            <w:r w:rsidR="00064B28">
              <w:rPr>
                <w:b/>
                <w:vertAlign w:val="superscript"/>
              </w:rPr>
              <w:t>3</w:t>
            </w:r>
          </w:p>
        </w:tc>
        <w:tc>
          <w:tcPr>
            <w:tcW w:w="625" w:type="pct"/>
          </w:tcPr>
          <w:p w14:paraId="7009C6E7" w14:textId="6AE9CA69" w:rsidR="00BF65A4" w:rsidRPr="00064B28" w:rsidRDefault="00BF65A4" w:rsidP="00E8049E">
            <w:pPr>
              <w:pStyle w:val="TableText0"/>
              <w:keepLines/>
              <w:jc w:val="center"/>
              <w:rPr>
                <w:b/>
                <w:vertAlign w:val="superscript"/>
              </w:rPr>
            </w:pPr>
            <w:r w:rsidRPr="00301069">
              <w:rPr>
                <w:b/>
              </w:rPr>
              <w:t>-$</w:t>
            </w:r>
            <w:r w:rsidR="00B77D4B" w:rsidRPr="00B77D4B">
              <w:rPr>
                <w:b/>
                <w:color w:val="000000"/>
                <w:spacing w:val="68"/>
                <w:shd w:val="solid" w:color="000000" w:fill="000000"/>
                <w:fitText w:val="160" w:id="-1504475903"/>
                <w14:textFill>
                  <w14:solidFill>
                    <w14:srgbClr w14:val="000000">
                      <w14:alpha w14:val="100000"/>
                    </w14:srgbClr>
                  </w14:solidFill>
                </w14:textFill>
              </w:rPr>
              <w:t>|</w:t>
            </w:r>
            <w:r w:rsidR="00B77D4B" w:rsidRPr="00B77D4B">
              <w:rPr>
                <w:b/>
                <w:color w:val="000000"/>
                <w:spacing w:val="1"/>
                <w:shd w:val="solid" w:color="000000" w:fill="000000"/>
                <w:fitText w:val="160" w:id="-1504475903"/>
                <w14:textFill>
                  <w14:solidFill>
                    <w14:srgbClr w14:val="000000">
                      <w14:alpha w14:val="100000"/>
                    </w14:srgbClr>
                  </w14:solidFill>
                </w14:textFill>
              </w:rPr>
              <w:t>|</w:t>
            </w:r>
            <w:r w:rsidR="00064B28">
              <w:rPr>
                <w:b/>
                <w:vertAlign w:val="superscript"/>
              </w:rPr>
              <w:t>3</w:t>
            </w:r>
          </w:p>
        </w:tc>
      </w:tr>
    </w:tbl>
    <w:p w14:paraId="512212D3" w14:textId="77777777" w:rsidR="00BF65A4" w:rsidRPr="009A0E7B" w:rsidRDefault="00BF65A4" w:rsidP="00E8049E">
      <w:pPr>
        <w:pStyle w:val="TableFigureFooter"/>
        <w:keepNext/>
        <w:keepLines/>
        <w:rPr>
          <w:rStyle w:val="CommentReference"/>
          <w:b w:val="0"/>
          <w:sz w:val="18"/>
          <w:szCs w:val="22"/>
        </w:rPr>
      </w:pPr>
      <w:r w:rsidRPr="009A0E7B">
        <w:t>Source: Table 165-170, p253-7 of the submission and the Excel Workbook “Attachment 3_Ozanimod MSUC Utilisation and Cost Model”</w:t>
      </w:r>
    </w:p>
    <w:p w14:paraId="23391659" w14:textId="77777777" w:rsidR="00BF65A4" w:rsidRPr="009A0E7B" w:rsidRDefault="00BF65A4" w:rsidP="00E8049E">
      <w:pPr>
        <w:pStyle w:val="TableFigureFooter"/>
        <w:keepNext/>
        <w:keepLines/>
        <w:rPr>
          <w:rStyle w:val="CommentReference"/>
          <w:b w:val="0"/>
          <w:sz w:val="18"/>
          <w:szCs w:val="22"/>
        </w:rPr>
      </w:pPr>
      <w:proofErr w:type="spellStart"/>
      <w:r w:rsidRPr="009A0E7B">
        <w:t>bDMARD</w:t>
      </w:r>
      <w:proofErr w:type="spellEnd"/>
      <w:r w:rsidRPr="009A0E7B">
        <w:t xml:space="preserve"> =</w:t>
      </w:r>
      <w:r w:rsidRPr="009A0E7B">
        <w:rPr>
          <w:rFonts w:eastAsiaTheme="minorHAnsi"/>
        </w:rPr>
        <w:t xml:space="preserve"> biologic disease-modifying anti-rheumatic drug</w:t>
      </w:r>
      <w:r w:rsidRPr="009A0E7B">
        <w:t>; CMA = cost-minimisation analysis; EMP = ex-manufacturer price; IFX = infliximab; IV = intravenous;</w:t>
      </w:r>
      <w:r w:rsidRPr="009A0E7B">
        <w:rPr>
          <w:rFonts w:ascii="Calibri" w:hAnsi="Calibri"/>
          <w:snapToGrid/>
          <w:sz w:val="24"/>
          <w:szCs w:val="24"/>
        </w:rPr>
        <w:t xml:space="preserve"> </w:t>
      </w:r>
      <w:r w:rsidRPr="009A0E7B">
        <w:t>MBS = Medicare Benefits Schedule; MSUC = moderate to severe ulcerative colitis; OZA = ozanimod; PBS = Pharmaceutical Benefits Scheme; PSD = public summary document; RPBS = Repatriation Pharmaceutical Benefits Scheme; SC = subcutaneous; VED = vedolizumab</w:t>
      </w:r>
    </w:p>
    <w:p w14:paraId="601B2B2C" w14:textId="1D74A9E3" w:rsidR="00BF65A4" w:rsidRPr="009A0E7B" w:rsidRDefault="00BF65A4" w:rsidP="00E8049E">
      <w:pPr>
        <w:pStyle w:val="TableFigureFooter"/>
        <w:keepNext/>
        <w:keepLines/>
      </w:pPr>
      <w:r w:rsidRPr="009A0E7B">
        <w:rPr>
          <w:vertAlign w:val="superscript"/>
        </w:rPr>
        <w:t>a</w:t>
      </w:r>
      <w:r w:rsidRPr="009A0E7B">
        <w:t xml:space="preserve"> </w:t>
      </w:r>
      <w:r w:rsidR="00E428BA" w:rsidRPr="009A0E7B">
        <w:t>S</w:t>
      </w:r>
      <w:r w:rsidRPr="009A0E7B">
        <w:t xml:space="preserve">cript numbers and </w:t>
      </w:r>
      <w:r w:rsidR="006C591E" w:rsidRPr="009A0E7B">
        <w:t xml:space="preserve">estimated financial implications for other </w:t>
      </w:r>
      <w:proofErr w:type="spellStart"/>
      <w:r w:rsidR="006C591E" w:rsidRPr="009A0E7B">
        <w:t>bDMARDs</w:t>
      </w:r>
      <w:proofErr w:type="spellEnd"/>
      <w:r w:rsidRPr="009A0E7B">
        <w:t xml:space="preserve"> </w:t>
      </w:r>
      <w:r w:rsidR="00E428BA" w:rsidRPr="009A0E7B">
        <w:t>were revised</w:t>
      </w:r>
      <w:r w:rsidRPr="009A0E7B">
        <w:t xml:space="preserve"> during the evaluation </w:t>
      </w:r>
      <w:proofErr w:type="gramStart"/>
      <w:r w:rsidRPr="009A0E7B">
        <w:t>as a result of</w:t>
      </w:r>
      <w:proofErr w:type="gramEnd"/>
      <w:r w:rsidRPr="009A0E7B">
        <w:t xml:space="preserve"> the corrections made in annual growth rates and weighted uptake rates of individual </w:t>
      </w:r>
      <w:proofErr w:type="spellStart"/>
      <w:r w:rsidRPr="009A0E7B">
        <w:t>bDMARDs</w:t>
      </w:r>
      <w:proofErr w:type="spellEnd"/>
      <w:r w:rsidRPr="009A0E7B">
        <w:t xml:space="preserve"> in the “Attachment 3_Ozanimod MSUC Utilisation and Cost Model, 2e. Scripts – market and 4a. Scripts – affected”.</w:t>
      </w:r>
    </w:p>
    <w:p w14:paraId="0D5424D5" w14:textId="316DC16B" w:rsidR="00BF65A4" w:rsidRPr="009A0E7B" w:rsidRDefault="00BF65A4" w:rsidP="00E8049E">
      <w:pPr>
        <w:pStyle w:val="TableFigureFooter"/>
        <w:keepNext/>
        <w:keepLines/>
      </w:pPr>
      <w:r w:rsidRPr="009A0E7B">
        <w:rPr>
          <w:vertAlign w:val="superscript"/>
        </w:rPr>
        <w:t>b</w:t>
      </w:r>
      <w:r w:rsidRPr="009A0E7B">
        <w:t xml:space="preserve"> These figures are calculated using the corrected daily cost of $</w:t>
      </w:r>
      <w:proofErr w:type="gramStart"/>
      <w:r w:rsidR="000B5A85" w:rsidRPr="000B5A85">
        <w:rPr>
          <w:color w:val="000000"/>
          <w:spacing w:val="35"/>
          <w:shd w:val="solid" w:color="000000" w:fill="000000"/>
          <w:fitText w:val="265" w:id="-1498188544"/>
          <w14:textFill>
            <w14:solidFill>
              <w14:srgbClr w14:val="000000">
                <w14:alpha w14:val="100000"/>
              </w14:srgbClr>
            </w14:solidFill>
          </w14:textFill>
        </w:rPr>
        <w:t xml:space="preserve">|  </w:t>
      </w:r>
      <w:r w:rsidR="000B5A85" w:rsidRPr="000B5A85">
        <w:rPr>
          <w:color w:val="000000"/>
          <w:spacing w:val="2"/>
          <w:shd w:val="solid" w:color="000000" w:fill="000000"/>
          <w:fitText w:val="265" w:id="-1498188544"/>
          <w14:textFill>
            <w14:solidFill>
              <w14:srgbClr w14:val="000000">
                <w14:alpha w14:val="100000"/>
              </w14:srgbClr>
            </w14:solidFill>
          </w14:textFill>
        </w:rPr>
        <w:t>|</w:t>
      </w:r>
      <w:proofErr w:type="gramEnd"/>
      <w:r w:rsidR="000B5A85" w:rsidRPr="000B5A85">
        <w:t xml:space="preserve"> </w:t>
      </w:r>
      <w:r w:rsidRPr="009A0E7B">
        <w:t>for OZA ($</w:t>
      </w:r>
      <w:r w:rsidR="000B5A85" w:rsidRPr="000B5A85">
        <w:rPr>
          <w:color w:val="000000"/>
          <w:spacing w:val="35"/>
          <w:shd w:val="solid" w:color="000000" w:fill="000000"/>
          <w:fitText w:val="265" w:id="-1498188543"/>
          <w14:textFill>
            <w14:solidFill>
              <w14:srgbClr w14:val="000000">
                <w14:alpha w14:val="100000"/>
              </w14:srgbClr>
            </w14:solidFill>
          </w14:textFill>
        </w:rPr>
        <w:t xml:space="preserve">|  </w:t>
      </w:r>
      <w:r w:rsidR="000B5A85" w:rsidRPr="000B5A85">
        <w:rPr>
          <w:color w:val="000000"/>
          <w:spacing w:val="2"/>
          <w:shd w:val="solid" w:color="000000" w:fill="000000"/>
          <w:fitText w:val="265" w:id="-1498188543"/>
          <w14:textFill>
            <w14:solidFill>
              <w14:srgbClr w14:val="000000">
                <w14:alpha w14:val="100000"/>
              </w14:srgbClr>
            </w14:solidFill>
          </w14:textFill>
        </w:rPr>
        <w:t>|</w:t>
      </w:r>
      <w:r w:rsidRPr="000B1A20">
        <w:t xml:space="preserve"> </w:t>
      </w:r>
      <w:r w:rsidRPr="009A0E7B">
        <w:t>in the submission). The cells D302 and D303 in worksheet “3c. Impact – proposed (eff)” were revised using the effective EMP $</w:t>
      </w:r>
      <w:proofErr w:type="gramStart"/>
      <w:r w:rsidR="00B77D4B" w:rsidRPr="00B77D4B">
        <w:rPr>
          <w:color w:val="000000"/>
          <w:spacing w:val="37"/>
          <w:shd w:val="solid" w:color="000000" w:fill="000000"/>
          <w:fitText w:val="270" w:id="-1504475902"/>
          <w14:textFill>
            <w14:solidFill>
              <w14:srgbClr w14:val="000000">
                <w14:alpha w14:val="100000"/>
              </w14:srgbClr>
            </w14:solidFill>
          </w14:textFill>
        </w:rPr>
        <w:t xml:space="preserve">|  </w:t>
      </w:r>
      <w:r w:rsidR="00B77D4B" w:rsidRPr="00B77D4B">
        <w:rPr>
          <w:color w:val="000000"/>
          <w:spacing w:val="1"/>
          <w:shd w:val="solid" w:color="000000" w:fill="000000"/>
          <w:fitText w:val="270" w:id="-1504475902"/>
          <w14:textFill>
            <w14:solidFill>
              <w14:srgbClr w14:val="000000">
                <w14:alpha w14:val="100000"/>
              </w14:srgbClr>
            </w14:solidFill>
          </w14:textFill>
        </w:rPr>
        <w:t>|</w:t>
      </w:r>
      <w:proofErr w:type="gramEnd"/>
      <w:r w:rsidRPr="009A0E7B">
        <w:t xml:space="preserve"> and $</w:t>
      </w:r>
      <w:r w:rsidR="00B77D4B" w:rsidRPr="00B77D4B">
        <w:rPr>
          <w:color w:val="000000"/>
          <w:spacing w:val="40"/>
          <w:shd w:val="solid" w:color="000000" w:fill="000000"/>
          <w:fitText w:val="280" w:id="-1504475901"/>
          <w14:textFill>
            <w14:solidFill>
              <w14:srgbClr w14:val="000000">
                <w14:alpha w14:val="100000"/>
              </w14:srgbClr>
            </w14:solidFill>
          </w14:textFill>
        </w:rPr>
        <w:t xml:space="preserve">|  </w:t>
      </w:r>
      <w:r w:rsidR="00B77D4B" w:rsidRPr="00B77D4B">
        <w:rPr>
          <w:color w:val="000000"/>
          <w:spacing w:val="2"/>
          <w:shd w:val="solid" w:color="000000" w:fill="000000"/>
          <w:fitText w:val="280" w:id="-1504475901"/>
          <w14:textFill>
            <w14:solidFill>
              <w14:srgbClr w14:val="000000">
                <w14:alpha w14:val="100000"/>
              </w14:srgbClr>
            </w14:solidFill>
          </w14:textFill>
        </w:rPr>
        <w:t>|</w:t>
      </w:r>
      <w:r w:rsidRPr="009A0E7B">
        <w:t xml:space="preserve"> for OZA initiation and continuing packs, respectively, on the b</w:t>
      </w:r>
      <w:r w:rsidR="002F3512" w:rsidRPr="009A0E7B">
        <w:t>asis of CMA compared to IFX IV</w:t>
      </w:r>
      <w:r w:rsidRPr="009A0E7B">
        <w:t>.</w:t>
      </w:r>
    </w:p>
    <w:p w14:paraId="0D1EFA5A" w14:textId="5EF0D72F" w:rsidR="00BF65A4" w:rsidRDefault="00BF65A4" w:rsidP="001C650D">
      <w:pPr>
        <w:pStyle w:val="TableFigureFooter"/>
        <w:keepNext/>
        <w:keepLines/>
        <w:spacing w:after="0"/>
      </w:pPr>
      <w:r w:rsidRPr="009A0E7B">
        <w:rPr>
          <w:vertAlign w:val="superscript"/>
        </w:rPr>
        <w:t>c</w:t>
      </w:r>
      <w:r w:rsidRPr="009A0E7B">
        <w:t xml:space="preserve"> These figures obtained during the evaluation using MBS item 116 for VED IV (para 5.19, Vedolizumab PSD, July 2014 PBAC Meeting &amp; para 6.46, Vedolizumab PSD, November 2020 PBAC Meeting). The cell O461 was revised </w:t>
      </w:r>
      <w:r w:rsidRPr="00A866AC">
        <w:t>as $79.75 in the “Attachment</w:t>
      </w:r>
      <w:r w:rsidRPr="009A0E7B">
        <w:t xml:space="preserve"> 3_Ozanimod MSUC Utilisation and Cost Model, 7. Net changes – MBS”.  </w:t>
      </w:r>
    </w:p>
    <w:p w14:paraId="56B4C384" w14:textId="2EBA4D76" w:rsidR="00BB3ED2" w:rsidRPr="005826E5" w:rsidRDefault="005826E5" w:rsidP="005826E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FBD82C1" w14:textId="2852F3AC" w:rsidR="00BB3ED2" w:rsidRPr="005826E5" w:rsidRDefault="005826E5" w:rsidP="00BB3ED2">
      <w:pPr>
        <w:ind w:right="147"/>
        <w:rPr>
          <w:rFonts w:ascii="Arial Narrow" w:hAnsi="Arial Narrow"/>
          <w:i/>
          <w:sz w:val="18"/>
          <w:szCs w:val="18"/>
        </w:rPr>
      </w:pPr>
      <w:r>
        <w:rPr>
          <w:rFonts w:ascii="Arial Narrow" w:hAnsi="Arial Narrow"/>
          <w:i/>
          <w:sz w:val="18"/>
          <w:szCs w:val="18"/>
          <w:vertAlign w:val="superscript"/>
        </w:rPr>
        <w:t>1</w:t>
      </w:r>
      <w:r w:rsidR="00BB3ED2" w:rsidRPr="005826E5">
        <w:rPr>
          <w:rFonts w:ascii="Arial Narrow" w:hAnsi="Arial Narrow"/>
          <w:i/>
          <w:sz w:val="18"/>
          <w:szCs w:val="18"/>
        </w:rPr>
        <w:t>500 to &lt; 5,000</w:t>
      </w:r>
    </w:p>
    <w:p w14:paraId="58465626" w14:textId="0A18B885" w:rsidR="005826E5" w:rsidRPr="005826E5" w:rsidRDefault="005826E5" w:rsidP="005826E5">
      <w:pPr>
        <w:pStyle w:val="TableFigureFooter"/>
        <w:keepNext/>
        <w:keepLines/>
        <w:rPr>
          <w:i/>
          <w:snapToGrid/>
          <w:szCs w:val="18"/>
        </w:rPr>
      </w:pPr>
      <w:r>
        <w:rPr>
          <w:i/>
          <w:snapToGrid/>
          <w:szCs w:val="18"/>
          <w:vertAlign w:val="superscript"/>
        </w:rPr>
        <w:t>2</w:t>
      </w:r>
      <w:r w:rsidR="00BB3ED2" w:rsidRPr="005826E5">
        <w:rPr>
          <w:i/>
          <w:snapToGrid/>
          <w:szCs w:val="18"/>
        </w:rPr>
        <w:t>10,000 to &lt; 20,000</w:t>
      </w:r>
    </w:p>
    <w:p w14:paraId="1CB48435" w14:textId="6218FDB3" w:rsidR="005826E5" w:rsidRPr="005826E5" w:rsidRDefault="005826E5" w:rsidP="005826E5">
      <w:pPr>
        <w:pStyle w:val="TableFigureFooter"/>
        <w:keepNext/>
        <w:keepLines/>
        <w:rPr>
          <w:i/>
          <w:snapToGrid/>
          <w:szCs w:val="18"/>
        </w:rPr>
      </w:pPr>
      <w:r>
        <w:rPr>
          <w:i/>
          <w:snapToGrid/>
          <w:szCs w:val="18"/>
          <w:vertAlign w:val="superscript"/>
        </w:rPr>
        <w:t>3</w:t>
      </w:r>
      <w:r w:rsidRPr="005826E5">
        <w:rPr>
          <w:i/>
          <w:snapToGrid/>
          <w:szCs w:val="18"/>
        </w:rPr>
        <w:t>$0 to &lt; $10 million</w:t>
      </w:r>
    </w:p>
    <w:p w14:paraId="03F8F8A1" w14:textId="1A3BF828" w:rsidR="005826E5" w:rsidRPr="005826E5" w:rsidRDefault="005826E5" w:rsidP="005826E5">
      <w:pPr>
        <w:pStyle w:val="TableFigureFooter"/>
        <w:keepNext/>
        <w:keepLines/>
        <w:rPr>
          <w:i/>
          <w:snapToGrid/>
          <w:szCs w:val="18"/>
        </w:rPr>
      </w:pPr>
      <w:r>
        <w:rPr>
          <w:i/>
          <w:snapToGrid/>
          <w:szCs w:val="18"/>
          <w:vertAlign w:val="superscript"/>
        </w:rPr>
        <w:t>4</w:t>
      </w:r>
      <w:r w:rsidRPr="005826E5">
        <w:rPr>
          <w:i/>
          <w:snapToGrid/>
          <w:szCs w:val="18"/>
        </w:rPr>
        <w:t>$10 million to &lt; $20 million</w:t>
      </w:r>
    </w:p>
    <w:p w14:paraId="4037D768" w14:textId="77777777" w:rsidR="005826E5" w:rsidRPr="009A0E7B" w:rsidRDefault="005826E5" w:rsidP="00E8049E">
      <w:pPr>
        <w:pStyle w:val="TableFigureFooter"/>
        <w:keepNext/>
        <w:keepLines/>
      </w:pPr>
    </w:p>
    <w:p w14:paraId="78770DDB" w14:textId="00F3CDB8" w:rsidR="00BF65A4" w:rsidRPr="009A0E7B" w:rsidRDefault="00BF65A4" w:rsidP="00B11B38">
      <w:pPr>
        <w:pStyle w:val="3-BodyText"/>
      </w:pPr>
      <w:r w:rsidRPr="009A0E7B">
        <w:t>The total cost saving to the PBS/RPBS of list</w:t>
      </w:r>
      <w:r w:rsidR="00B46701" w:rsidRPr="009A0E7B">
        <w:t xml:space="preserve">ing OZA was estimated to </w:t>
      </w:r>
      <w:proofErr w:type="gramStart"/>
      <w:r w:rsidR="00B46701" w:rsidRPr="009A0E7B">
        <w:t xml:space="preserve">be </w:t>
      </w:r>
      <w:r w:rsidR="00A866AC">
        <w:t xml:space="preserve"> net</w:t>
      </w:r>
      <w:proofErr w:type="gramEnd"/>
      <w:r w:rsidR="00A866AC">
        <w:t xml:space="preserve"> cost </w:t>
      </w:r>
      <w:proofErr w:type="spellStart"/>
      <w:r w:rsidR="00A866AC">
        <w:t>saving</w:t>
      </w:r>
      <w:r w:rsidR="00AE0CAC">
        <w:t>in</w:t>
      </w:r>
      <w:proofErr w:type="spellEnd"/>
      <w:r w:rsidR="00AE0CAC">
        <w:t xml:space="preserve"> Year </w:t>
      </w:r>
      <w:r w:rsidR="00B46701" w:rsidRPr="009A0E7B">
        <w:t xml:space="preserve">6, and a total of </w:t>
      </w:r>
      <w:r w:rsidR="00A866AC">
        <w:t xml:space="preserve">net cost </w:t>
      </w:r>
      <w:proofErr w:type="spellStart"/>
      <w:r w:rsidR="00A866AC">
        <w:t>saving</w:t>
      </w:r>
      <w:r w:rsidRPr="009A0E7B">
        <w:t>in</w:t>
      </w:r>
      <w:proofErr w:type="spellEnd"/>
      <w:r w:rsidRPr="009A0E7B">
        <w:t xml:space="preserve"> the first 6 years of listing</w:t>
      </w:r>
      <w:r w:rsidR="00B11B38" w:rsidRPr="009A0E7B">
        <w:t xml:space="preserve"> (</w:t>
      </w:r>
      <w:r w:rsidR="00AE0CAC">
        <w:t xml:space="preserve">revised </w:t>
      </w:r>
      <w:r w:rsidR="00B11B38" w:rsidRPr="009A0E7B">
        <w:t>during the evaluation)</w:t>
      </w:r>
      <w:r w:rsidRPr="009A0E7B">
        <w:t xml:space="preserve">. </w:t>
      </w:r>
      <w:r w:rsidR="00B11B38" w:rsidRPr="009A0E7B">
        <w:t>However, i</w:t>
      </w:r>
      <w:r w:rsidR="006E298C" w:rsidRPr="009A0E7B">
        <w:t>f OZA is listed on a cost minimisation basis with the least costly alternative using effective prices, it would be cost-neutral to the PBS</w:t>
      </w:r>
      <w:r w:rsidR="00446BAC" w:rsidRPr="009A0E7B">
        <w:t xml:space="preserve"> (assuming no market growth)</w:t>
      </w:r>
      <w:r w:rsidR="006E298C" w:rsidRPr="009A0E7B">
        <w:t xml:space="preserve">. </w:t>
      </w:r>
    </w:p>
    <w:p w14:paraId="0A5B8F7C" w14:textId="77777777" w:rsidR="00BF65A4" w:rsidRPr="009A0E7B" w:rsidRDefault="00BF65A4" w:rsidP="00BF65A4">
      <w:pPr>
        <w:pStyle w:val="3-BodyText"/>
      </w:pPr>
      <w:r w:rsidRPr="009A0E7B">
        <w:t>As noted above, the estimated financial impact on the PBS/RPBS is associated with high level of uncertainty, given:</w:t>
      </w:r>
    </w:p>
    <w:p w14:paraId="759C4483" w14:textId="291C2FB4" w:rsidR="00BF65A4" w:rsidRPr="009A0E7B" w:rsidRDefault="00BF65A4" w:rsidP="009573AD">
      <w:pPr>
        <w:pStyle w:val="3-BodyText"/>
        <w:numPr>
          <w:ilvl w:val="0"/>
          <w:numId w:val="11"/>
        </w:numPr>
        <w:ind w:left="1148" w:hanging="420"/>
      </w:pPr>
      <w:r w:rsidRPr="009A0E7B">
        <w:t xml:space="preserve">the estimated current market growth considering the impact of the recently listed subcutaneous formulations of IFX and VED, biosimilars of ADA and the first oral therapy, TOF; </w:t>
      </w:r>
      <w:proofErr w:type="gramStart"/>
      <w:r w:rsidRPr="009A0E7B">
        <w:t>and;</w:t>
      </w:r>
      <w:proofErr w:type="gramEnd"/>
    </w:p>
    <w:p w14:paraId="06FD45D6" w14:textId="77777777" w:rsidR="00BF65A4" w:rsidRPr="009A0E7B" w:rsidRDefault="00BF65A4" w:rsidP="009573AD">
      <w:pPr>
        <w:pStyle w:val="3-BodyText"/>
        <w:numPr>
          <w:ilvl w:val="0"/>
          <w:numId w:val="11"/>
        </w:numPr>
        <w:ind w:left="1148" w:hanging="420"/>
      </w:pPr>
      <w:r w:rsidRPr="009A0E7B">
        <w:t>the assumption of no additional market growth from the listing of OZA, a second option of oral therapy with a different mechanism of action.</w:t>
      </w:r>
    </w:p>
    <w:p w14:paraId="3D6CDA1D" w14:textId="385B835B" w:rsidR="00BF65A4" w:rsidRPr="009A0E7B" w:rsidRDefault="00BF65A4" w:rsidP="00BF65A4">
      <w:pPr>
        <w:pStyle w:val="3-BodyText"/>
      </w:pPr>
      <w:r w:rsidRPr="009A0E7B">
        <w:lastRenderedPageBreak/>
        <w:t xml:space="preserve">Although a grandfathering restriction was requested for the Sponsor’s Patient Familiarisation Program (PFP), these patients were not included in the financial analysis. There were </w:t>
      </w:r>
      <w:r w:rsidR="000B1A20">
        <w:t>&lt;500</w:t>
      </w:r>
      <w:r w:rsidRPr="009A0E7B">
        <w:t xml:space="preserve"> patients in this program, which the sponsor anticipated to run for approximately 3 months. The financial impact of grandfathered patients is expected to be minimal, given the small number of patients compared to the high uptake rate assumptions for OZA in the first year of listing.  </w:t>
      </w:r>
    </w:p>
    <w:p w14:paraId="13F86D4B" w14:textId="77777777" w:rsidR="00BF65A4" w:rsidRPr="009A0E7B" w:rsidRDefault="00BF65A4" w:rsidP="00BF65A4">
      <w:pPr>
        <w:pStyle w:val="4-SubsectionHeading"/>
      </w:pPr>
      <w:bookmarkStart w:id="47" w:name="_Toc22897648"/>
      <w:bookmarkStart w:id="48" w:name="_Toc92022063"/>
      <w:bookmarkStart w:id="49" w:name="_Toc93489244"/>
      <w:r w:rsidRPr="009A0E7B">
        <w:t>Quality Use of Medicines</w:t>
      </w:r>
      <w:bookmarkEnd w:id="47"/>
      <w:bookmarkEnd w:id="48"/>
      <w:bookmarkEnd w:id="49"/>
    </w:p>
    <w:p w14:paraId="3C859928" w14:textId="4014F873" w:rsidR="00BF65A4" w:rsidRPr="009A0E7B" w:rsidRDefault="00BF65A4" w:rsidP="00BF65A4">
      <w:pPr>
        <w:pStyle w:val="3-BodyText"/>
      </w:pPr>
      <w:r w:rsidRPr="009A0E7B">
        <w:t>The submission stated that the routine risk management activities (providing electronic or hard copies of healthcare professional checklist and patient/caregiver guide to neurologists and multiple sclerosis nurses)</w:t>
      </w:r>
      <w:r w:rsidR="001E306A">
        <w:t>,</w:t>
      </w:r>
      <w:r w:rsidRPr="009A0E7B">
        <w:t xml:space="preserve"> which are already conducted for the current listing of OZA in the RRMS treatment, will be extended to gastroenterologists and </w:t>
      </w:r>
      <w:r w:rsidR="001E306A">
        <w:t>irritable bowel disease</w:t>
      </w:r>
      <w:r w:rsidR="001E306A" w:rsidRPr="009A0E7B">
        <w:t xml:space="preserve"> </w:t>
      </w:r>
      <w:r w:rsidRPr="009A0E7B">
        <w:t>nurses upon launch of OZA for MSUC.</w:t>
      </w:r>
    </w:p>
    <w:p w14:paraId="2CBC1590" w14:textId="7743EFA7" w:rsidR="003A0DE4" w:rsidRPr="00F92DC3" w:rsidRDefault="003A0DE4" w:rsidP="00F92DC3">
      <w:pPr>
        <w:ind w:firstLine="709"/>
        <w:rPr>
          <w:rFonts w:asciiTheme="minorHAnsi" w:hAnsiTheme="minorHAnsi"/>
          <w:i/>
        </w:rPr>
      </w:pPr>
      <w:r w:rsidRPr="00C33D30">
        <w:rPr>
          <w:rFonts w:asciiTheme="minorHAnsi" w:hAnsiTheme="minorHAnsi"/>
          <w:i/>
        </w:rPr>
        <w:t>For more detail on PBAC’s vi</w:t>
      </w:r>
      <w:r w:rsidR="00F92DC3">
        <w:rPr>
          <w:rFonts w:asciiTheme="minorHAnsi" w:hAnsiTheme="minorHAnsi"/>
          <w:i/>
        </w:rPr>
        <w:t>ew, see section 7 PBAC outcome.</w:t>
      </w:r>
    </w:p>
    <w:p w14:paraId="5901A95B" w14:textId="77777777" w:rsidR="003A0DE4" w:rsidRPr="0090150D" w:rsidRDefault="003A0DE4" w:rsidP="00236FCE">
      <w:pPr>
        <w:pStyle w:val="2-SectionHeading"/>
      </w:pPr>
      <w:bookmarkStart w:id="50" w:name="_Hlk76381249"/>
      <w:bookmarkStart w:id="51" w:name="_Hlk76377955"/>
      <w:r w:rsidRPr="0090150D">
        <w:t>PBAC Outcome</w:t>
      </w:r>
    </w:p>
    <w:p w14:paraId="711806B3" w14:textId="0FE3E2FB" w:rsidR="007B0AD0" w:rsidRPr="007D0254" w:rsidRDefault="003A0DE4" w:rsidP="007B0AD0">
      <w:pPr>
        <w:pStyle w:val="3-BodyText"/>
        <w:rPr>
          <w:lang w:val="en-GB"/>
        </w:rPr>
      </w:pPr>
      <w:r w:rsidRPr="00CE42B4">
        <w:rPr>
          <w:lang w:val="en-GB"/>
        </w:rPr>
        <w:t>The PBAC recommended</w:t>
      </w:r>
      <w:r w:rsidR="00D5455D">
        <w:rPr>
          <w:lang w:val="en-GB"/>
        </w:rPr>
        <w:t xml:space="preserve"> the General Schedule, Authority </w:t>
      </w:r>
      <w:r w:rsidR="00865F45">
        <w:rPr>
          <w:lang w:val="en-GB"/>
        </w:rPr>
        <w:t>R</w:t>
      </w:r>
      <w:r w:rsidR="00D5455D">
        <w:rPr>
          <w:lang w:val="en-GB"/>
        </w:rPr>
        <w:t>equired (in writing)</w:t>
      </w:r>
      <w:r w:rsidRPr="00CE42B4">
        <w:rPr>
          <w:lang w:val="en-GB"/>
        </w:rPr>
        <w:t xml:space="preserve"> listing of </w:t>
      </w:r>
      <w:r w:rsidR="00D5455D">
        <w:rPr>
          <w:lang w:val="en-GB"/>
        </w:rPr>
        <w:t>ozanimod</w:t>
      </w:r>
      <w:r w:rsidR="00A61EAE">
        <w:rPr>
          <w:lang w:val="en-GB"/>
        </w:rPr>
        <w:t xml:space="preserve"> (OZA) for the treatment of moderate</w:t>
      </w:r>
      <w:r w:rsidR="00865F45">
        <w:rPr>
          <w:lang w:val="en-GB"/>
        </w:rPr>
        <w:t xml:space="preserve"> </w:t>
      </w:r>
      <w:r w:rsidR="00A61EAE">
        <w:rPr>
          <w:lang w:val="en-GB"/>
        </w:rPr>
        <w:t>to</w:t>
      </w:r>
      <w:r w:rsidR="00865F45">
        <w:rPr>
          <w:lang w:val="en-GB"/>
        </w:rPr>
        <w:t xml:space="preserve"> </w:t>
      </w:r>
      <w:r w:rsidR="00A61EAE">
        <w:rPr>
          <w:lang w:val="en-GB"/>
        </w:rPr>
        <w:t>severe ulcerative colitis (MSUC)</w:t>
      </w:r>
      <w:r w:rsidR="007B0AD0">
        <w:rPr>
          <w:lang w:val="en-GB"/>
        </w:rPr>
        <w:t>.</w:t>
      </w:r>
      <w:r w:rsidR="007B0AD0" w:rsidDel="007B0AD0">
        <w:rPr>
          <w:lang w:val="en-GB"/>
        </w:rPr>
        <w:t xml:space="preserve"> </w:t>
      </w:r>
      <w:r w:rsidR="007B0AD0">
        <w:rPr>
          <w:lang w:val="en-GB"/>
        </w:rPr>
        <w:t>T</w:t>
      </w:r>
      <w:r w:rsidR="002C0563">
        <w:rPr>
          <w:lang w:val="en-GB"/>
        </w:rPr>
        <w:t>he PBAC considered that</w:t>
      </w:r>
      <w:r w:rsidR="00F4246D">
        <w:rPr>
          <w:lang w:val="en-GB"/>
        </w:rPr>
        <w:t xml:space="preserve"> </w:t>
      </w:r>
      <w:r w:rsidR="00BC4EB9">
        <w:rPr>
          <w:lang w:val="en-GB"/>
        </w:rPr>
        <w:t xml:space="preserve">a claim of non-inferior comparative effectiveness and safety to </w:t>
      </w:r>
      <w:r w:rsidR="00F72BFE">
        <w:rPr>
          <w:lang w:val="en-GB"/>
        </w:rPr>
        <w:t>infliximab (IFX)</w:t>
      </w:r>
      <w:r w:rsidR="00BC4EB9">
        <w:rPr>
          <w:lang w:val="en-GB"/>
        </w:rPr>
        <w:t xml:space="preserve"> was, on balance, likely to be </w:t>
      </w:r>
      <w:r w:rsidR="00BC4EB9" w:rsidRPr="007D0254">
        <w:rPr>
          <w:lang w:val="en-GB"/>
        </w:rPr>
        <w:t>reasonable.</w:t>
      </w:r>
      <w:r w:rsidR="007B0AD0" w:rsidRPr="007D0254">
        <w:rPr>
          <w:lang w:val="en-GB"/>
        </w:rPr>
        <w:t xml:space="preserve"> However, </w:t>
      </w:r>
      <w:r w:rsidR="007B0AD0" w:rsidRPr="007D0254">
        <w:rPr>
          <w:iCs/>
        </w:rPr>
        <w:t xml:space="preserve">the PBAC considered for </w:t>
      </w:r>
      <w:r w:rsidR="007B0AD0" w:rsidRPr="007D0254">
        <w:rPr>
          <w:bCs/>
        </w:rPr>
        <w:t xml:space="preserve">purposes of satisfying Section 101(3B) of the </w:t>
      </w:r>
      <w:r w:rsidR="007B0AD0" w:rsidRPr="007D0254">
        <w:rPr>
          <w:bCs/>
          <w:i/>
        </w:rPr>
        <w:t>National Health Act 1953</w:t>
      </w:r>
      <w:r w:rsidR="007B0AD0" w:rsidRPr="007D0254">
        <w:rPr>
          <w:bCs/>
        </w:rPr>
        <w:t xml:space="preserve">, </w:t>
      </w:r>
      <w:r w:rsidR="007B0AD0" w:rsidRPr="007D0254">
        <w:rPr>
          <w:lang w:val="en-GB"/>
        </w:rPr>
        <w:t>vedolizumab (VED), golimumab (GOL), tofacitinib (TOF) and adalimumab (ADA), are also alternative relative therapies.</w:t>
      </w:r>
      <w:r w:rsidR="00F72BFE" w:rsidRPr="007D0254">
        <w:rPr>
          <w:lang w:val="en-GB"/>
        </w:rPr>
        <w:t xml:space="preserve"> The PBAC</w:t>
      </w:r>
      <w:r w:rsidR="007B0AD0" w:rsidRPr="007D0254">
        <w:rPr>
          <w:lang w:val="en-GB"/>
        </w:rPr>
        <w:t>’s recommendation was therefore,</w:t>
      </w:r>
      <w:r w:rsidR="007B0AD0" w:rsidRPr="007D0254">
        <w:rPr>
          <w:rFonts w:eastAsia="Calibri" w:cstheme="minorHAnsi"/>
          <w:lang w:eastAsia="en-US"/>
        </w:rPr>
        <w:t xml:space="preserve"> among other matters, based on its assessment that the cost of OZA should be no greater than the cost of IFX or the other alternative therapies.</w:t>
      </w:r>
    </w:p>
    <w:p w14:paraId="2B5B9A2F" w14:textId="7C3BFA5B" w:rsidR="003A0DE4" w:rsidRDefault="00BC4EB9" w:rsidP="003A0DE4">
      <w:pPr>
        <w:widowControl w:val="0"/>
        <w:numPr>
          <w:ilvl w:val="1"/>
          <w:numId w:val="1"/>
        </w:numPr>
        <w:spacing w:after="120"/>
        <w:rPr>
          <w:rFonts w:asciiTheme="minorHAnsi" w:hAnsiTheme="minorHAnsi"/>
          <w:snapToGrid w:val="0"/>
          <w:lang w:val="en-GB"/>
        </w:rPr>
      </w:pPr>
      <w:r w:rsidRPr="007D0254">
        <w:rPr>
          <w:rFonts w:asciiTheme="minorHAnsi" w:hAnsiTheme="minorHAnsi"/>
          <w:snapToGrid w:val="0"/>
          <w:lang w:val="en-GB"/>
        </w:rPr>
        <w:t xml:space="preserve">The PBAC </w:t>
      </w:r>
      <w:r w:rsidR="005B7C38" w:rsidRPr="007D0254">
        <w:rPr>
          <w:rFonts w:asciiTheme="minorHAnsi" w:hAnsiTheme="minorHAnsi"/>
          <w:snapToGrid w:val="0"/>
          <w:lang w:val="en-GB"/>
        </w:rPr>
        <w:t xml:space="preserve">considered the </w:t>
      </w:r>
      <w:proofErr w:type="spellStart"/>
      <w:r w:rsidR="00A61EAE" w:rsidRPr="007D0254">
        <w:rPr>
          <w:rFonts w:asciiTheme="minorHAnsi" w:hAnsiTheme="minorHAnsi"/>
          <w:snapToGrid w:val="0"/>
          <w:lang w:val="en-GB"/>
        </w:rPr>
        <w:t>equi</w:t>
      </w:r>
      <w:proofErr w:type="spellEnd"/>
      <w:r w:rsidR="00A61EAE" w:rsidRPr="007D0254">
        <w:rPr>
          <w:rFonts w:asciiTheme="minorHAnsi" w:hAnsiTheme="minorHAnsi"/>
          <w:snapToGrid w:val="0"/>
          <w:lang w:val="en-GB"/>
        </w:rPr>
        <w:t>-effective doses of OZA a</w:t>
      </w:r>
      <w:r w:rsidR="00FE19B3" w:rsidRPr="007D0254">
        <w:rPr>
          <w:rFonts w:asciiTheme="minorHAnsi" w:hAnsiTheme="minorHAnsi"/>
          <w:snapToGrid w:val="0"/>
          <w:lang w:val="en-GB"/>
        </w:rPr>
        <w:t>nd alternative</w:t>
      </w:r>
      <w:r w:rsidR="006806A7" w:rsidRPr="007D0254">
        <w:rPr>
          <w:rFonts w:asciiTheme="minorHAnsi" w:hAnsiTheme="minorHAnsi"/>
          <w:snapToGrid w:val="0"/>
          <w:lang w:val="en-GB"/>
        </w:rPr>
        <w:t xml:space="preserve"> disease modifying anti-rheumatic drugs</w:t>
      </w:r>
      <w:r w:rsidR="00FE19B3" w:rsidRPr="007D0254">
        <w:rPr>
          <w:rFonts w:asciiTheme="minorHAnsi" w:hAnsiTheme="minorHAnsi"/>
          <w:snapToGrid w:val="0"/>
          <w:lang w:val="en-GB"/>
        </w:rPr>
        <w:t xml:space="preserve"> </w:t>
      </w:r>
      <w:r w:rsidR="006806A7" w:rsidRPr="007D0254">
        <w:rPr>
          <w:rFonts w:asciiTheme="minorHAnsi" w:hAnsiTheme="minorHAnsi"/>
          <w:snapToGrid w:val="0"/>
          <w:lang w:val="en-GB"/>
        </w:rPr>
        <w:t>(</w:t>
      </w:r>
      <w:r w:rsidR="00A61EAE" w:rsidRPr="007D0254">
        <w:rPr>
          <w:rFonts w:asciiTheme="minorHAnsi" w:hAnsiTheme="minorHAnsi"/>
          <w:snapToGrid w:val="0"/>
          <w:lang w:val="en-GB"/>
        </w:rPr>
        <w:t>DMARDs</w:t>
      </w:r>
      <w:r w:rsidR="006806A7" w:rsidRPr="007D0254">
        <w:rPr>
          <w:rFonts w:asciiTheme="minorHAnsi" w:hAnsiTheme="minorHAnsi"/>
          <w:snapToGrid w:val="0"/>
          <w:lang w:val="en-GB"/>
        </w:rPr>
        <w:t>)</w:t>
      </w:r>
      <w:r w:rsidR="00A61EAE" w:rsidRPr="007D0254">
        <w:rPr>
          <w:rFonts w:asciiTheme="minorHAnsi" w:hAnsiTheme="minorHAnsi"/>
          <w:snapToGrid w:val="0"/>
          <w:lang w:val="en-GB"/>
        </w:rPr>
        <w:t xml:space="preserve"> could be derived with reference to the </w:t>
      </w:r>
      <w:r w:rsidR="00236FCE" w:rsidRPr="007D0254">
        <w:rPr>
          <w:rFonts w:asciiTheme="minorHAnsi" w:hAnsiTheme="minorHAnsi"/>
          <w:snapToGrid w:val="0"/>
          <w:lang w:val="en-GB"/>
        </w:rPr>
        <w:t xml:space="preserve">Therapeutic Relativity Sheets and </w:t>
      </w:r>
      <w:r w:rsidR="00A61EAE" w:rsidRPr="007D0254">
        <w:rPr>
          <w:rFonts w:asciiTheme="minorHAnsi" w:hAnsiTheme="minorHAnsi"/>
          <w:snapToGrid w:val="0"/>
          <w:lang w:val="en-GB"/>
        </w:rPr>
        <w:t xml:space="preserve">relevant Product Information </w:t>
      </w:r>
      <w:r w:rsidR="00A61EAE">
        <w:rPr>
          <w:rFonts w:asciiTheme="minorHAnsi" w:hAnsiTheme="minorHAnsi"/>
          <w:snapToGrid w:val="0"/>
          <w:lang w:val="en-GB"/>
        </w:rPr>
        <w:t xml:space="preserve">documents, noting the OZA </w:t>
      </w:r>
      <w:proofErr w:type="spellStart"/>
      <w:r w:rsidR="00A61EAE">
        <w:rPr>
          <w:rFonts w:asciiTheme="minorHAnsi" w:hAnsiTheme="minorHAnsi"/>
          <w:snapToGrid w:val="0"/>
          <w:lang w:val="en-GB"/>
        </w:rPr>
        <w:t>equi</w:t>
      </w:r>
      <w:proofErr w:type="spellEnd"/>
      <w:r w:rsidR="00A61EAE">
        <w:rPr>
          <w:rFonts w:asciiTheme="minorHAnsi" w:hAnsiTheme="minorHAnsi"/>
          <w:snapToGrid w:val="0"/>
          <w:lang w:val="en-GB"/>
        </w:rPr>
        <w:t>-effective dose component should account for the titration period as outlined below:</w:t>
      </w:r>
    </w:p>
    <w:p w14:paraId="073298A6" w14:textId="7B0DA075" w:rsidR="006B70FC" w:rsidRPr="006B70FC" w:rsidRDefault="00A61EAE" w:rsidP="006B70FC">
      <w:pPr>
        <w:pStyle w:val="ListParagraph"/>
        <w:widowControl w:val="0"/>
        <w:numPr>
          <w:ilvl w:val="0"/>
          <w:numId w:val="0"/>
        </w:numPr>
        <w:ind w:left="1440"/>
        <w:rPr>
          <w:lang w:val="en-GB"/>
        </w:rPr>
      </w:pPr>
      <w:r w:rsidRPr="006B70FC">
        <w:rPr>
          <w:lang w:val="en-GB"/>
        </w:rPr>
        <w:t>OZA 0.23 mg on Days 1 to 4, 0.46 mg on Days 5 to 7, then 0.92 mg orally once daily</w:t>
      </w:r>
      <w:r w:rsidR="00F34AF6" w:rsidRPr="006B70FC">
        <w:rPr>
          <w:lang w:val="en-GB"/>
        </w:rPr>
        <w:t xml:space="preserve"> in both induction and maintenance therapy</w:t>
      </w:r>
    </w:p>
    <w:p w14:paraId="4FE805FB" w14:textId="3CD66021" w:rsidR="006B70FC" w:rsidRPr="006B70FC" w:rsidRDefault="006B70FC" w:rsidP="006B70FC">
      <w:pPr>
        <w:pStyle w:val="ListParagraph"/>
        <w:widowControl w:val="0"/>
        <w:numPr>
          <w:ilvl w:val="0"/>
          <w:numId w:val="0"/>
        </w:numPr>
        <w:ind w:left="1440"/>
        <w:rPr>
          <w:lang w:val="en-GB"/>
        </w:rPr>
      </w:pPr>
      <w:r w:rsidRPr="006B70FC">
        <w:rPr>
          <w:rFonts w:cstheme="minorHAnsi"/>
          <w:snapToGrid/>
        </w:rPr>
        <w:t xml:space="preserve">≡ </w:t>
      </w:r>
      <w:r w:rsidRPr="006B70FC">
        <w:rPr>
          <w:bCs/>
        </w:rPr>
        <w:t>IFX 5 mg/kg IV at Weeks 0, 2, 6 and then every 8 weeks from Week 14 on the assumption of four vials per infusion (average patient weight of 80 kg).</w:t>
      </w:r>
    </w:p>
    <w:p w14:paraId="1FF49038" w14:textId="067F5412" w:rsidR="003A0DE4" w:rsidRPr="00CE42B4" w:rsidRDefault="00CD5AEB" w:rsidP="003A0DE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input from clinicians, organisations and patients w</w:t>
      </w:r>
      <w:r w:rsidR="00C908C2">
        <w:rPr>
          <w:rFonts w:asciiTheme="minorHAnsi" w:hAnsiTheme="minorHAnsi"/>
          <w:snapToGrid w:val="0"/>
          <w:lang w:val="en-GB"/>
        </w:rPr>
        <w:t>as</w:t>
      </w:r>
      <w:r>
        <w:rPr>
          <w:rFonts w:asciiTheme="minorHAnsi" w:hAnsiTheme="minorHAnsi"/>
          <w:snapToGrid w:val="0"/>
          <w:lang w:val="en-GB"/>
        </w:rPr>
        <w:t xml:space="preserve"> supportive of the listing of OZA for MSUC and considered that</w:t>
      </w:r>
      <w:r w:rsidR="00C908C2">
        <w:rPr>
          <w:rFonts w:asciiTheme="minorHAnsi" w:hAnsiTheme="minorHAnsi"/>
          <w:snapToGrid w:val="0"/>
          <w:lang w:val="en-GB"/>
        </w:rPr>
        <w:t>,</w:t>
      </w:r>
      <w:r>
        <w:rPr>
          <w:rFonts w:asciiTheme="minorHAnsi" w:hAnsiTheme="minorHAnsi"/>
          <w:snapToGrid w:val="0"/>
          <w:lang w:val="en-GB"/>
        </w:rPr>
        <w:t xml:space="preserve"> while the clinical need for an additional therapy that is of similar effectiveness and safety to existing therapies was modest,</w:t>
      </w:r>
      <w:r w:rsidR="00C908C2">
        <w:rPr>
          <w:rFonts w:asciiTheme="minorHAnsi" w:hAnsiTheme="minorHAnsi"/>
          <w:snapToGrid w:val="0"/>
          <w:lang w:val="en-GB"/>
        </w:rPr>
        <w:t xml:space="preserve"> </w:t>
      </w:r>
      <w:r>
        <w:rPr>
          <w:rFonts w:asciiTheme="minorHAnsi" w:hAnsiTheme="minorHAnsi"/>
          <w:snapToGrid w:val="0"/>
          <w:lang w:val="en-GB"/>
        </w:rPr>
        <w:t>an additional oral therapy option with a new mechanism of action</w:t>
      </w:r>
      <w:r w:rsidR="00C93DA2">
        <w:rPr>
          <w:rFonts w:asciiTheme="minorHAnsi" w:hAnsiTheme="minorHAnsi"/>
          <w:snapToGrid w:val="0"/>
          <w:lang w:val="en-GB"/>
        </w:rPr>
        <w:t>, as the first sphingosine-1 phosphate (S1P) inhibitor in this indication,</w:t>
      </w:r>
      <w:r>
        <w:rPr>
          <w:rFonts w:asciiTheme="minorHAnsi" w:hAnsiTheme="minorHAnsi"/>
          <w:snapToGrid w:val="0"/>
          <w:lang w:val="en-GB"/>
        </w:rPr>
        <w:t xml:space="preserve"> may be useful for some patients.</w:t>
      </w:r>
    </w:p>
    <w:p w14:paraId="13062118" w14:textId="07A4E74C" w:rsidR="0048614E" w:rsidRDefault="00CD5AEB" w:rsidP="004861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 xml:space="preserve">The Committee </w:t>
      </w:r>
      <w:r w:rsidR="00685034">
        <w:rPr>
          <w:rFonts w:asciiTheme="minorHAnsi" w:hAnsiTheme="minorHAnsi"/>
          <w:snapToGrid w:val="0"/>
          <w:lang w:val="en-GB"/>
        </w:rPr>
        <w:t xml:space="preserve">considered it was reasonable for the listing for OZA to be the same as </w:t>
      </w:r>
      <w:r w:rsidR="00874BE3">
        <w:rPr>
          <w:rFonts w:asciiTheme="minorHAnsi" w:hAnsiTheme="minorHAnsi"/>
          <w:snapToGrid w:val="0"/>
          <w:lang w:val="en-GB"/>
        </w:rPr>
        <w:t xml:space="preserve">for </w:t>
      </w:r>
      <w:r w:rsidR="00FE19B3">
        <w:rPr>
          <w:rFonts w:asciiTheme="minorHAnsi" w:hAnsiTheme="minorHAnsi"/>
          <w:snapToGrid w:val="0"/>
          <w:lang w:val="en-GB"/>
        </w:rPr>
        <w:t xml:space="preserve">other </w:t>
      </w:r>
      <w:r w:rsidR="00685034">
        <w:rPr>
          <w:rFonts w:asciiTheme="minorHAnsi" w:hAnsiTheme="minorHAnsi"/>
          <w:snapToGrid w:val="0"/>
          <w:lang w:val="en-GB"/>
        </w:rPr>
        <w:t xml:space="preserve">DMARDs for MSUC, with an initial treatment period of 17 weeks, to allow for a </w:t>
      </w:r>
      <w:r w:rsidR="00865F45">
        <w:rPr>
          <w:rFonts w:asciiTheme="minorHAnsi" w:hAnsiTheme="minorHAnsi"/>
          <w:snapToGrid w:val="0"/>
          <w:lang w:val="en-GB"/>
        </w:rPr>
        <w:t>one-week</w:t>
      </w:r>
      <w:r w:rsidR="00685034">
        <w:rPr>
          <w:rFonts w:asciiTheme="minorHAnsi" w:hAnsiTheme="minorHAnsi"/>
          <w:snapToGrid w:val="0"/>
          <w:lang w:val="en-GB"/>
        </w:rPr>
        <w:t xml:space="preserve"> dose titration period and 16 </w:t>
      </w:r>
      <w:proofErr w:type="gramStart"/>
      <w:r w:rsidR="00685034">
        <w:rPr>
          <w:rFonts w:asciiTheme="minorHAnsi" w:hAnsiTheme="minorHAnsi"/>
          <w:snapToGrid w:val="0"/>
          <w:lang w:val="en-GB"/>
        </w:rPr>
        <w:t>weeks’</w:t>
      </w:r>
      <w:proofErr w:type="gramEnd"/>
      <w:r w:rsidR="00685034">
        <w:rPr>
          <w:rFonts w:asciiTheme="minorHAnsi" w:hAnsiTheme="minorHAnsi"/>
          <w:snapToGrid w:val="0"/>
          <w:lang w:val="en-GB"/>
        </w:rPr>
        <w:t xml:space="preserve"> of treatment at the standard dose. The PBAC considered, </w:t>
      </w:r>
      <w:proofErr w:type="gramStart"/>
      <w:r w:rsidR="00685034">
        <w:rPr>
          <w:rFonts w:asciiTheme="minorHAnsi" w:hAnsiTheme="minorHAnsi"/>
          <w:snapToGrid w:val="0"/>
          <w:lang w:val="en-GB"/>
        </w:rPr>
        <w:t>similar to</w:t>
      </w:r>
      <w:proofErr w:type="gramEnd"/>
      <w:r w:rsidR="00685034">
        <w:rPr>
          <w:rFonts w:asciiTheme="minorHAnsi" w:hAnsiTheme="minorHAnsi"/>
          <w:snapToGrid w:val="0"/>
          <w:lang w:val="en-GB"/>
        </w:rPr>
        <w:t xml:space="preserve"> its previous recommendation for OZA in relapsing-remitting multiple sclerosis (RRMS), </w:t>
      </w:r>
      <w:r w:rsidR="005972FA">
        <w:rPr>
          <w:rFonts w:asciiTheme="minorHAnsi" w:hAnsiTheme="minorHAnsi"/>
          <w:snapToGrid w:val="0"/>
          <w:lang w:val="en-GB"/>
        </w:rPr>
        <w:t xml:space="preserve">it would be reasonable to allow for prescribing of both the titration pack and first full dose pack at the same time and to allow for re-titration after a treatment break for non-efficacy reasons, however noted </w:t>
      </w:r>
      <w:r w:rsidR="000304B8">
        <w:rPr>
          <w:rFonts w:asciiTheme="minorHAnsi" w:hAnsiTheme="minorHAnsi"/>
          <w:snapToGrid w:val="0"/>
          <w:lang w:val="en-GB"/>
        </w:rPr>
        <w:t>that</w:t>
      </w:r>
      <w:r w:rsidR="005972FA">
        <w:rPr>
          <w:rFonts w:asciiTheme="minorHAnsi" w:hAnsiTheme="minorHAnsi"/>
          <w:snapToGrid w:val="0"/>
          <w:lang w:val="en-GB"/>
        </w:rPr>
        <w:t xml:space="preserve"> the listing of OZA for MSUC will be at the written authority level</w:t>
      </w:r>
      <w:r w:rsidR="000304B8">
        <w:rPr>
          <w:rFonts w:asciiTheme="minorHAnsi" w:hAnsiTheme="minorHAnsi"/>
          <w:snapToGrid w:val="0"/>
          <w:lang w:val="en-GB"/>
        </w:rPr>
        <w:t xml:space="preserve"> whereas</w:t>
      </w:r>
      <w:r w:rsidR="005972FA">
        <w:rPr>
          <w:rFonts w:asciiTheme="minorHAnsi" w:hAnsiTheme="minorHAnsi"/>
          <w:snapToGrid w:val="0"/>
          <w:lang w:val="en-GB"/>
        </w:rPr>
        <w:t xml:space="preserve"> the listing for RRMS is a streamlined authority. The PBAC</w:t>
      </w:r>
      <w:r w:rsidR="007960D3">
        <w:rPr>
          <w:rFonts w:asciiTheme="minorHAnsi" w:hAnsiTheme="minorHAnsi"/>
          <w:snapToGrid w:val="0"/>
          <w:lang w:val="en-GB"/>
        </w:rPr>
        <w:t xml:space="preserve"> considered</w:t>
      </w:r>
      <w:r w:rsidR="000304B8">
        <w:rPr>
          <w:rFonts w:asciiTheme="minorHAnsi" w:hAnsiTheme="minorHAnsi"/>
          <w:snapToGrid w:val="0"/>
          <w:lang w:val="en-GB"/>
        </w:rPr>
        <w:t xml:space="preserve"> that</w:t>
      </w:r>
      <w:r w:rsidR="007960D3">
        <w:rPr>
          <w:rFonts w:asciiTheme="minorHAnsi" w:hAnsiTheme="minorHAnsi"/>
          <w:snapToGrid w:val="0"/>
          <w:lang w:val="en-GB"/>
        </w:rPr>
        <w:t xml:space="preserve">, if not otherwise stated in MSUC listings, treatment should be restricted to </w:t>
      </w:r>
      <w:r w:rsidR="00B362AC">
        <w:rPr>
          <w:rFonts w:asciiTheme="minorHAnsi" w:hAnsiTheme="minorHAnsi"/>
          <w:snapToGrid w:val="0"/>
          <w:lang w:val="en-GB"/>
        </w:rPr>
        <w:t xml:space="preserve">a single </w:t>
      </w:r>
      <w:r w:rsidR="00F66F15">
        <w:rPr>
          <w:rFonts w:asciiTheme="minorHAnsi" w:hAnsiTheme="minorHAnsi"/>
          <w:snapToGrid w:val="0"/>
          <w:lang w:val="en-GB"/>
        </w:rPr>
        <w:t>agent</w:t>
      </w:r>
      <w:r w:rsidR="00B362AC">
        <w:rPr>
          <w:rFonts w:asciiTheme="minorHAnsi" w:hAnsiTheme="minorHAnsi"/>
          <w:snapToGrid w:val="0"/>
          <w:lang w:val="en-GB"/>
        </w:rPr>
        <w:t xml:space="preserve"> being used at any one time </w:t>
      </w:r>
      <w:proofErr w:type="gramStart"/>
      <w:r w:rsidR="00B362AC">
        <w:rPr>
          <w:rFonts w:asciiTheme="minorHAnsi" w:hAnsiTheme="minorHAnsi"/>
          <w:snapToGrid w:val="0"/>
          <w:lang w:val="en-GB"/>
        </w:rPr>
        <w:t>and also</w:t>
      </w:r>
      <w:proofErr w:type="gramEnd"/>
      <w:r w:rsidR="005972FA">
        <w:rPr>
          <w:rFonts w:asciiTheme="minorHAnsi" w:hAnsiTheme="minorHAnsi"/>
          <w:snapToGrid w:val="0"/>
          <w:lang w:val="en-GB"/>
        </w:rPr>
        <w:t xml:space="preserve"> noted the flow-on changes to other listings to include OZA in the list of eligible therapies as part of a treatment cycle for MSUC.</w:t>
      </w:r>
    </w:p>
    <w:p w14:paraId="052C252F" w14:textId="2C20FE07" w:rsidR="0048614E" w:rsidRPr="0048614E" w:rsidRDefault="0048614E" w:rsidP="004861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submission requested a </w:t>
      </w:r>
      <w:r w:rsidR="00F4246D">
        <w:rPr>
          <w:rFonts w:asciiTheme="minorHAnsi" w:hAnsiTheme="minorHAnsi"/>
          <w:snapToGrid w:val="0"/>
          <w:lang w:val="en-GB"/>
        </w:rPr>
        <w:t xml:space="preserve">restriction to allow patients in </w:t>
      </w:r>
      <w:r w:rsidR="00FC160A">
        <w:rPr>
          <w:rFonts w:asciiTheme="minorHAnsi" w:hAnsiTheme="minorHAnsi"/>
          <w:snapToGrid w:val="0"/>
          <w:lang w:val="en-GB"/>
        </w:rPr>
        <w:t xml:space="preserve">a planned product familiarisation program </w:t>
      </w:r>
      <w:r w:rsidR="00F4246D">
        <w:rPr>
          <w:rFonts w:asciiTheme="minorHAnsi" w:hAnsiTheme="minorHAnsi"/>
          <w:snapToGrid w:val="0"/>
          <w:lang w:val="en-GB"/>
        </w:rPr>
        <w:t>to transition to PBS-subsidised</w:t>
      </w:r>
      <w:r w:rsidR="00311A0D">
        <w:rPr>
          <w:rFonts w:asciiTheme="minorHAnsi" w:hAnsiTheme="minorHAnsi"/>
          <w:snapToGrid w:val="0"/>
          <w:lang w:val="en-GB"/>
        </w:rPr>
        <w:t xml:space="preserve"> </w:t>
      </w:r>
      <w:r w:rsidR="00F4246D">
        <w:rPr>
          <w:rFonts w:asciiTheme="minorHAnsi" w:hAnsiTheme="minorHAnsi"/>
          <w:snapToGrid w:val="0"/>
          <w:lang w:val="en-GB"/>
        </w:rPr>
        <w:t xml:space="preserve">treatment (anticipated to be </w:t>
      </w:r>
      <w:r w:rsidR="000B1A20">
        <w:rPr>
          <w:rFonts w:asciiTheme="minorHAnsi" w:hAnsiTheme="minorHAnsi"/>
          <w:snapToGrid w:val="0"/>
          <w:lang w:val="en-GB"/>
        </w:rPr>
        <w:t>&lt;500</w:t>
      </w:r>
      <w:r w:rsidR="00FC160A">
        <w:rPr>
          <w:rFonts w:asciiTheme="minorHAnsi" w:hAnsiTheme="minorHAnsi"/>
          <w:snapToGrid w:val="0"/>
          <w:lang w:val="en-GB"/>
        </w:rPr>
        <w:t xml:space="preserve"> patients</w:t>
      </w:r>
      <w:r w:rsidR="00F4246D">
        <w:rPr>
          <w:rFonts w:asciiTheme="minorHAnsi" w:hAnsiTheme="minorHAnsi"/>
          <w:snapToGrid w:val="0"/>
          <w:lang w:val="en-GB"/>
        </w:rPr>
        <w:t>)</w:t>
      </w:r>
      <w:r>
        <w:rPr>
          <w:rFonts w:asciiTheme="minorHAnsi" w:hAnsiTheme="minorHAnsi"/>
          <w:snapToGrid w:val="0"/>
          <w:lang w:val="en-GB"/>
        </w:rPr>
        <w:t xml:space="preserve"> </w:t>
      </w:r>
      <w:r w:rsidR="00FC160A">
        <w:rPr>
          <w:rFonts w:asciiTheme="minorHAnsi" w:hAnsiTheme="minorHAnsi"/>
          <w:snapToGrid w:val="0"/>
          <w:lang w:val="en-GB"/>
        </w:rPr>
        <w:t>and considered this was reasonable</w:t>
      </w:r>
      <w:r w:rsidR="00F4246D">
        <w:rPr>
          <w:rFonts w:asciiTheme="minorHAnsi" w:hAnsiTheme="minorHAnsi"/>
          <w:snapToGrid w:val="0"/>
          <w:lang w:val="en-GB"/>
        </w:rPr>
        <w:t xml:space="preserve">. The PBAC considered </w:t>
      </w:r>
      <w:r w:rsidR="00FC160A">
        <w:rPr>
          <w:rFonts w:asciiTheme="minorHAnsi" w:hAnsiTheme="minorHAnsi"/>
          <w:snapToGrid w:val="0"/>
          <w:lang w:val="en-GB"/>
        </w:rPr>
        <w:t>the grandfather restriction should be reviewed after 12 months, as per standard practice.</w:t>
      </w:r>
    </w:p>
    <w:p w14:paraId="0C9B1C24" w14:textId="0AF0D90D" w:rsidR="003A0DE4" w:rsidRPr="00CE42B4" w:rsidRDefault="0088683D" w:rsidP="003A0DE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 nominated</w:t>
      </w:r>
      <w:r w:rsidR="00CE4807">
        <w:rPr>
          <w:rFonts w:asciiTheme="minorHAnsi" w:hAnsiTheme="minorHAnsi"/>
          <w:snapToGrid w:val="0"/>
          <w:lang w:val="en-GB"/>
        </w:rPr>
        <w:t xml:space="preserve"> primary</w:t>
      </w:r>
      <w:r w:rsidR="00F72BFE">
        <w:rPr>
          <w:rFonts w:asciiTheme="minorHAnsi" w:hAnsiTheme="minorHAnsi"/>
          <w:snapToGrid w:val="0"/>
          <w:lang w:val="en-GB"/>
        </w:rPr>
        <w:t xml:space="preserve"> comparator of IFX</w:t>
      </w:r>
      <w:r>
        <w:rPr>
          <w:rFonts w:asciiTheme="minorHAnsi" w:hAnsiTheme="minorHAnsi"/>
          <w:snapToGrid w:val="0"/>
          <w:lang w:val="en-GB"/>
        </w:rPr>
        <w:t xml:space="preserve"> was reasonable, however considered </w:t>
      </w:r>
      <w:r w:rsidR="0084709A">
        <w:rPr>
          <w:rFonts w:asciiTheme="minorHAnsi" w:hAnsiTheme="minorHAnsi"/>
          <w:snapToGrid w:val="0"/>
          <w:lang w:val="en-GB"/>
        </w:rPr>
        <w:t xml:space="preserve">OZA could substitute for </w:t>
      </w:r>
      <w:r w:rsidR="00FE19B3">
        <w:rPr>
          <w:rFonts w:asciiTheme="minorHAnsi" w:hAnsiTheme="minorHAnsi"/>
          <w:snapToGrid w:val="0"/>
          <w:lang w:val="en-GB"/>
        </w:rPr>
        <w:t xml:space="preserve">all </w:t>
      </w:r>
      <w:r>
        <w:rPr>
          <w:rFonts w:asciiTheme="minorHAnsi" w:hAnsiTheme="minorHAnsi"/>
          <w:snapToGrid w:val="0"/>
          <w:lang w:val="en-GB"/>
        </w:rPr>
        <w:t>DMARDs listed f</w:t>
      </w:r>
      <w:r w:rsidR="006900F9">
        <w:rPr>
          <w:rFonts w:asciiTheme="minorHAnsi" w:hAnsiTheme="minorHAnsi"/>
          <w:snapToGrid w:val="0"/>
          <w:lang w:val="en-GB"/>
        </w:rPr>
        <w:t>or MSUC, including VED, GOL, TOF and ADA</w:t>
      </w:r>
      <w:r w:rsidR="000304B8">
        <w:rPr>
          <w:rFonts w:asciiTheme="minorHAnsi" w:hAnsiTheme="minorHAnsi"/>
          <w:snapToGrid w:val="0"/>
          <w:lang w:val="en-GB"/>
        </w:rPr>
        <w:t>,</w:t>
      </w:r>
      <w:r>
        <w:rPr>
          <w:rFonts w:asciiTheme="minorHAnsi" w:hAnsiTheme="minorHAnsi"/>
          <w:snapToGrid w:val="0"/>
          <w:lang w:val="en-GB"/>
        </w:rPr>
        <w:t xml:space="preserve"> </w:t>
      </w:r>
      <w:r w:rsidR="00FE19B3">
        <w:rPr>
          <w:rFonts w:asciiTheme="minorHAnsi" w:hAnsiTheme="minorHAnsi"/>
          <w:snapToGrid w:val="0"/>
          <w:lang w:val="en-GB"/>
        </w:rPr>
        <w:t xml:space="preserve">and therefore all </w:t>
      </w:r>
      <w:r w:rsidR="0084709A">
        <w:rPr>
          <w:rFonts w:asciiTheme="minorHAnsi" w:hAnsiTheme="minorHAnsi"/>
          <w:snapToGrid w:val="0"/>
          <w:lang w:val="en-GB"/>
        </w:rPr>
        <w:t>DMARDs</w:t>
      </w:r>
      <w:r w:rsidR="00CE4807">
        <w:rPr>
          <w:rFonts w:asciiTheme="minorHAnsi" w:hAnsiTheme="minorHAnsi"/>
          <w:snapToGrid w:val="0"/>
          <w:lang w:val="en-GB"/>
        </w:rPr>
        <w:t xml:space="preserve"> listed for MSUC</w:t>
      </w:r>
      <w:r w:rsidR="0084709A">
        <w:rPr>
          <w:rFonts w:asciiTheme="minorHAnsi" w:hAnsiTheme="minorHAnsi"/>
          <w:snapToGrid w:val="0"/>
          <w:lang w:val="en-GB"/>
        </w:rPr>
        <w:t xml:space="preserve"> were relevant </w:t>
      </w:r>
      <w:r w:rsidR="00F4246D">
        <w:rPr>
          <w:rFonts w:asciiTheme="minorHAnsi" w:hAnsiTheme="minorHAnsi"/>
          <w:snapToGrid w:val="0"/>
          <w:lang w:val="en-GB"/>
        </w:rPr>
        <w:t>alternative therapies</w:t>
      </w:r>
      <w:r>
        <w:rPr>
          <w:rFonts w:asciiTheme="minorHAnsi" w:hAnsiTheme="minorHAnsi"/>
          <w:snapToGrid w:val="0"/>
          <w:lang w:val="en-GB"/>
        </w:rPr>
        <w:t xml:space="preserve">. </w:t>
      </w:r>
    </w:p>
    <w:p w14:paraId="1D575725" w14:textId="4AE8D2CE" w:rsidR="006C2504" w:rsidRDefault="0088683D" w:rsidP="00631E1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there were numerous uncertainties with the clinical evidence presented, which impacted the reliability of the </w:t>
      </w:r>
      <w:r w:rsidR="00040D81">
        <w:rPr>
          <w:rFonts w:asciiTheme="minorHAnsi" w:hAnsiTheme="minorHAnsi"/>
          <w:snapToGrid w:val="0"/>
          <w:lang w:val="en-GB"/>
        </w:rPr>
        <w:t xml:space="preserve">indirect comparisons used to support the non-inferiority claims. </w:t>
      </w:r>
      <w:r w:rsidR="007960D3">
        <w:rPr>
          <w:rFonts w:asciiTheme="minorHAnsi" w:hAnsiTheme="minorHAnsi"/>
          <w:snapToGrid w:val="0"/>
          <w:lang w:val="en-GB"/>
        </w:rPr>
        <w:t>The Committee noted the primary</w:t>
      </w:r>
      <w:r w:rsidR="00B362AC">
        <w:rPr>
          <w:rFonts w:asciiTheme="minorHAnsi" w:hAnsiTheme="minorHAnsi"/>
          <w:snapToGrid w:val="0"/>
          <w:lang w:val="en-GB"/>
        </w:rPr>
        <w:t xml:space="preserve"> OZA</w:t>
      </w:r>
      <w:r w:rsidR="007960D3">
        <w:rPr>
          <w:rFonts w:asciiTheme="minorHAnsi" w:hAnsiTheme="minorHAnsi"/>
          <w:snapToGrid w:val="0"/>
          <w:lang w:val="en-GB"/>
        </w:rPr>
        <w:t xml:space="preserve"> trial relied upon in the submission, True North, had a different design to the infliximab trials used to inform the clinical claim</w:t>
      </w:r>
      <w:r w:rsidR="00B362AC">
        <w:rPr>
          <w:rFonts w:asciiTheme="minorHAnsi" w:hAnsiTheme="minorHAnsi"/>
          <w:snapToGrid w:val="0"/>
          <w:lang w:val="en-GB"/>
        </w:rPr>
        <w:t xml:space="preserve">, whereby only responders in the initial phase of True North progressed to the maintenance phase, whereas all patients in most IFX trials continued to the maintenance phase. Furthermore, the PBAC also noted that efficacy in the maintenance phase of True North was determined as a proportion of responders who entered the maintenance phase. In addition, the PBAC noted there appeared to be differences in the populations recruited into True North and the included IFX trials, with the True North </w:t>
      </w:r>
      <w:r w:rsidR="00BF31D9">
        <w:rPr>
          <w:rFonts w:asciiTheme="minorHAnsi" w:hAnsiTheme="minorHAnsi"/>
          <w:snapToGrid w:val="0"/>
          <w:lang w:val="en-GB"/>
        </w:rPr>
        <w:t>ITT</w:t>
      </w:r>
      <w:r w:rsidR="00B362AC">
        <w:rPr>
          <w:rFonts w:asciiTheme="minorHAnsi" w:hAnsiTheme="minorHAnsi"/>
          <w:snapToGrid w:val="0"/>
          <w:lang w:val="en-GB"/>
        </w:rPr>
        <w:t xml:space="preserve"> population appearing to have less severe and less pre-treated disease. </w:t>
      </w:r>
    </w:p>
    <w:p w14:paraId="375BC95F" w14:textId="44DDDB60" w:rsidR="00036733" w:rsidRPr="00141E4B" w:rsidRDefault="00141E4B" w:rsidP="006C2504">
      <w:pPr>
        <w:widowControl w:val="0"/>
        <w:numPr>
          <w:ilvl w:val="1"/>
          <w:numId w:val="1"/>
        </w:numPr>
        <w:spacing w:after="120"/>
        <w:rPr>
          <w:rFonts w:asciiTheme="minorHAnsi" w:hAnsiTheme="minorHAnsi"/>
          <w:snapToGrid w:val="0"/>
          <w:lang w:val="en-GB"/>
        </w:rPr>
      </w:pPr>
      <w:r w:rsidRPr="00141E4B">
        <w:rPr>
          <w:rFonts w:asciiTheme="minorHAnsi" w:hAnsiTheme="minorHAnsi"/>
          <w:snapToGrid w:val="0"/>
          <w:lang w:val="en-GB"/>
        </w:rPr>
        <w:t>T</w:t>
      </w:r>
      <w:r w:rsidR="00CE4807" w:rsidRPr="00141E4B">
        <w:rPr>
          <w:rFonts w:asciiTheme="minorHAnsi" w:hAnsiTheme="minorHAnsi"/>
          <w:snapToGrid w:val="0"/>
          <w:lang w:val="en-GB"/>
        </w:rPr>
        <w:t>he PBAC</w:t>
      </w:r>
      <w:r w:rsidR="00694470" w:rsidRPr="00141E4B">
        <w:rPr>
          <w:rFonts w:asciiTheme="minorHAnsi" w:hAnsiTheme="minorHAnsi"/>
          <w:snapToGrid w:val="0"/>
          <w:lang w:val="en-GB"/>
        </w:rPr>
        <w:t xml:space="preserve"> </w:t>
      </w:r>
      <w:r w:rsidR="00CE4807" w:rsidRPr="00141E4B">
        <w:rPr>
          <w:rFonts w:asciiTheme="minorHAnsi" w:hAnsiTheme="minorHAnsi"/>
          <w:snapToGrid w:val="0"/>
          <w:lang w:val="en-GB"/>
        </w:rPr>
        <w:t xml:space="preserve">acknowledged that </w:t>
      </w:r>
      <w:r w:rsidR="00B362AC" w:rsidRPr="00141E4B">
        <w:rPr>
          <w:rFonts w:asciiTheme="minorHAnsi" w:hAnsiTheme="minorHAnsi"/>
          <w:snapToGrid w:val="0"/>
          <w:lang w:val="en-GB"/>
        </w:rPr>
        <w:t>the results of the indirect comparisons based on the ITT populations of the OZA and IFX trials should be interpreted with caution</w:t>
      </w:r>
      <w:r w:rsidRPr="00141E4B">
        <w:rPr>
          <w:rFonts w:asciiTheme="minorHAnsi" w:hAnsiTheme="minorHAnsi"/>
          <w:snapToGrid w:val="0"/>
          <w:lang w:val="en-GB"/>
        </w:rPr>
        <w:t xml:space="preserve"> due to the differences in trial designs and recruited populations</w:t>
      </w:r>
      <w:r w:rsidR="00B362AC" w:rsidRPr="00141E4B">
        <w:rPr>
          <w:rFonts w:asciiTheme="minorHAnsi" w:hAnsiTheme="minorHAnsi"/>
          <w:snapToGrid w:val="0"/>
          <w:lang w:val="en-GB"/>
        </w:rPr>
        <w:t xml:space="preserve">. </w:t>
      </w:r>
      <w:r w:rsidR="00631E18" w:rsidRPr="00141E4B">
        <w:rPr>
          <w:rFonts w:asciiTheme="minorHAnsi" w:hAnsiTheme="minorHAnsi"/>
          <w:snapToGrid w:val="0"/>
          <w:lang w:val="en-GB"/>
        </w:rPr>
        <w:t>The PBAC noted</w:t>
      </w:r>
      <w:r>
        <w:rPr>
          <w:rFonts w:asciiTheme="minorHAnsi" w:hAnsiTheme="minorHAnsi"/>
          <w:snapToGrid w:val="0"/>
          <w:lang w:val="en-GB"/>
        </w:rPr>
        <w:t xml:space="preserve"> that</w:t>
      </w:r>
      <w:r w:rsidR="00631E18" w:rsidRPr="00141E4B">
        <w:rPr>
          <w:rFonts w:asciiTheme="minorHAnsi" w:hAnsiTheme="minorHAnsi"/>
          <w:snapToGrid w:val="0"/>
          <w:lang w:val="en-GB"/>
        </w:rPr>
        <w:t xml:space="preserve"> additional subgroup analyses presented in the Pre-PBAC Response</w:t>
      </w:r>
      <w:r>
        <w:rPr>
          <w:rFonts w:asciiTheme="minorHAnsi" w:hAnsiTheme="minorHAnsi"/>
          <w:snapToGrid w:val="0"/>
          <w:lang w:val="en-GB"/>
        </w:rPr>
        <w:t>,</w:t>
      </w:r>
      <w:r w:rsidR="001D6C67" w:rsidRPr="00141E4B">
        <w:rPr>
          <w:rFonts w:asciiTheme="minorHAnsi" w:hAnsiTheme="minorHAnsi"/>
          <w:snapToGrid w:val="0"/>
          <w:lang w:val="en-GB"/>
        </w:rPr>
        <w:t xml:space="preserve"> compar</w:t>
      </w:r>
      <w:r>
        <w:rPr>
          <w:rFonts w:asciiTheme="minorHAnsi" w:hAnsiTheme="minorHAnsi"/>
          <w:snapToGrid w:val="0"/>
          <w:lang w:val="en-GB"/>
        </w:rPr>
        <w:t>ing</w:t>
      </w:r>
      <w:r w:rsidR="001D6C67" w:rsidRPr="00141E4B">
        <w:rPr>
          <w:rFonts w:asciiTheme="minorHAnsi" w:hAnsiTheme="minorHAnsi"/>
          <w:snapToGrid w:val="0"/>
          <w:lang w:val="en-GB"/>
        </w:rPr>
        <w:t xml:space="preserve"> subgroups of patients</w:t>
      </w:r>
      <w:r w:rsidR="00694470" w:rsidRPr="00141E4B">
        <w:rPr>
          <w:rFonts w:asciiTheme="minorHAnsi" w:hAnsiTheme="minorHAnsi"/>
          <w:snapToGrid w:val="0"/>
          <w:lang w:val="en-GB"/>
        </w:rPr>
        <w:t xml:space="preserve"> from the True North trial</w:t>
      </w:r>
      <w:r w:rsidR="002B066A" w:rsidRPr="00141E4B">
        <w:rPr>
          <w:rFonts w:asciiTheme="minorHAnsi" w:hAnsiTheme="minorHAnsi"/>
          <w:snapToGrid w:val="0"/>
          <w:lang w:val="en-GB"/>
        </w:rPr>
        <w:t xml:space="preserve"> with ‘no moderate disease’ and ‘prior use/intolerance to immunomodulators’ to</w:t>
      </w:r>
      <w:r w:rsidR="00694470" w:rsidRPr="00141E4B">
        <w:rPr>
          <w:rFonts w:asciiTheme="minorHAnsi" w:hAnsiTheme="minorHAnsi"/>
          <w:snapToGrid w:val="0"/>
          <w:lang w:val="en-GB"/>
        </w:rPr>
        <w:t xml:space="preserve"> the pooled IFX ITT populations</w:t>
      </w:r>
      <w:r w:rsidR="00C12B23" w:rsidRPr="00141E4B">
        <w:rPr>
          <w:rFonts w:asciiTheme="minorHAnsi" w:hAnsiTheme="minorHAnsi"/>
          <w:snapToGrid w:val="0"/>
          <w:lang w:val="en-GB"/>
        </w:rPr>
        <w:t>, found no statistically significant differences in outcomes for either of these subgroup analyses for either clinical remission or response in the induction or maintenance phases. While the PBAC noted these</w:t>
      </w:r>
      <w:r w:rsidR="002B066A" w:rsidRPr="00141E4B">
        <w:rPr>
          <w:rFonts w:asciiTheme="minorHAnsi" w:hAnsiTheme="minorHAnsi"/>
          <w:snapToGrid w:val="0"/>
          <w:lang w:val="en-GB"/>
        </w:rPr>
        <w:t xml:space="preserve"> </w:t>
      </w:r>
      <w:proofErr w:type="gramStart"/>
      <w:r w:rsidR="00C12B23" w:rsidRPr="00141E4B">
        <w:rPr>
          <w:rFonts w:asciiTheme="minorHAnsi" w:hAnsiTheme="minorHAnsi"/>
          <w:snapToGrid w:val="0"/>
          <w:lang w:val="en-GB"/>
        </w:rPr>
        <w:t>subgroup</w:t>
      </w:r>
      <w:proofErr w:type="gramEnd"/>
      <w:r w:rsidR="00C12B23" w:rsidRPr="00141E4B">
        <w:rPr>
          <w:rFonts w:asciiTheme="minorHAnsi" w:hAnsiTheme="minorHAnsi"/>
          <w:snapToGrid w:val="0"/>
          <w:lang w:val="en-GB"/>
        </w:rPr>
        <w:t xml:space="preserve"> analyses had not been evaluated and only partially </w:t>
      </w:r>
      <w:r w:rsidR="00C12B23" w:rsidRPr="00141E4B">
        <w:rPr>
          <w:rFonts w:asciiTheme="minorHAnsi" w:hAnsiTheme="minorHAnsi"/>
          <w:snapToGrid w:val="0"/>
          <w:lang w:val="en-GB"/>
        </w:rPr>
        <w:lastRenderedPageBreak/>
        <w:t>explored some of the issues with the ITT analyses</w:t>
      </w:r>
      <w:r>
        <w:rPr>
          <w:rFonts w:asciiTheme="minorHAnsi" w:hAnsiTheme="minorHAnsi"/>
          <w:snapToGrid w:val="0"/>
          <w:lang w:val="en-GB"/>
        </w:rPr>
        <w:t>,</w:t>
      </w:r>
      <w:r w:rsidR="00C12B23" w:rsidRPr="00141E4B">
        <w:rPr>
          <w:rFonts w:asciiTheme="minorHAnsi" w:hAnsiTheme="minorHAnsi"/>
          <w:snapToGrid w:val="0"/>
          <w:lang w:val="en-GB"/>
        </w:rPr>
        <w:t xml:space="preserve"> </w:t>
      </w:r>
      <w:r w:rsidR="001F6C98" w:rsidRPr="00141E4B">
        <w:rPr>
          <w:rFonts w:asciiTheme="minorHAnsi" w:hAnsiTheme="minorHAnsi"/>
          <w:snapToGrid w:val="0"/>
          <w:lang w:val="en-GB"/>
        </w:rPr>
        <w:t xml:space="preserve">it </w:t>
      </w:r>
      <w:r w:rsidR="002B066A" w:rsidRPr="00141E4B">
        <w:rPr>
          <w:rFonts w:asciiTheme="minorHAnsi" w:hAnsiTheme="minorHAnsi"/>
          <w:snapToGrid w:val="0"/>
          <w:lang w:val="en-GB"/>
        </w:rPr>
        <w:t>also noted these subgroups were pre-specified in the design of True North and considered</w:t>
      </w:r>
      <w:r w:rsidR="00C12B23" w:rsidRPr="00141E4B">
        <w:rPr>
          <w:rFonts w:asciiTheme="minorHAnsi" w:hAnsiTheme="minorHAnsi"/>
          <w:snapToGrid w:val="0"/>
          <w:lang w:val="en-GB"/>
        </w:rPr>
        <w:t xml:space="preserve"> these analyses were</w:t>
      </w:r>
      <w:r w:rsidR="002B066A" w:rsidRPr="00141E4B">
        <w:rPr>
          <w:rFonts w:asciiTheme="minorHAnsi" w:hAnsiTheme="minorHAnsi"/>
          <w:snapToGrid w:val="0"/>
          <w:lang w:val="en-GB"/>
        </w:rPr>
        <w:t xml:space="preserve"> informative for assessing the claim of non-inferior comparative effectiveness of OZA and IFX.</w:t>
      </w:r>
      <w:r w:rsidR="006C2504" w:rsidRPr="00141E4B">
        <w:rPr>
          <w:rFonts w:asciiTheme="minorHAnsi" w:hAnsiTheme="minorHAnsi"/>
          <w:snapToGrid w:val="0"/>
          <w:lang w:val="en-GB"/>
        </w:rPr>
        <w:t xml:space="preserve"> Overall,</w:t>
      </w:r>
      <w:r w:rsidRPr="00141E4B">
        <w:rPr>
          <w:rFonts w:asciiTheme="minorHAnsi" w:hAnsiTheme="minorHAnsi"/>
          <w:snapToGrid w:val="0"/>
          <w:szCs w:val="20"/>
        </w:rPr>
        <w:t xml:space="preserve"> </w:t>
      </w:r>
      <w:proofErr w:type="gramStart"/>
      <w:r w:rsidRPr="00141E4B">
        <w:rPr>
          <w:rFonts w:asciiTheme="minorHAnsi" w:hAnsiTheme="minorHAnsi"/>
          <w:snapToGrid w:val="0"/>
          <w:szCs w:val="20"/>
        </w:rPr>
        <w:t>taking into account</w:t>
      </w:r>
      <w:proofErr w:type="gramEnd"/>
      <w:r w:rsidRPr="00141E4B">
        <w:rPr>
          <w:rFonts w:asciiTheme="minorHAnsi" w:hAnsiTheme="minorHAnsi"/>
          <w:snapToGrid w:val="0"/>
          <w:szCs w:val="20"/>
        </w:rPr>
        <w:t xml:space="preserve"> the totality of the available evidence, the PBAC considered that the claim of non-inferior comparative effectiveness to the primary comparator, IFX, was adequately supported.</w:t>
      </w:r>
    </w:p>
    <w:p w14:paraId="6D9A2EAE" w14:textId="4D631198" w:rsidR="003A0DE4" w:rsidRPr="007D0254" w:rsidRDefault="00891943" w:rsidP="00CE480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w:t>
      </w:r>
      <w:r w:rsidR="001F6C98">
        <w:rPr>
          <w:rFonts w:asciiTheme="minorHAnsi" w:hAnsiTheme="minorHAnsi"/>
          <w:snapToGrid w:val="0"/>
          <w:lang w:val="en-GB"/>
        </w:rPr>
        <w:t xml:space="preserve"> considered that the</w:t>
      </w:r>
      <w:r w:rsidR="00CE4807">
        <w:rPr>
          <w:rFonts w:asciiTheme="minorHAnsi" w:hAnsiTheme="minorHAnsi"/>
          <w:snapToGrid w:val="0"/>
          <w:lang w:val="en-GB"/>
        </w:rPr>
        <w:t xml:space="preserve"> </w:t>
      </w:r>
      <w:r>
        <w:rPr>
          <w:rFonts w:asciiTheme="minorHAnsi" w:hAnsiTheme="minorHAnsi"/>
          <w:snapToGrid w:val="0"/>
          <w:lang w:val="en-GB"/>
        </w:rPr>
        <w:t xml:space="preserve">indirect comparisons versus the </w:t>
      </w:r>
      <w:r w:rsidR="001F6C98">
        <w:rPr>
          <w:rFonts w:asciiTheme="minorHAnsi" w:hAnsiTheme="minorHAnsi"/>
          <w:snapToGrid w:val="0"/>
          <w:lang w:val="en-GB"/>
        </w:rPr>
        <w:t>secondary</w:t>
      </w:r>
      <w:r>
        <w:rPr>
          <w:rFonts w:asciiTheme="minorHAnsi" w:hAnsiTheme="minorHAnsi"/>
          <w:snapToGrid w:val="0"/>
          <w:lang w:val="en-GB"/>
        </w:rPr>
        <w:t xml:space="preserve"> comparators</w:t>
      </w:r>
      <w:r w:rsidR="00CE4807">
        <w:rPr>
          <w:rFonts w:asciiTheme="minorHAnsi" w:hAnsiTheme="minorHAnsi"/>
          <w:snapToGrid w:val="0"/>
          <w:lang w:val="en-GB"/>
        </w:rPr>
        <w:t xml:space="preserve"> (VED, GOL, TOF and ADA)</w:t>
      </w:r>
      <w:r>
        <w:rPr>
          <w:rFonts w:asciiTheme="minorHAnsi" w:hAnsiTheme="minorHAnsi"/>
          <w:snapToGrid w:val="0"/>
          <w:lang w:val="en-GB"/>
        </w:rPr>
        <w:t xml:space="preserve"> were not informative for considering the comparative</w:t>
      </w:r>
      <w:r w:rsidR="00FE19B3">
        <w:rPr>
          <w:rFonts w:asciiTheme="minorHAnsi" w:hAnsiTheme="minorHAnsi"/>
          <w:snapToGrid w:val="0"/>
          <w:lang w:val="en-GB"/>
        </w:rPr>
        <w:t xml:space="preserve"> effectiveness of </w:t>
      </w:r>
      <w:r w:rsidR="00FE19B3" w:rsidRPr="007D0254">
        <w:rPr>
          <w:rFonts w:asciiTheme="minorHAnsi" w:hAnsiTheme="minorHAnsi"/>
          <w:snapToGrid w:val="0"/>
          <w:lang w:val="en-GB"/>
        </w:rPr>
        <w:t xml:space="preserve">OZA to other </w:t>
      </w:r>
      <w:r w:rsidRPr="007D0254">
        <w:rPr>
          <w:rFonts w:asciiTheme="minorHAnsi" w:hAnsiTheme="minorHAnsi"/>
          <w:snapToGrid w:val="0"/>
          <w:lang w:val="en-GB"/>
        </w:rPr>
        <w:t>DMARDs.</w:t>
      </w:r>
      <w:r w:rsidR="00036733" w:rsidRPr="007D0254">
        <w:rPr>
          <w:rFonts w:asciiTheme="minorHAnsi" w:hAnsiTheme="minorHAnsi"/>
          <w:snapToGrid w:val="0"/>
          <w:lang w:val="en-GB"/>
        </w:rPr>
        <w:t xml:space="preserve"> </w:t>
      </w:r>
      <w:r w:rsidR="0010659A" w:rsidRPr="007D0254">
        <w:rPr>
          <w:rFonts w:asciiTheme="minorHAnsi" w:hAnsiTheme="minorHAnsi"/>
          <w:snapToGrid w:val="0"/>
          <w:lang w:val="en-GB"/>
        </w:rPr>
        <w:t>The PBAC recalled that it had previously accepted that</w:t>
      </w:r>
      <w:r w:rsidR="0010659A" w:rsidRPr="007D0254">
        <w:t xml:space="preserve"> for some patients, TOF provides a significant improvement in efficacy in the induction phase compared to ADA (</w:t>
      </w:r>
      <w:r w:rsidR="006900F9" w:rsidRPr="007D0254">
        <w:t>Paragraph</w:t>
      </w:r>
      <w:r w:rsidR="0010659A" w:rsidRPr="007D0254">
        <w:t xml:space="preserve"> 7.1,</w:t>
      </w:r>
      <w:r w:rsidR="006900F9" w:rsidRPr="007D0254">
        <w:t xml:space="preserve"> Tofacitinib (MSUC) PSD,</w:t>
      </w:r>
      <w:r w:rsidR="0010659A" w:rsidRPr="007D0254">
        <w:t xml:space="preserve"> Nov</w:t>
      </w:r>
      <w:r w:rsidR="006900F9" w:rsidRPr="007D0254">
        <w:t>ember</w:t>
      </w:r>
      <w:r w:rsidR="0010659A" w:rsidRPr="007D0254">
        <w:t xml:space="preserve"> 2020 P</w:t>
      </w:r>
      <w:r w:rsidR="006900F9" w:rsidRPr="007D0254">
        <w:t>BAC meeting</w:t>
      </w:r>
      <w:r w:rsidR="0010659A" w:rsidRPr="007D0254">
        <w:t xml:space="preserve">). However, the PBAC considered there was insufficient evidence to support that </w:t>
      </w:r>
      <w:r w:rsidR="006806A7" w:rsidRPr="007D0254">
        <w:t>OZA provides</w:t>
      </w:r>
      <w:r w:rsidR="006806A7" w:rsidRPr="007D0254">
        <w:rPr>
          <w:iCs/>
        </w:rPr>
        <w:t>, for some patients, a significant improvement in efficacy and/or reduction of toxicity over any of the alternative therapies, including ADA.</w:t>
      </w:r>
    </w:p>
    <w:p w14:paraId="4EFDA991" w14:textId="4AD1EDCE" w:rsidR="003A0DE4" w:rsidRPr="00CE42B4" w:rsidRDefault="000F1077" w:rsidP="003A0DE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w:t>
      </w:r>
      <w:r w:rsidR="00141E4B">
        <w:rPr>
          <w:rFonts w:asciiTheme="minorHAnsi" w:hAnsiTheme="minorHAnsi"/>
          <w:snapToGrid w:val="0"/>
          <w:lang w:val="en-GB"/>
        </w:rPr>
        <w:t xml:space="preserve">PBAC </w:t>
      </w:r>
      <w:r>
        <w:rPr>
          <w:rFonts w:asciiTheme="minorHAnsi" w:hAnsiTheme="minorHAnsi"/>
          <w:snapToGrid w:val="0"/>
          <w:lang w:val="en-GB"/>
        </w:rPr>
        <w:t>noted the submission described OZA as</w:t>
      </w:r>
      <w:r w:rsidR="00865F45">
        <w:rPr>
          <w:rFonts w:asciiTheme="minorHAnsi" w:hAnsiTheme="minorHAnsi"/>
          <w:snapToGrid w:val="0"/>
          <w:lang w:val="en-GB"/>
        </w:rPr>
        <w:t xml:space="preserve"> being of non-inferior comparative safety, with</w:t>
      </w:r>
      <w:r>
        <w:rPr>
          <w:rFonts w:asciiTheme="minorHAnsi" w:hAnsiTheme="minorHAnsi"/>
          <w:snapToGrid w:val="0"/>
          <w:lang w:val="en-GB"/>
        </w:rPr>
        <w:t xml:space="preserve"> a trend towards superior safety and highlighted emerging post-market concerns regarding the safety of TOF in practice; however, the </w:t>
      </w:r>
      <w:r w:rsidR="00891943">
        <w:rPr>
          <w:rFonts w:asciiTheme="minorHAnsi" w:hAnsiTheme="minorHAnsi"/>
          <w:snapToGrid w:val="0"/>
          <w:lang w:val="en-GB"/>
        </w:rPr>
        <w:t>PBAC agreed with the ESC and noted that while OZA has a dif</w:t>
      </w:r>
      <w:r w:rsidR="00FE19B3">
        <w:rPr>
          <w:rFonts w:asciiTheme="minorHAnsi" w:hAnsiTheme="minorHAnsi"/>
          <w:snapToGrid w:val="0"/>
          <w:lang w:val="en-GB"/>
        </w:rPr>
        <w:t xml:space="preserve">ferent safety profile to other </w:t>
      </w:r>
      <w:r w:rsidR="00891943">
        <w:rPr>
          <w:rFonts w:asciiTheme="minorHAnsi" w:hAnsiTheme="minorHAnsi"/>
          <w:snapToGrid w:val="0"/>
          <w:lang w:val="en-GB"/>
        </w:rPr>
        <w:t>DMARDs listed for MSUC,</w:t>
      </w:r>
      <w:r w:rsidR="00865F45">
        <w:rPr>
          <w:rFonts w:asciiTheme="minorHAnsi" w:hAnsiTheme="minorHAnsi"/>
          <w:snapToGrid w:val="0"/>
          <w:lang w:val="en-GB"/>
        </w:rPr>
        <w:t xml:space="preserve"> also</w:t>
      </w:r>
      <w:r w:rsidR="00891943">
        <w:rPr>
          <w:rFonts w:asciiTheme="minorHAnsi" w:hAnsiTheme="minorHAnsi"/>
          <w:snapToGrid w:val="0"/>
          <w:lang w:val="en-GB"/>
        </w:rPr>
        <w:t xml:space="preserve"> noted that the rates of observed serious adverse events (SAEs) appeared to be similar. The PBAC considered that, based on the evidence presented, that an overall claim of non-inferior com</w:t>
      </w:r>
      <w:r w:rsidR="00FE19B3">
        <w:rPr>
          <w:rFonts w:asciiTheme="minorHAnsi" w:hAnsiTheme="minorHAnsi"/>
          <w:snapToGrid w:val="0"/>
          <w:lang w:val="en-GB"/>
        </w:rPr>
        <w:t xml:space="preserve">parative safety to alternative </w:t>
      </w:r>
      <w:r w:rsidR="00891943">
        <w:rPr>
          <w:rFonts w:asciiTheme="minorHAnsi" w:hAnsiTheme="minorHAnsi"/>
          <w:snapToGrid w:val="0"/>
          <w:lang w:val="en-GB"/>
        </w:rPr>
        <w:t>DMARDs was likely to be reasonable.</w:t>
      </w:r>
    </w:p>
    <w:p w14:paraId="4E947DB2" w14:textId="773FDCFB" w:rsidR="00CE4807" w:rsidRPr="007D0254" w:rsidRDefault="007C05C2" w:rsidP="00CE480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given its view that the claim of non-inferior comparative effectiveness and safety to</w:t>
      </w:r>
      <w:r w:rsidR="00CE4807">
        <w:rPr>
          <w:rFonts w:asciiTheme="minorHAnsi" w:hAnsiTheme="minorHAnsi"/>
          <w:snapToGrid w:val="0"/>
          <w:lang w:val="en-GB"/>
        </w:rPr>
        <w:t xml:space="preserve"> IFX</w:t>
      </w:r>
      <w:r>
        <w:rPr>
          <w:rFonts w:asciiTheme="minorHAnsi" w:hAnsiTheme="minorHAnsi"/>
          <w:snapToGrid w:val="0"/>
          <w:lang w:val="en-GB"/>
        </w:rPr>
        <w:t xml:space="preserve"> in MSUC had been adequately supported, that a listing on a standard </w:t>
      </w:r>
      <w:r w:rsidRPr="007D0254">
        <w:rPr>
          <w:rFonts w:asciiTheme="minorHAnsi" w:hAnsiTheme="minorHAnsi"/>
          <w:snapToGrid w:val="0"/>
          <w:lang w:val="en-GB"/>
        </w:rPr>
        <w:t>cost minimisation approach with costs over two years, consisten</w:t>
      </w:r>
      <w:r w:rsidR="00FE19B3" w:rsidRPr="007D0254">
        <w:rPr>
          <w:rFonts w:asciiTheme="minorHAnsi" w:hAnsiTheme="minorHAnsi"/>
          <w:snapToGrid w:val="0"/>
          <w:lang w:val="en-GB"/>
        </w:rPr>
        <w:t xml:space="preserve">t with previous approaches for </w:t>
      </w:r>
      <w:r w:rsidRPr="007D0254">
        <w:rPr>
          <w:rFonts w:asciiTheme="minorHAnsi" w:hAnsiTheme="minorHAnsi"/>
          <w:snapToGrid w:val="0"/>
          <w:lang w:val="en-GB"/>
        </w:rPr>
        <w:t>DMARDs</w:t>
      </w:r>
      <w:r w:rsidR="00CE4807" w:rsidRPr="007D0254">
        <w:rPr>
          <w:rFonts w:asciiTheme="minorHAnsi" w:hAnsiTheme="minorHAnsi"/>
          <w:snapToGrid w:val="0"/>
          <w:lang w:val="en-GB"/>
        </w:rPr>
        <w:t>,</w:t>
      </w:r>
      <w:r w:rsidRPr="007D0254">
        <w:rPr>
          <w:rFonts w:asciiTheme="minorHAnsi" w:hAnsiTheme="minorHAnsi"/>
          <w:snapToGrid w:val="0"/>
          <w:lang w:val="en-GB"/>
        </w:rPr>
        <w:t xml:space="preserve"> was the most appropriate approach to determine the cost minimised effective price of OZA</w:t>
      </w:r>
      <w:r w:rsidR="00891943" w:rsidRPr="007D0254">
        <w:rPr>
          <w:rFonts w:asciiTheme="minorHAnsi" w:hAnsiTheme="minorHAnsi"/>
          <w:snapToGrid w:val="0"/>
          <w:lang w:val="en-GB"/>
        </w:rPr>
        <w:t>.</w:t>
      </w:r>
      <w:r w:rsidR="00CE4807" w:rsidRPr="007D0254">
        <w:rPr>
          <w:rFonts w:asciiTheme="minorHAnsi" w:hAnsiTheme="minorHAnsi"/>
          <w:snapToGrid w:val="0"/>
          <w:lang w:val="en-GB"/>
        </w:rPr>
        <w:t xml:space="preserve"> The PBAC considered that</w:t>
      </w:r>
      <w:r w:rsidR="006806A7" w:rsidRPr="007D0254">
        <w:rPr>
          <w:rFonts w:asciiTheme="minorHAnsi" w:hAnsiTheme="minorHAnsi"/>
          <w:snapToGrid w:val="0"/>
          <w:lang w:val="en-GB"/>
        </w:rPr>
        <w:t xml:space="preserve"> on a similar basis over a </w:t>
      </w:r>
      <w:proofErr w:type="gramStart"/>
      <w:r w:rsidR="006806A7" w:rsidRPr="007D0254">
        <w:rPr>
          <w:rFonts w:asciiTheme="minorHAnsi" w:hAnsiTheme="minorHAnsi"/>
          <w:snapToGrid w:val="0"/>
          <w:lang w:val="en-GB"/>
        </w:rPr>
        <w:t>two year</w:t>
      </w:r>
      <w:proofErr w:type="gramEnd"/>
      <w:r w:rsidR="006806A7" w:rsidRPr="007D0254">
        <w:rPr>
          <w:rFonts w:asciiTheme="minorHAnsi" w:hAnsiTheme="minorHAnsi"/>
          <w:snapToGrid w:val="0"/>
          <w:lang w:val="en-GB"/>
        </w:rPr>
        <w:t xml:space="preserve"> period, the cost of </w:t>
      </w:r>
      <w:r w:rsidR="00CE4807" w:rsidRPr="007D0254">
        <w:rPr>
          <w:rFonts w:asciiTheme="minorHAnsi" w:hAnsiTheme="minorHAnsi"/>
          <w:snapToGrid w:val="0"/>
          <w:lang w:val="en-GB"/>
        </w:rPr>
        <w:t xml:space="preserve">OZA should be </w:t>
      </w:r>
      <w:r w:rsidR="006806A7" w:rsidRPr="007D0254">
        <w:rPr>
          <w:rFonts w:asciiTheme="minorHAnsi" w:hAnsiTheme="minorHAnsi"/>
          <w:snapToGrid w:val="0"/>
          <w:lang w:val="en-GB"/>
        </w:rPr>
        <w:t xml:space="preserve">no greater than </w:t>
      </w:r>
      <w:r w:rsidR="002A70D9" w:rsidRPr="007D0254">
        <w:rPr>
          <w:rFonts w:asciiTheme="minorHAnsi" w:hAnsiTheme="minorHAnsi"/>
          <w:snapToGrid w:val="0"/>
          <w:lang w:val="en-GB"/>
        </w:rPr>
        <w:t xml:space="preserve">any </w:t>
      </w:r>
      <w:r w:rsidR="006806A7" w:rsidRPr="007D0254">
        <w:rPr>
          <w:rFonts w:asciiTheme="minorHAnsi" w:hAnsiTheme="minorHAnsi"/>
          <w:snapToGrid w:val="0"/>
          <w:lang w:val="en-GB"/>
        </w:rPr>
        <w:t>of the alternative therapies</w:t>
      </w:r>
      <w:r w:rsidR="005F7C7C" w:rsidRPr="007D0254">
        <w:rPr>
          <w:rFonts w:asciiTheme="minorHAnsi" w:hAnsiTheme="minorHAnsi"/>
          <w:snapToGrid w:val="0"/>
          <w:lang w:val="en-GB"/>
        </w:rPr>
        <w:t>, VED, GOL, TOF</w:t>
      </w:r>
      <w:r w:rsidR="00952511" w:rsidRPr="007D0254">
        <w:rPr>
          <w:rFonts w:asciiTheme="minorHAnsi" w:hAnsiTheme="minorHAnsi"/>
          <w:snapToGrid w:val="0"/>
          <w:lang w:val="en-GB"/>
        </w:rPr>
        <w:t xml:space="preserve"> </w:t>
      </w:r>
      <w:r w:rsidR="002A70D9" w:rsidRPr="007D0254">
        <w:rPr>
          <w:rFonts w:asciiTheme="minorHAnsi" w:hAnsiTheme="minorHAnsi"/>
          <w:snapToGrid w:val="0"/>
          <w:lang w:val="en-GB"/>
        </w:rPr>
        <w:t xml:space="preserve">or </w:t>
      </w:r>
      <w:r w:rsidR="005F7C7C" w:rsidRPr="007D0254">
        <w:rPr>
          <w:rFonts w:asciiTheme="minorHAnsi" w:hAnsiTheme="minorHAnsi"/>
          <w:snapToGrid w:val="0"/>
          <w:lang w:val="en-GB"/>
        </w:rPr>
        <w:t>ADA</w:t>
      </w:r>
      <w:r w:rsidR="00CE4807" w:rsidRPr="007D0254">
        <w:rPr>
          <w:rFonts w:asciiTheme="minorHAnsi" w:hAnsiTheme="minorHAnsi"/>
          <w:snapToGrid w:val="0"/>
          <w:lang w:val="en-GB"/>
        </w:rPr>
        <w:t>.</w:t>
      </w:r>
    </w:p>
    <w:p w14:paraId="7E00E74E" w14:textId="7BD27593" w:rsidR="003A0DE4" w:rsidRPr="007D0254" w:rsidRDefault="00CE4807" w:rsidP="003A0DE4">
      <w:pPr>
        <w:widowControl w:val="0"/>
        <w:numPr>
          <w:ilvl w:val="1"/>
          <w:numId w:val="1"/>
        </w:numPr>
        <w:spacing w:after="120"/>
      </w:pPr>
      <w:r w:rsidRPr="007D0254">
        <w:rPr>
          <w:rFonts w:asciiTheme="minorHAnsi" w:hAnsiTheme="minorHAnsi"/>
          <w:snapToGrid w:val="0"/>
          <w:lang w:val="en-GB"/>
        </w:rPr>
        <w:t xml:space="preserve">The PBAC noted that </w:t>
      </w:r>
      <w:r w:rsidR="00A478EE" w:rsidRPr="007D0254">
        <w:rPr>
          <w:rFonts w:asciiTheme="minorHAnsi" w:hAnsiTheme="minorHAnsi"/>
          <w:snapToGrid w:val="0"/>
          <w:lang w:val="en-GB"/>
        </w:rPr>
        <w:t xml:space="preserve">the listing of OZA was likely to be cost neutral or modestly </w:t>
      </w:r>
      <w:proofErr w:type="gramStart"/>
      <w:r w:rsidR="00A478EE" w:rsidRPr="007D0254">
        <w:rPr>
          <w:rFonts w:asciiTheme="minorHAnsi" w:hAnsiTheme="minorHAnsi"/>
          <w:snapToGrid w:val="0"/>
          <w:lang w:val="en-GB"/>
        </w:rPr>
        <w:t>cost-saving</w:t>
      </w:r>
      <w:proofErr w:type="gramEnd"/>
      <w:r w:rsidR="00A478EE" w:rsidRPr="007D0254">
        <w:rPr>
          <w:rFonts w:asciiTheme="minorHAnsi" w:hAnsiTheme="minorHAnsi"/>
          <w:snapToGrid w:val="0"/>
          <w:lang w:val="en-GB"/>
        </w:rPr>
        <w:t xml:space="preserve"> to the PBS, as it may also substitute for mo</w:t>
      </w:r>
      <w:r w:rsidR="000372EF" w:rsidRPr="007D0254">
        <w:rPr>
          <w:rFonts w:asciiTheme="minorHAnsi" w:hAnsiTheme="minorHAnsi"/>
          <w:snapToGrid w:val="0"/>
          <w:lang w:val="en-GB"/>
        </w:rPr>
        <w:t>re</w:t>
      </w:r>
      <w:r w:rsidR="00FE19B3" w:rsidRPr="007D0254">
        <w:rPr>
          <w:rFonts w:asciiTheme="minorHAnsi" w:hAnsiTheme="minorHAnsi"/>
          <w:snapToGrid w:val="0"/>
          <w:lang w:val="en-GB"/>
        </w:rPr>
        <w:t xml:space="preserve"> costly </w:t>
      </w:r>
      <w:r w:rsidR="00A478EE" w:rsidRPr="007D0254">
        <w:rPr>
          <w:rFonts w:asciiTheme="minorHAnsi" w:hAnsiTheme="minorHAnsi"/>
          <w:snapToGrid w:val="0"/>
          <w:lang w:val="en-GB"/>
        </w:rPr>
        <w:t xml:space="preserve">DMARDs. </w:t>
      </w:r>
      <w:r w:rsidR="000372EF" w:rsidRPr="007D0254">
        <w:rPr>
          <w:rFonts w:asciiTheme="minorHAnsi" w:hAnsiTheme="minorHAnsi"/>
          <w:snapToGrid w:val="0"/>
          <w:lang w:val="en-GB"/>
        </w:rPr>
        <w:t>The PBAC noted the preliminary utilisation information provided in the Pre-PBAC Response indicated the listing of TOF (as the first oral agent) had not substantially grown the MSUC market, however acknowledged this information was limited as TOF had only recently listed.</w:t>
      </w:r>
    </w:p>
    <w:p w14:paraId="303C7460" w14:textId="0237572F" w:rsidR="00952511" w:rsidRPr="007D0254" w:rsidRDefault="00952511" w:rsidP="00952511">
      <w:pPr>
        <w:pStyle w:val="3-BodyText"/>
      </w:pPr>
      <w:r w:rsidRPr="007D0254">
        <w:rPr>
          <w:rFonts w:ascii="Calibri" w:hAnsi="Calibri"/>
          <w:snapToGrid/>
        </w:rPr>
        <w:t>The PBAC indicated that it would consider a future submission requesting a revision to the number of MSUC-listed drugs that can be attempted within a treatment cycle before a patient must enter a 5-year break.</w:t>
      </w:r>
    </w:p>
    <w:p w14:paraId="10A3515B" w14:textId="7DFCE842" w:rsidR="003A0DE4" w:rsidRPr="00A478EE" w:rsidRDefault="003A0DE4" w:rsidP="00A478EE">
      <w:pPr>
        <w:widowControl w:val="0"/>
        <w:numPr>
          <w:ilvl w:val="1"/>
          <w:numId w:val="1"/>
        </w:numPr>
        <w:spacing w:after="120"/>
        <w:rPr>
          <w:rFonts w:asciiTheme="minorHAnsi" w:hAnsiTheme="minorHAnsi"/>
          <w:bCs/>
          <w:snapToGrid w:val="0"/>
          <w:lang w:val="en-GB"/>
        </w:rPr>
      </w:pPr>
      <w:r w:rsidRPr="007D0254">
        <w:rPr>
          <w:rFonts w:asciiTheme="minorHAnsi" w:hAnsiTheme="minorHAnsi"/>
          <w:bCs/>
          <w:snapToGrid w:val="0"/>
          <w:lang w:val="en-GB"/>
        </w:rPr>
        <w:t xml:space="preserve">The PBAC noted that its recommendation was on a cost-minimisation </w:t>
      </w:r>
      <w:r w:rsidRPr="00A478EE">
        <w:rPr>
          <w:rFonts w:asciiTheme="minorHAnsi" w:hAnsiTheme="minorHAnsi"/>
          <w:bCs/>
          <w:snapToGrid w:val="0"/>
          <w:lang w:val="en-GB"/>
        </w:rPr>
        <w:t xml:space="preserve">basis and advised that, because </w:t>
      </w:r>
      <w:r w:rsidR="00A478EE" w:rsidRPr="00A478EE">
        <w:rPr>
          <w:rFonts w:asciiTheme="minorHAnsi" w:hAnsiTheme="minorHAnsi"/>
          <w:bCs/>
          <w:snapToGrid w:val="0"/>
          <w:lang w:val="en-GB"/>
        </w:rPr>
        <w:t>OZA</w:t>
      </w:r>
      <w:r w:rsidRPr="00A478EE">
        <w:rPr>
          <w:rFonts w:asciiTheme="minorHAnsi" w:hAnsiTheme="minorHAnsi"/>
          <w:bCs/>
          <w:snapToGrid w:val="0"/>
          <w:lang w:val="en-GB"/>
        </w:rPr>
        <w:t xml:space="preserve"> is not expected to provide a substantial and clinically </w:t>
      </w:r>
      <w:r w:rsidRPr="00A478EE">
        <w:rPr>
          <w:rFonts w:asciiTheme="minorHAnsi" w:hAnsiTheme="minorHAnsi"/>
          <w:bCs/>
          <w:snapToGrid w:val="0"/>
          <w:lang w:val="en-GB"/>
        </w:rPr>
        <w:lastRenderedPageBreak/>
        <w:t xml:space="preserve">relevant improvement in efficacy, or reduction of toxicity, over </w:t>
      </w:r>
      <w:r w:rsidR="00FE19B3">
        <w:rPr>
          <w:rFonts w:asciiTheme="minorHAnsi" w:hAnsiTheme="minorHAnsi"/>
          <w:bCs/>
          <w:snapToGrid w:val="0"/>
          <w:lang w:val="en-GB"/>
        </w:rPr>
        <w:t xml:space="preserve">alternative </w:t>
      </w:r>
      <w:r w:rsidR="00A478EE" w:rsidRPr="00A478EE">
        <w:rPr>
          <w:rFonts w:asciiTheme="minorHAnsi" w:hAnsiTheme="minorHAnsi"/>
          <w:bCs/>
          <w:snapToGrid w:val="0"/>
          <w:lang w:val="en-GB"/>
        </w:rPr>
        <w:t xml:space="preserve">DMARDs for MSUC, </w:t>
      </w:r>
      <w:r w:rsidRPr="00A478EE">
        <w:rPr>
          <w:rFonts w:asciiTheme="minorHAnsi" w:hAnsiTheme="minorHAnsi"/>
          <w:bCs/>
          <w:snapToGrid w:val="0"/>
          <w:lang w:val="en-GB"/>
        </w:rPr>
        <w:t>or not expected to address a high and urgent unmet clinical need given the presence of an alternative therapy, the criteria prescribed by the National Health (Pharmaceuticals and Vaccines – Cost Recovery) Regulations 2009 for Pricing Pathway A were not met.</w:t>
      </w:r>
    </w:p>
    <w:p w14:paraId="241197C3" w14:textId="08085E36" w:rsidR="003A0DE4" w:rsidRDefault="003A0DE4" w:rsidP="0086161F">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w:t>
      </w:r>
      <w:r w:rsidR="0086161F">
        <w:rPr>
          <w:rFonts w:asciiTheme="minorHAnsi" w:hAnsiTheme="minorHAnsi"/>
          <w:bCs/>
          <w:snapToGrid w:val="0"/>
          <w:lang w:val="en-GB"/>
        </w:rPr>
        <w:t xml:space="preserve"> submission</w:t>
      </w:r>
      <w:r w:rsidRPr="00525B39">
        <w:rPr>
          <w:rFonts w:asciiTheme="minorHAnsi" w:hAnsiTheme="minorHAnsi"/>
          <w:bCs/>
          <w:snapToGrid w:val="0"/>
          <w:lang w:val="en-GB"/>
        </w:rPr>
        <w:t xml:space="preserve"> is not eligible for an Independent Review</w:t>
      </w:r>
      <w:r w:rsidR="0086161F">
        <w:rPr>
          <w:rFonts w:asciiTheme="minorHAnsi" w:hAnsiTheme="minorHAnsi"/>
          <w:bCs/>
          <w:snapToGrid w:val="0"/>
          <w:lang w:val="en-GB"/>
        </w:rPr>
        <w:t>, as it received a positive recommendation</w:t>
      </w:r>
      <w:r w:rsidRPr="00525B39">
        <w:rPr>
          <w:rFonts w:asciiTheme="minorHAnsi" w:hAnsiTheme="minorHAnsi"/>
          <w:bCs/>
          <w:snapToGrid w:val="0"/>
          <w:lang w:val="en-GB"/>
        </w:rPr>
        <w:t xml:space="preserve">. </w:t>
      </w:r>
    </w:p>
    <w:p w14:paraId="2CED9A56" w14:textId="77777777" w:rsidR="003A0DE4" w:rsidRPr="00525B39" w:rsidRDefault="003A0DE4" w:rsidP="003A0DE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246A08C" w14:textId="4F58E7D1" w:rsidR="003A0DE4" w:rsidRPr="00525B39" w:rsidRDefault="003A0DE4" w:rsidP="003A0DE4">
      <w:pPr>
        <w:rPr>
          <w:rFonts w:asciiTheme="minorHAnsi" w:hAnsiTheme="minorHAnsi"/>
          <w:bCs/>
          <w:snapToGrid w:val="0"/>
          <w:lang w:val="en-GB"/>
        </w:rPr>
      </w:pPr>
      <w:r w:rsidRPr="00525B39">
        <w:rPr>
          <w:rFonts w:asciiTheme="minorHAnsi" w:hAnsiTheme="minorHAnsi"/>
          <w:bCs/>
          <w:snapToGrid w:val="0"/>
          <w:lang w:val="en-GB"/>
        </w:rPr>
        <w:t>Recommended</w:t>
      </w:r>
    </w:p>
    <w:p w14:paraId="638D42F5" w14:textId="77777777" w:rsidR="0086161F" w:rsidRDefault="0086161F" w:rsidP="003A0DE4">
      <w:pPr>
        <w:contextualSpacing/>
        <w:rPr>
          <w:rFonts w:asciiTheme="minorHAnsi" w:hAnsiTheme="minorHAnsi"/>
        </w:rPr>
      </w:pPr>
    </w:p>
    <w:bookmarkEnd w:id="50"/>
    <w:p w14:paraId="049A6655" w14:textId="77777777" w:rsidR="003A0DE4" w:rsidRPr="00F237A4" w:rsidRDefault="003A0DE4" w:rsidP="00236FCE">
      <w:pPr>
        <w:pStyle w:val="2-SectionHeading"/>
        <w:rPr>
          <w:b w:val="0"/>
          <w:bCs/>
          <w:iCs/>
          <w:lang w:val="en-GB"/>
        </w:rPr>
      </w:pPr>
      <w:r w:rsidRPr="00525B39">
        <w:rPr>
          <w:bCs/>
          <w:lang w:val="en-GB"/>
        </w:rPr>
        <w:t>Recommended listing</w:t>
      </w:r>
    </w:p>
    <w:p w14:paraId="70632500" w14:textId="6A19E264" w:rsidR="003A0DE4" w:rsidRPr="0086161F" w:rsidRDefault="003A0DE4" w:rsidP="00FC160A">
      <w:pPr>
        <w:widowControl w:val="0"/>
        <w:numPr>
          <w:ilvl w:val="1"/>
          <w:numId w:val="1"/>
        </w:numPr>
        <w:spacing w:after="120"/>
        <w:contextualSpacing/>
        <w:rPr>
          <w:rFonts w:asciiTheme="minorHAnsi" w:hAnsiTheme="minorHAnsi"/>
          <w:b/>
          <w:bCs/>
          <w:snapToGrid w:val="0"/>
        </w:rPr>
      </w:pPr>
      <w:r w:rsidRPr="0086161F">
        <w:rPr>
          <w:rFonts w:asciiTheme="minorHAnsi" w:hAnsiTheme="minorHAnsi"/>
          <w:bCs/>
          <w:snapToGrid w:val="0"/>
        </w:rPr>
        <w:t>Add new item</w:t>
      </w:r>
      <w:r w:rsidR="0086161F" w:rsidRPr="0086161F">
        <w:rPr>
          <w:rFonts w:asciiTheme="minorHAnsi" w:hAnsiTheme="minorHAnsi"/>
          <w:bCs/>
          <w:snapToGrid w:val="0"/>
        </w:rPr>
        <w:t>(s)</w:t>
      </w:r>
      <w:r w:rsidRPr="0086161F">
        <w:rPr>
          <w:rFonts w:asciiTheme="minorHAnsi" w:hAnsiTheme="minorHAnsi"/>
          <w:bCs/>
          <w:snapToGrid w:val="0"/>
        </w:rPr>
        <w:t>:</w:t>
      </w:r>
    </w:p>
    <w:bookmarkEnd w:id="51"/>
    <w:p w14:paraId="39AE379E" w14:textId="5EF1013A" w:rsidR="003A0DE4" w:rsidRDefault="003A0DE4" w:rsidP="00FC160A">
      <w:pPr>
        <w:widowControl w:val="0"/>
        <w:rPr>
          <w:rFonts w:asciiTheme="minorHAnsi" w:hAnsiTheme="minorHAnsi"/>
          <w:bCs/>
          <w:snapToGrid w:val="0"/>
        </w:rPr>
      </w:pPr>
    </w:p>
    <w:p w14:paraId="2DBFBB80" w14:textId="175FDF9B" w:rsidR="0048614E" w:rsidRDefault="0048614E" w:rsidP="009D30A1">
      <w:pPr>
        <w:spacing w:after="120"/>
        <w:rPr>
          <w:rFonts w:asciiTheme="minorHAnsi" w:hAnsiTheme="minorHAnsi" w:cstheme="minorHAnsi"/>
          <w:i/>
          <w:iCs/>
        </w:rPr>
      </w:pPr>
      <w:r w:rsidRPr="00FC160A">
        <w:rPr>
          <w:rFonts w:asciiTheme="minorHAnsi" w:hAnsiTheme="minorHAnsi" w:cstheme="minorHAnsi"/>
          <w:i/>
          <w:iCs/>
        </w:rPr>
        <w:t>Suggested additions are in italics and deletions are in strikethrough</w:t>
      </w:r>
      <w:r w:rsidR="00FC160A">
        <w:rPr>
          <w:rFonts w:asciiTheme="minorHAnsi" w:hAnsiTheme="minorHAnsi" w:cstheme="minorHAnsi"/>
          <w:i/>
          <w:iCs/>
        </w:rPr>
        <w:t xml:space="preserve"> compared to the listing proposed by the sponsor</w:t>
      </w:r>
      <w:r w:rsidRPr="00FC160A">
        <w:rPr>
          <w:rFonts w:asciiTheme="minorHAnsi" w:hAnsiTheme="minorHAnsi" w:cstheme="minorHAnsi"/>
          <w:i/>
          <w:iCs/>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2"/>
        <w:gridCol w:w="992"/>
        <w:gridCol w:w="849"/>
        <w:gridCol w:w="709"/>
        <w:gridCol w:w="709"/>
        <w:gridCol w:w="1990"/>
      </w:tblGrid>
      <w:tr w:rsidR="009D30A1" w14:paraId="64E1D444" w14:textId="77777777" w:rsidTr="009D30A1">
        <w:trPr>
          <w:cantSplit/>
          <w:trHeight w:val="471"/>
        </w:trPr>
        <w:tc>
          <w:tcPr>
            <w:tcW w:w="3960" w:type="dxa"/>
            <w:gridSpan w:val="2"/>
            <w:tcBorders>
              <w:top w:val="single" w:sz="4" w:space="0" w:color="auto"/>
              <w:left w:val="single" w:sz="4" w:space="0" w:color="auto"/>
              <w:bottom w:val="single" w:sz="4" w:space="0" w:color="auto"/>
              <w:right w:val="single" w:sz="4" w:space="0" w:color="auto"/>
            </w:tcBorders>
            <w:hideMark/>
          </w:tcPr>
          <w:p w14:paraId="262F75A5" w14:textId="77777777" w:rsidR="009D30A1" w:rsidRDefault="009D30A1" w:rsidP="009D30A1">
            <w:pPr>
              <w:keepNext/>
              <w:ind w:left="-57"/>
              <w:rPr>
                <w:rFonts w:ascii="Arial Narrow" w:hAnsi="Arial Narrow"/>
                <w:b/>
                <w:bCs/>
                <w:sz w:val="18"/>
                <w:szCs w:val="18"/>
              </w:rPr>
            </w:pPr>
            <w:r>
              <w:rPr>
                <w:rFonts w:ascii="Arial Narrow" w:hAnsi="Arial Narrow"/>
                <w:b/>
                <w:bCs/>
                <w:sz w:val="18"/>
                <w:szCs w:val="18"/>
              </w:rPr>
              <w:t>MEDICINAL PRODUCT</w:t>
            </w:r>
          </w:p>
          <w:p w14:paraId="05C105B9" w14:textId="77777777" w:rsidR="009D30A1" w:rsidRDefault="009D30A1" w:rsidP="009D30A1">
            <w:pPr>
              <w:keepNext/>
              <w:ind w:left="-57"/>
              <w:rPr>
                <w:rFonts w:ascii="Arial Narrow" w:hAnsi="Arial Narrow"/>
                <w:b/>
                <w:sz w:val="18"/>
                <w:szCs w:val="18"/>
              </w:rPr>
            </w:pPr>
            <w:r>
              <w:rPr>
                <w:rFonts w:ascii="Arial Narrow" w:hAnsi="Arial Narrow"/>
                <w:b/>
                <w:bCs/>
                <w:sz w:val="18"/>
                <w:szCs w:val="18"/>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59054852"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3AB461E2"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Max. qty packs</w:t>
            </w:r>
          </w:p>
        </w:tc>
        <w:tc>
          <w:tcPr>
            <w:tcW w:w="709" w:type="dxa"/>
            <w:tcBorders>
              <w:top w:val="single" w:sz="4" w:space="0" w:color="auto"/>
              <w:left w:val="single" w:sz="4" w:space="0" w:color="auto"/>
              <w:bottom w:val="single" w:sz="4" w:space="0" w:color="auto"/>
              <w:right w:val="single" w:sz="4" w:space="0" w:color="auto"/>
            </w:tcBorders>
            <w:hideMark/>
          </w:tcPr>
          <w:p w14:paraId="351BEAC0"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Borders>
              <w:top w:val="single" w:sz="4" w:space="0" w:color="auto"/>
              <w:left w:val="single" w:sz="4" w:space="0" w:color="auto"/>
              <w:bottom w:val="single" w:sz="4" w:space="0" w:color="auto"/>
              <w:right w:val="single" w:sz="4" w:space="0" w:color="auto"/>
            </w:tcBorders>
            <w:hideMark/>
          </w:tcPr>
          <w:p w14:paraId="0B09A4D1" w14:textId="77777777" w:rsidR="009D30A1" w:rsidRDefault="009D30A1" w:rsidP="009D30A1">
            <w:pPr>
              <w:keepNext/>
              <w:ind w:left="-108"/>
              <w:jc w:val="center"/>
              <w:rPr>
                <w:rFonts w:ascii="Arial Narrow" w:hAnsi="Arial Narrow"/>
                <w:b/>
                <w:sz w:val="18"/>
                <w:szCs w:val="18"/>
              </w:rPr>
            </w:pPr>
            <w:proofErr w:type="gramStart"/>
            <w:r>
              <w:rPr>
                <w:rFonts w:ascii="Arial Narrow" w:hAnsi="Arial Narrow"/>
                <w:b/>
                <w:sz w:val="18"/>
                <w:szCs w:val="18"/>
              </w:rPr>
              <w:t>№.of</w:t>
            </w:r>
            <w:proofErr w:type="gramEnd"/>
          </w:p>
          <w:p w14:paraId="0C0489F8" w14:textId="77777777" w:rsidR="009D30A1" w:rsidRDefault="009D30A1" w:rsidP="009D30A1">
            <w:pPr>
              <w:keepNext/>
              <w:ind w:left="-108"/>
              <w:jc w:val="center"/>
              <w:rPr>
                <w:rFonts w:ascii="Arial Narrow" w:hAnsi="Arial Narrow"/>
                <w:b/>
                <w:sz w:val="18"/>
                <w:szCs w:val="18"/>
              </w:rPr>
            </w:pPr>
            <w:proofErr w:type="spellStart"/>
            <w:r>
              <w:rPr>
                <w:rFonts w:ascii="Arial Narrow" w:hAnsi="Arial Narrow"/>
                <w:b/>
                <w:sz w:val="18"/>
                <w:szCs w:val="18"/>
              </w:rPr>
              <w:t>Rpts</w:t>
            </w:r>
            <w:proofErr w:type="spellEnd"/>
          </w:p>
        </w:tc>
        <w:tc>
          <w:tcPr>
            <w:tcW w:w="1990" w:type="dxa"/>
            <w:tcBorders>
              <w:top w:val="single" w:sz="4" w:space="0" w:color="auto"/>
              <w:left w:val="single" w:sz="4" w:space="0" w:color="auto"/>
              <w:bottom w:val="single" w:sz="4" w:space="0" w:color="auto"/>
              <w:right w:val="single" w:sz="4" w:space="0" w:color="auto"/>
            </w:tcBorders>
            <w:hideMark/>
          </w:tcPr>
          <w:p w14:paraId="252DB0BC" w14:textId="77777777" w:rsidR="009D30A1" w:rsidRDefault="009D30A1" w:rsidP="009D30A1">
            <w:pPr>
              <w:keepNext/>
              <w:rPr>
                <w:rFonts w:ascii="Arial Narrow" w:hAnsi="Arial Narrow"/>
                <w:b/>
                <w:sz w:val="18"/>
                <w:szCs w:val="18"/>
                <w:lang w:val="fr-FR"/>
              </w:rPr>
            </w:pPr>
            <w:r>
              <w:rPr>
                <w:rFonts w:ascii="Arial Narrow" w:hAnsi="Arial Narrow"/>
                <w:b/>
                <w:sz w:val="18"/>
                <w:szCs w:val="18"/>
              </w:rPr>
              <w:t>Available brands</w:t>
            </w:r>
          </w:p>
        </w:tc>
      </w:tr>
      <w:tr w:rsidR="009D30A1" w14:paraId="7CC0AEC5" w14:textId="77777777" w:rsidTr="009D30A1">
        <w:trPr>
          <w:cantSplit/>
          <w:trHeight w:val="83"/>
        </w:trPr>
        <w:tc>
          <w:tcPr>
            <w:tcW w:w="9209" w:type="dxa"/>
            <w:gridSpan w:val="7"/>
            <w:tcBorders>
              <w:top w:val="single" w:sz="4" w:space="0" w:color="auto"/>
              <w:left w:val="single" w:sz="4" w:space="0" w:color="auto"/>
              <w:bottom w:val="single" w:sz="4" w:space="0" w:color="auto"/>
              <w:right w:val="single" w:sz="4" w:space="0" w:color="auto"/>
            </w:tcBorders>
            <w:hideMark/>
          </w:tcPr>
          <w:p w14:paraId="469928D8" w14:textId="77777777" w:rsidR="009D30A1" w:rsidRPr="00521DFF" w:rsidRDefault="009D30A1" w:rsidP="009D30A1">
            <w:pPr>
              <w:keepNext/>
              <w:ind w:left="-108"/>
              <w:rPr>
                <w:rFonts w:ascii="Arial" w:eastAsia="Calibri" w:hAnsi="Arial"/>
                <w:sz w:val="18"/>
                <w:szCs w:val="18"/>
              </w:rPr>
            </w:pPr>
            <w:r w:rsidRPr="00521DFF">
              <w:rPr>
                <w:rFonts w:ascii="Arial" w:eastAsia="Calibri" w:hAnsi="Arial"/>
                <w:sz w:val="18"/>
                <w:szCs w:val="18"/>
              </w:rPr>
              <w:t>OZANIMOD</w:t>
            </w:r>
          </w:p>
        </w:tc>
      </w:tr>
      <w:tr w:rsidR="009D30A1" w14:paraId="434444E2" w14:textId="77777777" w:rsidTr="009D30A1">
        <w:trPr>
          <w:cantSplit/>
          <w:trHeight w:val="270"/>
        </w:trPr>
        <w:tc>
          <w:tcPr>
            <w:tcW w:w="3960" w:type="dxa"/>
            <w:gridSpan w:val="2"/>
            <w:tcBorders>
              <w:top w:val="single" w:sz="4" w:space="0" w:color="auto"/>
              <w:left w:val="single" w:sz="4" w:space="0" w:color="auto"/>
              <w:bottom w:val="single" w:sz="4" w:space="0" w:color="auto"/>
              <w:right w:val="single" w:sz="4" w:space="0" w:color="auto"/>
            </w:tcBorders>
            <w:hideMark/>
          </w:tcPr>
          <w:p w14:paraId="06FDC6A3" w14:textId="77777777" w:rsidR="009D30A1" w:rsidRDefault="009D30A1" w:rsidP="009D30A1">
            <w:pPr>
              <w:keepNext/>
              <w:ind w:left="-57"/>
              <w:rPr>
                <w:rFonts w:ascii="Arial Narrow" w:hAnsi="Arial Narrow"/>
                <w:sz w:val="18"/>
                <w:szCs w:val="18"/>
              </w:rPr>
            </w:pPr>
            <w:r>
              <w:rPr>
                <w:rFonts w:ascii="Arial Narrow" w:hAnsi="Arial Narrow"/>
                <w:sz w:val="18"/>
                <w:szCs w:val="18"/>
              </w:rPr>
              <w:t xml:space="preserve">ozanimod 920 </w:t>
            </w:r>
            <w:r w:rsidRPr="002654B2">
              <w:rPr>
                <w:rStyle w:val="form-strength"/>
                <w:rFonts w:ascii="Arial Narrow" w:hAnsi="Arial Narrow" w:cstheme="minorHAnsi"/>
                <w:color w:val="222222"/>
                <w:sz w:val="18"/>
                <w:szCs w:val="18"/>
                <w:bdr w:val="none" w:sz="0" w:space="0" w:color="auto" w:frame="1"/>
              </w:rPr>
              <w:t xml:space="preserve">microgram </w:t>
            </w:r>
            <w:r>
              <w:rPr>
                <w:rFonts w:ascii="Arial Narrow" w:hAnsi="Arial Narrow"/>
                <w:sz w:val="18"/>
                <w:szCs w:val="18"/>
              </w:rPr>
              <w:t xml:space="preserve">capsule, 28 </w:t>
            </w:r>
          </w:p>
        </w:tc>
        <w:tc>
          <w:tcPr>
            <w:tcW w:w="992" w:type="dxa"/>
            <w:tcBorders>
              <w:top w:val="single" w:sz="4" w:space="0" w:color="auto"/>
              <w:left w:val="single" w:sz="4" w:space="0" w:color="auto"/>
              <w:bottom w:val="single" w:sz="4" w:space="0" w:color="auto"/>
              <w:right w:val="single" w:sz="4" w:space="0" w:color="auto"/>
            </w:tcBorders>
            <w:hideMark/>
          </w:tcPr>
          <w:p w14:paraId="50BA137C" w14:textId="77777777" w:rsidR="009D30A1" w:rsidRDefault="009D30A1" w:rsidP="009D30A1">
            <w:pPr>
              <w:keepNext/>
              <w:jc w:val="center"/>
              <w:rPr>
                <w:rFonts w:ascii="Arial Narrow" w:hAnsi="Arial Narrow"/>
                <w:sz w:val="18"/>
                <w:szCs w:val="18"/>
              </w:rPr>
            </w:pPr>
            <w:r>
              <w:rPr>
                <w:rFonts w:ascii="Arial Narrow" w:hAnsi="Arial Narrow"/>
                <w:sz w:val="18"/>
                <w:szCs w:val="18"/>
              </w:rPr>
              <w:t>NEW</w:t>
            </w:r>
          </w:p>
        </w:tc>
        <w:tc>
          <w:tcPr>
            <w:tcW w:w="849" w:type="dxa"/>
            <w:tcBorders>
              <w:top w:val="single" w:sz="4" w:space="0" w:color="auto"/>
              <w:left w:val="single" w:sz="4" w:space="0" w:color="auto"/>
              <w:bottom w:val="single" w:sz="4" w:space="0" w:color="auto"/>
              <w:right w:val="single" w:sz="4" w:space="0" w:color="auto"/>
            </w:tcBorders>
            <w:hideMark/>
          </w:tcPr>
          <w:p w14:paraId="0D8A65B3" w14:textId="77777777" w:rsidR="009D30A1" w:rsidRDefault="009D30A1" w:rsidP="009D30A1">
            <w:pPr>
              <w:keepNext/>
              <w:jc w:val="center"/>
              <w:rPr>
                <w:rFonts w:ascii="Arial Narrow" w:hAnsi="Arial Narrow"/>
                <w:sz w:val="18"/>
                <w:szCs w:val="18"/>
              </w:rPr>
            </w:pPr>
            <w:r>
              <w:rPr>
                <w:rFonts w:ascii="Arial Narrow" w:hAnsi="Arial Narrow"/>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116C3BDA" w14:textId="77777777" w:rsidR="009D30A1" w:rsidRDefault="009D30A1" w:rsidP="009D30A1">
            <w:pPr>
              <w:keepNext/>
              <w:jc w:val="center"/>
              <w:rPr>
                <w:rFonts w:ascii="Arial Narrow" w:hAnsi="Arial Narrow"/>
                <w:sz w:val="18"/>
                <w:szCs w:val="18"/>
              </w:rPr>
            </w:pPr>
            <w:r>
              <w:rPr>
                <w:rFonts w:ascii="Arial Narrow" w:hAnsi="Arial Narrow"/>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14:paraId="0040DA0A" w14:textId="77777777" w:rsidR="009D30A1" w:rsidRDefault="009D30A1" w:rsidP="009D30A1">
            <w:pPr>
              <w:keepNext/>
              <w:jc w:val="center"/>
              <w:rPr>
                <w:rFonts w:ascii="Arial Narrow" w:hAnsi="Arial Narrow"/>
                <w:sz w:val="18"/>
                <w:szCs w:val="18"/>
              </w:rPr>
            </w:pPr>
            <w:r>
              <w:rPr>
                <w:rFonts w:ascii="Arial Narrow" w:hAnsi="Arial Narrow"/>
                <w:sz w:val="18"/>
                <w:szCs w:val="18"/>
              </w:rPr>
              <w:t>3</w:t>
            </w:r>
          </w:p>
        </w:tc>
        <w:tc>
          <w:tcPr>
            <w:tcW w:w="1990" w:type="dxa"/>
            <w:tcBorders>
              <w:top w:val="single" w:sz="4" w:space="0" w:color="auto"/>
              <w:left w:val="single" w:sz="4" w:space="0" w:color="auto"/>
              <w:bottom w:val="single" w:sz="4" w:space="0" w:color="auto"/>
              <w:right w:val="single" w:sz="4" w:space="0" w:color="auto"/>
            </w:tcBorders>
            <w:hideMark/>
          </w:tcPr>
          <w:p w14:paraId="52F95BD1" w14:textId="77777777" w:rsidR="009D30A1" w:rsidRDefault="009D30A1" w:rsidP="009D30A1">
            <w:pPr>
              <w:keepNext/>
              <w:rPr>
                <w:rFonts w:ascii="Arial Narrow" w:hAnsi="Arial Narrow"/>
                <w:sz w:val="18"/>
                <w:szCs w:val="18"/>
              </w:rPr>
            </w:pPr>
            <w:proofErr w:type="spellStart"/>
            <w:r>
              <w:rPr>
                <w:rFonts w:ascii="Arial Narrow" w:hAnsi="Arial Narrow"/>
                <w:sz w:val="18"/>
                <w:szCs w:val="18"/>
              </w:rPr>
              <w:t>Zeposia</w:t>
            </w:r>
            <w:proofErr w:type="spellEnd"/>
          </w:p>
        </w:tc>
      </w:tr>
      <w:tr w:rsidR="009D30A1" w14:paraId="5B4F232C" w14:textId="77777777" w:rsidTr="009D30A1">
        <w:trPr>
          <w:cantSplit/>
          <w:trHeight w:val="270"/>
        </w:trPr>
        <w:tc>
          <w:tcPr>
            <w:tcW w:w="9209" w:type="dxa"/>
            <w:gridSpan w:val="7"/>
            <w:tcBorders>
              <w:top w:val="single" w:sz="4" w:space="0" w:color="auto"/>
              <w:left w:val="single" w:sz="4" w:space="0" w:color="auto"/>
              <w:bottom w:val="single" w:sz="4" w:space="0" w:color="auto"/>
              <w:right w:val="single" w:sz="4" w:space="0" w:color="auto"/>
            </w:tcBorders>
          </w:tcPr>
          <w:p w14:paraId="2D135FCE" w14:textId="77777777" w:rsidR="009D30A1" w:rsidRDefault="009D30A1" w:rsidP="009D30A1">
            <w:pPr>
              <w:keepNext/>
              <w:rPr>
                <w:rFonts w:ascii="Arial Narrow" w:hAnsi="Arial Narrow"/>
                <w:sz w:val="18"/>
                <w:szCs w:val="18"/>
              </w:rPr>
            </w:pPr>
          </w:p>
        </w:tc>
      </w:tr>
      <w:tr w:rsidR="009D30A1" w14:paraId="113ADE76" w14:textId="77777777" w:rsidTr="009D30A1">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0537D0" w14:textId="77777777" w:rsidR="009D30A1" w:rsidRDefault="009D30A1" w:rsidP="009D30A1">
            <w:pPr>
              <w:rPr>
                <w:rFonts w:ascii="Arial Narrow" w:hAnsi="Arial Narrow"/>
                <w:sz w:val="18"/>
                <w:szCs w:val="18"/>
              </w:rPr>
            </w:pPr>
          </w:p>
        </w:tc>
      </w:tr>
      <w:tr w:rsidR="009D30A1" w14:paraId="19B38847" w14:textId="77777777" w:rsidTr="009D30A1">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751BAD" w14:textId="77777777" w:rsidR="009D30A1" w:rsidRDefault="009D30A1" w:rsidP="009D30A1">
            <w:pPr>
              <w:rPr>
                <w:rFonts w:ascii="Arial Narrow" w:hAnsi="Arial Narrow"/>
                <w:b/>
                <w:sz w:val="18"/>
                <w:szCs w:val="18"/>
              </w:rPr>
            </w:pPr>
            <w:r>
              <w:rPr>
                <w:rFonts w:ascii="Arial Narrow" w:hAnsi="Arial Narrow"/>
                <w:b/>
                <w:sz w:val="18"/>
                <w:szCs w:val="18"/>
              </w:rPr>
              <w:t>Restriction Summary 11954 / Treatment of Concept: 11940</w:t>
            </w:r>
          </w:p>
        </w:tc>
      </w:tr>
      <w:tr w:rsidR="009D30A1" w14:paraId="0CE94ACA" w14:textId="77777777" w:rsidTr="009D30A1">
        <w:tc>
          <w:tcPr>
            <w:tcW w:w="98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493BD" w14:textId="32C21C1B" w:rsidR="009D30A1" w:rsidRPr="001E7C5C" w:rsidRDefault="009D30A1" w:rsidP="009D30A1">
            <w:pPr>
              <w:jc w:val="center"/>
              <w:rPr>
                <w:rFonts w:ascii="Arial Narrow" w:hAnsi="Arial Narrow"/>
                <w:sz w:val="18"/>
                <w:szCs w:val="18"/>
              </w:rPr>
            </w:pPr>
            <w:r>
              <w:rPr>
                <w:rFonts w:ascii="Arial Narrow" w:hAnsi="Arial Narrow"/>
                <w:sz w:val="18"/>
                <w:szCs w:val="18"/>
              </w:rPr>
              <w:t>)</w:t>
            </w: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B4BC56" w14:textId="77777777" w:rsidR="009D30A1" w:rsidRDefault="009D30A1" w:rsidP="009D30A1">
            <w:pPr>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GENERAL – General Schedule (Code GE)</w:t>
            </w:r>
            <w:r>
              <w:rPr>
                <w:rFonts w:ascii="Arial Narrow" w:hAnsi="Arial Narrow"/>
                <w:color w:val="FF0000"/>
                <w:sz w:val="18"/>
                <w:szCs w:val="18"/>
              </w:rPr>
              <w:t xml:space="preserve"> </w:t>
            </w:r>
          </w:p>
          <w:p w14:paraId="58AA00B0" w14:textId="77777777" w:rsidR="009D30A1" w:rsidRDefault="009D30A1" w:rsidP="009D30A1">
            <w:pPr>
              <w:rPr>
                <w:rFonts w:ascii="Arial Narrow" w:hAnsi="Arial Narrow"/>
                <w:sz w:val="18"/>
                <w:szCs w:val="18"/>
              </w:rPr>
            </w:pPr>
          </w:p>
        </w:tc>
      </w:tr>
      <w:tr w:rsidR="009D30A1" w14:paraId="2B8EF284" w14:textId="77777777" w:rsidTr="009D30A1">
        <w:trPr>
          <w:trHeight w:val="24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CE6DB9B" w14:textId="77777777" w:rsidR="009D30A1" w:rsidRDefault="009D30A1" w:rsidP="009D30A1">
            <w:pPr>
              <w:rPr>
                <w:rFonts w:ascii="Arial Narrow" w:hAnsi="Arial Narrow"/>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83BA4C" w14:textId="77777777" w:rsidR="009D30A1" w:rsidRDefault="009D30A1" w:rsidP="009D30A1">
            <w:pPr>
              <w:rPr>
                <w:rFonts w:ascii="Arial Narrow" w:hAnsi="Arial Narrow"/>
                <w:b/>
                <w:sz w:val="18"/>
                <w:szCs w:val="18"/>
              </w:rPr>
            </w:pPr>
            <w:r>
              <w:rPr>
                <w:rFonts w:ascii="Arial Narrow" w:hAnsi="Arial Narrow"/>
                <w:b/>
                <w:sz w:val="18"/>
                <w:szCs w:val="18"/>
              </w:rPr>
              <w:t>Prescriber type:</w:t>
            </w:r>
            <w:r>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931536">
              <w:rPr>
                <w:rFonts w:ascii="Arial Narrow" w:hAnsi="Arial Narrow"/>
                <w:sz w:val="18"/>
                <w:szCs w:val="18"/>
              </w:rPr>
            </w:r>
            <w:r w:rsidR="00931536">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9D30A1" w14:paraId="179B29A2" w14:textId="77777777" w:rsidTr="009D30A1">
        <w:trPr>
          <w:trHeight w:val="302"/>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5FA8400" w14:textId="77777777" w:rsidR="009D30A1" w:rsidRDefault="009D30A1" w:rsidP="009D30A1">
            <w:pPr>
              <w:rPr>
                <w:rFonts w:ascii="Arial Narrow" w:hAnsi="Arial Narrow"/>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A6C9DF" w14:textId="77777777" w:rsidR="009D30A1" w:rsidRDefault="009D30A1" w:rsidP="009D30A1">
            <w:pPr>
              <w:rPr>
                <w:rFonts w:ascii="Arial Narrow" w:eastAsia="Calibri" w:hAnsi="Arial Narrow"/>
                <w:color w:val="FF00FF"/>
                <w:sz w:val="18"/>
                <w:szCs w:val="18"/>
              </w:rPr>
            </w:pPr>
            <w:r>
              <w:rPr>
                <w:rFonts w:ascii="Arial Narrow" w:hAnsi="Arial Narrow"/>
                <w:b/>
                <w:sz w:val="18"/>
                <w:szCs w:val="18"/>
              </w:rPr>
              <w:t xml:space="preserve">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931536">
              <w:rPr>
                <w:rFonts w:ascii="Arial Narrow" w:eastAsia="Calibri" w:hAnsi="Arial Narrow"/>
                <w:sz w:val="18"/>
                <w:szCs w:val="18"/>
              </w:rPr>
            </w:r>
            <w:r w:rsidR="00931536">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 xml:space="preserve">Authority Required (in writing only via post/HPOS upload) </w:t>
            </w:r>
          </w:p>
        </w:tc>
      </w:tr>
    </w:tbl>
    <w:tbl>
      <w:tblPr>
        <w:tblStyle w:val="TableGrid"/>
        <w:tblW w:w="9209" w:type="dxa"/>
        <w:tblLook w:val="04A0" w:firstRow="1" w:lastRow="0" w:firstColumn="1" w:lastColumn="0" w:noHBand="0" w:noVBand="1"/>
      </w:tblPr>
      <w:tblGrid>
        <w:gridCol w:w="988"/>
        <w:gridCol w:w="8221"/>
      </w:tblGrid>
      <w:tr w:rsidR="009D30A1" w:rsidRPr="0057693B" w14:paraId="2A6745AC" w14:textId="77777777" w:rsidTr="009D30A1">
        <w:tc>
          <w:tcPr>
            <w:tcW w:w="988" w:type="dxa"/>
          </w:tcPr>
          <w:p w14:paraId="3698F97A"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25A79E0E"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7F659C1D" w14:textId="77777777" w:rsidTr="009D30A1">
        <w:tc>
          <w:tcPr>
            <w:tcW w:w="988" w:type="dxa"/>
          </w:tcPr>
          <w:p w14:paraId="56E88F01"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32C30A0E" w14:textId="77777777" w:rsidR="009D30A1" w:rsidRPr="000305BB" w:rsidRDefault="009D30A1" w:rsidP="009D30A1">
            <w:pPr>
              <w:textAlignment w:val="baseline"/>
              <w:rPr>
                <w:rFonts w:ascii="Arial Narrow" w:hAnsi="Arial Narrow" w:cs="Open Sans"/>
                <w:i/>
                <w:iCs/>
                <w:color w:val="333333"/>
                <w:sz w:val="18"/>
                <w:szCs w:val="18"/>
                <w:bdr w:val="none" w:sz="0" w:space="0" w:color="auto" w:frame="1"/>
              </w:rPr>
            </w:pPr>
            <w:r>
              <w:rPr>
                <w:rFonts w:ascii="Arial Narrow" w:hAnsi="Arial Narrow" w:cs="Open Sans"/>
                <w:i/>
                <w:iCs/>
                <w:color w:val="333333"/>
                <w:sz w:val="18"/>
                <w:szCs w:val="18"/>
                <w:bdr w:val="none" w:sz="0" w:space="0" w:color="auto" w:frame="1"/>
              </w:rPr>
              <w:t>(NOTEs applying to all restriction summaries below)</w:t>
            </w:r>
          </w:p>
        </w:tc>
      </w:tr>
      <w:tr w:rsidR="009D30A1" w:rsidRPr="0057693B" w14:paraId="077C9B0E" w14:textId="77777777" w:rsidTr="009D30A1">
        <w:tc>
          <w:tcPr>
            <w:tcW w:w="988" w:type="dxa"/>
            <w:tcBorders>
              <w:bottom w:val="single" w:sz="4" w:space="0" w:color="auto"/>
            </w:tcBorders>
          </w:tcPr>
          <w:p w14:paraId="78230D5A" w14:textId="5BBD0270" w:rsidR="009D30A1" w:rsidRPr="0057693B" w:rsidRDefault="009D30A1" w:rsidP="009D30A1">
            <w:pPr>
              <w:jc w:val="center"/>
              <w:textAlignment w:val="baseline"/>
              <w:rPr>
                <w:rFonts w:ascii="Arial Narrow" w:hAnsi="Arial Narrow" w:cs="Open Sans"/>
                <w:color w:val="333333"/>
                <w:sz w:val="18"/>
                <w:szCs w:val="18"/>
              </w:rPr>
            </w:pPr>
          </w:p>
        </w:tc>
        <w:tc>
          <w:tcPr>
            <w:tcW w:w="8221" w:type="dxa"/>
            <w:tcBorders>
              <w:bottom w:val="single" w:sz="4" w:space="0" w:color="auto"/>
            </w:tcBorders>
          </w:tcPr>
          <w:p w14:paraId="73C4299B" w14:textId="77777777" w:rsidR="009D30A1" w:rsidRDefault="009D30A1" w:rsidP="009D30A1">
            <w:pPr>
              <w:pStyle w:val="NormalWeb"/>
              <w:shd w:val="clear" w:color="auto" w:fill="FFFFFF"/>
              <w:spacing w:before="0" w:after="0"/>
              <w:textAlignment w:val="baseline"/>
              <w:rPr>
                <w:rStyle w:val="Strong"/>
                <w:rFonts w:ascii="Arial Narrow" w:hAnsi="Arial Narrow" w:cs="Open Sans"/>
                <w:b w:val="0"/>
                <w:bCs w:val="0"/>
                <w:color w:val="333333"/>
                <w:sz w:val="18"/>
                <w:szCs w:val="18"/>
                <w:bdr w:val="none" w:sz="0" w:space="0" w:color="auto" w:frame="1"/>
              </w:rPr>
            </w:pPr>
            <w:r w:rsidRPr="000305BB">
              <w:rPr>
                <w:rStyle w:val="Strong"/>
                <w:rFonts w:ascii="Arial Narrow" w:hAnsi="Arial Narrow" w:cs="Open Sans"/>
                <w:color w:val="333333"/>
                <w:sz w:val="18"/>
                <w:szCs w:val="18"/>
                <w:u w:val="single"/>
                <w:bdr w:val="none" w:sz="0" w:space="0" w:color="auto" w:frame="1"/>
              </w:rPr>
              <w:t>N</w:t>
            </w:r>
            <w:r w:rsidRPr="000305BB">
              <w:rPr>
                <w:rStyle w:val="Strong"/>
                <w:rFonts w:ascii="Arial Narrow" w:hAnsi="Arial Narrow" w:cs="Open Sans"/>
                <w:color w:val="333333"/>
                <w:sz w:val="18"/>
                <w:szCs w:val="18"/>
                <w:u w:val="single"/>
              </w:rPr>
              <w:t>OTE</w:t>
            </w:r>
            <w:r w:rsidRPr="000305BB">
              <w:rPr>
                <w:rStyle w:val="Strong"/>
                <w:rFonts w:ascii="Arial Narrow" w:hAnsi="Arial Narrow" w:cs="Open Sans"/>
                <w:color w:val="333333"/>
                <w:sz w:val="18"/>
                <w:szCs w:val="18"/>
                <w:bdr w:val="none" w:sz="0" w:space="0" w:color="auto" w:frame="1"/>
              </w:rPr>
              <w:t>:</w:t>
            </w:r>
          </w:p>
          <w:p w14:paraId="477D1F83" w14:textId="77777777" w:rsidR="009D30A1" w:rsidRDefault="009D30A1" w:rsidP="009D30A1">
            <w:pPr>
              <w:pStyle w:val="NormalWeb"/>
              <w:shd w:val="clear" w:color="auto" w:fill="FFFFFF"/>
              <w:spacing w:before="0" w:after="0"/>
              <w:textAlignment w:val="baseline"/>
              <w:rPr>
                <w:rFonts w:ascii="Arial Narrow" w:hAnsi="Arial Narrow"/>
                <w:b/>
                <w:bCs/>
                <w:sz w:val="18"/>
                <w:szCs w:val="18"/>
                <w:bdr w:val="none" w:sz="0" w:space="0" w:color="auto" w:frame="1"/>
              </w:rPr>
            </w:pPr>
            <w:r w:rsidRPr="00160B0F">
              <w:rPr>
                <w:rFonts w:ascii="Arial Narrow" w:hAnsi="Arial Narrow"/>
                <w:b/>
                <w:bCs/>
                <w:sz w:val="18"/>
                <w:szCs w:val="18"/>
                <w:bdr w:val="none" w:sz="0" w:space="0" w:color="auto" w:frame="1"/>
              </w:rPr>
              <w:t>TREATMENT OF ADULT PATIENTS WITH MODERATE TO SEVERE ULCERATIVE COLITIS</w:t>
            </w:r>
          </w:p>
          <w:p w14:paraId="262EB657" w14:textId="77777777" w:rsidR="009D30A1" w:rsidRDefault="009D30A1" w:rsidP="009D30A1">
            <w:pPr>
              <w:pStyle w:val="NormalWeb"/>
              <w:shd w:val="clear" w:color="auto" w:fill="FFFFFF"/>
              <w:spacing w:before="0" w:after="0"/>
              <w:textAlignment w:val="baseline"/>
              <w:rPr>
                <w:sz w:val="22"/>
                <w:szCs w:val="22"/>
              </w:rPr>
            </w:pPr>
            <w:r>
              <w:rPr>
                <w:sz w:val="22"/>
                <w:szCs w:val="22"/>
              </w:rPr>
              <w:t>--- ---</w:t>
            </w:r>
          </w:p>
          <w:p w14:paraId="6915E199" w14:textId="77777777" w:rsidR="009D30A1" w:rsidRPr="00C001C3" w:rsidRDefault="009D30A1" w:rsidP="009D30A1">
            <w:pPr>
              <w:pStyle w:val="NormalWeb"/>
              <w:shd w:val="clear" w:color="auto" w:fill="FFFFFF"/>
              <w:spacing w:before="0" w:after="0"/>
              <w:textAlignment w:val="baseline"/>
              <w:rPr>
                <w:rFonts w:ascii="Arial Narrow" w:hAnsi="Arial Narrow"/>
                <w:i/>
                <w:iCs/>
                <w:sz w:val="18"/>
                <w:szCs w:val="18"/>
              </w:rPr>
            </w:pPr>
            <w:r w:rsidRPr="00C001C3">
              <w:rPr>
                <w:rFonts w:ascii="Arial Narrow" w:hAnsi="Arial Narrow"/>
                <w:i/>
                <w:iCs/>
                <w:sz w:val="18"/>
                <w:szCs w:val="18"/>
              </w:rPr>
              <w:t xml:space="preserve">See end of listing for revised concept </w:t>
            </w:r>
          </w:p>
        </w:tc>
      </w:tr>
      <w:tr w:rsidR="009D30A1" w:rsidRPr="0057693B" w14:paraId="5C1ACEF2" w14:textId="77777777" w:rsidTr="009D30A1">
        <w:tc>
          <w:tcPr>
            <w:tcW w:w="988" w:type="dxa"/>
            <w:shd w:val="clear" w:color="auto" w:fill="auto"/>
          </w:tcPr>
          <w:p w14:paraId="52550DD9" w14:textId="7D13593A" w:rsidR="009D30A1" w:rsidRPr="006F3062" w:rsidRDefault="009D30A1" w:rsidP="009D30A1">
            <w:pPr>
              <w:jc w:val="center"/>
              <w:textAlignment w:val="baseline"/>
              <w:rPr>
                <w:rFonts w:ascii="Arial Narrow" w:hAnsi="Arial Narrow" w:cs="Open Sans"/>
                <w:color w:val="333333"/>
                <w:sz w:val="18"/>
                <w:szCs w:val="18"/>
              </w:rPr>
            </w:pPr>
          </w:p>
        </w:tc>
        <w:tc>
          <w:tcPr>
            <w:tcW w:w="8221" w:type="dxa"/>
            <w:shd w:val="clear" w:color="auto" w:fill="auto"/>
          </w:tcPr>
          <w:p w14:paraId="24012CA7" w14:textId="77777777" w:rsidR="009D30A1" w:rsidRPr="006F3062" w:rsidRDefault="009D30A1" w:rsidP="009D30A1">
            <w:pPr>
              <w:pStyle w:val="NormalWeb"/>
              <w:shd w:val="clear" w:color="auto" w:fill="F4F4F4"/>
              <w:spacing w:before="0" w:after="0"/>
              <w:textAlignment w:val="baseline"/>
              <w:rPr>
                <w:rFonts w:ascii="Arial Narrow" w:hAnsi="Arial Narrow"/>
                <w:sz w:val="18"/>
                <w:szCs w:val="18"/>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Pr>
                <w:rFonts w:ascii="Arial Narrow" w:hAnsi="Arial Narrow"/>
                <w:sz w:val="18"/>
                <w:szCs w:val="18"/>
              </w:rPr>
              <w:t>N</w:t>
            </w:r>
            <w:r w:rsidRPr="006F3062">
              <w:rPr>
                <w:rFonts w:ascii="Arial Narrow" w:hAnsi="Arial Narrow"/>
                <w:sz w:val="18"/>
                <w:szCs w:val="18"/>
              </w:rPr>
              <w:t>o increase in the maximum quantity or number of units may be authorised.</w:t>
            </w:r>
          </w:p>
        </w:tc>
      </w:tr>
      <w:tr w:rsidR="009D30A1" w:rsidRPr="0057693B" w14:paraId="212A6571" w14:textId="77777777" w:rsidTr="009D30A1">
        <w:tc>
          <w:tcPr>
            <w:tcW w:w="988" w:type="dxa"/>
          </w:tcPr>
          <w:p w14:paraId="0B81F04F" w14:textId="6A52FE6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12ECCABD" w14:textId="77777777" w:rsidR="009D30A1" w:rsidRPr="006F3062" w:rsidRDefault="009D30A1" w:rsidP="009D30A1">
            <w:pPr>
              <w:pStyle w:val="NormalWeb"/>
              <w:shd w:val="clear" w:color="auto" w:fill="F4F4F4"/>
              <w:spacing w:before="0" w:after="0"/>
              <w:textAlignment w:val="baseline"/>
              <w:rPr>
                <w:rFonts w:ascii="Arial Narrow" w:hAnsi="Arial Narrow" w:cs="Open Sans"/>
                <w:b/>
                <w:bCs/>
                <w:color w:val="333333"/>
                <w:sz w:val="18"/>
                <w:szCs w:val="18"/>
                <w:bdr w:val="none" w:sz="0" w:space="0" w:color="auto" w:frame="1"/>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sidRPr="006F3062">
              <w:rPr>
                <w:rFonts w:ascii="Arial Narrow" w:hAnsi="Arial Narrow" w:cs="Open Sans"/>
                <w:color w:val="333333"/>
                <w:sz w:val="18"/>
                <w:szCs w:val="18"/>
                <w:shd w:val="clear" w:color="auto" w:fill="F4F4F4"/>
              </w:rPr>
              <w:t>No increase in the maximum number of repeats may be authorised.</w:t>
            </w:r>
          </w:p>
        </w:tc>
      </w:tr>
      <w:tr w:rsidR="009D30A1" w:rsidRPr="0057693B" w14:paraId="1F7A5510" w14:textId="77777777" w:rsidTr="009D30A1">
        <w:tc>
          <w:tcPr>
            <w:tcW w:w="988" w:type="dxa"/>
          </w:tcPr>
          <w:p w14:paraId="72825D0A" w14:textId="0CF6AAD6"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0E38434B" w14:textId="77777777" w:rsidR="009D30A1" w:rsidRPr="006F3062" w:rsidRDefault="009D30A1" w:rsidP="009D30A1">
            <w:pPr>
              <w:pStyle w:val="NormalWeb"/>
              <w:shd w:val="clear" w:color="auto" w:fill="F4F4F4"/>
              <w:spacing w:before="0" w:after="0"/>
              <w:textAlignment w:val="baseline"/>
              <w:rPr>
                <w:rFonts w:ascii="Arial Narrow" w:hAnsi="Arial Narrow" w:cs="Open Sans"/>
                <w:b/>
                <w:bCs/>
                <w:color w:val="333333"/>
                <w:sz w:val="18"/>
                <w:szCs w:val="18"/>
                <w:bdr w:val="none" w:sz="0" w:space="0" w:color="auto" w:frame="1"/>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sidRPr="006F3062">
              <w:rPr>
                <w:rFonts w:ascii="Arial Narrow" w:hAnsi="Arial Narrow" w:cs="Open Sans"/>
                <w:color w:val="333333"/>
                <w:sz w:val="18"/>
                <w:szCs w:val="18"/>
                <w:shd w:val="clear" w:color="auto" w:fill="F4F4F4"/>
              </w:rPr>
              <w:t>Special Pricing Arrangements apply.</w:t>
            </w:r>
          </w:p>
        </w:tc>
      </w:tr>
      <w:tr w:rsidR="009D30A1" w:rsidRPr="0057693B" w14:paraId="1023EE4F" w14:textId="77777777" w:rsidTr="009D30A1">
        <w:tc>
          <w:tcPr>
            <w:tcW w:w="988" w:type="dxa"/>
          </w:tcPr>
          <w:p w14:paraId="331DFEDC"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20C712AB"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5C94F4CE" w14:textId="77777777" w:rsidTr="009D30A1">
        <w:tc>
          <w:tcPr>
            <w:tcW w:w="988" w:type="dxa"/>
            <w:hideMark/>
          </w:tcPr>
          <w:p w14:paraId="4D7A0B6A" w14:textId="6E04790E"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5E14BC9E"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57693B">
              <w:rPr>
                <w:rFonts w:ascii="Arial Narrow" w:hAnsi="Arial Narrow" w:cs="Open Sans"/>
                <w:color w:val="333333"/>
                <w:sz w:val="18"/>
                <w:szCs w:val="18"/>
              </w:rPr>
              <w:t>Moderate to severe ulcerative colitis</w:t>
            </w:r>
          </w:p>
        </w:tc>
      </w:tr>
      <w:tr w:rsidR="009D30A1" w:rsidRPr="0057693B" w14:paraId="26F05EA2" w14:textId="77777777" w:rsidTr="009D30A1">
        <w:tc>
          <w:tcPr>
            <w:tcW w:w="988" w:type="dxa"/>
          </w:tcPr>
          <w:p w14:paraId="598062E5"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2D5EBFC9"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60FE7E8C" w14:textId="77777777" w:rsidTr="009D30A1">
        <w:tc>
          <w:tcPr>
            <w:tcW w:w="988" w:type="dxa"/>
            <w:hideMark/>
          </w:tcPr>
          <w:p w14:paraId="6E6B33CE" w14:textId="77777777" w:rsidR="009D30A1" w:rsidRPr="0057693B" w:rsidRDefault="009D30A1" w:rsidP="009D30A1">
            <w:pPr>
              <w:jc w:val="center"/>
              <w:rPr>
                <w:rFonts w:ascii="Arial Narrow" w:hAnsi="Arial Narrow" w:cs="Open Sans"/>
                <w:color w:val="333333"/>
                <w:sz w:val="18"/>
                <w:szCs w:val="18"/>
              </w:rPr>
            </w:pPr>
          </w:p>
        </w:tc>
        <w:tc>
          <w:tcPr>
            <w:tcW w:w="8221" w:type="dxa"/>
            <w:hideMark/>
          </w:tcPr>
          <w:p w14:paraId="21AF6691"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57693B">
              <w:rPr>
                <w:rFonts w:ascii="Arial Narrow" w:hAnsi="Arial Narrow" w:cs="Open Sans"/>
                <w:color w:val="333333"/>
                <w:sz w:val="18"/>
                <w:szCs w:val="18"/>
              </w:rPr>
              <w:t>Initial treatment - Initial 1 (new patient)</w:t>
            </w:r>
          </w:p>
        </w:tc>
      </w:tr>
      <w:tr w:rsidR="009D30A1" w:rsidRPr="0057693B" w14:paraId="1DD326DA" w14:textId="77777777" w:rsidTr="009D30A1">
        <w:tc>
          <w:tcPr>
            <w:tcW w:w="988" w:type="dxa"/>
          </w:tcPr>
          <w:p w14:paraId="1E49B1B4" w14:textId="77777777" w:rsidR="009D30A1" w:rsidRPr="0057693B" w:rsidRDefault="009D30A1" w:rsidP="009D30A1">
            <w:pPr>
              <w:jc w:val="center"/>
              <w:rPr>
                <w:rFonts w:ascii="Arial Narrow" w:hAnsi="Arial Narrow" w:cs="Open Sans"/>
                <w:color w:val="333333"/>
                <w:sz w:val="18"/>
                <w:szCs w:val="18"/>
              </w:rPr>
            </w:pPr>
          </w:p>
        </w:tc>
        <w:tc>
          <w:tcPr>
            <w:tcW w:w="8221" w:type="dxa"/>
          </w:tcPr>
          <w:p w14:paraId="0C330F00"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6067DCFF" w14:textId="77777777" w:rsidTr="009D30A1">
        <w:tc>
          <w:tcPr>
            <w:tcW w:w="988" w:type="dxa"/>
            <w:hideMark/>
          </w:tcPr>
          <w:p w14:paraId="48864758" w14:textId="3CA4F975"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626BE61D"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Treatment criteria:</w:t>
            </w:r>
          </w:p>
        </w:tc>
      </w:tr>
      <w:tr w:rsidR="009D30A1" w:rsidRPr="0057693B" w14:paraId="417EAAEF" w14:textId="77777777" w:rsidTr="009D30A1">
        <w:tc>
          <w:tcPr>
            <w:tcW w:w="988" w:type="dxa"/>
            <w:hideMark/>
          </w:tcPr>
          <w:p w14:paraId="0B960326" w14:textId="2002E296"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15037A7C"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 Must be treated by a gastroenterologist (code 87); or</w:t>
            </w:r>
          </w:p>
        </w:tc>
      </w:tr>
      <w:tr w:rsidR="009D30A1" w:rsidRPr="0057693B" w14:paraId="7D198C9F" w14:textId="77777777" w:rsidTr="009D30A1">
        <w:tc>
          <w:tcPr>
            <w:tcW w:w="988" w:type="dxa"/>
            <w:hideMark/>
          </w:tcPr>
          <w:p w14:paraId="33705C08" w14:textId="29BB493E"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78876423"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 Must be treated by a consultant physician [internal medicine specialising in gastroenterology (code 81)]; or</w:t>
            </w:r>
          </w:p>
        </w:tc>
      </w:tr>
      <w:tr w:rsidR="009D30A1" w:rsidRPr="0057693B" w14:paraId="3764AAEB" w14:textId="77777777" w:rsidTr="009D30A1">
        <w:tc>
          <w:tcPr>
            <w:tcW w:w="988" w:type="dxa"/>
            <w:hideMark/>
          </w:tcPr>
          <w:p w14:paraId="58349DFB" w14:textId="10F5A492"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759D8783"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 Must be treated by a consultant physician [general medicine specialising in gastroenterology (code 82)]</w:t>
            </w:r>
          </w:p>
        </w:tc>
      </w:tr>
      <w:tr w:rsidR="009D30A1" w:rsidRPr="0057693B" w14:paraId="0B8D3248" w14:textId="77777777" w:rsidTr="009D30A1">
        <w:tc>
          <w:tcPr>
            <w:tcW w:w="988" w:type="dxa"/>
            <w:hideMark/>
          </w:tcPr>
          <w:p w14:paraId="2BFDDCCD" w14:textId="77777777" w:rsidR="009D30A1" w:rsidRPr="0057693B" w:rsidRDefault="009D30A1" w:rsidP="009D30A1">
            <w:pPr>
              <w:jc w:val="center"/>
              <w:rPr>
                <w:rFonts w:ascii="Arial Narrow" w:hAnsi="Arial Narrow" w:cs="Open Sans"/>
                <w:color w:val="333333"/>
                <w:sz w:val="18"/>
                <w:szCs w:val="18"/>
              </w:rPr>
            </w:pPr>
          </w:p>
        </w:tc>
        <w:tc>
          <w:tcPr>
            <w:tcW w:w="8221" w:type="dxa"/>
            <w:hideMark/>
          </w:tcPr>
          <w:p w14:paraId="450C7FBC"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AND</w:t>
            </w:r>
          </w:p>
        </w:tc>
      </w:tr>
      <w:tr w:rsidR="009D30A1" w:rsidRPr="0057693B" w14:paraId="76499A05" w14:textId="77777777" w:rsidTr="009D30A1">
        <w:tc>
          <w:tcPr>
            <w:tcW w:w="988" w:type="dxa"/>
            <w:hideMark/>
          </w:tcPr>
          <w:p w14:paraId="42CEA59C" w14:textId="3AB72EBC"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0CB42705"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Clinical criteria:</w:t>
            </w:r>
          </w:p>
        </w:tc>
      </w:tr>
      <w:tr w:rsidR="009D30A1" w:rsidRPr="0057693B" w14:paraId="691DEF61" w14:textId="77777777" w:rsidTr="009D30A1">
        <w:tc>
          <w:tcPr>
            <w:tcW w:w="988" w:type="dxa"/>
            <w:hideMark/>
          </w:tcPr>
          <w:p w14:paraId="00A69C4B" w14:textId="2088B6E5"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12C6A112"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Patient must have failed to achieve an adequate response to a 5-aminosalicylate oral preparation in a standard dose for induction of remission for 3 or more consecutive months or have intolerance necessitating permanent treatment withdrawal</w:t>
            </w:r>
          </w:p>
        </w:tc>
      </w:tr>
      <w:tr w:rsidR="009D30A1" w:rsidRPr="0057693B" w14:paraId="48D36A49" w14:textId="77777777" w:rsidTr="009D30A1">
        <w:tc>
          <w:tcPr>
            <w:tcW w:w="988" w:type="dxa"/>
            <w:hideMark/>
          </w:tcPr>
          <w:p w14:paraId="3C75384A" w14:textId="77777777" w:rsidR="009D30A1" w:rsidRPr="0057693B" w:rsidRDefault="009D30A1" w:rsidP="009D30A1">
            <w:pPr>
              <w:jc w:val="center"/>
              <w:rPr>
                <w:rFonts w:ascii="Arial Narrow" w:hAnsi="Arial Narrow" w:cs="Open Sans"/>
                <w:color w:val="333333"/>
                <w:sz w:val="18"/>
                <w:szCs w:val="18"/>
              </w:rPr>
            </w:pPr>
          </w:p>
        </w:tc>
        <w:tc>
          <w:tcPr>
            <w:tcW w:w="8221" w:type="dxa"/>
            <w:hideMark/>
          </w:tcPr>
          <w:p w14:paraId="77FD3B28"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AND</w:t>
            </w:r>
          </w:p>
        </w:tc>
      </w:tr>
      <w:tr w:rsidR="009D30A1" w:rsidRPr="0057693B" w14:paraId="088D40D7" w14:textId="77777777" w:rsidTr="009D30A1">
        <w:tc>
          <w:tcPr>
            <w:tcW w:w="988" w:type="dxa"/>
            <w:hideMark/>
          </w:tcPr>
          <w:p w14:paraId="71A15CFD" w14:textId="37DD2571"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56795A62"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Clinical criteria:</w:t>
            </w:r>
          </w:p>
        </w:tc>
      </w:tr>
      <w:tr w:rsidR="009D30A1" w:rsidRPr="0057693B" w14:paraId="0EF93B69" w14:textId="77777777" w:rsidTr="009D30A1">
        <w:tc>
          <w:tcPr>
            <w:tcW w:w="988" w:type="dxa"/>
            <w:hideMark/>
          </w:tcPr>
          <w:p w14:paraId="2DFD266A" w14:textId="39F22702"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63B76DB9"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Patient must have failed to achieve an adequate response to azathioprine at a dose of at least 2 mg per kg daily for 3 or more consecutive months or have intolerance necessitating permanent treatment </w:t>
            </w:r>
            <w:proofErr w:type="gramStart"/>
            <w:r w:rsidRPr="0057693B">
              <w:rPr>
                <w:rFonts w:ascii="Arial Narrow" w:hAnsi="Arial Narrow" w:cs="Open Sans"/>
                <w:color w:val="333333"/>
                <w:sz w:val="18"/>
                <w:szCs w:val="18"/>
              </w:rPr>
              <w:t>withdrawal;</w:t>
            </w:r>
            <w:proofErr w:type="gramEnd"/>
            <w:r w:rsidRPr="0057693B">
              <w:rPr>
                <w:rFonts w:ascii="Arial Narrow" w:hAnsi="Arial Narrow" w:cs="Open Sans"/>
                <w:color w:val="333333"/>
                <w:sz w:val="18"/>
                <w:szCs w:val="18"/>
              </w:rPr>
              <w:t xml:space="preserve"> or</w:t>
            </w:r>
          </w:p>
        </w:tc>
      </w:tr>
      <w:tr w:rsidR="009D30A1" w:rsidRPr="0057693B" w14:paraId="4D74B167" w14:textId="77777777" w:rsidTr="009D30A1">
        <w:tc>
          <w:tcPr>
            <w:tcW w:w="988" w:type="dxa"/>
            <w:hideMark/>
          </w:tcPr>
          <w:p w14:paraId="0A68DF86" w14:textId="19CF5218"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7453C9E1"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Patient must have failed to achieve an adequate response to 6-mercaptopurine at a dose of at least 1 mg per kg daily for 3 or more consecutive months or have intolerance necessitating permanent treatment </w:t>
            </w:r>
            <w:proofErr w:type="gramStart"/>
            <w:r w:rsidRPr="0057693B">
              <w:rPr>
                <w:rFonts w:ascii="Arial Narrow" w:hAnsi="Arial Narrow" w:cs="Open Sans"/>
                <w:color w:val="333333"/>
                <w:sz w:val="18"/>
                <w:szCs w:val="18"/>
              </w:rPr>
              <w:t>withdrawal;</w:t>
            </w:r>
            <w:proofErr w:type="gramEnd"/>
            <w:r w:rsidRPr="0057693B">
              <w:rPr>
                <w:rFonts w:ascii="Arial Narrow" w:hAnsi="Arial Narrow" w:cs="Open Sans"/>
                <w:color w:val="333333"/>
                <w:sz w:val="18"/>
                <w:szCs w:val="18"/>
              </w:rPr>
              <w:t xml:space="preserve"> or</w:t>
            </w:r>
          </w:p>
        </w:tc>
      </w:tr>
      <w:tr w:rsidR="009D30A1" w:rsidRPr="0057693B" w14:paraId="06125EFA" w14:textId="77777777" w:rsidTr="009D30A1">
        <w:tc>
          <w:tcPr>
            <w:tcW w:w="988" w:type="dxa"/>
            <w:hideMark/>
          </w:tcPr>
          <w:p w14:paraId="10C68F38" w14:textId="418D1871"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2C70FFCE"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Patient must have failed to achieve an adequate response to a tapered course of oral steroids, starting at a dose of at least 40 mg prednisolone (or equivalent), over a </w:t>
            </w:r>
            <w:proofErr w:type="gramStart"/>
            <w:r w:rsidRPr="0057693B">
              <w:rPr>
                <w:rFonts w:ascii="Arial Narrow" w:hAnsi="Arial Narrow" w:cs="Open Sans"/>
                <w:color w:val="333333"/>
                <w:sz w:val="18"/>
                <w:szCs w:val="18"/>
              </w:rPr>
              <w:t>6 week</w:t>
            </w:r>
            <w:proofErr w:type="gramEnd"/>
            <w:r w:rsidRPr="0057693B">
              <w:rPr>
                <w:rFonts w:ascii="Arial Narrow" w:hAnsi="Arial Narrow" w:cs="Open Sans"/>
                <w:color w:val="333333"/>
                <w:sz w:val="18"/>
                <w:szCs w:val="18"/>
              </w:rPr>
              <w:t xml:space="preserve"> period or have intolerance necessitating permanent treatment withdrawal, and followed by a failure to achieve an adequate response to 3 or more consecutive months of treatment of an appropriately dosed thiopurine agent</w:t>
            </w:r>
          </w:p>
        </w:tc>
      </w:tr>
      <w:tr w:rsidR="009D30A1" w:rsidRPr="0057693B" w14:paraId="08DCF6E8" w14:textId="77777777" w:rsidTr="009D30A1">
        <w:tc>
          <w:tcPr>
            <w:tcW w:w="988" w:type="dxa"/>
            <w:hideMark/>
          </w:tcPr>
          <w:p w14:paraId="09D247D5" w14:textId="77777777" w:rsidR="009D30A1" w:rsidRPr="0057693B" w:rsidRDefault="009D30A1" w:rsidP="009D30A1">
            <w:pPr>
              <w:jc w:val="center"/>
              <w:rPr>
                <w:rFonts w:ascii="Arial Narrow" w:hAnsi="Arial Narrow" w:cs="Open Sans"/>
                <w:color w:val="333333"/>
                <w:sz w:val="18"/>
                <w:szCs w:val="18"/>
              </w:rPr>
            </w:pPr>
          </w:p>
        </w:tc>
        <w:tc>
          <w:tcPr>
            <w:tcW w:w="8221" w:type="dxa"/>
            <w:hideMark/>
          </w:tcPr>
          <w:p w14:paraId="631A73E5"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AND</w:t>
            </w:r>
          </w:p>
        </w:tc>
      </w:tr>
      <w:tr w:rsidR="009D30A1" w:rsidRPr="0057693B" w14:paraId="528C92EF" w14:textId="77777777" w:rsidTr="009D30A1">
        <w:tc>
          <w:tcPr>
            <w:tcW w:w="988" w:type="dxa"/>
            <w:hideMark/>
          </w:tcPr>
          <w:p w14:paraId="1FF8C62D" w14:textId="5CEF89F4"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25D7600D"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Clinical criteria:</w:t>
            </w:r>
          </w:p>
        </w:tc>
      </w:tr>
      <w:tr w:rsidR="009D30A1" w:rsidRPr="0057693B" w14:paraId="6C79F524" w14:textId="77777777" w:rsidTr="009D30A1">
        <w:tc>
          <w:tcPr>
            <w:tcW w:w="988" w:type="dxa"/>
            <w:hideMark/>
          </w:tcPr>
          <w:p w14:paraId="75EDCE36" w14:textId="6C8C4CD9"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3F0CE354"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Patient must have a Mayo clinic score greater than or equal to 6; or</w:t>
            </w:r>
          </w:p>
        </w:tc>
      </w:tr>
      <w:tr w:rsidR="009D30A1" w:rsidRPr="0057693B" w14:paraId="042E3D6F" w14:textId="77777777" w:rsidTr="009D30A1">
        <w:tc>
          <w:tcPr>
            <w:tcW w:w="988" w:type="dxa"/>
            <w:hideMark/>
          </w:tcPr>
          <w:p w14:paraId="1DBE47F0" w14:textId="5D6D20A9"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27DA7E5B"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Patient must have a partial Mayo clinic score greater than or equal to 6, provided the rectal bleeding and stool frequency </w:t>
            </w:r>
            <w:proofErr w:type="spellStart"/>
            <w:r w:rsidRPr="0057693B">
              <w:rPr>
                <w:rFonts w:ascii="Arial Narrow" w:hAnsi="Arial Narrow" w:cs="Open Sans"/>
                <w:color w:val="333333"/>
                <w:sz w:val="18"/>
                <w:szCs w:val="18"/>
              </w:rPr>
              <w:t>subscores</w:t>
            </w:r>
            <w:proofErr w:type="spellEnd"/>
            <w:r w:rsidRPr="0057693B">
              <w:rPr>
                <w:rFonts w:ascii="Arial Narrow" w:hAnsi="Arial Narrow" w:cs="Open Sans"/>
                <w:color w:val="333333"/>
                <w:sz w:val="18"/>
                <w:szCs w:val="18"/>
              </w:rPr>
              <w:t xml:space="preserve"> are both greater than or equal to 2 (endoscopy </w:t>
            </w:r>
            <w:proofErr w:type="spellStart"/>
            <w:r w:rsidRPr="0057693B">
              <w:rPr>
                <w:rFonts w:ascii="Arial Narrow" w:hAnsi="Arial Narrow" w:cs="Open Sans"/>
                <w:color w:val="333333"/>
                <w:sz w:val="18"/>
                <w:szCs w:val="18"/>
              </w:rPr>
              <w:t>subscore</w:t>
            </w:r>
            <w:proofErr w:type="spellEnd"/>
            <w:r w:rsidRPr="0057693B">
              <w:rPr>
                <w:rFonts w:ascii="Arial Narrow" w:hAnsi="Arial Narrow" w:cs="Open Sans"/>
                <w:color w:val="333333"/>
                <w:sz w:val="18"/>
                <w:szCs w:val="18"/>
              </w:rPr>
              <w:t xml:space="preserve"> is not required for a partial Mayo clinic score)</w:t>
            </w:r>
          </w:p>
        </w:tc>
      </w:tr>
      <w:tr w:rsidR="009D30A1" w:rsidRPr="0057693B" w14:paraId="0A275B4B" w14:textId="77777777" w:rsidTr="009D30A1">
        <w:tc>
          <w:tcPr>
            <w:tcW w:w="988" w:type="dxa"/>
            <w:hideMark/>
          </w:tcPr>
          <w:p w14:paraId="7CF76CAA" w14:textId="77777777" w:rsidR="009D30A1" w:rsidRPr="0057693B" w:rsidRDefault="009D30A1" w:rsidP="009D30A1">
            <w:pPr>
              <w:jc w:val="center"/>
              <w:rPr>
                <w:rFonts w:ascii="Arial Narrow" w:hAnsi="Arial Narrow" w:cs="Open Sans"/>
                <w:color w:val="333333"/>
                <w:sz w:val="18"/>
                <w:szCs w:val="18"/>
              </w:rPr>
            </w:pPr>
          </w:p>
        </w:tc>
        <w:tc>
          <w:tcPr>
            <w:tcW w:w="8221" w:type="dxa"/>
            <w:hideMark/>
          </w:tcPr>
          <w:p w14:paraId="3B10AF71"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AND</w:t>
            </w:r>
          </w:p>
        </w:tc>
      </w:tr>
      <w:tr w:rsidR="009D30A1" w:rsidRPr="0057693B" w14:paraId="59E854E3" w14:textId="77777777" w:rsidTr="009D30A1">
        <w:tc>
          <w:tcPr>
            <w:tcW w:w="988" w:type="dxa"/>
            <w:hideMark/>
          </w:tcPr>
          <w:p w14:paraId="6E7BB7C3" w14:textId="6D43D03A"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1B45A56F"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Population criteria:</w:t>
            </w:r>
          </w:p>
        </w:tc>
      </w:tr>
      <w:tr w:rsidR="009D30A1" w:rsidRPr="0057693B" w14:paraId="7208ABB9" w14:textId="77777777" w:rsidTr="009D30A1">
        <w:tc>
          <w:tcPr>
            <w:tcW w:w="988" w:type="dxa"/>
            <w:hideMark/>
          </w:tcPr>
          <w:p w14:paraId="410D5FD5" w14:textId="3FCA6702"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39224047"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Patient must be aged 18 years or older</w:t>
            </w:r>
          </w:p>
        </w:tc>
      </w:tr>
      <w:tr w:rsidR="009D30A1" w:rsidRPr="0057693B" w14:paraId="34C97F2D" w14:textId="77777777" w:rsidTr="009D30A1">
        <w:tc>
          <w:tcPr>
            <w:tcW w:w="988" w:type="dxa"/>
          </w:tcPr>
          <w:p w14:paraId="51B0C06E"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04D32F48" w14:textId="77777777" w:rsidR="009D30A1" w:rsidRPr="0057693B" w:rsidRDefault="009D30A1" w:rsidP="009D30A1">
            <w:pPr>
              <w:rPr>
                <w:rFonts w:ascii="Arial Narrow" w:hAnsi="Arial Narrow" w:cs="Open Sans"/>
                <w:color w:val="333333"/>
                <w:sz w:val="18"/>
                <w:szCs w:val="18"/>
              </w:rPr>
            </w:pPr>
          </w:p>
        </w:tc>
      </w:tr>
      <w:tr w:rsidR="009D30A1" w:rsidRPr="0057693B" w14:paraId="41D30902" w14:textId="77777777" w:rsidTr="009D30A1">
        <w:tc>
          <w:tcPr>
            <w:tcW w:w="988" w:type="dxa"/>
            <w:hideMark/>
          </w:tcPr>
          <w:p w14:paraId="4CA6558B" w14:textId="3FB6F705"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242C9F86"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5EF08BFA"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The authority application must be made in writing and must include:</w:t>
            </w:r>
          </w:p>
          <w:p w14:paraId="4D36EDC8"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(1) a completed authority prescription form; and</w:t>
            </w:r>
          </w:p>
          <w:p w14:paraId="4F4CE414"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(2) a completed authority application form relevant to the indication and treatment phase (the latest version is located on the website specified in the Administrative Advice), which includes:</w:t>
            </w:r>
          </w:p>
          <w:p w14:paraId="53D6A59C"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w:t>
            </w:r>
            <w:proofErr w:type="spellStart"/>
            <w:r w:rsidRPr="0057693B">
              <w:rPr>
                <w:rFonts w:ascii="Arial Narrow" w:hAnsi="Arial Narrow" w:cs="Open Sans"/>
                <w:color w:val="333333"/>
                <w:sz w:val="18"/>
                <w:szCs w:val="18"/>
              </w:rPr>
              <w:t>i</w:t>
            </w:r>
            <w:proofErr w:type="spellEnd"/>
            <w:r w:rsidRPr="0057693B">
              <w:rPr>
                <w:rFonts w:ascii="Arial Narrow" w:hAnsi="Arial Narrow" w:cs="Open Sans"/>
                <w:color w:val="333333"/>
                <w:sz w:val="18"/>
                <w:szCs w:val="18"/>
              </w:rPr>
              <w:t>) the completed current Mayo clinic or partial Mayo clinic calculation sheet including the date of assessment of the patient's condition; and</w:t>
            </w:r>
          </w:p>
          <w:p w14:paraId="6C9C4369"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(ii) details of prior systemic drug therapy [dosage, date of commencement and duration of therapy].</w:t>
            </w:r>
          </w:p>
        </w:tc>
      </w:tr>
      <w:tr w:rsidR="009D30A1" w:rsidRPr="0057693B" w14:paraId="2AA820A4" w14:textId="77777777" w:rsidTr="009D30A1">
        <w:tc>
          <w:tcPr>
            <w:tcW w:w="988" w:type="dxa"/>
            <w:hideMark/>
          </w:tcPr>
          <w:p w14:paraId="580D60ED" w14:textId="38A065F6"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144C3DB7"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4BE8523F"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All tests and assessments should be performed preferably whilst still on treatment, but no longer than 4 weeks following cessation of the most recent prior conventional treatment.</w:t>
            </w:r>
          </w:p>
        </w:tc>
      </w:tr>
      <w:tr w:rsidR="009D30A1" w:rsidRPr="0057693B" w14:paraId="1609D439" w14:textId="77777777" w:rsidTr="009D30A1">
        <w:tc>
          <w:tcPr>
            <w:tcW w:w="988" w:type="dxa"/>
            <w:hideMark/>
          </w:tcPr>
          <w:p w14:paraId="0EF900AF" w14:textId="7C7452C6"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019BE988"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555AC379"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The most recent Mayo clinic or partial Mayo clinic score must be no more than 4 weeks old at the time of application.</w:t>
            </w:r>
          </w:p>
        </w:tc>
      </w:tr>
      <w:tr w:rsidR="009D30A1" w:rsidRPr="0057693B" w14:paraId="49B29DCA" w14:textId="77777777" w:rsidTr="009D30A1">
        <w:tc>
          <w:tcPr>
            <w:tcW w:w="988" w:type="dxa"/>
            <w:hideMark/>
          </w:tcPr>
          <w:p w14:paraId="121F56CB" w14:textId="15986FEA"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5751532E"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63A19A8A" w14:textId="664A12A4"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 xml:space="preserve">An assessment of a patient's response to this initial course of treatment must be conducted between </w:t>
            </w:r>
            <w:r w:rsidR="00EA3D93">
              <w:rPr>
                <w:rFonts w:ascii="Arial Narrow" w:hAnsi="Arial Narrow" w:cs="Open Sans"/>
                <w:color w:val="333333"/>
                <w:sz w:val="18"/>
                <w:szCs w:val="18"/>
              </w:rPr>
              <w:t>9</w:t>
            </w:r>
            <w:r w:rsidRPr="0057693B">
              <w:rPr>
                <w:rFonts w:ascii="Arial Narrow" w:hAnsi="Arial Narrow" w:cs="Open Sans"/>
                <w:color w:val="333333"/>
                <w:sz w:val="18"/>
                <w:szCs w:val="18"/>
              </w:rPr>
              <w:t xml:space="preserve"> and 1</w:t>
            </w:r>
            <w:r w:rsidR="00EA3D93">
              <w:rPr>
                <w:rFonts w:ascii="Arial Narrow" w:hAnsi="Arial Narrow" w:cs="Open Sans"/>
                <w:color w:val="333333"/>
                <w:sz w:val="18"/>
                <w:szCs w:val="18"/>
              </w:rPr>
              <w:t>7</w:t>
            </w:r>
            <w:r w:rsidRPr="0057693B">
              <w:rPr>
                <w:rFonts w:ascii="Arial Narrow" w:hAnsi="Arial Narrow" w:cs="Open Sans"/>
                <w:color w:val="333333"/>
                <w:sz w:val="18"/>
                <w:szCs w:val="18"/>
              </w:rPr>
              <w:t xml:space="preserve"> weeks of therapy.</w:t>
            </w:r>
          </w:p>
        </w:tc>
      </w:tr>
      <w:tr w:rsidR="009D30A1" w:rsidRPr="0057693B" w14:paraId="0E0F345E" w14:textId="77777777" w:rsidTr="009D30A1">
        <w:tc>
          <w:tcPr>
            <w:tcW w:w="988" w:type="dxa"/>
            <w:hideMark/>
          </w:tcPr>
          <w:p w14:paraId="645C194F" w14:textId="42BA196F"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3C43DE1E"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12ACE664"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D30A1" w:rsidRPr="0057693B" w14:paraId="6A3C8554" w14:textId="77777777" w:rsidTr="009D30A1">
        <w:tc>
          <w:tcPr>
            <w:tcW w:w="988" w:type="dxa"/>
            <w:hideMark/>
          </w:tcPr>
          <w:p w14:paraId="7858A9CD" w14:textId="786E9AD3"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7C770B64"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7DFCE726"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 xml:space="preserve">If a patient fails to demonstrate a response to treatment with this </w:t>
            </w:r>
            <w:proofErr w:type="gramStart"/>
            <w:r w:rsidRPr="0057693B">
              <w:rPr>
                <w:rFonts w:ascii="Arial Narrow" w:hAnsi="Arial Narrow" w:cs="Open Sans"/>
                <w:color w:val="333333"/>
                <w:sz w:val="18"/>
                <w:szCs w:val="18"/>
              </w:rPr>
              <w:t>drug</w:t>
            </w:r>
            <w:proofErr w:type="gramEnd"/>
            <w:r w:rsidRPr="0057693B">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D30A1" w:rsidRPr="0057693B" w14:paraId="1C8908CB" w14:textId="77777777" w:rsidTr="009D30A1">
        <w:tc>
          <w:tcPr>
            <w:tcW w:w="988" w:type="dxa"/>
            <w:hideMark/>
          </w:tcPr>
          <w:p w14:paraId="0EEC77DE" w14:textId="37A1E4D2"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20BF4675"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64FEC2EE"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If treatment with any of the above-mentioned drugs is contraindicated according to the relevant TGA-approved Product Information, details must be provided at the time of application.</w:t>
            </w:r>
          </w:p>
        </w:tc>
      </w:tr>
      <w:tr w:rsidR="009D30A1" w:rsidRPr="0057693B" w14:paraId="60328544" w14:textId="77777777" w:rsidTr="009D30A1">
        <w:tc>
          <w:tcPr>
            <w:tcW w:w="988" w:type="dxa"/>
            <w:hideMark/>
          </w:tcPr>
          <w:p w14:paraId="6C17F905" w14:textId="032D0F35"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6EB9377D"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5292AE38"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If intolerance to treatment develops during the relevant period of use, which is of a severity necessitating permanent treatment withdrawal, details of this toxicity must be provided at the time of application.</w:t>
            </w:r>
          </w:p>
        </w:tc>
      </w:tr>
      <w:tr w:rsidR="009D30A1" w:rsidRPr="0057693B" w14:paraId="62E3E233" w14:textId="77777777" w:rsidTr="009D30A1">
        <w:tc>
          <w:tcPr>
            <w:tcW w:w="988" w:type="dxa"/>
            <w:hideMark/>
          </w:tcPr>
          <w:p w14:paraId="0D2F6343" w14:textId="2DEC8D0C"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6DFFC7D8"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Prescribing Instructions:</w:t>
            </w:r>
          </w:p>
          <w:p w14:paraId="08A2A6C1" w14:textId="66EBCC64" w:rsidR="009D30A1" w:rsidRPr="0057693B" w:rsidRDefault="009D30A1" w:rsidP="00EA3D93">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A maximum of 1</w:t>
            </w:r>
            <w:r w:rsidR="00EA3D93">
              <w:rPr>
                <w:rFonts w:ascii="Arial Narrow" w:hAnsi="Arial Narrow" w:cs="Open Sans"/>
                <w:color w:val="333333"/>
                <w:sz w:val="18"/>
                <w:szCs w:val="18"/>
              </w:rPr>
              <w:t>7</w:t>
            </w:r>
            <w:r w:rsidRPr="0057693B">
              <w:rPr>
                <w:rFonts w:ascii="Arial Narrow" w:hAnsi="Arial Narrow" w:cs="Open Sans"/>
                <w:color w:val="333333"/>
                <w:sz w:val="18"/>
                <w:szCs w:val="18"/>
              </w:rPr>
              <w:t xml:space="preserve"> weeks of treatment with this drug will be approved under this criterion.</w:t>
            </w:r>
          </w:p>
        </w:tc>
      </w:tr>
      <w:tr w:rsidR="009D30A1" w:rsidRPr="0057693B" w14:paraId="47E127E3" w14:textId="77777777" w:rsidTr="009D30A1">
        <w:tc>
          <w:tcPr>
            <w:tcW w:w="988" w:type="dxa"/>
            <w:hideMark/>
          </w:tcPr>
          <w:p w14:paraId="5B699F2F" w14:textId="7F0CF9A8"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7E0CB40C"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Administrative Advice:</w:t>
            </w:r>
          </w:p>
          <w:p w14:paraId="486438BB"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The Services Australia website (www.servicesaustralia.gov.au) has details of the toxicities, including severity, which will be accepted where one is claimed.</w:t>
            </w:r>
          </w:p>
        </w:tc>
      </w:tr>
      <w:tr w:rsidR="009D30A1" w:rsidRPr="0057693B" w14:paraId="5B99365D" w14:textId="77777777" w:rsidTr="009D30A1">
        <w:tc>
          <w:tcPr>
            <w:tcW w:w="988" w:type="dxa"/>
            <w:hideMark/>
          </w:tcPr>
          <w:p w14:paraId="07B69726" w14:textId="30283FF7"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02D139D7"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Administrative Advice:</w:t>
            </w:r>
          </w:p>
          <w:p w14:paraId="2FA4A6F4"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 xml:space="preserve">Any queries concerning the arrangements to prescribe may be directed to Services Australia on 1800 700 270 (hours of operation 8 a.m. to 5 p.m. </w:t>
            </w:r>
            <w:r w:rsidRPr="0057693B">
              <w:rPr>
                <w:rFonts w:ascii="Arial Narrow" w:hAnsi="Arial Narrow" w:cs="Open Sans"/>
                <w:strike/>
                <w:color w:val="333333"/>
                <w:sz w:val="18"/>
                <w:szCs w:val="18"/>
              </w:rPr>
              <w:t>EST</w:t>
            </w:r>
            <w:r w:rsidRPr="0057693B">
              <w:rPr>
                <w:rFonts w:ascii="Arial Narrow" w:hAnsi="Arial Narrow" w:cs="Open Sans"/>
                <w:color w:val="333333"/>
                <w:sz w:val="18"/>
                <w:szCs w:val="18"/>
              </w:rPr>
              <w:t xml:space="preserve"> Monday to Friday).</w:t>
            </w:r>
          </w:p>
          <w:p w14:paraId="5AA59ACF"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Prescribing information (including Authority Application forms and other relevant documentation as applicable) is available on the Services Australia website at www.servicesaustralia.gov.au</w:t>
            </w:r>
          </w:p>
          <w:p w14:paraId="1E30E293"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5470E00B"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lastRenderedPageBreak/>
              <w:t>Or mailed to:</w:t>
            </w:r>
          </w:p>
          <w:p w14:paraId="094FDA25"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Services Australia</w:t>
            </w:r>
          </w:p>
          <w:p w14:paraId="5770703E"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Complex Drugs</w:t>
            </w:r>
          </w:p>
          <w:p w14:paraId="0F8EDA36"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Reply Paid 9826</w:t>
            </w:r>
          </w:p>
          <w:p w14:paraId="7655FB5E"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color w:val="333333"/>
                <w:sz w:val="18"/>
                <w:szCs w:val="18"/>
              </w:rPr>
              <w:t>HOBART TAS 7001</w:t>
            </w:r>
          </w:p>
        </w:tc>
      </w:tr>
      <w:tr w:rsidR="009D30A1" w:rsidRPr="00835A99" w14:paraId="31413194" w14:textId="77777777" w:rsidTr="009D30A1">
        <w:tc>
          <w:tcPr>
            <w:tcW w:w="9209" w:type="dxa"/>
            <w:gridSpan w:val="2"/>
          </w:tcPr>
          <w:p w14:paraId="1FC7794F" w14:textId="77777777" w:rsidR="009D30A1" w:rsidRDefault="009D30A1" w:rsidP="009D30A1">
            <w:pPr>
              <w:textAlignment w:val="baseline"/>
              <w:rPr>
                <w:rFonts w:ascii="Arial Narrow" w:hAnsi="Arial Narrow" w:cs="Open Sans"/>
                <w:b/>
                <w:bCs/>
                <w:color w:val="333333"/>
                <w:sz w:val="18"/>
                <w:szCs w:val="18"/>
                <w:bdr w:val="none" w:sz="0" w:space="0" w:color="auto" w:frame="1"/>
              </w:rPr>
            </w:pPr>
          </w:p>
          <w:p w14:paraId="42859847" w14:textId="77777777" w:rsidR="009D30A1" w:rsidRDefault="009D30A1" w:rsidP="009D30A1">
            <w:pPr>
              <w:textAlignment w:val="baseline"/>
              <w:rPr>
                <w:rFonts w:ascii="Arial Narrow" w:hAnsi="Arial Narrow" w:cs="Open Sans"/>
                <w:b/>
                <w:bCs/>
                <w:color w:val="333333"/>
                <w:sz w:val="18"/>
                <w:szCs w:val="18"/>
                <w:bdr w:val="none" w:sz="0" w:space="0" w:color="auto" w:frame="1"/>
              </w:rPr>
            </w:pPr>
          </w:p>
          <w:p w14:paraId="1A2FA7B3" w14:textId="77777777" w:rsidR="009D30A1" w:rsidRPr="00835A99"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835A99" w14:paraId="0616120E" w14:textId="77777777" w:rsidTr="009D30A1">
        <w:tc>
          <w:tcPr>
            <w:tcW w:w="9209" w:type="dxa"/>
            <w:gridSpan w:val="2"/>
          </w:tcPr>
          <w:p w14:paraId="2D17D368" w14:textId="77777777" w:rsidR="009D30A1" w:rsidRPr="00835A99" w:rsidRDefault="009D30A1" w:rsidP="009D30A1">
            <w:pPr>
              <w:textAlignment w:val="baseline"/>
              <w:rPr>
                <w:rFonts w:ascii="Arial Narrow" w:hAnsi="Arial Narrow" w:cs="Open Sans"/>
                <w:b/>
                <w:bCs/>
                <w:color w:val="333333"/>
                <w:sz w:val="18"/>
                <w:szCs w:val="18"/>
                <w:bdr w:val="none" w:sz="0" w:space="0" w:color="auto" w:frame="1"/>
              </w:rPr>
            </w:pPr>
            <w:r>
              <w:rPr>
                <w:rFonts w:ascii="Arial Narrow" w:hAnsi="Arial Narrow"/>
                <w:b/>
                <w:sz w:val="18"/>
                <w:szCs w:val="18"/>
              </w:rPr>
              <w:t>Restriction Summary 11830 / Treatment of Concept: 11915</w:t>
            </w:r>
          </w:p>
        </w:tc>
      </w:tr>
      <w:tr w:rsidR="009D30A1" w:rsidRPr="00835A99" w14:paraId="0625C857" w14:textId="77777777" w:rsidTr="009D30A1">
        <w:tc>
          <w:tcPr>
            <w:tcW w:w="988" w:type="dxa"/>
            <w:hideMark/>
          </w:tcPr>
          <w:p w14:paraId="17BF4B53" w14:textId="132AACB7"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20B97763"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835A99">
              <w:rPr>
                <w:rFonts w:ascii="Arial Narrow" w:hAnsi="Arial Narrow" w:cs="Open Sans"/>
                <w:color w:val="333333"/>
                <w:sz w:val="18"/>
                <w:szCs w:val="18"/>
              </w:rPr>
              <w:t>Moderate to severe ulcerative colitis</w:t>
            </w:r>
          </w:p>
        </w:tc>
      </w:tr>
      <w:tr w:rsidR="009D30A1" w:rsidRPr="00835A99" w14:paraId="5705A46D" w14:textId="77777777" w:rsidTr="009D30A1">
        <w:tc>
          <w:tcPr>
            <w:tcW w:w="988" w:type="dxa"/>
          </w:tcPr>
          <w:p w14:paraId="72836DFF" w14:textId="77777777" w:rsidR="009D30A1" w:rsidRPr="00835A99" w:rsidRDefault="009D30A1" w:rsidP="009D30A1">
            <w:pPr>
              <w:rPr>
                <w:rFonts w:ascii="Arial Narrow" w:hAnsi="Arial Narrow" w:cs="Open Sans"/>
                <w:color w:val="333333"/>
                <w:sz w:val="18"/>
                <w:szCs w:val="18"/>
              </w:rPr>
            </w:pPr>
          </w:p>
        </w:tc>
        <w:tc>
          <w:tcPr>
            <w:tcW w:w="8221" w:type="dxa"/>
          </w:tcPr>
          <w:p w14:paraId="371FB8E9" w14:textId="77777777" w:rsidR="009D30A1" w:rsidRPr="00835A99"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835A99" w14:paraId="13575F85" w14:textId="77777777" w:rsidTr="009D30A1">
        <w:tc>
          <w:tcPr>
            <w:tcW w:w="988" w:type="dxa"/>
            <w:hideMark/>
          </w:tcPr>
          <w:p w14:paraId="0E81C503" w14:textId="77777777" w:rsidR="009D30A1" w:rsidRPr="00835A99" w:rsidRDefault="009D30A1" w:rsidP="009D30A1">
            <w:pPr>
              <w:rPr>
                <w:rFonts w:ascii="Arial Narrow" w:hAnsi="Arial Narrow" w:cs="Open Sans"/>
                <w:color w:val="333333"/>
                <w:sz w:val="18"/>
                <w:szCs w:val="18"/>
              </w:rPr>
            </w:pPr>
          </w:p>
        </w:tc>
        <w:tc>
          <w:tcPr>
            <w:tcW w:w="8221" w:type="dxa"/>
            <w:hideMark/>
          </w:tcPr>
          <w:p w14:paraId="236FCEA5"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835A99">
              <w:rPr>
                <w:rFonts w:ascii="Arial Narrow" w:hAnsi="Arial Narrow" w:cs="Open Sans"/>
                <w:color w:val="333333"/>
                <w:sz w:val="18"/>
                <w:szCs w:val="18"/>
              </w:rPr>
              <w:t>Initial treatment - Initial 2 (change or re-commencement of treatment after a break in biological medicine of less than 5 years)</w:t>
            </w:r>
          </w:p>
        </w:tc>
      </w:tr>
      <w:tr w:rsidR="009D30A1" w:rsidRPr="00835A99" w14:paraId="4D87A0BA" w14:textId="77777777" w:rsidTr="009D30A1">
        <w:tc>
          <w:tcPr>
            <w:tcW w:w="988" w:type="dxa"/>
          </w:tcPr>
          <w:p w14:paraId="19F8210C" w14:textId="77777777" w:rsidR="009D30A1" w:rsidRPr="00835A99" w:rsidRDefault="009D30A1" w:rsidP="009D30A1">
            <w:pPr>
              <w:rPr>
                <w:rFonts w:ascii="Arial Narrow" w:hAnsi="Arial Narrow" w:cs="Open Sans"/>
                <w:color w:val="333333"/>
                <w:sz w:val="18"/>
                <w:szCs w:val="18"/>
              </w:rPr>
            </w:pPr>
          </w:p>
        </w:tc>
        <w:tc>
          <w:tcPr>
            <w:tcW w:w="8221" w:type="dxa"/>
          </w:tcPr>
          <w:p w14:paraId="5F1897E2" w14:textId="77777777" w:rsidR="009D30A1" w:rsidRPr="00835A99"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835A99" w14:paraId="0C1C079F" w14:textId="77777777" w:rsidTr="009D30A1">
        <w:tc>
          <w:tcPr>
            <w:tcW w:w="988" w:type="dxa"/>
            <w:hideMark/>
          </w:tcPr>
          <w:p w14:paraId="672DE16D" w14:textId="6730B4FB"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662DF4FA"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Treatment criteria:</w:t>
            </w:r>
          </w:p>
        </w:tc>
      </w:tr>
      <w:tr w:rsidR="009D30A1" w:rsidRPr="00835A99" w14:paraId="3F934E34" w14:textId="77777777" w:rsidTr="009D30A1">
        <w:tc>
          <w:tcPr>
            <w:tcW w:w="988" w:type="dxa"/>
            <w:hideMark/>
          </w:tcPr>
          <w:p w14:paraId="2A5D0859" w14:textId="529BEC7B"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4E1610E7"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color w:val="333333"/>
                <w:sz w:val="18"/>
                <w:szCs w:val="18"/>
              </w:rPr>
              <w:t>Must be treated by a gastroenterologist (code 87); or</w:t>
            </w:r>
          </w:p>
        </w:tc>
      </w:tr>
      <w:tr w:rsidR="009D30A1" w:rsidRPr="00835A99" w14:paraId="7CA623D3" w14:textId="77777777" w:rsidTr="009D30A1">
        <w:tc>
          <w:tcPr>
            <w:tcW w:w="988" w:type="dxa"/>
            <w:hideMark/>
          </w:tcPr>
          <w:p w14:paraId="112BE408" w14:textId="42CC08B8"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5BD7B0CA"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color w:val="333333"/>
                <w:sz w:val="18"/>
                <w:szCs w:val="18"/>
              </w:rPr>
              <w:t>Must be treated by a consultant physician [internal medicine specialising in gastroenterology (code 81)]; or</w:t>
            </w:r>
          </w:p>
        </w:tc>
      </w:tr>
      <w:tr w:rsidR="009D30A1" w:rsidRPr="00835A99" w14:paraId="44481758" w14:textId="77777777" w:rsidTr="009D30A1">
        <w:tc>
          <w:tcPr>
            <w:tcW w:w="988" w:type="dxa"/>
            <w:hideMark/>
          </w:tcPr>
          <w:p w14:paraId="0CB94BD1" w14:textId="2877531C"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3B9E55A3"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color w:val="333333"/>
                <w:sz w:val="18"/>
                <w:szCs w:val="18"/>
              </w:rPr>
              <w:t>Must be treated by a consultant physician [general medicine specialising in gastroenterology (code 82)]</w:t>
            </w:r>
          </w:p>
        </w:tc>
      </w:tr>
      <w:tr w:rsidR="009D30A1" w:rsidRPr="00835A99" w14:paraId="56F116A8" w14:textId="77777777" w:rsidTr="009D30A1">
        <w:tc>
          <w:tcPr>
            <w:tcW w:w="988" w:type="dxa"/>
            <w:hideMark/>
          </w:tcPr>
          <w:p w14:paraId="1CB46F9A" w14:textId="77777777" w:rsidR="009D30A1" w:rsidRPr="00835A99" w:rsidRDefault="009D30A1" w:rsidP="009D30A1">
            <w:pPr>
              <w:rPr>
                <w:rFonts w:ascii="Arial Narrow" w:hAnsi="Arial Narrow" w:cs="Open Sans"/>
                <w:color w:val="333333"/>
                <w:sz w:val="18"/>
                <w:szCs w:val="18"/>
              </w:rPr>
            </w:pPr>
          </w:p>
        </w:tc>
        <w:tc>
          <w:tcPr>
            <w:tcW w:w="8221" w:type="dxa"/>
            <w:hideMark/>
          </w:tcPr>
          <w:p w14:paraId="512A183F"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AND</w:t>
            </w:r>
          </w:p>
        </w:tc>
      </w:tr>
      <w:tr w:rsidR="009D30A1" w:rsidRPr="00835A99" w14:paraId="379CEF3F" w14:textId="77777777" w:rsidTr="009D30A1">
        <w:tc>
          <w:tcPr>
            <w:tcW w:w="988" w:type="dxa"/>
            <w:hideMark/>
          </w:tcPr>
          <w:p w14:paraId="79FF08D7" w14:textId="04BC31F7"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480309D4"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Clinical criteria:</w:t>
            </w:r>
          </w:p>
        </w:tc>
      </w:tr>
      <w:tr w:rsidR="009D30A1" w:rsidRPr="00835A99" w14:paraId="051165B4" w14:textId="77777777" w:rsidTr="009D30A1">
        <w:tc>
          <w:tcPr>
            <w:tcW w:w="988" w:type="dxa"/>
            <w:hideMark/>
          </w:tcPr>
          <w:p w14:paraId="1A930693" w14:textId="42D58D93"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15700235"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color w:val="333333"/>
                <w:sz w:val="18"/>
                <w:szCs w:val="18"/>
              </w:rPr>
              <w:t>Patient must have received prior PBS-subsidised treatment with a biological medicine for this condition in this treatment cycle</w:t>
            </w:r>
          </w:p>
        </w:tc>
      </w:tr>
      <w:tr w:rsidR="009D30A1" w:rsidRPr="00835A99" w14:paraId="0C60501D" w14:textId="77777777" w:rsidTr="009D30A1">
        <w:tc>
          <w:tcPr>
            <w:tcW w:w="988" w:type="dxa"/>
            <w:hideMark/>
          </w:tcPr>
          <w:p w14:paraId="07775195" w14:textId="77777777" w:rsidR="009D30A1" w:rsidRPr="00835A99" w:rsidRDefault="009D30A1" w:rsidP="009D30A1">
            <w:pPr>
              <w:rPr>
                <w:rFonts w:ascii="Arial Narrow" w:hAnsi="Arial Narrow" w:cs="Open Sans"/>
                <w:color w:val="333333"/>
                <w:sz w:val="18"/>
                <w:szCs w:val="18"/>
              </w:rPr>
            </w:pPr>
          </w:p>
        </w:tc>
        <w:tc>
          <w:tcPr>
            <w:tcW w:w="8221" w:type="dxa"/>
            <w:hideMark/>
          </w:tcPr>
          <w:p w14:paraId="07817489"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AND</w:t>
            </w:r>
          </w:p>
        </w:tc>
      </w:tr>
      <w:tr w:rsidR="009D30A1" w:rsidRPr="00835A99" w14:paraId="392E06DF" w14:textId="77777777" w:rsidTr="009D30A1">
        <w:tc>
          <w:tcPr>
            <w:tcW w:w="988" w:type="dxa"/>
            <w:hideMark/>
          </w:tcPr>
          <w:p w14:paraId="65EE1FAE" w14:textId="15A506C3"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7B424A6C"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Clinical criteria:</w:t>
            </w:r>
          </w:p>
        </w:tc>
      </w:tr>
      <w:tr w:rsidR="009D30A1" w:rsidRPr="00835A99" w14:paraId="1C87B9FB" w14:textId="77777777" w:rsidTr="009D30A1">
        <w:tc>
          <w:tcPr>
            <w:tcW w:w="988" w:type="dxa"/>
            <w:hideMark/>
          </w:tcPr>
          <w:p w14:paraId="35CA79BF" w14:textId="77012FD1"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33AD5AF8"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color w:val="333333"/>
                <w:sz w:val="18"/>
                <w:szCs w:val="18"/>
              </w:rPr>
              <w:t>Patient must not have already failed, or ceased to respond to, PBS-subsidised treatment with this drug for this condition during the current treatment cycle</w:t>
            </w:r>
          </w:p>
        </w:tc>
      </w:tr>
      <w:tr w:rsidR="009D30A1" w:rsidRPr="00835A99" w14:paraId="450C6C38" w14:textId="77777777" w:rsidTr="009D30A1">
        <w:tc>
          <w:tcPr>
            <w:tcW w:w="988" w:type="dxa"/>
            <w:hideMark/>
          </w:tcPr>
          <w:p w14:paraId="1DF69C84" w14:textId="77777777" w:rsidR="009D30A1" w:rsidRPr="00835A99" w:rsidRDefault="009D30A1" w:rsidP="009D30A1">
            <w:pPr>
              <w:rPr>
                <w:rFonts w:ascii="Arial Narrow" w:hAnsi="Arial Narrow" w:cs="Open Sans"/>
                <w:color w:val="333333"/>
                <w:sz w:val="18"/>
                <w:szCs w:val="18"/>
              </w:rPr>
            </w:pPr>
          </w:p>
        </w:tc>
        <w:tc>
          <w:tcPr>
            <w:tcW w:w="8221" w:type="dxa"/>
            <w:hideMark/>
          </w:tcPr>
          <w:p w14:paraId="18DF2EA0"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AND</w:t>
            </w:r>
          </w:p>
        </w:tc>
      </w:tr>
      <w:tr w:rsidR="009D30A1" w:rsidRPr="00835A99" w14:paraId="260554DC" w14:textId="77777777" w:rsidTr="009D30A1">
        <w:tc>
          <w:tcPr>
            <w:tcW w:w="988" w:type="dxa"/>
            <w:hideMark/>
          </w:tcPr>
          <w:p w14:paraId="0D9F0438" w14:textId="6E7FBA2A"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287184EE"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Population criteria:</w:t>
            </w:r>
          </w:p>
        </w:tc>
      </w:tr>
      <w:tr w:rsidR="009D30A1" w:rsidRPr="00835A99" w14:paraId="05BB8D33" w14:textId="77777777" w:rsidTr="009D30A1">
        <w:tc>
          <w:tcPr>
            <w:tcW w:w="988" w:type="dxa"/>
            <w:hideMark/>
          </w:tcPr>
          <w:p w14:paraId="359550D1" w14:textId="0778BDC1"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3C4A340C" w14:textId="77777777" w:rsidR="009D30A1" w:rsidRPr="00835A99" w:rsidRDefault="009D30A1" w:rsidP="009D30A1">
            <w:pPr>
              <w:rPr>
                <w:rFonts w:ascii="Arial Narrow" w:hAnsi="Arial Narrow" w:cs="Open Sans"/>
                <w:color w:val="333333"/>
                <w:sz w:val="18"/>
                <w:szCs w:val="18"/>
              </w:rPr>
            </w:pPr>
            <w:r w:rsidRPr="00835A99">
              <w:rPr>
                <w:rFonts w:ascii="Arial Narrow" w:hAnsi="Arial Narrow" w:cs="Open Sans"/>
                <w:color w:val="333333"/>
                <w:sz w:val="18"/>
                <w:szCs w:val="18"/>
              </w:rPr>
              <w:t>Patient must be aged 18 years or older</w:t>
            </w:r>
          </w:p>
        </w:tc>
      </w:tr>
      <w:tr w:rsidR="009D30A1" w:rsidRPr="00835A99" w14:paraId="46C44EB5" w14:textId="77777777" w:rsidTr="009D30A1">
        <w:tc>
          <w:tcPr>
            <w:tcW w:w="988" w:type="dxa"/>
          </w:tcPr>
          <w:p w14:paraId="07249308" w14:textId="77777777" w:rsidR="009D30A1" w:rsidRPr="00835A99" w:rsidRDefault="009D30A1" w:rsidP="009D30A1">
            <w:pPr>
              <w:textAlignment w:val="baseline"/>
              <w:rPr>
                <w:rFonts w:ascii="Arial Narrow" w:hAnsi="Arial Narrow" w:cs="Open Sans"/>
                <w:color w:val="333333"/>
                <w:sz w:val="18"/>
                <w:szCs w:val="18"/>
              </w:rPr>
            </w:pPr>
          </w:p>
        </w:tc>
        <w:tc>
          <w:tcPr>
            <w:tcW w:w="8221" w:type="dxa"/>
          </w:tcPr>
          <w:p w14:paraId="2129418C" w14:textId="77777777" w:rsidR="009D30A1" w:rsidRPr="00835A99"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835A99" w14:paraId="65E491F9" w14:textId="77777777" w:rsidTr="009D30A1">
        <w:tc>
          <w:tcPr>
            <w:tcW w:w="988" w:type="dxa"/>
            <w:hideMark/>
          </w:tcPr>
          <w:p w14:paraId="171CCE7B" w14:textId="2CE686DF"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4729FD8E"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Prescribing Instructions:</w:t>
            </w:r>
          </w:p>
          <w:p w14:paraId="30F10542"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The authority application must be made in writing and must include:</w:t>
            </w:r>
          </w:p>
          <w:p w14:paraId="29637232"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(1) a completed authority prescription form; and</w:t>
            </w:r>
          </w:p>
          <w:p w14:paraId="6720AAFF"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(2) a completed authority application form relevant to the indication and treatment phase (the latest version is located on the website specified in the Administrative Advice), which includes:</w:t>
            </w:r>
          </w:p>
          <w:p w14:paraId="6B4CF9BC"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w:t>
            </w:r>
            <w:proofErr w:type="spellStart"/>
            <w:r w:rsidRPr="00835A99">
              <w:rPr>
                <w:rFonts w:ascii="Arial Narrow" w:hAnsi="Arial Narrow" w:cs="Open Sans"/>
                <w:color w:val="333333"/>
                <w:sz w:val="18"/>
                <w:szCs w:val="18"/>
              </w:rPr>
              <w:t>i</w:t>
            </w:r>
            <w:proofErr w:type="spellEnd"/>
            <w:r w:rsidRPr="00835A99">
              <w:rPr>
                <w:rFonts w:ascii="Arial Narrow" w:hAnsi="Arial Narrow" w:cs="Open Sans"/>
                <w:color w:val="333333"/>
                <w:sz w:val="18"/>
                <w:szCs w:val="18"/>
              </w:rPr>
              <w:t>) the completed current Mayo clinic or partial Mayo clinic calculation sheet including the date of assessment of the patient's condition if relevant; and</w:t>
            </w:r>
          </w:p>
          <w:p w14:paraId="0315A03B" w14:textId="77777777" w:rsidR="009D30A1"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(ii) the details of prior biological medicine treatment including the details of date and duration of treatment.</w:t>
            </w:r>
          </w:p>
          <w:p w14:paraId="6FB09F85" w14:textId="77777777" w:rsidR="009D30A1" w:rsidRPr="00835A99" w:rsidRDefault="009D30A1" w:rsidP="009D30A1">
            <w:pPr>
              <w:textAlignment w:val="baseline"/>
              <w:rPr>
                <w:rFonts w:ascii="Arial Narrow" w:hAnsi="Arial Narrow" w:cs="Open Sans"/>
                <w:color w:val="333333"/>
                <w:sz w:val="18"/>
                <w:szCs w:val="18"/>
              </w:rPr>
            </w:pPr>
          </w:p>
        </w:tc>
      </w:tr>
      <w:tr w:rsidR="009D30A1" w:rsidRPr="00835A99" w14:paraId="4FE40F62" w14:textId="77777777" w:rsidTr="009D30A1">
        <w:tc>
          <w:tcPr>
            <w:tcW w:w="988" w:type="dxa"/>
            <w:hideMark/>
          </w:tcPr>
          <w:p w14:paraId="0CC0FA84" w14:textId="355EDF27"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6257537F"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Prescribing Instructions:</w:t>
            </w:r>
          </w:p>
          <w:p w14:paraId="4B2B1C28"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An assessment of a patient's response to this initial course of treatment must be conducted between 8 and 16 weeks of therapy.</w:t>
            </w:r>
          </w:p>
        </w:tc>
      </w:tr>
      <w:tr w:rsidR="009D30A1" w:rsidRPr="00835A99" w14:paraId="08F9C481" w14:textId="77777777" w:rsidTr="009D30A1">
        <w:tc>
          <w:tcPr>
            <w:tcW w:w="988" w:type="dxa"/>
            <w:hideMark/>
          </w:tcPr>
          <w:p w14:paraId="7B2F0F2B" w14:textId="13A3BC34"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5765EC64"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Prescribing Instructions:</w:t>
            </w:r>
          </w:p>
          <w:p w14:paraId="7C2A9742"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D30A1" w:rsidRPr="00835A99" w14:paraId="1A1F009A" w14:textId="77777777" w:rsidTr="009D30A1">
        <w:tc>
          <w:tcPr>
            <w:tcW w:w="988" w:type="dxa"/>
            <w:hideMark/>
          </w:tcPr>
          <w:p w14:paraId="70F43059" w14:textId="0B77D2FD"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62EFBBF8"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Prescribing Instructions:</w:t>
            </w:r>
          </w:p>
          <w:p w14:paraId="220AF9D4"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 xml:space="preserve">If a patient fails to demonstrate a response to treatment with this </w:t>
            </w:r>
            <w:proofErr w:type="gramStart"/>
            <w:r w:rsidRPr="00835A99">
              <w:rPr>
                <w:rFonts w:ascii="Arial Narrow" w:hAnsi="Arial Narrow" w:cs="Open Sans"/>
                <w:color w:val="333333"/>
                <w:sz w:val="18"/>
                <w:szCs w:val="18"/>
              </w:rPr>
              <w:t>drug</w:t>
            </w:r>
            <w:proofErr w:type="gramEnd"/>
            <w:r w:rsidRPr="00835A99">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D30A1" w:rsidRPr="00835A99" w14:paraId="3E186BA9" w14:textId="77777777" w:rsidTr="009D30A1">
        <w:tc>
          <w:tcPr>
            <w:tcW w:w="988" w:type="dxa"/>
            <w:hideMark/>
          </w:tcPr>
          <w:p w14:paraId="3266CB78" w14:textId="0EE5DAF3"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2C9884ED"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Prescribing Instructions:</w:t>
            </w:r>
          </w:p>
          <w:p w14:paraId="723032C4"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9D30A1" w:rsidRPr="00835A99" w14:paraId="11CFF785" w14:textId="77777777" w:rsidTr="009D30A1">
        <w:tc>
          <w:tcPr>
            <w:tcW w:w="988" w:type="dxa"/>
            <w:hideMark/>
          </w:tcPr>
          <w:p w14:paraId="49E6FFF2" w14:textId="230D681B"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3DF5C0AE"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Prescribing Instructions:</w:t>
            </w:r>
          </w:p>
          <w:p w14:paraId="17ED9DEB" w14:textId="545FA6C1"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A maximum of 1</w:t>
            </w:r>
            <w:r w:rsidR="00EA3D93">
              <w:rPr>
                <w:rFonts w:ascii="Arial Narrow" w:hAnsi="Arial Narrow" w:cs="Open Sans"/>
                <w:color w:val="333333"/>
                <w:sz w:val="18"/>
                <w:szCs w:val="18"/>
              </w:rPr>
              <w:t>7</w:t>
            </w:r>
            <w:r w:rsidRPr="00835A99">
              <w:rPr>
                <w:rFonts w:ascii="Arial Narrow" w:hAnsi="Arial Narrow" w:cs="Open Sans"/>
                <w:color w:val="333333"/>
                <w:sz w:val="18"/>
                <w:szCs w:val="18"/>
              </w:rPr>
              <w:t xml:space="preserve"> weeks of treatment with this drug will be approved under this criterion.</w:t>
            </w:r>
          </w:p>
        </w:tc>
      </w:tr>
      <w:tr w:rsidR="009D30A1" w:rsidRPr="00835A99" w14:paraId="4F80FD84" w14:textId="77777777" w:rsidTr="009D30A1">
        <w:tc>
          <w:tcPr>
            <w:tcW w:w="988" w:type="dxa"/>
            <w:hideMark/>
          </w:tcPr>
          <w:p w14:paraId="2091B340" w14:textId="2A506C24" w:rsidR="009D30A1" w:rsidRPr="00835A99" w:rsidRDefault="009D30A1" w:rsidP="009D30A1">
            <w:pPr>
              <w:textAlignment w:val="baseline"/>
              <w:rPr>
                <w:rFonts w:ascii="Arial Narrow" w:hAnsi="Arial Narrow" w:cs="Open Sans"/>
                <w:color w:val="333333"/>
                <w:sz w:val="18"/>
                <w:szCs w:val="18"/>
              </w:rPr>
            </w:pPr>
          </w:p>
        </w:tc>
        <w:tc>
          <w:tcPr>
            <w:tcW w:w="8221" w:type="dxa"/>
            <w:hideMark/>
          </w:tcPr>
          <w:p w14:paraId="10965028"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b/>
                <w:bCs/>
                <w:color w:val="333333"/>
                <w:sz w:val="18"/>
                <w:szCs w:val="18"/>
                <w:bdr w:val="none" w:sz="0" w:space="0" w:color="auto" w:frame="1"/>
              </w:rPr>
              <w:t>Administrative Advice:</w:t>
            </w:r>
          </w:p>
          <w:p w14:paraId="718DC0F5"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 xml:space="preserve">Any queries concerning the arrangements to prescribe may be directed to Services Australia on 1800 700 270 (hours of operation 8 a.m. to 5 p.m. </w:t>
            </w:r>
            <w:r w:rsidRPr="00835A99">
              <w:rPr>
                <w:rFonts w:ascii="Arial Narrow" w:hAnsi="Arial Narrow" w:cs="Open Sans"/>
                <w:strike/>
                <w:color w:val="333333"/>
                <w:sz w:val="18"/>
                <w:szCs w:val="18"/>
              </w:rPr>
              <w:t>EST</w:t>
            </w:r>
            <w:r w:rsidRPr="00835A99">
              <w:rPr>
                <w:rFonts w:ascii="Arial Narrow" w:hAnsi="Arial Narrow" w:cs="Open Sans"/>
                <w:color w:val="333333"/>
                <w:sz w:val="18"/>
                <w:szCs w:val="18"/>
              </w:rPr>
              <w:t xml:space="preserve"> Monday to Friday).</w:t>
            </w:r>
          </w:p>
          <w:p w14:paraId="66305A35"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lastRenderedPageBreak/>
              <w:t>Prescribing information (including Authority Application forms and other relevant documentation as applicable) is available on the Services Australia website at www.servicesaustralia.gov.au</w:t>
            </w:r>
          </w:p>
          <w:p w14:paraId="68018FF9"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1EFD32CE"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Or mailed to:</w:t>
            </w:r>
          </w:p>
          <w:p w14:paraId="7292B929"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Services Australia</w:t>
            </w:r>
          </w:p>
          <w:p w14:paraId="01D6602C"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Complex Drugs</w:t>
            </w:r>
          </w:p>
          <w:p w14:paraId="18341848"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Reply Paid 9826</w:t>
            </w:r>
          </w:p>
          <w:p w14:paraId="219440A7" w14:textId="77777777" w:rsidR="009D30A1" w:rsidRPr="00835A99" w:rsidRDefault="009D30A1" w:rsidP="009D30A1">
            <w:pPr>
              <w:textAlignment w:val="baseline"/>
              <w:rPr>
                <w:rFonts w:ascii="Arial Narrow" w:hAnsi="Arial Narrow" w:cs="Open Sans"/>
                <w:color w:val="333333"/>
                <w:sz w:val="18"/>
                <w:szCs w:val="18"/>
              </w:rPr>
            </w:pPr>
            <w:r w:rsidRPr="00835A99">
              <w:rPr>
                <w:rFonts w:ascii="Arial Narrow" w:hAnsi="Arial Narrow" w:cs="Open Sans"/>
                <w:color w:val="333333"/>
                <w:sz w:val="18"/>
                <w:szCs w:val="18"/>
              </w:rPr>
              <w:t>HOBART TAS 7001</w:t>
            </w:r>
          </w:p>
        </w:tc>
      </w:tr>
      <w:tr w:rsidR="009D30A1" w:rsidRPr="00F32C23" w14:paraId="66AB4582" w14:textId="77777777" w:rsidTr="009D30A1">
        <w:trPr>
          <w:trHeight w:val="423"/>
        </w:trPr>
        <w:tc>
          <w:tcPr>
            <w:tcW w:w="9209" w:type="dxa"/>
            <w:gridSpan w:val="2"/>
          </w:tcPr>
          <w:p w14:paraId="228A894C" w14:textId="77777777" w:rsidR="009D30A1" w:rsidRDefault="009D30A1" w:rsidP="009D30A1">
            <w:pPr>
              <w:textAlignment w:val="baseline"/>
              <w:rPr>
                <w:rFonts w:ascii="Arial Narrow" w:hAnsi="Arial Narrow" w:cs="Open Sans"/>
                <w:b/>
                <w:bCs/>
                <w:color w:val="333333"/>
                <w:sz w:val="18"/>
                <w:szCs w:val="18"/>
                <w:bdr w:val="none" w:sz="0" w:space="0" w:color="auto" w:frame="1"/>
              </w:rPr>
            </w:pPr>
          </w:p>
          <w:p w14:paraId="37C1E201" w14:textId="77777777" w:rsidR="009D30A1" w:rsidRDefault="009D30A1" w:rsidP="009D30A1">
            <w:pPr>
              <w:textAlignment w:val="baseline"/>
              <w:rPr>
                <w:rFonts w:ascii="Arial Narrow" w:hAnsi="Arial Narrow" w:cs="Open Sans"/>
                <w:b/>
                <w:bCs/>
                <w:color w:val="333333"/>
                <w:sz w:val="18"/>
                <w:szCs w:val="18"/>
                <w:bdr w:val="none" w:sz="0" w:space="0" w:color="auto" w:frame="1"/>
              </w:rPr>
            </w:pPr>
          </w:p>
          <w:p w14:paraId="24081F73" w14:textId="77777777" w:rsidR="009D30A1" w:rsidRPr="00F32C23"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F32C23" w14:paraId="4E884CCF" w14:textId="77777777" w:rsidTr="009D30A1">
        <w:tc>
          <w:tcPr>
            <w:tcW w:w="9209" w:type="dxa"/>
            <w:gridSpan w:val="2"/>
          </w:tcPr>
          <w:p w14:paraId="5396780C" w14:textId="77777777" w:rsidR="009D30A1" w:rsidRPr="00F32C23" w:rsidRDefault="009D30A1" w:rsidP="009D30A1">
            <w:pPr>
              <w:textAlignment w:val="baseline"/>
              <w:rPr>
                <w:rFonts w:ascii="Arial Narrow" w:hAnsi="Arial Narrow" w:cs="Open Sans"/>
                <w:b/>
                <w:bCs/>
                <w:color w:val="333333"/>
                <w:sz w:val="18"/>
                <w:szCs w:val="18"/>
                <w:bdr w:val="none" w:sz="0" w:space="0" w:color="auto" w:frame="1"/>
              </w:rPr>
            </w:pPr>
            <w:r>
              <w:rPr>
                <w:rFonts w:ascii="Arial Narrow" w:hAnsi="Arial Narrow"/>
                <w:b/>
                <w:sz w:val="18"/>
                <w:szCs w:val="18"/>
              </w:rPr>
              <w:t>Restriction Summary 11881 / Treatment of Concept: 11975</w:t>
            </w:r>
          </w:p>
        </w:tc>
      </w:tr>
      <w:tr w:rsidR="009D30A1" w:rsidRPr="00F32C23" w14:paraId="7A986222" w14:textId="77777777" w:rsidTr="009D30A1">
        <w:tc>
          <w:tcPr>
            <w:tcW w:w="988" w:type="dxa"/>
            <w:hideMark/>
          </w:tcPr>
          <w:p w14:paraId="5DF782FB" w14:textId="6A5159B9"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7B68B298"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F32C23">
              <w:rPr>
                <w:rFonts w:ascii="Arial Narrow" w:hAnsi="Arial Narrow" w:cs="Open Sans"/>
                <w:color w:val="333333"/>
                <w:sz w:val="18"/>
                <w:szCs w:val="18"/>
              </w:rPr>
              <w:t>Moderate to severe ulcerative colitis</w:t>
            </w:r>
          </w:p>
        </w:tc>
      </w:tr>
      <w:tr w:rsidR="009D30A1" w:rsidRPr="00F32C23" w14:paraId="2D41331C" w14:textId="77777777" w:rsidTr="009D30A1">
        <w:tc>
          <w:tcPr>
            <w:tcW w:w="988" w:type="dxa"/>
          </w:tcPr>
          <w:p w14:paraId="42F9A85D" w14:textId="77777777" w:rsidR="009D30A1" w:rsidRPr="00F32C23" w:rsidRDefault="009D30A1" w:rsidP="009D30A1">
            <w:pPr>
              <w:textAlignment w:val="baseline"/>
              <w:rPr>
                <w:rFonts w:ascii="Arial Narrow" w:hAnsi="Arial Narrow" w:cs="Open Sans"/>
                <w:color w:val="333333"/>
                <w:sz w:val="18"/>
                <w:szCs w:val="18"/>
              </w:rPr>
            </w:pPr>
          </w:p>
        </w:tc>
        <w:tc>
          <w:tcPr>
            <w:tcW w:w="8221" w:type="dxa"/>
          </w:tcPr>
          <w:p w14:paraId="7EBCD4EB" w14:textId="77777777" w:rsidR="009D30A1" w:rsidRPr="00F32C23"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F32C23" w14:paraId="1504AA58" w14:textId="77777777" w:rsidTr="009D30A1">
        <w:tc>
          <w:tcPr>
            <w:tcW w:w="988" w:type="dxa"/>
            <w:hideMark/>
          </w:tcPr>
          <w:p w14:paraId="395276D7" w14:textId="77777777" w:rsidR="009D30A1" w:rsidRPr="00F32C23" w:rsidRDefault="009D30A1" w:rsidP="009D30A1">
            <w:pPr>
              <w:rPr>
                <w:rFonts w:ascii="Arial Narrow" w:hAnsi="Arial Narrow" w:cs="Open Sans"/>
                <w:color w:val="333333"/>
                <w:sz w:val="18"/>
                <w:szCs w:val="18"/>
              </w:rPr>
            </w:pPr>
          </w:p>
        </w:tc>
        <w:tc>
          <w:tcPr>
            <w:tcW w:w="8221" w:type="dxa"/>
            <w:hideMark/>
          </w:tcPr>
          <w:p w14:paraId="2BA5DC64"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F32C23">
              <w:rPr>
                <w:rFonts w:ascii="Arial Narrow" w:hAnsi="Arial Narrow" w:cs="Open Sans"/>
                <w:color w:val="333333"/>
                <w:sz w:val="18"/>
                <w:szCs w:val="18"/>
              </w:rPr>
              <w:t>Initial treatment - Initial 3 (recommencement of treatment after a break in biological medicine of more than 5 years)</w:t>
            </w:r>
          </w:p>
        </w:tc>
      </w:tr>
      <w:tr w:rsidR="009D30A1" w:rsidRPr="00F32C23" w14:paraId="6B9BFE08" w14:textId="77777777" w:rsidTr="009D30A1">
        <w:tc>
          <w:tcPr>
            <w:tcW w:w="988" w:type="dxa"/>
          </w:tcPr>
          <w:p w14:paraId="6F07A66A" w14:textId="77777777" w:rsidR="009D30A1" w:rsidRPr="00F32C23" w:rsidRDefault="009D30A1" w:rsidP="009D30A1">
            <w:pPr>
              <w:rPr>
                <w:rFonts w:ascii="Arial Narrow" w:hAnsi="Arial Narrow" w:cs="Open Sans"/>
                <w:color w:val="333333"/>
                <w:sz w:val="18"/>
                <w:szCs w:val="18"/>
              </w:rPr>
            </w:pPr>
          </w:p>
        </w:tc>
        <w:tc>
          <w:tcPr>
            <w:tcW w:w="8221" w:type="dxa"/>
          </w:tcPr>
          <w:p w14:paraId="13883668" w14:textId="77777777" w:rsidR="009D30A1" w:rsidRPr="00F32C23"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F32C23" w14:paraId="5AEF4D45" w14:textId="77777777" w:rsidTr="009D30A1">
        <w:tc>
          <w:tcPr>
            <w:tcW w:w="988" w:type="dxa"/>
            <w:hideMark/>
          </w:tcPr>
          <w:p w14:paraId="5A6D7955" w14:textId="4DEBF455"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34D4989B"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Treatment criteria:</w:t>
            </w:r>
          </w:p>
        </w:tc>
      </w:tr>
      <w:tr w:rsidR="009D30A1" w:rsidRPr="00F32C23" w14:paraId="4D221B62" w14:textId="77777777" w:rsidTr="009D30A1">
        <w:tc>
          <w:tcPr>
            <w:tcW w:w="988" w:type="dxa"/>
            <w:hideMark/>
          </w:tcPr>
          <w:p w14:paraId="29743D8A" w14:textId="700950D2"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6B699911"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Must be treated by a gastroenterologist (code 87); or</w:t>
            </w:r>
          </w:p>
        </w:tc>
      </w:tr>
      <w:tr w:rsidR="009D30A1" w:rsidRPr="00F32C23" w14:paraId="774C0429" w14:textId="77777777" w:rsidTr="009D30A1">
        <w:tc>
          <w:tcPr>
            <w:tcW w:w="988" w:type="dxa"/>
            <w:hideMark/>
          </w:tcPr>
          <w:p w14:paraId="30816255" w14:textId="306E705E"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6EA627A6"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Must be treated by a consultant physician [internal medicine specialising in gastroenterology (code 81)]; or</w:t>
            </w:r>
          </w:p>
        </w:tc>
      </w:tr>
      <w:tr w:rsidR="009D30A1" w:rsidRPr="00F32C23" w14:paraId="52DF9B07" w14:textId="77777777" w:rsidTr="009D30A1">
        <w:tc>
          <w:tcPr>
            <w:tcW w:w="988" w:type="dxa"/>
            <w:hideMark/>
          </w:tcPr>
          <w:p w14:paraId="3A4898A6" w14:textId="17D9852A"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0E14E69C"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Must be treated by a consultant physician [general medicine specialising in gastroenterology (code 82)]</w:t>
            </w:r>
          </w:p>
        </w:tc>
      </w:tr>
      <w:tr w:rsidR="009D30A1" w:rsidRPr="00F32C23" w14:paraId="5F395314" w14:textId="77777777" w:rsidTr="009D30A1">
        <w:tc>
          <w:tcPr>
            <w:tcW w:w="988" w:type="dxa"/>
            <w:hideMark/>
          </w:tcPr>
          <w:p w14:paraId="674B49C3" w14:textId="77777777" w:rsidR="009D30A1" w:rsidRPr="00F32C23" w:rsidRDefault="009D30A1" w:rsidP="009D30A1">
            <w:pPr>
              <w:rPr>
                <w:rFonts w:ascii="Arial Narrow" w:hAnsi="Arial Narrow" w:cs="Open Sans"/>
                <w:color w:val="333333"/>
                <w:sz w:val="18"/>
                <w:szCs w:val="18"/>
              </w:rPr>
            </w:pPr>
          </w:p>
        </w:tc>
        <w:tc>
          <w:tcPr>
            <w:tcW w:w="8221" w:type="dxa"/>
            <w:hideMark/>
          </w:tcPr>
          <w:p w14:paraId="4E599F19"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AND</w:t>
            </w:r>
          </w:p>
        </w:tc>
      </w:tr>
      <w:tr w:rsidR="009D30A1" w:rsidRPr="00F32C23" w14:paraId="50736F48" w14:textId="77777777" w:rsidTr="009D30A1">
        <w:tc>
          <w:tcPr>
            <w:tcW w:w="988" w:type="dxa"/>
            <w:hideMark/>
          </w:tcPr>
          <w:p w14:paraId="35350DAB" w14:textId="0ED66CE2"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4F5A2612"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Clinical criteria:</w:t>
            </w:r>
          </w:p>
        </w:tc>
      </w:tr>
      <w:tr w:rsidR="009D30A1" w:rsidRPr="00F32C23" w14:paraId="29283011" w14:textId="77777777" w:rsidTr="009D30A1">
        <w:tc>
          <w:tcPr>
            <w:tcW w:w="988" w:type="dxa"/>
            <w:hideMark/>
          </w:tcPr>
          <w:p w14:paraId="778108D3" w14:textId="531BDEA9"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2C3C8788"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Patient must have previously received PBS-subsidised treatment with a biological medicine for this condition</w:t>
            </w:r>
          </w:p>
        </w:tc>
      </w:tr>
      <w:tr w:rsidR="009D30A1" w:rsidRPr="00F32C23" w14:paraId="248816D0" w14:textId="77777777" w:rsidTr="009D30A1">
        <w:tc>
          <w:tcPr>
            <w:tcW w:w="988" w:type="dxa"/>
            <w:hideMark/>
          </w:tcPr>
          <w:p w14:paraId="05C8D6D8" w14:textId="77777777" w:rsidR="009D30A1" w:rsidRPr="00F32C23" w:rsidRDefault="009D30A1" w:rsidP="009D30A1">
            <w:pPr>
              <w:rPr>
                <w:rFonts w:ascii="Arial Narrow" w:hAnsi="Arial Narrow" w:cs="Open Sans"/>
                <w:color w:val="333333"/>
                <w:sz w:val="18"/>
                <w:szCs w:val="18"/>
              </w:rPr>
            </w:pPr>
          </w:p>
        </w:tc>
        <w:tc>
          <w:tcPr>
            <w:tcW w:w="8221" w:type="dxa"/>
            <w:hideMark/>
          </w:tcPr>
          <w:p w14:paraId="04E6C7B5"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AND</w:t>
            </w:r>
          </w:p>
        </w:tc>
      </w:tr>
      <w:tr w:rsidR="009D30A1" w:rsidRPr="00F32C23" w14:paraId="4C91E6AE" w14:textId="77777777" w:rsidTr="009D30A1">
        <w:tc>
          <w:tcPr>
            <w:tcW w:w="988" w:type="dxa"/>
            <w:hideMark/>
          </w:tcPr>
          <w:p w14:paraId="13DFFBE9" w14:textId="6F39DAF3"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12CFE507"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Clinical criteria:</w:t>
            </w:r>
          </w:p>
        </w:tc>
      </w:tr>
      <w:tr w:rsidR="009D30A1" w:rsidRPr="00F32C23" w14:paraId="754E9CB7" w14:textId="77777777" w:rsidTr="009D30A1">
        <w:tc>
          <w:tcPr>
            <w:tcW w:w="988" w:type="dxa"/>
            <w:hideMark/>
          </w:tcPr>
          <w:p w14:paraId="144B7057" w14:textId="19918927"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2D2165E4"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Patient must have had a break in treatment of 5 years or more from the most recently approved PBS-subsidised biological medicine for this condition</w:t>
            </w:r>
          </w:p>
        </w:tc>
      </w:tr>
      <w:tr w:rsidR="009D30A1" w:rsidRPr="00F32C23" w14:paraId="1453EC4B" w14:textId="77777777" w:rsidTr="009D30A1">
        <w:tc>
          <w:tcPr>
            <w:tcW w:w="988" w:type="dxa"/>
            <w:hideMark/>
          </w:tcPr>
          <w:p w14:paraId="63DEFDDB" w14:textId="77777777" w:rsidR="009D30A1" w:rsidRPr="00F32C23" w:rsidRDefault="009D30A1" w:rsidP="009D30A1">
            <w:pPr>
              <w:rPr>
                <w:rFonts w:ascii="Arial Narrow" w:hAnsi="Arial Narrow" w:cs="Open Sans"/>
                <w:color w:val="333333"/>
                <w:sz w:val="18"/>
                <w:szCs w:val="18"/>
              </w:rPr>
            </w:pPr>
          </w:p>
        </w:tc>
        <w:tc>
          <w:tcPr>
            <w:tcW w:w="8221" w:type="dxa"/>
            <w:hideMark/>
          </w:tcPr>
          <w:p w14:paraId="7CBDB19E"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AND</w:t>
            </w:r>
          </w:p>
        </w:tc>
      </w:tr>
      <w:tr w:rsidR="009D30A1" w:rsidRPr="00F32C23" w14:paraId="26979A08" w14:textId="77777777" w:rsidTr="009D30A1">
        <w:tc>
          <w:tcPr>
            <w:tcW w:w="988" w:type="dxa"/>
            <w:hideMark/>
          </w:tcPr>
          <w:p w14:paraId="729CB051" w14:textId="7F474DCB"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002500AD"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Clinical criteria:</w:t>
            </w:r>
          </w:p>
        </w:tc>
      </w:tr>
      <w:tr w:rsidR="009D30A1" w:rsidRPr="00F32C23" w14:paraId="01EACB5D" w14:textId="77777777" w:rsidTr="009D30A1">
        <w:tc>
          <w:tcPr>
            <w:tcW w:w="988" w:type="dxa"/>
            <w:hideMark/>
          </w:tcPr>
          <w:p w14:paraId="20FCECB1" w14:textId="6D806086"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2211049D"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Patient must have a Mayo clinic score greater than or equal to 6; or</w:t>
            </w:r>
          </w:p>
        </w:tc>
      </w:tr>
      <w:tr w:rsidR="009D30A1" w:rsidRPr="00F32C23" w14:paraId="27D6B13B" w14:textId="77777777" w:rsidTr="009D30A1">
        <w:tc>
          <w:tcPr>
            <w:tcW w:w="988" w:type="dxa"/>
            <w:hideMark/>
          </w:tcPr>
          <w:p w14:paraId="27885779" w14:textId="7103F794"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349088A3"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 xml:space="preserve">Patient must have a partial Mayo clinic score greater than or equal to 6, provided the rectal bleeding and stool frequency </w:t>
            </w:r>
            <w:proofErr w:type="spellStart"/>
            <w:r w:rsidRPr="00F32C23">
              <w:rPr>
                <w:rFonts w:ascii="Arial Narrow" w:hAnsi="Arial Narrow" w:cs="Open Sans"/>
                <w:color w:val="333333"/>
                <w:sz w:val="18"/>
                <w:szCs w:val="18"/>
              </w:rPr>
              <w:t>subscores</w:t>
            </w:r>
            <w:proofErr w:type="spellEnd"/>
            <w:r w:rsidRPr="00F32C23">
              <w:rPr>
                <w:rFonts w:ascii="Arial Narrow" w:hAnsi="Arial Narrow" w:cs="Open Sans"/>
                <w:color w:val="333333"/>
                <w:sz w:val="18"/>
                <w:szCs w:val="18"/>
              </w:rPr>
              <w:t xml:space="preserve"> are both greater than or equal to 2 (endoscopy </w:t>
            </w:r>
            <w:proofErr w:type="spellStart"/>
            <w:r w:rsidRPr="00F32C23">
              <w:rPr>
                <w:rFonts w:ascii="Arial Narrow" w:hAnsi="Arial Narrow" w:cs="Open Sans"/>
                <w:color w:val="333333"/>
                <w:sz w:val="18"/>
                <w:szCs w:val="18"/>
              </w:rPr>
              <w:t>subscore</w:t>
            </w:r>
            <w:proofErr w:type="spellEnd"/>
            <w:r w:rsidRPr="00F32C23">
              <w:rPr>
                <w:rFonts w:ascii="Arial Narrow" w:hAnsi="Arial Narrow" w:cs="Open Sans"/>
                <w:color w:val="333333"/>
                <w:sz w:val="18"/>
                <w:szCs w:val="18"/>
              </w:rPr>
              <w:t xml:space="preserve"> is not required for a partial Mayo clinic score)</w:t>
            </w:r>
          </w:p>
        </w:tc>
      </w:tr>
      <w:tr w:rsidR="009D30A1" w:rsidRPr="00F32C23" w14:paraId="2650ACE8" w14:textId="77777777" w:rsidTr="009D30A1">
        <w:tc>
          <w:tcPr>
            <w:tcW w:w="988" w:type="dxa"/>
            <w:hideMark/>
          </w:tcPr>
          <w:p w14:paraId="7259DA01" w14:textId="77777777" w:rsidR="009D30A1" w:rsidRPr="00F32C23" w:rsidRDefault="009D30A1" w:rsidP="009D30A1">
            <w:pPr>
              <w:rPr>
                <w:rFonts w:ascii="Arial Narrow" w:hAnsi="Arial Narrow" w:cs="Open Sans"/>
                <w:color w:val="333333"/>
                <w:sz w:val="18"/>
                <w:szCs w:val="18"/>
              </w:rPr>
            </w:pPr>
          </w:p>
        </w:tc>
        <w:tc>
          <w:tcPr>
            <w:tcW w:w="8221" w:type="dxa"/>
            <w:hideMark/>
          </w:tcPr>
          <w:p w14:paraId="7C0D53B1"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AND</w:t>
            </w:r>
          </w:p>
        </w:tc>
      </w:tr>
      <w:tr w:rsidR="009D30A1" w:rsidRPr="00F32C23" w14:paraId="34E67EEC" w14:textId="77777777" w:rsidTr="009D30A1">
        <w:tc>
          <w:tcPr>
            <w:tcW w:w="988" w:type="dxa"/>
            <w:hideMark/>
          </w:tcPr>
          <w:p w14:paraId="015394E9" w14:textId="1E427055"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7E844F63"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Population criteria:</w:t>
            </w:r>
          </w:p>
        </w:tc>
      </w:tr>
      <w:tr w:rsidR="009D30A1" w:rsidRPr="00F32C23" w14:paraId="659DC5F7" w14:textId="77777777" w:rsidTr="009D30A1">
        <w:tc>
          <w:tcPr>
            <w:tcW w:w="988" w:type="dxa"/>
            <w:hideMark/>
          </w:tcPr>
          <w:p w14:paraId="099FE680" w14:textId="66EE3E1B"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565A69E8" w14:textId="77777777" w:rsidR="009D30A1" w:rsidRPr="00F32C23" w:rsidRDefault="009D30A1" w:rsidP="009D30A1">
            <w:pPr>
              <w:rPr>
                <w:rFonts w:ascii="Arial Narrow" w:hAnsi="Arial Narrow" w:cs="Open Sans"/>
                <w:color w:val="333333"/>
                <w:sz w:val="18"/>
                <w:szCs w:val="18"/>
              </w:rPr>
            </w:pPr>
            <w:r w:rsidRPr="00F32C23">
              <w:rPr>
                <w:rFonts w:ascii="Arial Narrow" w:hAnsi="Arial Narrow" w:cs="Open Sans"/>
                <w:color w:val="333333"/>
                <w:sz w:val="18"/>
                <w:szCs w:val="18"/>
              </w:rPr>
              <w:t>Patient must be aged 18 years or older</w:t>
            </w:r>
          </w:p>
        </w:tc>
      </w:tr>
      <w:tr w:rsidR="009D30A1" w:rsidRPr="00F32C23" w14:paraId="664B1D08" w14:textId="77777777" w:rsidTr="009D30A1">
        <w:tc>
          <w:tcPr>
            <w:tcW w:w="988" w:type="dxa"/>
            <w:hideMark/>
          </w:tcPr>
          <w:p w14:paraId="25555B10" w14:textId="6CF8647C"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56932AFC"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Prescribing Instructions:</w:t>
            </w:r>
          </w:p>
          <w:p w14:paraId="66E4EBE6"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The authority application must be made in writing and must include:</w:t>
            </w:r>
          </w:p>
          <w:p w14:paraId="773AB509"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(1) a completed authority prescription form; and</w:t>
            </w:r>
          </w:p>
          <w:p w14:paraId="22401C59"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(2) a completed authority application form relevant to the indication and treatment phase (the latest version is located on the website specified in the Administrative Advice), which includes:</w:t>
            </w:r>
          </w:p>
          <w:p w14:paraId="108C4266"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w:t>
            </w:r>
            <w:proofErr w:type="spellStart"/>
            <w:r w:rsidRPr="00F32C23">
              <w:rPr>
                <w:rFonts w:ascii="Arial Narrow" w:hAnsi="Arial Narrow" w:cs="Open Sans"/>
                <w:color w:val="333333"/>
                <w:sz w:val="18"/>
                <w:szCs w:val="18"/>
              </w:rPr>
              <w:t>i</w:t>
            </w:r>
            <w:proofErr w:type="spellEnd"/>
            <w:r w:rsidRPr="00F32C23">
              <w:rPr>
                <w:rFonts w:ascii="Arial Narrow" w:hAnsi="Arial Narrow" w:cs="Open Sans"/>
                <w:color w:val="333333"/>
                <w:sz w:val="18"/>
                <w:szCs w:val="18"/>
              </w:rPr>
              <w:t>) the completed current Mayo clinic or partial Mayo clinic calculation sheet including the date of assessment of the patient's condition; and</w:t>
            </w:r>
          </w:p>
          <w:p w14:paraId="6FDC0224"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(ii) the details of prior biological medicine treatment including the details of date and duration of treatment.</w:t>
            </w:r>
          </w:p>
        </w:tc>
      </w:tr>
      <w:tr w:rsidR="009D30A1" w:rsidRPr="00F32C23" w14:paraId="66B1E3AF" w14:textId="77777777" w:rsidTr="009D30A1">
        <w:tc>
          <w:tcPr>
            <w:tcW w:w="988" w:type="dxa"/>
            <w:hideMark/>
          </w:tcPr>
          <w:p w14:paraId="6AA5A2C8" w14:textId="525A8830"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6F62BB8E"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Prescribing Instructions:</w:t>
            </w:r>
          </w:p>
          <w:p w14:paraId="39C21BD1"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The most recent Mayo clinic or partial Mayo clinic score must be no more than 4 weeks old at the time of application.</w:t>
            </w:r>
          </w:p>
        </w:tc>
      </w:tr>
      <w:tr w:rsidR="009D30A1" w:rsidRPr="00F32C23" w14:paraId="3483C710" w14:textId="77777777" w:rsidTr="009D30A1">
        <w:tc>
          <w:tcPr>
            <w:tcW w:w="988" w:type="dxa"/>
            <w:hideMark/>
          </w:tcPr>
          <w:p w14:paraId="5178AAB5" w14:textId="76277E70"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1D39BE71"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Prescribing Instructions:</w:t>
            </w:r>
          </w:p>
          <w:p w14:paraId="4B4BC2FA"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An assessment of a patient's response to this initial course of treatment must be conducted between 8 and 16 weeks of therapy.</w:t>
            </w:r>
          </w:p>
        </w:tc>
      </w:tr>
      <w:tr w:rsidR="009D30A1" w:rsidRPr="00F32C23" w14:paraId="49EE5FF5" w14:textId="77777777" w:rsidTr="009D30A1">
        <w:tc>
          <w:tcPr>
            <w:tcW w:w="988" w:type="dxa"/>
            <w:hideMark/>
          </w:tcPr>
          <w:p w14:paraId="3E788D46" w14:textId="642A8932"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31D095D1"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Prescribing Instructions:</w:t>
            </w:r>
          </w:p>
          <w:p w14:paraId="2A102F2B"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D30A1" w:rsidRPr="00F32C23" w14:paraId="0241BA6B" w14:textId="77777777" w:rsidTr="009D30A1">
        <w:tc>
          <w:tcPr>
            <w:tcW w:w="988" w:type="dxa"/>
            <w:hideMark/>
          </w:tcPr>
          <w:p w14:paraId="58E423F4" w14:textId="4EDE1C67"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43441B56"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Prescribing Instructions:</w:t>
            </w:r>
          </w:p>
          <w:p w14:paraId="26D987F6"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 xml:space="preserve">If a patient fails to demonstrate a response to treatment with this </w:t>
            </w:r>
            <w:proofErr w:type="gramStart"/>
            <w:r w:rsidRPr="00F32C23">
              <w:rPr>
                <w:rFonts w:ascii="Arial Narrow" w:hAnsi="Arial Narrow" w:cs="Open Sans"/>
                <w:color w:val="333333"/>
                <w:sz w:val="18"/>
                <w:szCs w:val="18"/>
              </w:rPr>
              <w:t>drug</w:t>
            </w:r>
            <w:proofErr w:type="gramEnd"/>
            <w:r w:rsidRPr="00F32C23">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D30A1" w:rsidRPr="00F32C23" w14:paraId="186228E4" w14:textId="77777777" w:rsidTr="009D30A1">
        <w:tc>
          <w:tcPr>
            <w:tcW w:w="988" w:type="dxa"/>
            <w:hideMark/>
          </w:tcPr>
          <w:p w14:paraId="2E994A61" w14:textId="39F48212"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49C724DC"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Prescribing Instructions:</w:t>
            </w:r>
          </w:p>
          <w:p w14:paraId="77DDF08C" w14:textId="742EC088"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A maximum of 1</w:t>
            </w:r>
            <w:r w:rsidR="00EA3D93">
              <w:rPr>
                <w:rFonts w:ascii="Arial Narrow" w:hAnsi="Arial Narrow" w:cs="Open Sans"/>
                <w:color w:val="333333"/>
                <w:sz w:val="18"/>
                <w:szCs w:val="18"/>
              </w:rPr>
              <w:t>7</w:t>
            </w:r>
            <w:r w:rsidRPr="00F32C23">
              <w:rPr>
                <w:rFonts w:ascii="Arial Narrow" w:hAnsi="Arial Narrow" w:cs="Open Sans"/>
                <w:color w:val="333333"/>
                <w:sz w:val="18"/>
                <w:szCs w:val="18"/>
              </w:rPr>
              <w:t xml:space="preserve"> weeks of treatment with this drug will be approved under this criterion.</w:t>
            </w:r>
          </w:p>
        </w:tc>
      </w:tr>
      <w:tr w:rsidR="009D30A1" w:rsidRPr="00F32C23" w14:paraId="78358451" w14:textId="77777777" w:rsidTr="009D30A1">
        <w:tc>
          <w:tcPr>
            <w:tcW w:w="988" w:type="dxa"/>
            <w:hideMark/>
          </w:tcPr>
          <w:p w14:paraId="3669AD45" w14:textId="41CC0F00" w:rsidR="009D30A1" w:rsidRPr="00F32C23" w:rsidRDefault="009D30A1" w:rsidP="009D30A1">
            <w:pPr>
              <w:textAlignment w:val="baseline"/>
              <w:rPr>
                <w:rFonts w:ascii="Arial Narrow" w:hAnsi="Arial Narrow" w:cs="Open Sans"/>
                <w:color w:val="333333"/>
                <w:sz w:val="18"/>
                <w:szCs w:val="18"/>
              </w:rPr>
            </w:pPr>
          </w:p>
        </w:tc>
        <w:tc>
          <w:tcPr>
            <w:tcW w:w="8221" w:type="dxa"/>
            <w:hideMark/>
          </w:tcPr>
          <w:p w14:paraId="0F28FE25"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b/>
                <w:bCs/>
                <w:color w:val="333333"/>
                <w:sz w:val="18"/>
                <w:szCs w:val="18"/>
                <w:bdr w:val="none" w:sz="0" w:space="0" w:color="auto" w:frame="1"/>
              </w:rPr>
              <w:t>Administrative Advice:</w:t>
            </w:r>
          </w:p>
          <w:p w14:paraId="32AA8F42"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 xml:space="preserve">Any queries concerning the arrangements to prescribe may be directed to Services Australia on 1800 700 270 (hours of operation 8 a.m. to 5 p.m. </w:t>
            </w:r>
            <w:r w:rsidRPr="00F32C23">
              <w:rPr>
                <w:rFonts w:ascii="Arial Narrow" w:hAnsi="Arial Narrow" w:cs="Open Sans"/>
                <w:strike/>
                <w:color w:val="333333"/>
                <w:sz w:val="18"/>
                <w:szCs w:val="18"/>
              </w:rPr>
              <w:t>EST</w:t>
            </w:r>
            <w:r w:rsidRPr="00F32C23">
              <w:rPr>
                <w:rFonts w:ascii="Arial Narrow" w:hAnsi="Arial Narrow" w:cs="Open Sans"/>
                <w:color w:val="333333"/>
                <w:sz w:val="18"/>
                <w:szCs w:val="18"/>
              </w:rPr>
              <w:t xml:space="preserve"> Monday to Friday).</w:t>
            </w:r>
          </w:p>
          <w:p w14:paraId="5446AB32"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Prescribing information (including Authority Application forms and other relevant documentation as applicable) is available on the Services Australia website at www.servicesaustralia.gov.au</w:t>
            </w:r>
          </w:p>
          <w:p w14:paraId="36227D4C"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642DA82B"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Or mailed to:</w:t>
            </w:r>
          </w:p>
          <w:p w14:paraId="4699787A"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Services Australia</w:t>
            </w:r>
          </w:p>
          <w:p w14:paraId="08AFA7A8"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Complex Drugs</w:t>
            </w:r>
          </w:p>
          <w:p w14:paraId="55BF8882"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Reply Paid 9826</w:t>
            </w:r>
          </w:p>
          <w:p w14:paraId="2FE4D113" w14:textId="77777777" w:rsidR="009D30A1" w:rsidRPr="00F32C23" w:rsidRDefault="009D30A1" w:rsidP="009D30A1">
            <w:pPr>
              <w:textAlignment w:val="baseline"/>
              <w:rPr>
                <w:rFonts w:ascii="Arial Narrow" w:hAnsi="Arial Narrow" w:cs="Open Sans"/>
                <w:color w:val="333333"/>
                <w:sz w:val="18"/>
                <w:szCs w:val="18"/>
              </w:rPr>
            </w:pPr>
            <w:r w:rsidRPr="00F32C23">
              <w:rPr>
                <w:rFonts w:ascii="Arial Narrow" w:hAnsi="Arial Narrow" w:cs="Open Sans"/>
                <w:color w:val="333333"/>
                <w:sz w:val="18"/>
                <w:szCs w:val="18"/>
              </w:rPr>
              <w:t>HOBART TAS 7001</w:t>
            </w:r>
          </w:p>
        </w:tc>
      </w:tr>
      <w:tr w:rsidR="009D30A1" w:rsidRPr="00936048" w14:paraId="0AF4DB13" w14:textId="77777777" w:rsidTr="009D30A1">
        <w:trPr>
          <w:trHeight w:val="423"/>
        </w:trPr>
        <w:tc>
          <w:tcPr>
            <w:tcW w:w="9209" w:type="dxa"/>
            <w:gridSpan w:val="2"/>
          </w:tcPr>
          <w:p w14:paraId="3821FD08" w14:textId="77777777" w:rsidR="009D30A1" w:rsidRPr="00936048"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936048" w14:paraId="042D41C4" w14:textId="77777777" w:rsidTr="009D30A1">
        <w:tc>
          <w:tcPr>
            <w:tcW w:w="9209" w:type="dxa"/>
            <w:gridSpan w:val="2"/>
          </w:tcPr>
          <w:p w14:paraId="6E852019" w14:textId="77777777" w:rsidR="009D30A1" w:rsidRPr="00936048" w:rsidRDefault="009D30A1" w:rsidP="009D30A1">
            <w:pPr>
              <w:textAlignment w:val="baseline"/>
              <w:rPr>
                <w:rFonts w:ascii="Arial Narrow" w:hAnsi="Arial Narrow" w:cs="Open Sans"/>
                <w:b/>
                <w:bCs/>
                <w:color w:val="333333"/>
                <w:sz w:val="18"/>
                <w:szCs w:val="18"/>
                <w:bdr w:val="none" w:sz="0" w:space="0" w:color="auto" w:frame="1"/>
              </w:rPr>
            </w:pPr>
            <w:r>
              <w:rPr>
                <w:rFonts w:ascii="Arial Narrow" w:hAnsi="Arial Narrow"/>
                <w:b/>
                <w:sz w:val="18"/>
                <w:szCs w:val="18"/>
              </w:rPr>
              <w:t>Restriction Summary 11976 / Treatment of Concept: 11976</w:t>
            </w:r>
          </w:p>
        </w:tc>
      </w:tr>
      <w:tr w:rsidR="009D30A1" w:rsidRPr="00936048" w14:paraId="0016511E" w14:textId="77777777" w:rsidTr="009D30A1">
        <w:tc>
          <w:tcPr>
            <w:tcW w:w="988" w:type="dxa"/>
            <w:hideMark/>
          </w:tcPr>
          <w:p w14:paraId="5740B838" w14:textId="4C68536F"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68E82923"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Indication:</w:t>
            </w:r>
          </w:p>
          <w:p w14:paraId="2D7F1A07"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color w:val="333333"/>
                <w:sz w:val="18"/>
                <w:szCs w:val="18"/>
              </w:rPr>
              <w:t>Moderate to severe ulcerative colitis</w:t>
            </w:r>
          </w:p>
        </w:tc>
      </w:tr>
      <w:tr w:rsidR="009D30A1" w:rsidRPr="00936048" w14:paraId="7C852FA1" w14:textId="77777777" w:rsidTr="009D30A1">
        <w:tc>
          <w:tcPr>
            <w:tcW w:w="988" w:type="dxa"/>
          </w:tcPr>
          <w:p w14:paraId="7332A5D1" w14:textId="77777777" w:rsidR="009D30A1" w:rsidRPr="00936048" w:rsidRDefault="009D30A1" w:rsidP="009D30A1">
            <w:pPr>
              <w:textAlignment w:val="baseline"/>
              <w:rPr>
                <w:rFonts w:ascii="Arial Narrow" w:hAnsi="Arial Narrow" w:cs="Open Sans"/>
                <w:color w:val="333333"/>
                <w:sz w:val="18"/>
                <w:szCs w:val="18"/>
              </w:rPr>
            </w:pPr>
          </w:p>
        </w:tc>
        <w:tc>
          <w:tcPr>
            <w:tcW w:w="8221" w:type="dxa"/>
          </w:tcPr>
          <w:p w14:paraId="79102C6C" w14:textId="77777777" w:rsidR="009D30A1" w:rsidRPr="00936048"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936048" w14:paraId="6848ABE4" w14:textId="77777777" w:rsidTr="009D30A1">
        <w:tc>
          <w:tcPr>
            <w:tcW w:w="988" w:type="dxa"/>
            <w:hideMark/>
          </w:tcPr>
          <w:p w14:paraId="1C813232" w14:textId="77777777" w:rsidR="009D30A1" w:rsidRPr="00936048" w:rsidRDefault="009D30A1" w:rsidP="009D30A1">
            <w:pPr>
              <w:rPr>
                <w:rFonts w:ascii="Arial Narrow" w:hAnsi="Arial Narrow" w:cs="Open Sans"/>
                <w:color w:val="333333"/>
                <w:sz w:val="18"/>
                <w:szCs w:val="18"/>
              </w:rPr>
            </w:pPr>
          </w:p>
        </w:tc>
        <w:tc>
          <w:tcPr>
            <w:tcW w:w="8221" w:type="dxa"/>
            <w:hideMark/>
          </w:tcPr>
          <w:p w14:paraId="236F61A3"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Treatment Phase:</w:t>
            </w:r>
          </w:p>
          <w:p w14:paraId="030169E8"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color w:val="333333"/>
                <w:sz w:val="18"/>
                <w:szCs w:val="18"/>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9D30A1" w:rsidRPr="00936048" w14:paraId="039F9CA6" w14:textId="77777777" w:rsidTr="009D30A1">
        <w:tc>
          <w:tcPr>
            <w:tcW w:w="988" w:type="dxa"/>
          </w:tcPr>
          <w:p w14:paraId="46F73607" w14:textId="77777777" w:rsidR="009D30A1" w:rsidRPr="00936048" w:rsidRDefault="009D30A1" w:rsidP="009D30A1">
            <w:pPr>
              <w:rPr>
                <w:rFonts w:ascii="Arial Narrow" w:hAnsi="Arial Narrow" w:cs="Open Sans"/>
                <w:color w:val="333333"/>
                <w:sz w:val="18"/>
                <w:szCs w:val="18"/>
              </w:rPr>
            </w:pPr>
          </w:p>
        </w:tc>
        <w:tc>
          <w:tcPr>
            <w:tcW w:w="8221" w:type="dxa"/>
          </w:tcPr>
          <w:p w14:paraId="14E0801D" w14:textId="77777777" w:rsidR="009D30A1" w:rsidRPr="00936048"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936048" w14:paraId="7453DCAC" w14:textId="77777777" w:rsidTr="009D30A1">
        <w:tc>
          <w:tcPr>
            <w:tcW w:w="988" w:type="dxa"/>
            <w:hideMark/>
          </w:tcPr>
          <w:p w14:paraId="1D49440E" w14:textId="59559A65"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1EC485F5"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Treatment criteria:</w:t>
            </w:r>
          </w:p>
        </w:tc>
      </w:tr>
      <w:tr w:rsidR="009D30A1" w:rsidRPr="00936048" w14:paraId="05BAA6B4" w14:textId="77777777" w:rsidTr="009D30A1">
        <w:tc>
          <w:tcPr>
            <w:tcW w:w="988" w:type="dxa"/>
            <w:hideMark/>
          </w:tcPr>
          <w:p w14:paraId="50459610" w14:textId="44110310"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189ACD17" w14:textId="77777777" w:rsidR="009D30A1" w:rsidRPr="00936048" w:rsidRDefault="009D30A1" w:rsidP="009D30A1">
            <w:pPr>
              <w:rPr>
                <w:rFonts w:ascii="Arial Narrow" w:hAnsi="Arial Narrow" w:cs="Open Sans"/>
                <w:color w:val="333333"/>
                <w:sz w:val="18"/>
                <w:szCs w:val="18"/>
              </w:rPr>
            </w:pPr>
            <w:r w:rsidRPr="00936048">
              <w:rPr>
                <w:rFonts w:ascii="Arial Narrow" w:hAnsi="Arial Narrow" w:cs="Open Sans"/>
                <w:color w:val="333333"/>
                <w:sz w:val="18"/>
                <w:szCs w:val="18"/>
              </w:rPr>
              <w:t>Must be treated by a gastroenterologist (code 87); or</w:t>
            </w:r>
          </w:p>
        </w:tc>
      </w:tr>
      <w:tr w:rsidR="009D30A1" w:rsidRPr="00936048" w14:paraId="7EC4A30C" w14:textId="77777777" w:rsidTr="009D30A1">
        <w:tc>
          <w:tcPr>
            <w:tcW w:w="988" w:type="dxa"/>
            <w:hideMark/>
          </w:tcPr>
          <w:p w14:paraId="6499F578" w14:textId="5BAF45A4"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016AF1A3" w14:textId="77777777" w:rsidR="009D30A1" w:rsidRPr="00936048" w:rsidRDefault="009D30A1" w:rsidP="009D30A1">
            <w:pPr>
              <w:rPr>
                <w:rFonts w:ascii="Arial Narrow" w:hAnsi="Arial Narrow" w:cs="Open Sans"/>
                <w:color w:val="333333"/>
                <w:sz w:val="18"/>
                <w:szCs w:val="18"/>
              </w:rPr>
            </w:pPr>
            <w:r w:rsidRPr="00936048">
              <w:rPr>
                <w:rFonts w:ascii="Arial Narrow" w:hAnsi="Arial Narrow" w:cs="Open Sans"/>
                <w:color w:val="333333"/>
                <w:sz w:val="18"/>
                <w:szCs w:val="18"/>
              </w:rPr>
              <w:t>Must be treated by a consultant physician [internal medicine specialising in gastroenterology (code 81)]; or</w:t>
            </w:r>
          </w:p>
        </w:tc>
      </w:tr>
      <w:tr w:rsidR="009D30A1" w:rsidRPr="00936048" w14:paraId="1A00175A" w14:textId="77777777" w:rsidTr="009D30A1">
        <w:tc>
          <w:tcPr>
            <w:tcW w:w="988" w:type="dxa"/>
            <w:hideMark/>
          </w:tcPr>
          <w:p w14:paraId="58B00356" w14:textId="6E0F93B2"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737CE8E9" w14:textId="77777777" w:rsidR="009D30A1" w:rsidRPr="00936048" w:rsidRDefault="009D30A1" w:rsidP="009D30A1">
            <w:pPr>
              <w:rPr>
                <w:rFonts w:ascii="Arial Narrow" w:hAnsi="Arial Narrow" w:cs="Open Sans"/>
                <w:color w:val="333333"/>
                <w:sz w:val="18"/>
                <w:szCs w:val="18"/>
              </w:rPr>
            </w:pPr>
            <w:r w:rsidRPr="00936048">
              <w:rPr>
                <w:rFonts w:ascii="Arial Narrow" w:hAnsi="Arial Narrow" w:cs="Open Sans"/>
                <w:color w:val="333333"/>
                <w:sz w:val="18"/>
                <w:szCs w:val="18"/>
              </w:rPr>
              <w:t>Must be treated by a consultant physician [general medicine specialising in gastroenterology (code 82)]</w:t>
            </w:r>
          </w:p>
        </w:tc>
      </w:tr>
      <w:tr w:rsidR="009D30A1" w:rsidRPr="00936048" w14:paraId="5A5BC76C" w14:textId="77777777" w:rsidTr="009D30A1">
        <w:tc>
          <w:tcPr>
            <w:tcW w:w="988" w:type="dxa"/>
            <w:hideMark/>
          </w:tcPr>
          <w:p w14:paraId="108C8FF8" w14:textId="77777777" w:rsidR="009D30A1" w:rsidRPr="00936048" w:rsidRDefault="009D30A1" w:rsidP="009D30A1">
            <w:pPr>
              <w:rPr>
                <w:rFonts w:ascii="Arial Narrow" w:hAnsi="Arial Narrow" w:cs="Open Sans"/>
                <w:color w:val="333333"/>
                <w:sz w:val="18"/>
                <w:szCs w:val="18"/>
              </w:rPr>
            </w:pPr>
          </w:p>
        </w:tc>
        <w:tc>
          <w:tcPr>
            <w:tcW w:w="8221" w:type="dxa"/>
            <w:hideMark/>
          </w:tcPr>
          <w:p w14:paraId="7B7BE060" w14:textId="77777777" w:rsidR="009D30A1" w:rsidRPr="00936048" w:rsidRDefault="009D30A1" w:rsidP="009D30A1">
            <w:pPr>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AND</w:t>
            </w:r>
          </w:p>
        </w:tc>
      </w:tr>
      <w:tr w:rsidR="009D30A1" w:rsidRPr="00936048" w14:paraId="316C40A5" w14:textId="77777777" w:rsidTr="009D30A1">
        <w:tc>
          <w:tcPr>
            <w:tcW w:w="988" w:type="dxa"/>
            <w:hideMark/>
          </w:tcPr>
          <w:p w14:paraId="0DFE6084" w14:textId="66A1FBD0"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72C9591A"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Clinical criteria:</w:t>
            </w:r>
          </w:p>
        </w:tc>
      </w:tr>
      <w:tr w:rsidR="009D30A1" w:rsidRPr="00936048" w14:paraId="700D8AF4" w14:textId="77777777" w:rsidTr="009D30A1">
        <w:tc>
          <w:tcPr>
            <w:tcW w:w="988" w:type="dxa"/>
            <w:hideMark/>
          </w:tcPr>
          <w:p w14:paraId="20F8B9B5" w14:textId="6F4646FB"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00F91E56" w14:textId="761E0504" w:rsidR="009D30A1" w:rsidRPr="00936048" w:rsidRDefault="009D30A1" w:rsidP="00EA3D93">
            <w:pPr>
              <w:rPr>
                <w:rFonts w:ascii="Arial Narrow" w:hAnsi="Arial Narrow" w:cs="Open Sans"/>
                <w:color w:val="333333"/>
                <w:sz w:val="18"/>
                <w:szCs w:val="18"/>
              </w:rPr>
            </w:pPr>
            <w:r w:rsidRPr="00936048">
              <w:rPr>
                <w:rFonts w:ascii="Arial Narrow" w:hAnsi="Arial Narrow" w:cs="Open Sans"/>
                <w:color w:val="333333"/>
                <w:sz w:val="18"/>
                <w:szCs w:val="18"/>
              </w:rPr>
              <w:t>Patient must have received insufficient therapy with this drug for this condition under the Initial 1 (new patient) restriction to complete 1</w:t>
            </w:r>
            <w:r w:rsidR="00EA3D93">
              <w:rPr>
                <w:rFonts w:ascii="Arial Narrow" w:hAnsi="Arial Narrow" w:cs="Open Sans"/>
                <w:color w:val="333333"/>
                <w:sz w:val="18"/>
                <w:szCs w:val="18"/>
              </w:rPr>
              <w:t>7</w:t>
            </w:r>
            <w:r w:rsidRPr="00936048">
              <w:rPr>
                <w:rFonts w:ascii="Arial Narrow" w:hAnsi="Arial Narrow" w:cs="Open Sans"/>
                <w:color w:val="333333"/>
                <w:sz w:val="18"/>
                <w:szCs w:val="18"/>
              </w:rPr>
              <w:t xml:space="preserve"> weeks treatment; or</w:t>
            </w:r>
          </w:p>
        </w:tc>
      </w:tr>
      <w:tr w:rsidR="009D30A1" w:rsidRPr="00936048" w14:paraId="6FE69DCD" w14:textId="77777777" w:rsidTr="009D30A1">
        <w:tc>
          <w:tcPr>
            <w:tcW w:w="988" w:type="dxa"/>
            <w:hideMark/>
          </w:tcPr>
          <w:p w14:paraId="529897F2" w14:textId="78B351C7"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4309F41C" w14:textId="12552BB8" w:rsidR="009D30A1" w:rsidRPr="00936048" w:rsidRDefault="009D30A1" w:rsidP="009D30A1">
            <w:pPr>
              <w:rPr>
                <w:rFonts w:ascii="Arial Narrow" w:hAnsi="Arial Narrow" w:cs="Open Sans"/>
                <w:color w:val="333333"/>
                <w:sz w:val="18"/>
                <w:szCs w:val="18"/>
              </w:rPr>
            </w:pPr>
            <w:r w:rsidRPr="00936048">
              <w:rPr>
                <w:rFonts w:ascii="Arial Narrow" w:hAnsi="Arial Narrow" w:cs="Open Sans"/>
                <w:color w:val="333333"/>
                <w:sz w:val="18"/>
                <w:szCs w:val="18"/>
              </w:rPr>
              <w:t>Patient must have received insufficient therapy with this drug for this condition under the Initial 2 (change or recommencement of treatment after a break in biological medicine of less than 5 years) restriction to complete 1</w:t>
            </w:r>
            <w:r w:rsidR="00EA3D93">
              <w:rPr>
                <w:rFonts w:ascii="Arial Narrow" w:hAnsi="Arial Narrow" w:cs="Open Sans"/>
                <w:color w:val="333333"/>
                <w:sz w:val="18"/>
                <w:szCs w:val="18"/>
              </w:rPr>
              <w:t>7</w:t>
            </w:r>
            <w:r w:rsidRPr="00936048">
              <w:rPr>
                <w:rFonts w:ascii="Arial Narrow" w:hAnsi="Arial Narrow" w:cs="Open Sans"/>
                <w:color w:val="333333"/>
                <w:sz w:val="18"/>
                <w:szCs w:val="18"/>
              </w:rPr>
              <w:t xml:space="preserve"> weeks treatment; or</w:t>
            </w:r>
          </w:p>
        </w:tc>
      </w:tr>
      <w:tr w:rsidR="009D30A1" w:rsidRPr="00936048" w14:paraId="543CC255" w14:textId="77777777" w:rsidTr="009D30A1">
        <w:tc>
          <w:tcPr>
            <w:tcW w:w="988" w:type="dxa"/>
            <w:hideMark/>
          </w:tcPr>
          <w:p w14:paraId="7D40B42F" w14:textId="687ADF06"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364D72E0" w14:textId="4CCAD753" w:rsidR="009D30A1" w:rsidRPr="00936048" w:rsidRDefault="009D30A1" w:rsidP="009D30A1">
            <w:pPr>
              <w:rPr>
                <w:rFonts w:ascii="Arial Narrow" w:hAnsi="Arial Narrow" w:cs="Open Sans"/>
                <w:color w:val="333333"/>
                <w:sz w:val="18"/>
                <w:szCs w:val="18"/>
              </w:rPr>
            </w:pPr>
            <w:r w:rsidRPr="00936048">
              <w:rPr>
                <w:rFonts w:ascii="Arial Narrow" w:hAnsi="Arial Narrow" w:cs="Open Sans"/>
                <w:color w:val="333333"/>
                <w:sz w:val="18"/>
                <w:szCs w:val="18"/>
              </w:rPr>
              <w:t>Patient must have received insufficient therapy with this drug for this condition under the Initial 3 (recommencement of treatment after a break in biological medicine of more than 5 years) restriction to complete 1</w:t>
            </w:r>
            <w:r w:rsidR="00EA3D93">
              <w:rPr>
                <w:rFonts w:ascii="Arial Narrow" w:hAnsi="Arial Narrow" w:cs="Open Sans"/>
                <w:color w:val="333333"/>
                <w:sz w:val="18"/>
                <w:szCs w:val="18"/>
              </w:rPr>
              <w:t>7</w:t>
            </w:r>
            <w:r w:rsidRPr="00936048">
              <w:rPr>
                <w:rFonts w:ascii="Arial Narrow" w:hAnsi="Arial Narrow" w:cs="Open Sans"/>
                <w:color w:val="333333"/>
                <w:sz w:val="18"/>
                <w:szCs w:val="18"/>
              </w:rPr>
              <w:t xml:space="preserve"> weeks treatment</w:t>
            </w:r>
          </w:p>
        </w:tc>
      </w:tr>
      <w:tr w:rsidR="009D30A1" w:rsidRPr="00936048" w14:paraId="13266A95" w14:textId="77777777" w:rsidTr="009D30A1">
        <w:tc>
          <w:tcPr>
            <w:tcW w:w="988" w:type="dxa"/>
            <w:hideMark/>
          </w:tcPr>
          <w:p w14:paraId="39F8113E" w14:textId="77777777" w:rsidR="009D30A1" w:rsidRPr="00936048" w:rsidRDefault="009D30A1" w:rsidP="009D30A1">
            <w:pPr>
              <w:rPr>
                <w:rFonts w:ascii="Arial Narrow" w:hAnsi="Arial Narrow" w:cs="Open Sans"/>
                <w:color w:val="333333"/>
                <w:sz w:val="18"/>
                <w:szCs w:val="18"/>
              </w:rPr>
            </w:pPr>
          </w:p>
        </w:tc>
        <w:tc>
          <w:tcPr>
            <w:tcW w:w="8221" w:type="dxa"/>
            <w:hideMark/>
          </w:tcPr>
          <w:p w14:paraId="7CBA539B" w14:textId="77777777" w:rsidR="009D30A1" w:rsidRPr="00936048" w:rsidRDefault="009D30A1" w:rsidP="009D30A1">
            <w:pPr>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AND</w:t>
            </w:r>
          </w:p>
        </w:tc>
      </w:tr>
      <w:tr w:rsidR="009D30A1" w:rsidRPr="00936048" w14:paraId="442663B2" w14:textId="77777777" w:rsidTr="009D30A1">
        <w:tc>
          <w:tcPr>
            <w:tcW w:w="988" w:type="dxa"/>
            <w:hideMark/>
          </w:tcPr>
          <w:p w14:paraId="43D3809D" w14:textId="1CB36572"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23F9E080"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Clinical criteria:</w:t>
            </w:r>
          </w:p>
        </w:tc>
      </w:tr>
      <w:tr w:rsidR="009D30A1" w:rsidRPr="00936048" w14:paraId="73AAD0BA" w14:textId="77777777" w:rsidTr="009D30A1">
        <w:tc>
          <w:tcPr>
            <w:tcW w:w="988" w:type="dxa"/>
            <w:hideMark/>
          </w:tcPr>
          <w:p w14:paraId="0FCB6B4C" w14:textId="2947752C"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09E00EF7" w14:textId="3566D9A6" w:rsidR="009D30A1" w:rsidRPr="00936048" w:rsidRDefault="009D30A1" w:rsidP="009D30A1">
            <w:pPr>
              <w:rPr>
                <w:rFonts w:ascii="Arial Narrow" w:hAnsi="Arial Narrow" w:cs="Open Sans"/>
                <w:color w:val="333333"/>
                <w:sz w:val="18"/>
                <w:szCs w:val="18"/>
              </w:rPr>
            </w:pPr>
            <w:r w:rsidRPr="00936048">
              <w:rPr>
                <w:rFonts w:ascii="Arial Narrow" w:hAnsi="Arial Narrow" w:cs="Open Sans"/>
                <w:color w:val="333333"/>
                <w:sz w:val="18"/>
                <w:szCs w:val="18"/>
              </w:rPr>
              <w:t>The treatment must provide no more than the balance of up to 1</w:t>
            </w:r>
            <w:r w:rsidR="00EA3D93">
              <w:rPr>
                <w:rFonts w:ascii="Arial Narrow" w:hAnsi="Arial Narrow" w:cs="Open Sans"/>
                <w:color w:val="333333"/>
                <w:sz w:val="18"/>
                <w:szCs w:val="18"/>
              </w:rPr>
              <w:t>7</w:t>
            </w:r>
            <w:r w:rsidRPr="00936048">
              <w:rPr>
                <w:rFonts w:ascii="Arial Narrow" w:hAnsi="Arial Narrow" w:cs="Open Sans"/>
                <w:color w:val="333333"/>
                <w:sz w:val="18"/>
                <w:szCs w:val="18"/>
              </w:rPr>
              <w:t xml:space="preserve"> weeks treatment available under the above restrictions</w:t>
            </w:r>
          </w:p>
        </w:tc>
      </w:tr>
      <w:tr w:rsidR="009D30A1" w:rsidRPr="00936048" w14:paraId="4890BE51" w14:textId="77777777" w:rsidTr="009D30A1">
        <w:tc>
          <w:tcPr>
            <w:tcW w:w="988" w:type="dxa"/>
            <w:hideMark/>
          </w:tcPr>
          <w:p w14:paraId="0C8DDDC5" w14:textId="771EA792" w:rsidR="009D30A1" w:rsidRPr="00936048" w:rsidRDefault="009D30A1" w:rsidP="009D30A1">
            <w:pPr>
              <w:textAlignment w:val="baseline"/>
              <w:rPr>
                <w:rFonts w:ascii="Arial Narrow" w:hAnsi="Arial Narrow" w:cs="Open Sans"/>
                <w:color w:val="333333"/>
                <w:sz w:val="18"/>
                <w:szCs w:val="18"/>
              </w:rPr>
            </w:pPr>
          </w:p>
        </w:tc>
        <w:tc>
          <w:tcPr>
            <w:tcW w:w="8221" w:type="dxa"/>
            <w:hideMark/>
          </w:tcPr>
          <w:p w14:paraId="39819141"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b/>
                <w:bCs/>
                <w:color w:val="333333"/>
                <w:sz w:val="18"/>
                <w:szCs w:val="18"/>
                <w:bdr w:val="none" w:sz="0" w:space="0" w:color="auto" w:frame="1"/>
              </w:rPr>
              <w:t>Administrative Advice:</w:t>
            </w:r>
          </w:p>
          <w:p w14:paraId="3AAE376A" w14:textId="77777777" w:rsidR="009D30A1" w:rsidRPr="00936048" w:rsidRDefault="009D30A1" w:rsidP="009D30A1">
            <w:pPr>
              <w:textAlignment w:val="baseline"/>
              <w:rPr>
                <w:rFonts w:ascii="Arial Narrow" w:hAnsi="Arial Narrow" w:cs="Open Sans"/>
                <w:color w:val="333333"/>
                <w:sz w:val="18"/>
                <w:szCs w:val="18"/>
              </w:rPr>
            </w:pPr>
            <w:r w:rsidRPr="00936048">
              <w:rPr>
                <w:rFonts w:ascii="Arial Narrow" w:hAnsi="Arial Narrow" w:cs="Open Sans"/>
                <w:color w:val="333333"/>
                <w:sz w:val="18"/>
                <w:szCs w:val="18"/>
              </w:rPr>
              <w:t xml:space="preserve">Applications for authorisation under this restriction may be made in real time using the Online PBS Authorities system (see www.servicesaustralia.gov.au/HPOS) or by telephone by contacting Services Australia on 1800 700 270 (hours of operation 8 a.m. to 5 p.m. </w:t>
            </w:r>
            <w:r w:rsidRPr="00936048">
              <w:rPr>
                <w:rFonts w:ascii="Arial Narrow" w:hAnsi="Arial Narrow" w:cs="Open Sans"/>
                <w:strike/>
                <w:color w:val="333333"/>
                <w:sz w:val="18"/>
                <w:szCs w:val="18"/>
              </w:rPr>
              <w:t>EST</w:t>
            </w:r>
            <w:r w:rsidRPr="00936048">
              <w:rPr>
                <w:rFonts w:ascii="Arial Narrow" w:hAnsi="Arial Narrow" w:cs="Open Sans"/>
                <w:color w:val="333333"/>
                <w:sz w:val="18"/>
                <w:szCs w:val="18"/>
              </w:rPr>
              <w:t xml:space="preserve"> Monday to Friday).</w:t>
            </w:r>
          </w:p>
        </w:tc>
      </w:tr>
    </w:tbl>
    <w:p w14:paraId="73E1F6F9" w14:textId="77777777" w:rsidR="009D30A1" w:rsidRDefault="009D30A1" w:rsidP="009D30A1"/>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2"/>
        <w:gridCol w:w="992"/>
        <w:gridCol w:w="849"/>
        <w:gridCol w:w="709"/>
        <w:gridCol w:w="709"/>
        <w:gridCol w:w="1990"/>
      </w:tblGrid>
      <w:tr w:rsidR="009D30A1" w14:paraId="54478020" w14:textId="77777777" w:rsidTr="009D30A1">
        <w:trPr>
          <w:cantSplit/>
          <w:trHeight w:val="471"/>
        </w:trPr>
        <w:tc>
          <w:tcPr>
            <w:tcW w:w="3960" w:type="dxa"/>
            <w:gridSpan w:val="2"/>
            <w:tcBorders>
              <w:top w:val="single" w:sz="4" w:space="0" w:color="auto"/>
              <w:left w:val="single" w:sz="4" w:space="0" w:color="auto"/>
              <w:bottom w:val="single" w:sz="4" w:space="0" w:color="auto"/>
              <w:right w:val="single" w:sz="4" w:space="0" w:color="auto"/>
            </w:tcBorders>
            <w:hideMark/>
          </w:tcPr>
          <w:p w14:paraId="3ECCAE96" w14:textId="77777777" w:rsidR="009D30A1" w:rsidRDefault="009D30A1" w:rsidP="009D30A1">
            <w:pPr>
              <w:keepNext/>
              <w:ind w:left="-57"/>
              <w:rPr>
                <w:rFonts w:ascii="Arial Narrow" w:hAnsi="Arial Narrow"/>
                <w:b/>
                <w:bCs/>
                <w:sz w:val="18"/>
                <w:szCs w:val="18"/>
              </w:rPr>
            </w:pPr>
            <w:r>
              <w:rPr>
                <w:rFonts w:ascii="Arial Narrow" w:hAnsi="Arial Narrow"/>
                <w:b/>
                <w:bCs/>
                <w:sz w:val="18"/>
                <w:szCs w:val="18"/>
              </w:rPr>
              <w:t>MEDICINAL PRODUCT</w:t>
            </w:r>
          </w:p>
          <w:p w14:paraId="4D527B58" w14:textId="77777777" w:rsidR="009D30A1" w:rsidRDefault="009D30A1" w:rsidP="009D30A1">
            <w:pPr>
              <w:keepNext/>
              <w:ind w:left="-57"/>
              <w:rPr>
                <w:rFonts w:ascii="Arial Narrow" w:hAnsi="Arial Narrow"/>
                <w:b/>
                <w:sz w:val="18"/>
                <w:szCs w:val="18"/>
              </w:rPr>
            </w:pPr>
            <w:r>
              <w:rPr>
                <w:rFonts w:ascii="Arial Narrow" w:hAnsi="Arial Narrow"/>
                <w:b/>
                <w:bCs/>
                <w:sz w:val="18"/>
                <w:szCs w:val="18"/>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7052CA6A"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332C307B"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Max. qty packs</w:t>
            </w:r>
          </w:p>
        </w:tc>
        <w:tc>
          <w:tcPr>
            <w:tcW w:w="709" w:type="dxa"/>
            <w:tcBorders>
              <w:top w:val="single" w:sz="4" w:space="0" w:color="auto"/>
              <w:left w:val="single" w:sz="4" w:space="0" w:color="auto"/>
              <w:bottom w:val="single" w:sz="4" w:space="0" w:color="auto"/>
              <w:right w:val="single" w:sz="4" w:space="0" w:color="auto"/>
            </w:tcBorders>
            <w:hideMark/>
          </w:tcPr>
          <w:p w14:paraId="414CAEC8"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Borders>
              <w:top w:val="single" w:sz="4" w:space="0" w:color="auto"/>
              <w:left w:val="single" w:sz="4" w:space="0" w:color="auto"/>
              <w:bottom w:val="single" w:sz="4" w:space="0" w:color="auto"/>
              <w:right w:val="single" w:sz="4" w:space="0" w:color="auto"/>
            </w:tcBorders>
            <w:hideMark/>
          </w:tcPr>
          <w:p w14:paraId="35DA0F2A" w14:textId="77777777" w:rsidR="009D30A1" w:rsidRDefault="009D30A1" w:rsidP="009D30A1">
            <w:pPr>
              <w:keepNext/>
              <w:ind w:left="-108"/>
              <w:jc w:val="center"/>
              <w:rPr>
                <w:rFonts w:ascii="Arial Narrow" w:hAnsi="Arial Narrow"/>
                <w:b/>
                <w:sz w:val="18"/>
                <w:szCs w:val="18"/>
              </w:rPr>
            </w:pPr>
            <w:proofErr w:type="gramStart"/>
            <w:r>
              <w:rPr>
                <w:rFonts w:ascii="Arial Narrow" w:hAnsi="Arial Narrow"/>
                <w:b/>
                <w:sz w:val="18"/>
                <w:szCs w:val="18"/>
              </w:rPr>
              <w:t>№.of</w:t>
            </w:r>
            <w:proofErr w:type="gramEnd"/>
          </w:p>
          <w:p w14:paraId="0984964D" w14:textId="77777777" w:rsidR="009D30A1" w:rsidRDefault="009D30A1" w:rsidP="009D30A1">
            <w:pPr>
              <w:keepNext/>
              <w:ind w:left="-108"/>
              <w:jc w:val="center"/>
              <w:rPr>
                <w:rFonts w:ascii="Arial Narrow" w:hAnsi="Arial Narrow"/>
                <w:b/>
                <w:sz w:val="18"/>
                <w:szCs w:val="18"/>
              </w:rPr>
            </w:pPr>
            <w:proofErr w:type="spellStart"/>
            <w:r>
              <w:rPr>
                <w:rFonts w:ascii="Arial Narrow" w:hAnsi="Arial Narrow"/>
                <w:b/>
                <w:sz w:val="18"/>
                <w:szCs w:val="18"/>
              </w:rPr>
              <w:t>Rpts</w:t>
            </w:r>
            <w:proofErr w:type="spellEnd"/>
          </w:p>
        </w:tc>
        <w:tc>
          <w:tcPr>
            <w:tcW w:w="1990" w:type="dxa"/>
            <w:tcBorders>
              <w:top w:val="single" w:sz="4" w:space="0" w:color="auto"/>
              <w:left w:val="single" w:sz="4" w:space="0" w:color="auto"/>
              <w:bottom w:val="single" w:sz="4" w:space="0" w:color="auto"/>
              <w:right w:val="single" w:sz="4" w:space="0" w:color="auto"/>
            </w:tcBorders>
            <w:hideMark/>
          </w:tcPr>
          <w:p w14:paraId="3E86CBDC" w14:textId="77777777" w:rsidR="009D30A1" w:rsidRDefault="009D30A1" w:rsidP="009D30A1">
            <w:pPr>
              <w:keepNext/>
              <w:rPr>
                <w:rFonts w:ascii="Arial Narrow" w:hAnsi="Arial Narrow"/>
                <w:b/>
                <w:sz w:val="18"/>
                <w:szCs w:val="18"/>
                <w:lang w:val="fr-FR"/>
              </w:rPr>
            </w:pPr>
            <w:r>
              <w:rPr>
                <w:rFonts w:ascii="Arial Narrow" w:hAnsi="Arial Narrow"/>
                <w:b/>
                <w:sz w:val="18"/>
                <w:szCs w:val="18"/>
              </w:rPr>
              <w:t>Available brands</w:t>
            </w:r>
          </w:p>
        </w:tc>
      </w:tr>
      <w:tr w:rsidR="009D30A1" w14:paraId="07525942" w14:textId="77777777" w:rsidTr="009D30A1">
        <w:trPr>
          <w:cantSplit/>
          <w:trHeight w:val="83"/>
        </w:trPr>
        <w:tc>
          <w:tcPr>
            <w:tcW w:w="9209" w:type="dxa"/>
            <w:gridSpan w:val="7"/>
            <w:tcBorders>
              <w:top w:val="single" w:sz="4" w:space="0" w:color="auto"/>
              <w:left w:val="single" w:sz="4" w:space="0" w:color="auto"/>
              <w:bottom w:val="single" w:sz="4" w:space="0" w:color="auto"/>
              <w:right w:val="single" w:sz="4" w:space="0" w:color="auto"/>
            </w:tcBorders>
            <w:hideMark/>
          </w:tcPr>
          <w:p w14:paraId="560B3739" w14:textId="77777777" w:rsidR="009D30A1" w:rsidRPr="00521DFF" w:rsidRDefault="009D30A1" w:rsidP="009D30A1">
            <w:pPr>
              <w:keepNext/>
              <w:ind w:left="-108"/>
              <w:rPr>
                <w:rFonts w:ascii="Arial" w:eastAsia="Calibri" w:hAnsi="Arial"/>
                <w:sz w:val="18"/>
                <w:szCs w:val="18"/>
              </w:rPr>
            </w:pPr>
            <w:r w:rsidRPr="00521DFF">
              <w:rPr>
                <w:rFonts w:ascii="Arial" w:eastAsia="Calibri" w:hAnsi="Arial"/>
                <w:sz w:val="18"/>
                <w:szCs w:val="18"/>
              </w:rPr>
              <w:t>OZANIMOD</w:t>
            </w:r>
          </w:p>
        </w:tc>
      </w:tr>
      <w:tr w:rsidR="009D30A1" w14:paraId="76AA51B7" w14:textId="77777777" w:rsidTr="009D30A1">
        <w:trPr>
          <w:cantSplit/>
          <w:trHeight w:val="270"/>
        </w:trPr>
        <w:tc>
          <w:tcPr>
            <w:tcW w:w="3960" w:type="dxa"/>
            <w:gridSpan w:val="2"/>
            <w:tcBorders>
              <w:top w:val="single" w:sz="4" w:space="0" w:color="auto"/>
              <w:left w:val="single" w:sz="4" w:space="0" w:color="auto"/>
              <w:bottom w:val="single" w:sz="4" w:space="0" w:color="auto"/>
              <w:right w:val="single" w:sz="4" w:space="0" w:color="auto"/>
            </w:tcBorders>
            <w:hideMark/>
          </w:tcPr>
          <w:p w14:paraId="7D36DA64" w14:textId="77777777" w:rsidR="009D30A1" w:rsidRDefault="009D30A1" w:rsidP="009D30A1">
            <w:pPr>
              <w:keepNext/>
              <w:ind w:left="-57"/>
              <w:rPr>
                <w:rFonts w:ascii="Arial Narrow" w:hAnsi="Arial Narrow"/>
                <w:sz w:val="18"/>
                <w:szCs w:val="18"/>
              </w:rPr>
            </w:pPr>
            <w:r>
              <w:rPr>
                <w:rFonts w:ascii="Arial Narrow" w:hAnsi="Arial Narrow"/>
                <w:sz w:val="18"/>
                <w:szCs w:val="18"/>
              </w:rPr>
              <w:t xml:space="preserve">ozanimod 920 </w:t>
            </w:r>
            <w:r w:rsidRPr="002654B2">
              <w:rPr>
                <w:rStyle w:val="form-strength"/>
                <w:rFonts w:ascii="Arial Narrow" w:hAnsi="Arial Narrow" w:cstheme="minorHAnsi"/>
                <w:color w:val="222222"/>
                <w:sz w:val="18"/>
                <w:szCs w:val="18"/>
                <w:bdr w:val="none" w:sz="0" w:space="0" w:color="auto" w:frame="1"/>
              </w:rPr>
              <w:t xml:space="preserve">microgram </w:t>
            </w:r>
            <w:r>
              <w:rPr>
                <w:rFonts w:ascii="Arial Narrow" w:hAnsi="Arial Narrow"/>
                <w:sz w:val="18"/>
                <w:szCs w:val="18"/>
              </w:rPr>
              <w:t xml:space="preserve">capsule, 28 </w:t>
            </w:r>
          </w:p>
        </w:tc>
        <w:tc>
          <w:tcPr>
            <w:tcW w:w="992" w:type="dxa"/>
            <w:tcBorders>
              <w:top w:val="single" w:sz="4" w:space="0" w:color="auto"/>
              <w:left w:val="single" w:sz="4" w:space="0" w:color="auto"/>
              <w:bottom w:val="single" w:sz="4" w:space="0" w:color="auto"/>
              <w:right w:val="single" w:sz="4" w:space="0" w:color="auto"/>
            </w:tcBorders>
            <w:hideMark/>
          </w:tcPr>
          <w:p w14:paraId="3C652EFB" w14:textId="77777777" w:rsidR="009D30A1" w:rsidRDefault="009D30A1" w:rsidP="009D30A1">
            <w:pPr>
              <w:keepNext/>
              <w:jc w:val="center"/>
              <w:rPr>
                <w:rFonts w:ascii="Arial Narrow" w:hAnsi="Arial Narrow"/>
                <w:sz w:val="18"/>
                <w:szCs w:val="18"/>
              </w:rPr>
            </w:pPr>
            <w:r>
              <w:rPr>
                <w:rFonts w:ascii="Arial Narrow" w:hAnsi="Arial Narrow"/>
                <w:sz w:val="18"/>
                <w:szCs w:val="18"/>
              </w:rPr>
              <w:t>NEW</w:t>
            </w:r>
          </w:p>
        </w:tc>
        <w:tc>
          <w:tcPr>
            <w:tcW w:w="849" w:type="dxa"/>
            <w:tcBorders>
              <w:top w:val="single" w:sz="4" w:space="0" w:color="auto"/>
              <w:left w:val="single" w:sz="4" w:space="0" w:color="auto"/>
              <w:bottom w:val="single" w:sz="4" w:space="0" w:color="auto"/>
              <w:right w:val="single" w:sz="4" w:space="0" w:color="auto"/>
            </w:tcBorders>
            <w:hideMark/>
          </w:tcPr>
          <w:p w14:paraId="10C82861" w14:textId="77777777" w:rsidR="009D30A1" w:rsidRDefault="009D30A1" w:rsidP="009D30A1">
            <w:pPr>
              <w:keepNext/>
              <w:jc w:val="center"/>
              <w:rPr>
                <w:rFonts w:ascii="Arial Narrow" w:hAnsi="Arial Narrow"/>
                <w:sz w:val="18"/>
                <w:szCs w:val="18"/>
              </w:rPr>
            </w:pPr>
            <w:r>
              <w:rPr>
                <w:rFonts w:ascii="Arial Narrow" w:hAnsi="Arial Narrow"/>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69C1D8DE" w14:textId="77777777" w:rsidR="009D30A1" w:rsidRDefault="009D30A1" w:rsidP="009D30A1">
            <w:pPr>
              <w:keepNext/>
              <w:jc w:val="center"/>
              <w:rPr>
                <w:rFonts w:ascii="Arial Narrow" w:hAnsi="Arial Narrow"/>
                <w:sz w:val="18"/>
                <w:szCs w:val="18"/>
              </w:rPr>
            </w:pPr>
            <w:r>
              <w:rPr>
                <w:rFonts w:ascii="Arial Narrow" w:hAnsi="Arial Narrow"/>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14:paraId="4CA9AF5D" w14:textId="77777777" w:rsidR="009D30A1" w:rsidRDefault="009D30A1" w:rsidP="009D30A1">
            <w:pPr>
              <w:keepNext/>
              <w:jc w:val="center"/>
              <w:rPr>
                <w:rFonts w:ascii="Arial Narrow" w:hAnsi="Arial Narrow"/>
                <w:sz w:val="18"/>
                <w:szCs w:val="18"/>
              </w:rPr>
            </w:pPr>
            <w:r>
              <w:rPr>
                <w:rFonts w:ascii="Arial Narrow" w:hAnsi="Arial Narrow"/>
                <w:sz w:val="18"/>
                <w:szCs w:val="18"/>
              </w:rPr>
              <w:t>5</w:t>
            </w:r>
          </w:p>
        </w:tc>
        <w:tc>
          <w:tcPr>
            <w:tcW w:w="1990" w:type="dxa"/>
            <w:tcBorders>
              <w:top w:val="single" w:sz="4" w:space="0" w:color="auto"/>
              <w:left w:val="single" w:sz="4" w:space="0" w:color="auto"/>
              <w:bottom w:val="single" w:sz="4" w:space="0" w:color="auto"/>
              <w:right w:val="single" w:sz="4" w:space="0" w:color="auto"/>
            </w:tcBorders>
            <w:hideMark/>
          </w:tcPr>
          <w:p w14:paraId="24B96026" w14:textId="77777777" w:rsidR="009D30A1" w:rsidRDefault="009D30A1" w:rsidP="009D30A1">
            <w:pPr>
              <w:keepNext/>
              <w:rPr>
                <w:rFonts w:ascii="Arial Narrow" w:hAnsi="Arial Narrow"/>
                <w:sz w:val="18"/>
                <w:szCs w:val="18"/>
              </w:rPr>
            </w:pPr>
            <w:proofErr w:type="spellStart"/>
            <w:r>
              <w:rPr>
                <w:rFonts w:ascii="Arial Narrow" w:hAnsi="Arial Narrow"/>
                <w:sz w:val="18"/>
                <w:szCs w:val="18"/>
              </w:rPr>
              <w:t>Zeposia</w:t>
            </w:r>
            <w:proofErr w:type="spellEnd"/>
          </w:p>
        </w:tc>
      </w:tr>
      <w:tr w:rsidR="009D30A1" w14:paraId="510BC441" w14:textId="77777777" w:rsidTr="009D30A1">
        <w:trPr>
          <w:cantSplit/>
          <w:trHeight w:val="270"/>
        </w:trPr>
        <w:tc>
          <w:tcPr>
            <w:tcW w:w="9209" w:type="dxa"/>
            <w:gridSpan w:val="7"/>
            <w:tcBorders>
              <w:top w:val="single" w:sz="4" w:space="0" w:color="auto"/>
              <w:left w:val="single" w:sz="4" w:space="0" w:color="auto"/>
              <w:bottom w:val="single" w:sz="4" w:space="0" w:color="auto"/>
              <w:right w:val="single" w:sz="4" w:space="0" w:color="auto"/>
            </w:tcBorders>
          </w:tcPr>
          <w:p w14:paraId="7F0DD75B" w14:textId="77777777" w:rsidR="009D30A1" w:rsidRDefault="009D30A1" w:rsidP="009D30A1">
            <w:pPr>
              <w:keepNext/>
              <w:rPr>
                <w:rFonts w:ascii="Arial Narrow" w:hAnsi="Arial Narrow"/>
                <w:sz w:val="18"/>
                <w:szCs w:val="18"/>
              </w:rPr>
            </w:pPr>
          </w:p>
        </w:tc>
      </w:tr>
      <w:tr w:rsidR="009D30A1" w14:paraId="5C855D9A" w14:textId="77777777" w:rsidTr="009D30A1">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74D7BD" w14:textId="77777777" w:rsidR="009D30A1" w:rsidRDefault="009D30A1" w:rsidP="009D30A1">
            <w:pPr>
              <w:rPr>
                <w:rFonts w:ascii="Arial Narrow" w:hAnsi="Arial Narrow"/>
                <w:sz w:val="18"/>
                <w:szCs w:val="18"/>
              </w:rPr>
            </w:pPr>
          </w:p>
        </w:tc>
      </w:tr>
      <w:tr w:rsidR="009D30A1" w14:paraId="4BE7361E" w14:textId="77777777" w:rsidTr="009D30A1">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4C506" w14:textId="77777777" w:rsidR="009D30A1" w:rsidRDefault="009D30A1" w:rsidP="009D30A1">
            <w:pPr>
              <w:rPr>
                <w:rFonts w:ascii="Arial Narrow" w:hAnsi="Arial Narrow"/>
                <w:b/>
                <w:sz w:val="18"/>
                <w:szCs w:val="18"/>
              </w:rPr>
            </w:pPr>
            <w:r>
              <w:rPr>
                <w:rFonts w:ascii="Arial Narrow" w:hAnsi="Arial Narrow"/>
                <w:b/>
                <w:sz w:val="18"/>
                <w:szCs w:val="18"/>
              </w:rPr>
              <w:t>Restriction Summary 11942 / Treatment of Concept: 11883</w:t>
            </w:r>
          </w:p>
        </w:tc>
      </w:tr>
      <w:tr w:rsidR="009D30A1" w14:paraId="66D29233" w14:textId="77777777" w:rsidTr="009D30A1">
        <w:tc>
          <w:tcPr>
            <w:tcW w:w="98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183FE7" w14:textId="63A3EDCA" w:rsidR="009D30A1" w:rsidRPr="001E7C5C" w:rsidRDefault="009D30A1" w:rsidP="009D30A1">
            <w:pPr>
              <w:jc w:val="center"/>
              <w:rPr>
                <w:rFonts w:ascii="Arial Narrow" w:hAnsi="Arial Narrow"/>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587EF2" w14:textId="77777777" w:rsidR="009D30A1" w:rsidRDefault="009D30A1" w:rsidP="009D30A1">
            <w:pPr>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GENERAL – General Schedule (Code GE)</w:t>
            </w:r>
            <w:r>
              <w:rPr>
                <w:rFonts w:ascii="Arial Narrow" w:hAnsi="Arial Narrow"/>
                <w:color w:val="FF0000"/>
                <w:sz w:val="18"/>
                <w:szCs w:val="18"/>
              </w:rPr>
              <w:t xml:space="preserve"> </w:t>
            </w:r>
          </w:p>
          <w:p w14:paraId="530AF7D5" w14:textId="77777777" w:rsidR="009D30A1" w:rsidRDefault="009D30A1" w:rsidP="009D30A1">
            <w:pPr>
              <w:rPr>
                <w:rFonts w:ascii="Arial Narrow" w:hAnsi="Arial Narrow"/>
                <w:sz w:val="18"/>
                <w:szCs w:val="18"/>
              </w:rPr>
            </w:pPr>
          </w:p>
        </w:tc>
      </w:tr>
      <w:tr w:rsidR="009D30A1" w14:paraId="3228AD5C" w14:textId="77777777" w:rsidTr="009D30A1">
        <w:trPr>
          <w:trHeight w:val="24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73F96FA" w14:textId="77777777" w:rsidR="009D30A1" w:rsidRDefault="009D30A1" w:rsidP="009D30A1">
            <w:pPr>
              <w:rPr>
                <w:rFonts w:ascii="Arial Narrow" w:hAnsi="Arial Narrow"/>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8FD69B" w14:textId="77777777" w:rsidR="009D30A1" w:rsidRDefault="009D30A1" w:rsidP="009D30A1">
            <w:pPr>
              <w:rPr>
                <w:rFonts w:ascii="Arial Narrow" w:hAnsi="Arial Narrow"/>
                <w:b/>
                <w:sz w:val="18"/>
                <w:szCs w:val="18"/>
              </w:rPr>
            </w:pPr>
            <w:r>
              <w:rPr>
                <w:rFonts w:ascii="Arial Narrow" w:hAnsi="Arial Narrow"/>
                <w:b/>
                <w:sz w:val="18"/>
                <w:szCs w:val="18"/>
              </w:rPr>
              <w:t>Prescriber type:</w:t>
            </w:r>
            <w:r>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931536">
              <w:rPr>
                <w:rFonts w:ascii="Arial Narrow" w:hAnsi="Arial Narrow"/>
                <w:sz w:val="18"/>
                <w:szCs w:val="18"/>
              </w:rPr>
            </w:r>
            <w:r w:rsidR="00931536">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9D30A1" w14:paraId="5F1B32C8" w14:textId="77777777" w:rsidTr="009D30A1">
        <w:trPr>
          <w:trHeight w:val="302"/>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D8F6CF9" w14:textId="77777777" w:rsidR="009D30A1" w:rsidRDefault="009D30A1" w:rsidP="009D30A1">
            <w:pPr>
              <w:rPr>
                <w:rFonts w:ascii="Arial Narrow" w:hAnsi="Arial Narrow"/>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548264" w14:textId="77777777" w:rsidR="009D30A1" w:rsidRDefault="009D30A1" w:rsidP="009D30A1">
            <w:pPr>
              <w:rPr>
                <w:rFonts w:ascii="Arial Narrow" w:eastAsia="Calibri" w:hAnsi="Arial Narrow"/>
                <w:color w:val="FF00FF"/>
                <w:sz w:val="18"/>
                <w:szCs w:val="18"/>
              </w:rPr>
            </w:pPr>
            <w:r>
              <w:rPr>
                <w:rFonts w:ascii="Arial Narrow" w:hAnsi="Arial Narrow"/>
                <w:b/>
                <w:sz w:val="18"/>
                <w:szCs w:val="18"/>
              </w:rPr>
              <w:t xml:space="preserve">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931536">
              <w:rPr>
                <w:rFonts w:ascii="Arial Narrow" w:eastAsia="Calibri" w:hAnsi="Arial Narrow"/>
                <w:sz w:val="18"/>
                <w:szCs w:val="18"/>
              </w:rPr>
            </w:r>
            <w:r w:rsidR="00931536">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Authority Required (telephone/online PBS Authorities system)</w:t>
            </w:r>
          </w:p>
        </w:tc>
      </w:tr>
    </w:tbl>
    <w:tbl>
      <w:tblPr>
        <w:tblStyle w:val="TableGrid"/>
        <w:tblW w:w="9351" w:type="dxa"/>
        <w:tblLook w:val="04A0" w:firstRow="1" w:lastRow="0" w:firstColumn="1" w:lastColumn="0" w:noHBand="0" w:noVBand="1"/>
      </w:tblPr>
      <w:tblGrid>
        <w:gridCol w:w="988"/>
        <w:gridCol w:w="8221"/>
        <w:gridCol w:w="142"/>
      </w:tblGrid>
      <w:tr w:rsidR="009D30A1" w:rsidRPr="0057693B" w14:paraId="217FE21F" w14:textId="77777777" w:rsidTr="009D30A1">
        <w:trPr>
          <w:gridAfter w:val="1"/>
          <w:wAfter w:w="142" w:type="dxa"/>
        </w:trPr>
        <w:tc>
          <w:tcPr>
            <w:tcW w:w="988" w:type="dxa"/>
          </w:tcPr>
          <w:p w14:paraId="3178178C"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672C171F"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3C6453CE" w14:textId="77777777" w:rsidTr="009D30A1">
        <w:trPr>
          <w:gridAfter w:val="1"/>
          <w:wAfter w:w="142" w:type="dxa"/>
        </w:trPr>
        <w:tc>
          <w:tcPr>
            <w:tcW w:w="988" w:type="dxa"/>
          </w:tcPr>
          <w:p w14:paraId="42127B48"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5A103F96" w14:textId="77777777" w:rsidR="009D30A1" w:rsidRPr="000305BB" w:rsidRDefault="009D30A1" w:rsidP="009D30A1">
            <w:pPr>
              <w:textAlignment w:val="baseline"/>
              <w:rPr>
                <w:rFonts w:ascii="Arial Narrow" w:hAnsi="Arial Narrow" w:cs="Open Sans"/>
                <w:i/>
                <w:iCs/>
                <w:color w:val="333333"/>
                <w:sz w:val="18"/>
                <w:szCs w:val="18"/>
                <w:bdr w:val="none" w:sz="0" w:space="0" w:color="auto" w:frame="1"/>
              </w:rPr>
            </w:pPr>
            <w:r>
              <w:rPr>
                <w:rFonts w:ascii="Arial Narrow" w:hAnsi="Arial Narrow" w:cs="Open Sans"/>
                <w:i/>
                <w:iCs/>
                <w:color w:val="333333"/>
                <w:sz w:val="18"/>
                <w:szCs w:val="18"/>
                <w:bdr w:val="none" w:sz="0" w:space="0" w:color="auto" w:frame="1"/>
              </w:rPr>
              <w:t>(NOTEs applying to all restriction summaries below)</w:t>
            </w:r>
          </w:p>
        </w:tc>
      </w:tr>
      <w:tr w:rsidR="009D30A1" w:rsidRPr="0057693B" w14:paraId="759D5508" w14:textId="77777777" w:rsidTr="009D30A1">
        <w:trPr>
          <w:gridAfter w:val="1"/>
          <w:wAfter w:w="142" w:type="dxa"/>
        </w:trPr>
        <w:tc>
          <w:tcPr>
            <w:tcW w:w="988" w:type="dxa"/>
            <w:tcBorders>
              <w:bottom w:val="single" w:sz="4" w:space="0" w:color="auto"/>
            </w:tcBorders>
          </w:tcPr>
          <w:p w14:paraId="6FEFD868" w14:textId="22E65BE4" w:rsidR="009D30A1" w:rsidRPr="0057693B" w:rsidRDefault="009D30A1" w:rsidP="009D30A1">
            <w:pPr>
              <w:jc w:val="center"/>
              <w:textAlignment w:val="baseline"/>
              <w:rPr>
                <w:rFonts w:ascii="Arial Narrow" w:hAnsi="Arial Narrow" w:cs="Open Sans"/>
                <w:color w:val="333333"/>
                <w:sz w:val="18"/>
                <w:szCs w:val="18"/>
              </w:rPr>
            </w:pPr>
          </w:p>
        </w:tc>
        <w:tc>
          <w:tcPr>
            <w:tcW w:w="8221" w:type="dxa"/>
            <w:tcBorders>
              <w:bottom w:val="single" w:sz="4" w:space="0" w:color="auto"/>
            </w:tcBorders>
          </w:tcPr>
          <w:p w14:paraId="5F4DEE10" w14:textId="77777777" w:rsidR="009D30A1" w:rsidRDefault="009D30A1" w:rsidP="009D30A1">
            <w:pPr>
              <w:pStyle w:val="NormalWeb"/>
              <w:shd w:val="clear" w:color="auto" w:fill="FFFFFF"/>
              <w:spacing w:before="0" w:after="0"/>
              <w:textAlignment w:val="baseline"/>
              <w:rPr>
                <w:rStyle w:val="Strong"/>
                <w:rFonts w:ascii="Arial Narrow" w:hAnsi="Arial Narrow" w:cs="Open Sans"/>
                <w:b w:val="0"/>
                <w:bCs w:val="0"/>
                <w:color w:val="333333"/>
                <w:sz w:val="18"/>
                <w:szCs w:val="18"/>
                <w:bdr w:val="none" w:sz="0" w:space="0" w:color="auto" w:frame="1"/>
              </w:rPr>
            </w:pPr>
            <w:r w:rsidRPr="000305BB">
              <w:rPr>
                <w:rStyle w:val="Strong"/>
                <w:rFonts w:ascii="Arial Narrow" w:hAnsi="Arial Narrow" w:cs="Open Sans"/>
                <w:color w:val="333333"/>
                <w:sz w:val="18"/>
                <w:szCs w:val="18"/>
                <w:u w:val="single"/>
                <w:bdr w:val="none" w:sz="0" w:space="0" w:color="auto" w:frame="1"/>
              </w:rPr>
              <w:t>N</w:t>
            </w:r>
            <w:r w:rsidRPr="000305BB">
              <w:rPr>
                <w:rStyle w:val="Strong"/>
                <w:rFonts w:ascii="Arial Narrow" w:hAnsi="Arial Narrow" w:cs="Open Sans"/>
                <w:color w:val="333333"/>
                <w:sz w:val="18"/>
                <w:szCs w:val="18"/>
                <w:u w:val="single"/>
              </w:rPr>
              <w:t>OTE</w:t>
            </w:r>
            <w:r w:rsidRPr="000305BB">
              <w:rPr>
                <w:rStyle w:val="Strong"/>
                <w:rFonts w:ascii="Arial Narrow" w:hAnsi="Arial Narrow" w:cs="Open Sans"/>
                <w:color w:val="333333"/>
                <w:sz w:val="18"/>
                <w:szCs w:val="18"/>
                <w:bdr w:val="none" w:sz="0" w:space="0" w:color="auto" w:frame="1"/>
              </w:rPr>
              <w:t>:</w:t>
            </w:r>
          </w:p>
          <w:p w14:paraId="4BB2C563" w14:textId="77777777" w:rsidR="009D30A1" w:rsidRDefault="009D30A1" w:rsidP="009D30A1">
            <w:pPr>
              <w:pStyle w:val="NormalWeb"/>
              <w:shd w:val="clear" w:color="auto" w:fill="FFFFFF"/>
              <w:spacing w:before="0" w:after="0"/>
              <w:textAlignment w:val="baseline"/>
              <w:rPr>
                <w:rFonts w:ascii="Arial Narrow" w:hAnsi="Arial Narrow"/>
                <w:b/>
                <w:bCs/>
                <w:sz w:val="18"/>
                <w:szCs w:val="18"/>
                <w:bdr w:val="none" w:sz="0" w:space="0" w:color="auto" w:frame="1"/>
              </w:rPr>
            </w:pPr>
            <w:r w:rsidRPr="00160B0F">
              <w:rPr>
                <w:rFonts w:ascii="Arial Narrow" w:hAnsi="Arial Narrow"/>
                <w:b/>
                <w:bCs/>
                <w:sz w:val="18"/>
                <w:szCs w:val="18"/>
                <w:bdr w:val="none" w:sz="0" w:space="0" w:color="auto" w:frame="1"/>
              </w:rPr>
              <w:t>TREATMENT OF ADULT PATIENTS WITH MODERATE TO SEVERE ULCERATIVE COLITIS</w:t>
            </w:r>
          </w:p>
          <w:p w14:paraId="244B3E2F" w14:textId="77777777" w:rsidR="009D30A1" w:rsidRPr="000305BB" w:rsidRDefault="009D30A1" w:rsidP="009D30A1">
            <w:pPr>
              <w:pStyle w:val="NormalWeb"/>
              <w:shd w:val="clear" w:color="auto" w:fill="FFFFFF"/>
              <w:spacing w:before="0" w:after="0"/>
              <w:textAlignment w:val="baseline"/>
              <w:rPr>
                <w:sz w:val="22"/>
                <w:szCs w:val="22"/>
              </w:rPr>
            </w:pPr>
            <w:r>
              <w:rPr>
                <w:sz w:val="22"/>
                <w:szCs w:val="22"/>
              </w:rPr>
              <w:lastRenderedPageBreak/>
              <w:t>--- ---</w:t>
            </w:r>
          </w:p>
        </w:tc>
      </w:tr>
      <w:tr w:rsidR="009D30A1" w:rsidRPr="0057693B" w14:paraId="719F66B4" w14:textId="77777777" w:rsidTr="009D30A1">
        <w:trPr>
          <w:gridAfter w:val="1"/>
          <w:wAfter w:w="142" w:type="dxa"/>
        </w:trPr>
        <w:tc>
          <w:tcPr>
            <w:tcW w:w="988" w:type="dxa"/>
            <w:shd w:val="clear" w:color="auto" w:fill="auto"/>
          </w:tcPr>
          <w:p w14:paraId="2FD40A72" w14:textId="7A5FF6D1" w:rsidR="009D30A1" w:rsidRPr="006F3062" w:rsidRDefault="009D30A1" w:rsidP="009D30A1">
            <w:pPr>
              <w:jc w:val="center"/>
              <w:textAlignment w:val="baseline"/>
              <w:rPr>
                <w:rFonts w:ascii="Arial Narrow" w:hAnsi="Arial Narrow" w:cs="Open Sans"/>
                <w:color w:val="333333"/>
                <w:sz w:val="18"/>
                <w:szCs w:val="18"/>
              </w:rPr>
            </w:pPr>
          </w:p>
        </w:tc>
        <w:tc>
          <w:tcPr>
            <w:tcW w:w="8221" w:type="dxa"/>
            <w:shd w:val="clear" w:color="auto" w:fill="auto"/>
          </w:tcPr>
          <w:p w14:paraId="74A178AC" w14:textId="77777777" w:rsidR="009D30A1" w:rsidRPr="006F3062" w:rsidRDefault="009D30A1" w:rsidP="009D30A1">
            <w:pPr>
              <w:pStyle w:val="NormalWeb"/>
              <w:shd w:val="clear" w:color="auto" w:fill="F4F4F4"/>
              <w:spacing w:before="0" w:after="0"/>
              <w:textAlignment w:val="baseline"/>
              <w:rPr>
                <w:rFonts w:ascii="Arial Narrow" w:hAnsi="Arial Narrow"/>
                <w:sz w:val="18"/>
                <w:szCs w:val="18"/>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Pr>
                <w:rFonts w:ascii="Arial Narrow" w:hAnsi="Arial Narrow"/>
                <w:sz w:val="18"/>
                <w:szCs w:val="18"/>
              </w:rPr>
              <w:t>N</w:t>
            </w:r>
            <w:r w:rsidRPr="006F3062">
              <w:rPr>
                <w:rFonts w:ascii="Arial Narrow" w:hAnsi="Arial Narrow"/>
                <w:sz w:val="18"/>
                <w:szCs w:val="18"/>
              </w:rPr>
              <w:t>o increase in the maximum quantity or number of units may be authorised.</w:t>
            </w:r>
          </w:p>
        </w:tc>
      </w:tr>
      <w:tr w:rsidR="009D30A1" w:rsidRPr="0057693B" w14:paraId="18C8CE63" w14:textId="77777777" w:rsidTr="009D30A1">
        <w:trPr>
          <w:gridAfter w:val="1"/>
          <w:wAfter w:w="142" w:type="dxa"/>
        </w:trPr>
        <w:tc>
          <w:tcPr>
            <w:tcW w:w="988" w:type="dxa"/>
          </w:tcPr>
          <w:p w14:paraId="0B33E9ED" w14:textId="4E8CAA95"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61A1D72D" w14:textId="77777777" w:rsidR="009D30A1" w:rsidRPr="006F3062" w:rsidRDefault="009D30A1" w:rsidP="009D30A1">
            <w:pPr>
              <w:pStyle w:val="NormalWeb"/>
              <w:shd w:val="clear" w:color="auto" w:fill="F4F4F4"/>
              <w:spacing w:before="0" w:after="0"/>
              <w:textAlignment w:val="baseline"/>
              <w:rPr>
                <w:rFonts w:ascii="Arial Narrow" w:hAnsi="Arial Narrow" w:cs="Open Sans"/>
                <w:b/>
                <w:bCs/>
                <w:color w:val="333333"/>
                <w:sz w:val="18"/>
                <w:szCs w:val="18"/>
                <w:bdr w:val="none" w:sz="0" w:space="0" w:color="auto" w:frame="1"/>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sidRPr="006F3062">
              <w:rPr>
                <w:rFonts w:ascii="Arial Narrow" w:hAnsi="Arial Narrow" w:cs="Open Sans"/>
                <w:color w:val="333333"/>
                <w:sz w:val="18"/>
                <w:szCs w:val="18"/>
                <w:shd w:val="clear" w:color="auto" w:fill="F4F4F4"/>
              </w:rPr>
              <w:t>No increase in the maximum number of repeats may be authorised.</w:t>
            </w:r>
          </w:p>
        </w:tc>
      </w:tr>
      <w:tr w:rsidR="009D30A1" w:rsidRPr="0057693B" w14:paraId="3BDBF524" w14:textId="77777777" w:rsidTr="009D30A1">
        <w:trPr>
          <w:gridAfter w:val="1"/>
          <w:wAfter w:w="142" w:type="dxa"/>
        </w:trPr>
        <w:tc>
          <w:tcPr>
            <w:tcW w:w="988" w:type="dxa"/>
          </w:tcPr>
          <w:p w14:paraId="6AA27B29" w14:textId="0578FD4F"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765BD3DE" w14:textId="77777777" w:rsidR="009D30A1" w:rsidRPr="006F3062" w:rsidRDefault="009D30A1" w:rsidP="009D30A1">
            <w:pPr>
              <w:pStyle w:val="NormalWeb"/>
              <w:shd w:val="clear" w:color="auto" w:fill="F4F4F4"/>
              <w:spacing w:before="0" w:after="0"/>
              <w:textAlignment w:val="baseline"/>
              <w:rPr>
                <w:rFonts w:ascii="Arial Narrow" w:hAnsi="Arial Narrow" w:cs="Open Sans"/>
                <w:b/>
                <w:bCs/>
                <w:color w:val="333333"/>
                <w:sz w:val="18"/>
                <w:szCs w:val="18"/>
                <w:bdr w:val="none" w:sz="0" w:space="0" w:color="auto" w:frame="1"/>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sidRPr="006F3062">
              <w:rPr>
                <w:rFonts w:ascii="Arial Narrow" w:hAnsi="Arial Narrow" w:cs="Open Sans"/>
                <w:color w:val="333333"/>
                <w:sz w:val="18"/>
                <w:szCs w:val="18"/>
                <w:shd w:val="clear" w:color="auto" w:fill="F4F4F4"/>
              </w:rPr>
              <w:t>Special Pricing Arrangements apply.</w:t>
            </w:r>
          </w:p>
        </w:tc>
      </w:tr>
      <w:tr w:rsidR="009D30A1" w:rsidRPr="0057693B" w14:paraId="75A669E4" w14:textId="77777777" w:rsidTr="009D30A1">
        <w:trPr>
          <w:gridAfter w:val="1"/>
          <w:wAfter w:w="142" w:type="dxa"/>
        </w:trPr>
        <w:tc>
          <w:tcPr>
            <w:tcW w:w="988" w:type="dxa"/>
          </w:tcPr>
          <w:p w14:paraId="00584BE9"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5664D75A"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0F72F19B" w14:textId="77777777" w:rsidTr="009D30A1">
        <w:trPr>
          <w:gridAfter w:val="1"/>
          <w:wAfter w:w="142" w:type="dxa"/>
        </w:trPr>
        <w:tc>
          <w:tcPr>
            <w:tcW w:w="988" w:type="dxa"/>
            <w:hideMark/>
          </w:tcPr>
          <w:p w14:paraId="0C394206" w14:textId="0D9A77C0"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0BA68CC4"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57693B">
              <w:rPr>
                <w:rFonts w:ascii="Arial Narrow" w:hAnsi="Arial Narrow" w:cs="Open Sans"/>
                <w:color w:val="333333"/>
                <w:sz w:val="18"/>
                <w:szCs w:val="18"/>
              </w:rPr>
              <w:t>Moderate to severe ulcerative colitis</w:t>
            </w:r>
          </w:p>
        </w:tc>
      </w:tr>
      <w:tr w:rsidR="009D30A1" w:rsidRPr="0057693B" w14:paraId="4FEE0CE8" w14:textId="77777777" w:rsidTr="009D30A1">
        <w:trPr>
          <w:gridAfter w:val="1"/>
          <w:wAfter w:w="142" w:type="dxa"/>
        </w:trPr>
        <w:tc>
          <w:tcPr>
            <w:tcW w:w="988" w:type="dxa"/>
          </w:tcPr>
          <w:p w14:paraId="47AB75D7"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17D48B3B"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F26BAF" w14:paraId="7888FD55" w14:textId="77777777" w:rsidTr="009D30A1">
        <w:trPr>
          <w:gridAfter w:val="1"/>
          <w:wAfter w:w="142" w:type="dxa"/>
        </w:trPr>
        <w:tc>
          <w:tcPr>
            <w:tcW w:w="988" w:type="dxa"/>
          </w:tcPr>
          <w:p w14:paraId="7A71FC24" w14:textId="77777777" w:rsidR="009D30A1" w:rsidRPr="00F26BAF" w:rsidRDefault="009D30A1" w:rsidP="009D30A1">
            <w:pPr>
              <w:textAlignment w:val="baseline"/>
              <w:rPr>
                <w:rFonts w:ascii="Arial Narrow" w:hAnsi="Arial Narrow" w:cs="Open Sans"/>
                <w:color w:val="333333"/>
                <w:sz w:val="18"/>
                <w:szCs w:val="18"/>
              </w:rPr>
            </w:pPr>
          </w:p>
        </w:tc>
        <w:tc>
          <w:tcPr>
            <w:tcW w:w="8221" w:type="dxa"/>
          </w:tcPr>
          <w:p w14:paraId="01E2E572" w14:textId="77777777" w:rsidR="009D30A1" w:rsidRPr="003B2C64" w:rsidRDefault="009D30A1" w:rsidP="009D30A1">
            <w:pPr>
              <w:textAlignment w:val="baseline"/>
              <w:rPr>
                <w:rFonts w:ascii="Arial Narrow" w:hAnsi="Arial Narrow" w:cs="Open Sans"/>
                <w:color w:val="333333"/>
                <w:sz w:val="18"/>
                <w:szCs w:val="18"/>
                <w:bdr w:val="none" w:sz="0" w:space="0" w:color="auto" w:frame="1"/>
              </w:rPr>
            </w:pPr>
            <w:r>
              <w:rPr>
                <w:rFonts w:ascii="Arial Narrow" w:hAnsi="Arial Narrow" w:cs="Open Sans"/>
                <w:b/>
                <w:bCs/>
                <w:color w:val="333333"/>
                <w:sz w:val="18"/>
                <w:szCs w:val="18"/>
                <w:bdr w:val="none" w:sz="0" w:space="0" w:color="auto" w:frame="1"/>
              </w:rPr>
              <w:t xml:space="preserve">Treatment Phase: </w:t>
            </w:r>
            <w:r w:rsidRPr="003B2C64">
              <w:rPr>
                <w:rFonts w:ascii="Arial Narrow" w:hAnsi="Arial Narrow" w:cs="Open Sans"/>
                <w:color w:val="333333"/>
                <w:sz w:val="18"/>
                <w:szCs w:val="18"/>
                <w:bdr w:val="none" w:sz="0" w:space="0" w:color="auto" w:frame="1"/>
              </w:rPr>
              <w:t>Continuing</w:t>
            </w:r>
            <w:r>
              <w:rPr>
                <w:rFonts w:ascii="Arial Narrow" w:hAnsi="Arial Narrow" w:cs="Open Sans"/>
                <w:color w:val="333333"/>
                <w:sz w:val="18"/>
                <w:szCs w:val="18"/>
                <w:bdr w:val="none" w:sz="0" w:space="0" w:color="auto" w:frame="1"/>
              </w:rPr>
              <w:t xml:space="preserve"> treatment</w:t>
            </w:r>
          </w:p>
        </w:tc>
      </w:tr>
      <w:tr w:rsidR="009D30A1" w:rsidRPr="00F26BAF" w14:paraId="762BFE8C" w14:textId="77777777" w:rsidTr="009D30A1">
        <w:trPr>
          <w:gridAfter w:val="1"/>
          <w:wAfter w:w="142" w:type="dxa"/>
        </w:trPr>
        <w:tc>
          <w:tcPr>
            <w:tcW w:w="988" w:type="dxa"/>
          </w:tcPr>
          <w:p w14:paraId="3A6BAB8E" w14:textId="77777777" w:rsidR="009D30A1" w:rsidRPr="00F26BAF" w:rsidRDefault="009D30A1" w:rsidP="009D30A1">
            <w:pPr>
              <w:textAlignment w:val="baseline"/>
              <w:rPr>
                <w:rFonts w:ascii="Arial Narrow" w:hAnsi="Arial Narrow" w:cs="Open Sans"/>
                <w:color w:val="333333"/>
                <w:sz w:val="18"/>
                <w:szCs w:val="18"/>
              </w:rPr>
            </w:pPr>
          </w:p>
        </w:tc>
        <w:tc>
          <w:tcPr>
            <w:tcW w:w="8221" w:type="dxa"/>
          </w:tcPr>
          <w:p w14:paraId="4FA132F0" w14:textId="77777777" w:rsidR="009D30A1" w:rsidRPr="00F26BAF"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F26BAF" w14:paraId="56F13423" w14:textId="77777777" w:rsidTr="009D30A1">
        <w:trPr>
          <w:gridAfter w:val="1"/>
          <w:wAfter w:w="142" w:type="dxa"/>
        </w:trPr>
        <w:tc>
          <w:tcPr>
            <w:tcW w:w="988" w:type="dxa"/>
            <w:hideMark/>
          </w:tcPr>
          <w:p w14:paraId="10D12724" w14:textId="79F0AF21"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42D7414E"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Treatment criteria:</w:t>
            </w:r>
          </w:p>
        </w:tc>
      </w:tr>
      <w:tr w:rsidR="009D30A1" w:rsidRPr="00F26BAF" w14:paraId="10275AB6" w14:textId="77777777" w:rsidTr="009D30A1">
        <w:trPr>
          <w:gridAfter w:val="1"/>
          <w:wAfter w:w="142" w:type="dxa"/>
        </w:trPr>
        <w:tc>
          <w:tcPr>
            <w:tcW w:w="988" w:type="dxa"/>
            <w:hideMark/>
          </w:tcPr>
          <w:p w14:paraId="7E6A04A5" w14:textId="217B6F8A"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4441174A"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color w:val="333333"/>
                <w:sz w:val="18"/>
                <w:szCs w:val="18"/>
              </w:rPr>
              <w:t>Must be treated by a gastroenterologist (code 87); or</w:t>
            </w:r>
          </w:p>
        </w:tc>
      </w:tr>
      <w:tr w:rsidR="009D30A1" w:rsidRPr="00F26BAF" w14:paraId="0333E6C5" w14:textId="77777777" w:rsidTr="009D30A1">
        <w:trPr>
          <w:gridAfter w:val="1"/>
          <w:wAfter w:w="142" w:type="dxa"/>
        </w:trPr>
        <w:tc>
          <w:tcPr>
            <w:tcW w:w="988" w:type="dxa"/>
            <w:hideMark/>
          </w:tcPr>
          <w:p w14:paraId="50CFB003" w14:textId="1772C000"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4AA05043"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color w:val="333333"/>
                <w:sz w:val="18"/>
                <w:szCs w:val="18"/>
              </w:rPr>
              <w:t>Must be treated by a consultant physician [internal medicine specialising in gastroenterology (code 81)]; or</w:t>
            </w:r>
          </w:p>
        </w:tc>
      </w:tr>
      <w:tr w:rsidR="009D30A1" w:rsidRPr="00F26BAF" w14:paraId="1882F349" w14:textId="77777777" w:rsidTr="009D30A1">
        <w:tc>
          <w:tcPr>
            <w:tcW w:w="988" w:type="dxa"/>
            <w:hideMark/>
          </w:tcPr>
          <w:p w14:paraId="7928D187" w14:textId="283C82B0" w:rsidR="009D30A1" w:rsidRPr="00F26BAF" w:rsidRDefault="009D30A1" w:rsidP="009D30A1">
            <w:pPr>
              <w:jc w:val="center"/>
              <w:textAlignment w:val="baseline"/>
              <w:rPr>
                <w:rFonts w:ascii="Arial Narrow" w:hAnsi="Arial Narrow" w:cs="Open Sans"/>
                <w:color w:val="333333"/>
                <w:sz w:val="18"/>
                <w:szCs w:val="18"/>
              </w:rPr>
            </w:pPr>
          </w:p>
        </w:tc>
        <w:tc>
          <w:tcPr>
            <w:tcW w:w="8363" w:type="dxa"/>
            <w:gridSpan w:val="2"/>
            <w:hideMark/>
          </w:tcPr>
          <w:p w14:paraId="2DFB3091"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color w:val="333333"/>
                <w:sz w:val="18"/>
                <w:szCs w:val="18"/>
              </w:rPr>
              <w:t>Must be treated by a consultant physician [general medicine specialising in gastroenterology (code 82)]</w:t>
            </w:r>
          </w:p>
        </w:tc>
      </w:tr>
      <w:tr w:rsidR="009D30A1" w:rsidRPr="00F26BAF" w14:paraId="1E7F639F" w14:textId="77777777" w:rsidTr="009D30A1">
        <w:trPr>
          <w:gridAfter w:val="1"/>
          <w:wAfter w:w="142" w:type="dxa"/>
        </w:trPr>
        <w:tc>
          <w:tcPr>
            <w:tcW w:w="988" w:type="dxa"/>
            <w:hideMark/>
          </w:tcPr>
          <w:p w14:paraId="72BBEB5E" w14:textId="77777777" w:rsidR="009D30A1" w:rsidRPr="00F26BAF" w:rsidRDefault="009D30A1" w:rsidP="009D30A1">
            <w:pPr>
              <w:jc w:val="center"/>
              <w:rPr>
                <w:rFonts w:ascii="Arial Narrow" w:hAnsi="Arial Narrow" w:cs="Open Sans"/>
                <w:color w:val="333333"/>
                <w:sz w:val="18"/>
                <w:szCs w:val="18"/>
              </w:rPr>
            </w:pPr>
          </w:p>
        </w:tc>
        <w:tc>
          <w:tcPr>
            <w:tcW w:w="8221" w:type="dxa"/>
            <w:hideMark/>
          </w:tcPr>
          <w:p w14:paraId="2E4169AA"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AND</w:t>
            </w:r>
          </w:p>
        </w:tc>
      </w:tr>
      <w:tr w:rsidR="009D30A1" w:rsidRPr="00F26BAF" w14:paraId="7B8565CF" w14:textId="77777777" w:rsidTr="009D30A1">
        <w:trPr>
          <w:gridAfter w:val="1"/>
          <w:wAfter w:w="142" w:type="dxa"/>
        </w:trPr>
        <w:tc>
          <w:tcPr>
            <w:tcW w:w="988" w:type="dxa"/>
            <w:hideMark/>
          </w:tcPr>
          <w:p w14:paraId="181D7B78" w14:textId="346E66BD"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3E16609E"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Clinical criteria:</w:t>
            </w:r>
          </w:p>
        </w:tc>
      </w:tr>
      <w:tr w:rsidR="009D30A1" w:rsidRPr="00F26BAF" w14:paraId="2D0FD3D0" w14:textId="77777777" w:rsidTr="009D30A1">
        <w:trPr>
          <w:gridAfter w:val="1"/>
          <w:wAfter w:w="142" w:type="dxa"/>
        </w:trPr>
        <w:tc>
          <w:tcPr>
            <w:tcW w:w="988" w:type="dxa"/>
            <w:hideMark/>
          </w:tcPr>
          <w:p w14:paraId="479FC34A" w14:textId="0A684179"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5713C8EB"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color w:val="333333"/>
                <w:sz w:val="18"/>
                <w:szCs w:val="18"/>
              </w:rPr>
              <w:t>Patient must have previously received PBS-subsidised treatment with this drug for this condition</w:t>
            </w:r>
          </w:p>
        </w:tc>
      </w:tr>
      <w:tr w:rsidR="009D30A1" w:rsidRPr="00F26BAF" w14:paraId="428341A3" w14:textId="77777777" w:rsidTr="009D30A1">
        <w:trPr>
          <w:gridAfter w:val="1"/>
          <w:wAfter w:w="142" w:type="dxa"/>
        </w:trPr>
        <w:tc>
          <w:tcPr>
            <w:tcW w:w="988" w:type="dxa"/>
            <w:hideMark/>
          </w:tcPr>
          <w:p w14:paraId="533D9061" w14:textId="77777777" w:rsidR="009D30A1" w:rsidRPr="00F26BAF" w:rsidRDefault="009D30A1" w:rsidP="009D30A1">
            <w:pPr>
              <w:jc w:val="center"/>
              <w:rPr>
                <w:rFonts w:ascii="Arial Narrow" w:hAnsi="Arial Narrow" w:cs="Open Sans"/>
                <w:color w:val="333333"/>
                <w:sz w:val="18"/>
                <w:szCs w:val="18"/>
              </w:rPr>
            </w:pPr>
          </w:p>
        </w:tc>
        <w:tc>
          <w:tcPr>
            <w:tcW w:w="8221" w:type="dxa"/>
            <w:hideMark/>
          </w:tcPr>
          <w:p w14:paraId="7BD8AD74"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AND</w:t>
            </w:r>
          </w:p>
        </w:tc>
      </w:tr>
      <w:tr w:rsidR="009D30A1" w:rsidRPr="00F26BAF" w14:paraId="35F2DF3E" w14:textId="77777777" w:rsidTr="009D30A1">
        <w:trPr>
          <w:gridAfter w:val="1"/>
          <w:wAfter w:w="142" w:type="dxa"/>
        </w:trPr>
        <w:tc>
          <w:tcPr>
            <w:tcW w:w="988" w:type="dxa"/>
            <w:hideMark/>
          </w:tcPr>
          <w:p w14:paraId="4079E5DA" w14:textId="5CA46625"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1F73BBA8"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Clinical criteria:</w:t>
            </w:r>
          </w:p>
        </w:tc>
      </w:tr>
      <w:tr w:rsidR="009D30A1" w:rsidRPr="00F26BAF" w14:paraId="6AC8A3B8" w14:textId="77777777" w:rsidTr="009D30A1">
        <w:trPr>
          <w:gridAfter w:val="1"/>
          <w:wAfter w:w="142" w:type="dxa"/>
        </w:trPr>
        <w:tc>
          <w:tcPr>
            <w:tcW w:w="988" w:type="dxa"/>
            <w:hideMark/>
          </w:tcPr>
          <w:p w14:paraId="416B24BD" w14:textId="29EF7335"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466D50FC"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color w:val="333333"/>
                <w:sz w:val="18"/>
                <w:szCs w:val="18"/>
              </w:rPr>
              <w:t xml:space="preserve">Patient must have demonstrated or sustained an adequate response to treatment by having a partial Mayo clinic score less than or equal to 2, with no </w:t>
            </w:r>
            <w:proofErr w:type="spellStart"/>
            <w:r w:rsidRPr="00F26BAF">
              <w:rPr>
                <w:rFonts w:ascii="Arial Narrow" w:hAnsi="Arial Narrow" w:cs="Open Sans"/>
                <w:color w:val="333333"/>
                <w:sz w:val="18"/>
                <w:szCs w:val="18"/>
              </w:rPr>
              <w:t>subscore</w:t>
            </w:r>
            <w:proofErr w:type="spellEnd"/>
            <w:r w:rsidRPr="00F26BAF">
              <w:rPr>
                <w:rFonts w:ascii="Arial Narrow" w:hAnsi="Arial Narrow" w:cs="Open Sans"/>
                <w:color w:val="333333"/>
                <w:sz w:val="18"/>
                <w:szCs w:val="18"/>
              </w:rPr>
              <w:t xml:space="preserve"> greater than 1 while receiving treatment with this drug</w:t>
            </w:r>
          </w:p>
        </w:tc>
      </w:tr>
      <w:tr w:rsidR="009D30A1" w:rsidRPr="00F26BAF" w14:paraId="16B56C40" w14:textId="77777777" w:rsidTr="009D30A1">
        <w:trPr>
          <w:gridAfter w:val="1"/>
          <w:wAfter w:w="142" w:type="dxa"/>
        </w:trPr>
        <w:tc>
          <w:tcPr>
            <w:tcW w:w="988" w:type="dxa"/>
            <w:hideMark/>
          </w:tcPr>
          <w:p w14:paraId="2E3DB152" w14:textId="77777777" w:rsidR="009D30A1" w:rsidRPr="00F26BAF" w:rsidRDefault="009D30A1" w:rsidP="009D30A1">
            <w:pPr>
              <w:jc w:val="center"/>
              <w:rPr>
                <w:rFonts w:ascii="Arial Narrow" w:hAnsi="Arial Narrow" w:cs="Open Sans"/>
                <w:color w:val="333333"/>
                <w:sz w:val="18"/>
                <w:szCs w:val="18"/>
              </w:rPr>
            </w:pPr>
          </w:p>
        </w:tc>
        <w:tc>
          <w:tcPr>
            <w:tcW w:w="8221" w:type="dxa"/>
            <w:hideMark/>
          </w:tcPr>
          <w:p w14:paraId="0FC86AC9" w14:textId="77777777" w:rsidR="009D30A1" w:rsidRPr="00F26BAF" w:rsidRDefault="009D30A1" w:rsidP="009D30A1">
            <w:pPr>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AND</w:t>
            </w:r>
          </w:p>
        </w:tc>
      </w:tr>
      <w:tr w:rsidR="009D30A1" w:rsidRPr="00F26BAF" w14:paraId="613B4BEB" w14:textId="77777777" w:rsidTr="009D30A1">
        <w:trPr>
          <w:gridAfter w:val="1"/>
          <w:wAfter w:w="142" w:type="dxa"/>
        </w:trPr>
        <w:tc>
          <w:tcPr>
            <w:tcW w:w="988" w:type="dxa"/>
            <w:hideMark/>
          </w:tcPr>
          <w:p w14:paraId="1FE76A5C" w14:textId="1AF66BCE"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0BE8135B"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Population criteria:</w:t>
            </w:r>
          </w:p>
        </w:tc>
      </w:tr>
      <w:tr w:rsidR="009D30A1" w:rsidRPr="00F26BAF" w14:paraId="4B34B6DF" w14:textId="77777777" w:rsidTr="009D30A1">
        <w:trPr>
          <w:gridAfter w:val="1"/>
          <w:wAfter w:w="142" w:type="dxa"/>
        </w:trPr>
        <w:tc>
          <w:tcPr>
            <w:tcW w:w="988" w:type="dxa"/>
            <w:hideMark/>
          </w:tcPr>
          <w:p w14:paraId="34CC6D73" w14:textId="106DA177" w:rsidR="009D30A1" w:rsidRPr="00F26BAF" w:rsidRDefault="009D30A1" w:rsidP="009D30A1">
            <w:pPr>
              <w:jc w:val="center"/>
              <w:textAlignment w:val="baseline"/>
              <w:rPr>
                <w:rFonts w:ascii="Arial Narrow" w:hAnsi="Arial Narrow" w:cs="Open Sans"/>
                <w:strike/>
                <w:color w:val="333333"/>
                <w:sz w:val="18"/>
                <w:szCs w:val="18"/>
              </w:rPr>
            </w:pPr>
          </w:p>
        </w:tc>
        <w:tc>
          <w:tcPr>
            <w:tcW w:w="8221" w:type="dxa"/>
            <w:hideMark/>
          </w:tcPr>
          <w:p w14:paraId="218F9E36" w14:textId="77777777" w:rsidR="009D30A1" w:rsidRDefault="009D30A1" w:rsidP="009D30A1">
            <w:pPr>
              <w:rPr>
                <w:rFonts w:ascii="Arial Narrow" w:hAnsi="Arial Narrow" w:cs="Open Sans"/>
                <w:color w:val="333333"/>
                <w:sz w:val="18"/>
                <w:szCs w:val="18"/>
              </w:rPr>
            </w:pPr>
            <w:r w:rsidRPr="00F26BAF">
              <w:rPr>
                <w:rFonts w:ascii="Arial Narrow" w:hAnsi="Arial Narrow" w:cs="Open Sans"/>
                <w:strike/>
                <w:color w:val="333333"/>
                <w:sz w:val="18"/>
                <w:szCs w:val="18"/>
              </w:rPr>
              <w:t>Patient must be aged 18 years or older</w:t>
            </w:r>
            <w:r>
              <w:rPr>
                <w:rFonts w:ascii="Arial Narrow" w:hAnsi="Arial Narrow" w:cs="Open Sans"/>
                <w:strike/>
                <w:color w:val="333333"/>
                <w:sz w:val="18"/>
                <w:szCs w:val="18"/>
              </w:rPr>
              <w:t xml:space="preserve"> </w:t>
            </w:r>
          </w:p>
          <w:p w14:paraId="1DB53165" w14:textId="77777777" w:rsidR="009D30A1" w:rsidRPr="00F26BAF" w:rsidRDefault="009D30A1" w:rsidP="009D30A1">
            <w:pPr>
              <w:rPr>
                <w:rFonts w:ascii="Arial Narrow" w:hAnsi="Arial Narrow" w:cs="Open Sans"/>
                <w:color w:val="333333"/>
                <w:sz w:val="18"/>
                <w:szCs w:val="18"/>
              </w:rPr>
            </w:pPr>
            <w:r>
              <w:rPr>
                <w:rFonts w:ascii="Arial Narrow" w:hAnsi="Arial Narrow" w:cs="Open Sans"/>
                <w:color w:val="333333"/>
                <w:sz w:val="18"/>
                <w:szCs w:val="18"/>
              </w:rPr>
              <w:t>Patients must be at least 18 years of age</w:t>
            </w:r>
          </w:p>
        </w:tc>
      </w:tr>
      <w:tr w:rsidR="009D30A1" w:rsidRPr="00F26BAF" w14:paraId="061113DA" w14:textId="77777777" w:rsidTr="009D30A1">
        <w:trPr>
          <w:gridAfter w:val="1"/>
          <w:wAfter w:w="142" w:type="dxa"/>
        </w:trPr>
        <w:tc>
          <w:tcPr>
            <w:tcW w:w="988" w:type="dxa"/>
            <w:hideMark/>
          </w:tcPr>
          <w:p w14:paraId="40587848" w14:textId="58D80734"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1D0B31E2"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Prescribing Instructions:</w:t>
            </w:r>
          </w:p>
          <w:p w14:paraId="518568C4"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 xml:space="preserve">Patients who have failed to maintain a partial Mayo clinic score less than or equal to 2, with no </w:t>
            </w:r>
            <w:proofErr w:type="spellStart"/>
            <w:r w:rsidRPr="00F26BAF">
              <w:rPr>
                <w:rFonts w:ascii="Arial Narrow" w:hAnsi="Arial Narrow" w:cs="Open Sans"/>
                <w:color w:val="333333"/>
                <w:sz w:val="18"/>
                <w:szCs w:val="18"/>
              </w:rPr>
              <w:t>subscore</w:t>
            </w:r>
            <w:proofErr w:type="spellEnd"/>
            <w:r w:rsidRPr="00F26BAF">
              <w:rPr>
                <w:rFonts w:ascii="Arial Narrow" w:hAnsi="Arial Narrow" w:cs="Open Sans"/>
                <w:color w:val="333333"/>
                <w:sz w:val="18"/>
                <w:szCs w:val="18"/>
              </w:rPr>
              <w:t xml:space="preserve"> greater than 1 with continuing treatment with this drug, will not be eligible to receive further PBS-subsidised treatment with this drug.</w:t>
            </w:r>
          </w:p>
        </w:tc>
      </w:tr>
      <w:tr w:rsidR="009D30A1" w:rsidRPr="00F26BAF" w14:paraId="1A34BF4D" w14:textId="77777777" w:rsidTr="009D30A1">
        <w:trPr>
          <w:gridAfter w:val="1"/>
          <w:wAfter w:w="142" w:type="dxa"/>
        </w:trPr>
        <w:tc>
          <w:tcPr>
            <w:tcW w:w="988" w:type="dxa"/>
            <w:hideMark/>
          </w:tcPr>
          <w:p w14:paraId="58335435" w14:textId="72993FD6"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44325011"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Prescribing Instructions:</w:t>
            </w:r>
          </w:p>
          <w:p w14:paraId="59367BB5"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Patients are eligible to receive continuing treatment with this drug in courses of up to 24 weeks providing they continue to sustain a response.</w:t>
            </w:r>
          </w:p>
        </w:tc>
      </w:tr>
      <w:tr w:rsidR="009D30A1" w:rsidRPr="00F26BAF" w14:paraId="2C860399" w14:textId="77777777" w:rsidTr="009D30A1">
        <w:trPr>
          <w:gridAfter w:val="1"/>
          <w:wAfter w:w="142" w:type="dxa"/>
        </w:trPr>
        <w:tc>
          <w:tcPr>
            <w:tcW w:w="988" w:type="dxa"/>
            <w:hideMark/>
          </w:tcPr>
          <w:p w14:paraId="749B99B4" w14:textId="7C32EECC"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10647917"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Prescribing Instructions:</w:t>
            </w:r>
          </w:p>
          <w:p w14:paraId="79863401"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 xml:space="preserve">At the time of the authority application, medical practitioners should request </w:t>
            </w:r>
            <w:proofErr w:type="gramStart"/>
            <w:r w:rsidRPr="00F26BAF">
              <w:rPr>
                <w:rFonts w:ascii="Arial Narrow" w:hAnsi="Arial Narrow" w:cs="Open Sans"/>
                <w:color w:val="333333"/>
                <w:sz w:val="18"/>
                <w:szCs w:val="18"/>
              </w:rPr>
              <w:t>sufficient quantity</w:t>
            </w:r>
            <w:proofErr w:type="gramEnd"/>
            <w:r w:rsidRPr="00F26BAF">
              <w:rPr>
                <w:rFonts w:ascii="Arial Narrow" w:hAnsi="Arial Narrow" w:cs="Open Sans"/>
                <w:color w:val="333333"/>
                <w:sz w:val="18"/>
                <w:szCs w:val="18"/>
              </w:rPr>
              <w:t xml:space="preserve"> for up to 24 weeks of treatment under this restriction.</w:t>
            </w:r>
          </w:p>
        </w:tc>
      </w:tr>
      <w:tr w:rsidR="009D30A1" w:rsidRPr="00F26BAF" w14:paraId="38CDA92B" w14:textId="77777777" w:rsidTr="009D30A1">
        <w:trPr>
          <w:gridAfter w:val="1"/>
          <w:wAfter w:w="142" w:type="dxa"/>
        </w:trPr>
        <w:tc>
          <w:tcPr>
            <w:tcW w:w="988" w:type="dxa"/>
            <w:hideMark/>
          </w:tcPr>
          <w:p w14:paraId="2C44DA87" w14:textId="49000444"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68802DA1"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Prescribing Instructions:</w:t>
            </w:r>
          </w:p>
          <w:p w14:paraId="1863695C"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9D30A1" w:rsidRPr="00F26BAF" w14:paraId="7F0AA043" w14:textId="77777777" w:rsidTr="009D30A1">
        <w:trPr>
          <w:gridAfter w:val="1"/>
          <w:wAfter w:w="142" w:type="dxa"/>
        </w:trPr>
        <w:tc>
          <w:tcPr>
            <w:tcW w:w="988" w:type="dxa"/>
            <w:hideMark/>
          </w:tcPr>
          <w:p w14:paraId="44DF99AF" w14:textId="20B07DCC"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511797DA"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Prescribing Instructions:</w:t>
            </w:r>
          </w:p>
          <w:p w14:paraId="112978C4"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D30A1" w:rsidRPr="00F26BAF" w14:paraId="7467225A" w14:textId="77777777" w:rsidTr="009D30A1">
        <w:trPr>
          <w:gridAfter w:val="1"/>
          <w:wAfter w:w="142" w:type="dxa"/>
        </w:trPr>
        <w:tc>
          <w:tcPr>
            <w:tcW w:w="988" w:type="dxa"/>
            <w:hideMark/>
          </w:tcPr>
          <w:p w14:paraId="55B318DC" w14:textId="2DD6AD76"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52CD86C3"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Prescribing Instructions:</w:t>
            </w:r>
          </w:p>
          <w:p w14:paraId="31B7D4B0"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 xml:space="preserve">If a patient fails to demonstrate a response to treatment with this </w:t>
            </w:r>
            <w:proofErr w:type="gramStart"/>
            <w:r w:rsidRPr="00F26BAF">
              <w:rPr>
                <w:rFonts w:ascii="Arial Narrow" w:hAnsi="Arial Narrow" w:cs="Open Sans"/>
                <w:color w:val="333333"/>
                <w:sz w:val="18"/>
                <w:szCs w:val="18"/>
              </w:rPr>
              <w:t>drug</w:t>
            </w:r>
            <w:proofErr w:type="gramEnd"/>
            <w:r w:rsidRPr="00F26BAF">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D30A1" w:rsidRPr="00F26BAF" w14:paraId="7CE4E61B" w14:textId="77777777" w:rsidTr="009D30A1">
        <w:trPr>
          <w:gridAfter w:val="1"/>
          <w:wAfter w:w="142" w:type="dxa"/>
        </w:trPr>
        <w:tc>
          <w:tcPr>
            <w:tcW w:w="988" w:type="dxa"/>
            <w:hideMark/>
          </w:tcPr>
          <w:p w14:paraId="339DBC4D" w14:textId="1FC9641B"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454D9523"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Prescribing Instructions:</w:t>
            </w:r>
          </w:p>
          <w:p w14:paraId="4C5F3E46"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9D30A1" w:rsidRPr="00F26BAF" w14:paraId="085C0B3C" w14:textId="77777777" w:rsidTr="009D30A1">
        <w:trPr>
          <w:gridAfter w:val="1"/>
          <w:wAfter w:w="142" w:type="dxa"/>
        </w:trPr>
        <w:tc>
          <w:tcPr>
            <w:tcW w:w="988" w:type="dxa"/>
            <w:hideMark/>
          </w:tcPr>
          <w:p w14:paraId="7D79DC70" w14:textId="223D2961" w:rsidR="009D30A1" w:rsidRPr="00F26BAF" w:rsidRDefault="009D30A1" w:rsidP="009D30A1">
            <w:pPr>
              <w:jc w:val="center"/>
              <w:textAlignment w:val="baseline"/>
              <w:rPr>
                <w:rFonts w:ascii="Arial Narrow" w:hAnsi="Arial Narrow" w:cs="Open Sans"/>
                <w:color w:val="333333"/>
                <w:sz w:val="18"/>
                <w:szCs w:val="18"/>
              </w:rPr>
            </w:pPr>
          </w:p>
        </w:tc>
        <w:tc>
          <w:tcPr>
            <w:tcW w:w="8221" w:type="dxa"/>
            <w:hideMark/>
          </w:tcPr>
          <w:p w14:paraId="470ABABC"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Administrative Advice:</w:t>
            </w:r>
          </w:p>
          <w:p w14:paraId="01AA967E" w14:textId="77777777" w:rsidR="009D30A1" w:rsidRPr="00F26BAF" w:rsidRDefault="009D30A1" w:rsidP="009D30A1">
            <w:pPr>
              <w:textAlignment w:val="baseline"/>
              <w:rPr>
                <w:rFonts w:ascii="Arial Narrow" w:hAnsi="Arial Narrow" w:cs="Open Sans"/>
                <w:color w:val="333333"/>
                <w:sz w:val="18"/>
                <w:szCs w:val="18"/>
              </w:rPr>
            </w:pPr>
            <w:r w:rsidRPr="00F26BAF">
              <w:rPr>
                <w:rFonts w:ascii="Arial Narrow" w:hAnsi="Arial Narrow" w:cs="Open Sans"/>
                <w:color w:val="333333"/>
                <w:sz w:val="18"/>
                <w:szCs w:val="18"/>
              </w:rPr>
              <w:t xml:space="preserve">Applications for authorisation under this restriction may be made in real time using the Online PBS Authorities system (see www.servicesaustralia.gov.au/HPOS) or by telephone by contacting Services Australia on 1800 700 270 (hours of operation 8 a.m. to 5 p.m. </w:t>
            </w:r>
            <w:r w:rsidRPr="00F26BAF">
              <w:rPr>
                <w:rFonts w:ascii="Arial Narrow" w:hAnsi="Arial Narrow" w:cs="Open Sans"/>
                <w:strike/>
                <w:color w:val="333333"/>
                <w:sz w:val="18"/>
                <w:szCs w:val="18"/>
              </w:rPr>
              <w:t>EST</w:t>
            </w:r>
            <w:r w:rsidRPr="00F26BAF">
              <w:rPr>
                <w:rFonts w:ascii="Arial Narrow" w:hAnsi="Arial Narrow" w:cs="Open Sans"/>
                <w:color w:val="333333"/>
                <w:sz w:val="18"/>
                <w:szCs w:val="18"/>
              </w:rPr>
              <w:t xml:space="preserve"> Monday to Friday).</w:t>
            </w:r>
          </w:p>
        </w:tc>
      </w:tr>
      <w:tr w:rsidR="009D30A1" w:rsidRPr="00661061" w14:paraId="65A7BED1" w14:textId="77777777" w:rsidTr="009D30A1">
        <w:trPr>
          <w:gridAfter w:val="1"/>
          <w:wAfter w:w="142" w:type="dxa"/>
          <w:trHeight w:val="423"/>
        </w:trPr>
        <w:tc>
          <w:tcPr>
            <w:tcW w:w="9209" w:type="dxa"/>
            <w:gridSpan w:val="2"/>
          </w:tcPr>
          <w:p w14:paraId="4E27BDC3" w14:textId="77777777" w:rsidR="009D30A1" w:rsidRPr="00661061"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661061" w14:paraId="72ABDCB5" w14:textId="77777777" w:rsidTr="009D30A1">
        <w:trPr>
          <w:gridAfter w:val="1"/>
          <w:wAfter w:w="142" w:type="dxa"/>
        </w:trPr>
        <w:tc>
          <w:tcPr>
            <w:tcW w:w="9209" w:type="dxa"/>
            <w:gridSpan w:val="2"/>
          </w:tcPr>
          <w:p w14:paraId="6F503270" w14:textId="77777777" w:rsidR="009D30A1" w:rsidRPr="00661061" w:rsidRDefault="009D30A1" w:rsidP="009D30A1">
            <w:pPr>
              <w:textAlignment w:val="baseline"/>
              <w:rPr>
                <w:rFonts w:ascii="Arial Narrow" w:hAnsi="Arial Narrow" w:cs="Open Sans"/>
                <w:b/>
                <w:bCs/>
                <w:color w:val="333333"/>
                <w:sz w:val="18"/>
                <w:szCs w:val="18"/>
                <w:bdr w:val="none" w:sz="0" w:space="0" w:color="auto" w:frame="1"/>
              </w:rPr>
            </w:pPr>
            <w:r>
              <w:rPr>
                <w:rFonts w:ascii="Arial Narrow" w:hAnsi="Arial Narrow"/>
                <w:b/>
                <w:sz w:val="18"/>
                <w:szCs w:val="18"/>
              </w:rPr>
              <w:t>Restriction Summary 12279 edited / Treatment of Concept: 12317 edited</w:t>
            </w:r>
          </w:p>
        </w:tc>
      </w:tr>
      <w:tr w:rsidR="009D30A1" w:rsidRPr="00661061" w14:paraId="63890BDB" w14:textId="77777777" w:rsidTr="009D30A1">
        <w:trPr>
          <w:gridAfter w:val="1"/>
          <w:wAfter w:w="142" w:type="dxa"/>
        </w:trPr>
        <w:tc>
          <w:tcPr>
            <w:tcW w:w="988" w:type="dxa"/>
            <w:hideMark/>
          </w:tcPr>
          <w:p w14:paraId="463F0CDB" w14:textId="1F69258A"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7BDD0632"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Indication:</w:t>
            </w:r>
          </w:p>
          <w:p w14:paraId="6943A7CB"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Moderate to severe ulcerative colitis</w:t>
            </w:r>
          </w:p>
        </w:tc>
      </w:tr>
      <w:tr w:rsidR="009D30A1" w:rsidRPr="00661061" w14:paraId="5000C0D9" w14:textId="77777777" w:rsidTr="009D30A1">
        <w:trPr>
          <w:gridAfter w:val="1"/>
          <w:wAfter w:w="142" w:type="dxa"/>
        </w:trPr>
        <w:tc>
          <w:tcPr>
            <w:tcW w:w="9209" w:type="dxa"/>
            <w:gridSpan w:val="2"/>
          </w:tcPr>
          <w:p w14:paraId="1B98CD18" w14:textId="77777777" w:rsidR="009D30A1" w:rsidRPr="00661061"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661061" w14:paraId="2F1B9F1E" w14:textId="77777777" w:rsidTr="009D30A1">
        <w:trPr>
          <w:gridAfter w:val="1"/>
          <w:wAfter w:w="142" w:type="dxa"/>
        </w:trPr>
        <w:tc>
          <w:tcPr>
            <w:tcW w:w="988" w:type="dxa"/>
            <w:hideMark/>
          </w:tcPr>
          <w:p w14:paraId="47F32856" w14:textId="77777777" w:rsidR="009D30A1" w:rsidRPr="00661061" w:rsidRDefault="009D30A1" w:rsidP="009D30A1">
            <w:pPr>
              <w:rPr>
                <w:rFonts w:ascii="Arial Narrow" w:hAnsi="Arial Narrow" w:cs="Open Sans"/>
                <w:color w:val="333333"/>
                <w:sz w:val="18"/>
                <w:szCs w:val="18"/>
              </w:rPr>
            </w:pPr>
          </w:p>
        </w:tc>
        <w:tc>
          <w:tcPr>
            <w:tcW w:w="8221" w:type="dxa"/>
            <w:hideMark/>
          </w:tcPr>
          <w:p w14:paraId="565F4D79"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Treatment Phase:</w:t>
            </w:r>
          </w:p>
          <w:p w14:paraId="212BF9D2"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Initial treatment - Grandfather treatment</w:t>
            </w:r>
          </w:p>
        </w:tc>
      </w:tr>
      <w:tr w:rsidR="009D30A1" w:rsidRPr="00661061" w14:paraId="0465612C" w14:textId="77777777" w:rsidTr="009D30A1">
        <w:trPr>
          <w:gridAfter w:val="1"/>
          <w:wAfter w:w="142" w:type="dxa"/>
        </w:trPr>
        <w:tc>
          <w:tcPr>
            <w:tcW w:w="9209" w:type="dxa"/>
            <w:gridSpan w:val="2"/>
          </w:tcPr>
          <w:p w14:paraId="51B413B8" w14:textId="77777777" w:rsidR="009D30A1" w:rsidRPr="00661061"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661061" w14:paraId="146DFA85" w14:textId="77777777" w:rsidTr="009D30A1">
        <w:trPr>
          <w:gridAfter w:val="1"/>
          <w:wAfter w:w="142" w:type="dxa"/>
        </w:trPr>
        <w:tc>
          <w:tcPr>
            <w:tcW w:w="988" w:type="dxa"/>
            <w:hideMark/>
          </w:tcPr>
          <w:p w14:paraId="404D9AF8" w14:textId="1FD1D48F"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7C3EE898"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Treatment criteria:</w:t>
            </w:r>
          </w:p>
        </w:tc>
      </w:tr>
      <w:tr w:rsidR="009D30A1" w:rsidRPr="00661061" w14:paraId="66388023" w14:textId="77777777" w:rsidTr="009D30A1">
        <w:trPr>
          <w:gridAfter w:val="1"/>
          <w:wAfter w:w="142" w:type="dxa"/>
        </w:trPr>
        <w:tc>
          <w:tcPr>
            <w:tcW w:w="988" w:type="dxa"/>
            <w:hideMark/>
          </w:tcPr>
          <w:p w14:paraId="5A3077FD" w14:textId="4FD438FB"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1077FD2E"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Must be treated by a gastroenterologist (code 87); or</w:t>
            </w:r>
          </w:p>
        </w:tc>
      </w:tr>
      <w:tr w:rsidR="009D30A1" w:rsidRPr="00661061" w14:paraId="0698DEB4" w14:textId="77777777" w:rsidTr="009D30A1">
        <w:trPr>
          <w:gridAfter w:val="1"/>
          <w:wAfter w:w="142" w:type="dxa"/>
        </w:trPr>
        <w:tc>
          <w:tcPr>
            <w:tcW w:w="988" w:type="dxa"/>
            <w:hideMark/>
          </w:tcPr>
          <w:p w14:paraId="2098A1EC" w14:textId="1B9AD685"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1A88A118"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Must be treated by a consultant physician [internal medicine specialising in gastroenterology (code 81)]; or</w:t>
            </w:r>
          </w:p>
        </w:tc>
      </w:tr>
      <w:tr w:rsidR="009D30A1" w:rsidRPr="00661061" w14:paraId="331C23C6" w14:textId="77777777" w:rsidTr="009D30A1">
        <w:trPr>
          <w:gridAfter w:val="1"/>
          <w:wAfter w:w="142" w:type="dxa"/>
        </w:trPr>
        <w:tc>
          <w:tcPr>
            <w:tcW w:w="988" w:type="dxa"/>
            <w:hideMark/>
          </w:tcPr>
          <w:p w14:paraId="31A44FB8" w14:textId="1E245DEC"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079325C1"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Must be treated by a consultant physician [general medicine specialising in gastroenterology (code 82)]</w:t>
            </w:r>
          </w:p>
        </w:tc>
      </w:tr>
      <w:tr w:rsidR="009D30A1" w:rsidRPr="00661061" w14:paraId="4F74BA75" w14:textId="77777777" w:rsidTr="009D30A1">
        <w:trPr>
          <w:gridAfter w:val="1"/>
          <w:wAfter w:w="142" w:type="dxa"/>
        </w:trPr>
        <w:tc>
          <w:tcPr>
            <w:tcW w:w="988" w:type="dxa"/>
            <w:hideMark/>
          </w:tcPr>
          <w:p w14:paraId="5995216B" w14:textId="77777777" w:rsidR="009D30A1" w:rsidRPr="00661061" w:rsidRDefault="009D30A1" w:rsidP="009D30A1">
            <w:pPr>
              <w:rPr>
                <w:rFonts w:ascii="Arial Narrow" w:hAnsi="Arial Narrow" w:cs="Open Sans"/>
                <w:color w:val="333333"/>
                <w:sz w:val="18"/>
                <w:szCs w:val="18"/>
              </w:rPr>
            </w:pPr>
          </w:p>
        </w:tc>
        <w:tc>
          <w:tcPr>
            <w:tcW w:w="8221" w:type="dxa"/>
            <w:hideMark/>
          </w:tcPr>
          <w:p w14:paraId="492FF271"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AND</w:t>
            </w:r>
          </w:p>
        </w:tc>
      </w:tr>
      <w:tr w:rsidR="009D30A1" w:rsidRPr="00661061" w14:paraId="7E3E7E87" w14:textId="77777777" w:rsidTr="009D30A1">
        <w:trPr>
          <w:gridAfter w:val="1"/>
          <w:wAfter w:w="142" w:type="dxa"/>
        </w:trPr>
        <w:tc>
          <w:tcPr>
            <w:tcW w:w="988" w:type="dxa"/>
            <w:hideMark/>
          </w:tcPr>
          <w:p w14:paraId="4C21F970" w14:textId="7433E3A6"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4E6B1CD9"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Clinical criteria:</w:t>
            </w:r>
          </w:p>
        </w:tc>
      </w:tr>
      <w:tr w:rsidR="009D30A1" w:rsidRPr="00661061" w14:paraId="6F35901C" w14:textId="77777777" w:rsidTr="009D30A1">
        <w:trPr>
          <w:gridAfter w:val="1"/>
          <w:wAfter w:w="142" w:type="dxa"/>
        </w:trPr>
        <w:tc>
          <w:tcPr>
            <w:tcW w:w="988" w:type="dxa"/>
            <w:hideMark/>
          </w:tcPr>
          <w:p w14:paraId="3E890F1B" w14:textId="05B14AFF"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2B1567A3"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 xml:space="preserve">Patient must have previously received non-PBS-subsidised treatment with this drug for this condition prior to </w:t>
            </w:r>
            <w:r>
              <w:rPr>
                <w:rFonts w:ascii="Arial Narrow" w:hAnsi="Arial Narrow" w:cs="Open Sans"/>
                <w:color w:val="333333"/>
                <w:sz w:val="18"/>
                <w:szCs w:val="18"/>
              </w:rPr>
              <w:t xml:space="preserve">1 Month 20XX </w:t>
            </w:r>
          </w:p>
        </w:tc>
      </w:tr>
      <w:tr w:rsidR="009D30A1" w:rsidRPr="00661061" w14:paraId="08D799F8" w14:textId="77777777" w:rsidTr="009D30A1">
        <w:trPr>
          <w:gridAfter w:val="1"/>
          <w:wAfter w:w="142" w:type="dxa"/>
        </w:trPr>
        <w:tc>
          <w:tcPr>
            <w:tcW w:w="988" w:type="dxa"/>
            <w:hideMark/>
          </w:tcPr>
          <w:p w14:paraId="74E66F57" w14:textId="77777777" w:rsidR="009D30A1" w:rsidRPr="00661061" w:rsidRDefault="009D30A1" w:rsidP="009D30A1">
            <w:pPr>
              <w:rPr>
                <w:rFonts w:ascii="Arial Narrow" w:hAnsi="Arial Narrow" w:cs="Open Sans"/>
                <w:color w:val="333333"/>
                <w:sz w:val="18"/>
                <w:szCs w:val="18"/>
              </w:rPr>
            </w:pPr>
          </w:p>
        </w:tc>
        <w:tc>
          <w:tcPr>
            <w:tcW w:w="8221" w:type="dxa"/>
            <w:hideMark/>
          </w:tcPr>
          <w:p w14:paraId="474A4F78"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AND</w:t>
            </w:r>
          </w:p>
        </w:tc>
      </w:tr>
      <w:tr w:rsidR="009D30A1" w:rsidRPr="00661061" w14:paraId="1037ED38" w14:textId="77777777" w:rsidTr="009D30A1">
        <w:trPr>
          <w:gridAfter w:val="1"/>
          <w:wAfter w:w="142" w:type="dxa"/>
        </w:trPr>
        <w:tc>
          <w:tcPr>
            <w:tcW w:w="988" w:type="dxa"/>
            <w:hideMark/>
          </w:tcPr>
          <w:p w14:paraId="523A7DBC" w14:textId="7D96DD7E"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28F66971"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Clinical criteria:</w:t>
            </w:r>
          </w:p>
        </w:tc>
      </w:tr>
      <w:tr w:rsidR="009D30A1" w:rsidRPr="00661061" w14:paraId="7E5C2F3A" w14:textId="77777777" w:rsidTr="009D30A1">
        <w:trPr>
          <w:gridAfter w:val="1"/>
          <w:wAfter w:w="142" w:type="dxa"/>
        </w:trPr>
        <w:tc>
          <w:tcPr>
            <w:tcW w:w="988" w:type="dxa"/>
            <w:hideMark/>
          </w:tcPr>
          <w:p w14:paraId="4C9436AA" w14:textId="1FBC2835"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6D01EFDF"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Patient must be receiving treatment with this drug for this condition at the time of application</w:t>
            </w:r>
          </w:p>
        </w:tc>
      </w:tr>
      <w:tr w:rsidR="009D30A1" w:rsidRPr="00661061" w14:paraId="14950BE3" w14:textId="77777777" w:rsidTr="009D30A1">
        <w:trPr>
          <w:gridAfter w:val="1"/>
          <w:wAfter w:w="142" w:type="dxa"/>
        </w:trPr>
        <w:tc>
          <w:tcPr>
            <w:tcW w:w="988" w:type="dxa"/>
            <w:hideMark/>
          </w:tcPr>
          <w:p w14:paraId="318CAF98" w14:textId="77777777" w:rsidR="009D30A1" w:rsidRPr="00661061" w:rsidRDefault="009D30A1" w:rsidP="009D30A1">
            <w:pPr>
              <w:rPr>
                <w:rFonts w:ascii="Arial Narrow" w:hAnsi="Arial Narrow" w:cs="Open Sans"/>
                <w:color w:val="333333"/>
                <w:sz w:val="18"/>
                <w:szCs w:val="18"/>
              </w:rPr>
            </w:pPr>
          </w:p>
        </w:tc>
        <w:tc>
          <w:tcPr>
            <w:tcW w:w="8221" w:type="dxa"/>
            <w:hideMark/>
          </w:tcPr>
          <w:p w14:paraId="7D3926DE"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AND</w:t>
            </w:r>
          </w:p>
        </w:tc>
      </w:tr>
      <w:tr w:rsidR="009D30A1" w:rsidRPr="00661061" w14:paraId="1F529AC9" w14:textId="77777777" w:rsidTr="009D30A1">
        <w:trPr>
          <w:gridAfter w:val="1"/>
          <w:wAfter w:w="142" w:type="dxa"/>
        </w:trPr>
        <w:tc>
          <w:tcPr>
            <w:tcW w:w="988" w:type="dxa"/>
            <w:hideMark/>
          </w:tcPr>
          <w:p w14:paraId="34F5B30C" w14:textId="105F2F6E"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50E293F2"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Clinical criteria:</w:t>
            </w:r>
          </w:p>
        </w:tc>
      </w:tr>
      <w:tr w:rsidR="009D30A1" w:rsidRPr="00661061" w14:paraId="2B37B6FC" w14:textId="77777777" w:rsidTr="009D30A1">
        <w:trPr>
          <w:gridAfter w:val="1"/>
          <w:wAfter w:w="142" w:type="dxa"/>
        </w:trPr>
        <w:tc>
          <w:tcPr>
            <w:tcW w:w="988" w:type="dxa"/>
            <w:hideMark/>
          </w:tcPr>
          <w:p w14:paraId="3F08CBC4" w14:textId="2EAB4EF3"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4F7DE143"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Patient must have had a Mayo clinic score greater than or equal to 6 prior to commencing non-PBS-subsidised treatment with this drug for this condition; or</w:t>
            </w:r>
          </w:p>
        </w:tc>
      </w:tr>
      <w:tr w:rsidR="009D30A1" w:rsidRPr="00661061" w14:paraId="64D87C80" w14:textId="77777777" w:rsidTr="009D30A1">
        <w:trPr>
          <w:gridAfter w:val="1"/>
          <w:wAfter w:w="142" w:type="dxa"/>
        </w:trPr>
        <w:tc>
          <w:tcPr>
            <w:tcW w:w="988" w:type="dxa"/>
            <w:hideMark/>
          </w:tcPr>
          <w:p w14:paraId="1373ADC1" w14:textId="7D009EC2"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57DD6E2C"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 xml:space="preserve">Patient must have had a partial Mayo clinic score greater than or equal to 6, provided the rectal bleeding and stool frequency </w:t>
            </w:r>
            <w:proofErr w:type="spellStart"/>
            <w:r w:rsidRPr="00661061">
              <w:rPr>
                <w:rFonts w:ascii="Arial Narrow" w:hAnsi="Arial Narrow" w:cs="Open Sans"/>
                <w:color w:val="333333"/>
                <w:sz w:val="18"/>
                <w:szCs w:val="18"/>
              </w:rPr>
              <w:t>subscores</w:t>
            </w:r>
            <w:proofErr w:type="spellEnd"/>
            <w:r w:rsidRPr="00661061">
              <w:rPr>
                <w:rFonts w:ascii="Arial Narrow" w:hAnsi="Arial Narrow" w:cs="Open Sans"/>
                <w:color w:val="333333"/>
                <w:sz w:val="18"/>
                <w:szCs w:val="18"/>
              </w:rPr>
              <w:t xml:space="preserve"> were both greater than or equal to 2 (endoscopy </w:t>
            </w:r>
            <w:proofErr w:type="spellStart"/>
            <w:r w:rsidRPr="00661061">
              <w:rPr>
                <w:rFonts w:ascii="Arial Narrow" w:hAnsi="Arial Narrow" w:cs="Open Sans"/>
                <w:color w:val="333333"/>
                <w:sz w:val="18"/>
                <w:szCs w:val="18"/>
              </w:rPr>
              <w:t>subscore</w:t>
            </w:r>
            <w:proofErr w:type="spellEnd"/>
            <w:r w:rsidRPr="00661061">
              <w:rPr>
                <w:rFonts w:ascii="Arial Narrow" w:hAnsi="Arial Narrow" w:cs="Open Sans"/>
                <w:color w:val="333333"/>
                <w:sz w:val="18"/>
                <w:szCs w:val="18"/>
              </w:rPr>
              <w:t xml:space="preserve"> is not required for a partial Mayo score) prior to commencing non-PBS-subsidised treatment with this drug for this condition; or</w:t>
            </w:r>
          </w:p>
        </w:tc>
      </w:tr>
      <w:tr w:rsidR="009D30A1" w:rsidRPr="00661061" w14:paraId="64B392AF" w14:textId="77777777" w:rsidTr="009D30A1">
        <w:trPr>
          <w:gridAfter w:val="1"/>
          <w:wAfter w:w="142" w:type="dxa"/>
        </w:trPr>
        <w:tc>
          <w:tcPr>
            <w:tcW w:w="988" w:type="dxa"/>
            <w:hideMark/>
          </w:tcPr>
          <w:p w14:paraId="602D37A1" w14:textId="1BD77A8E"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41BC025D"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9D30A1" w:rsidRPr="00661061" w14:paraId="204EC67C" w14:textId="77777777" w:rsidTr="009D30A1">
        <w:trPr>
          <w:gridAfter w:val="1"/>
          <w:wAfter w:w="142" w:type="dxa"/>
        </w:trPr>
        <w:tc>
          <w:tcPr>
            <w:tcW w:w="988" w:type="dxa"/>
            <w:hideMark/>
          </w:tcPr>
          <w:p w14:paraId="580F28CD" w14:textId="77777777" w:rsidR="009D30A1" w:rsidRPr="00661061" w:rsidRDefault="009D30A1" w:rsidP="009D30A1">
            <w:pPr>
              <w:rPr>
                <w:rFonts w:ascii="Arial Narrow" w:hAnsi="Arial Narrow" w:cs="Open Sans"/>
                <w:color w:val="333333"/>
                <w:sz w:val="18"/>
                <w:szCs w:val="18"/>
              </w:rPr>
            </w:pPr>
          </w:p>
        </w:tc>
        <w:tc>
          <w:tcPr>
            <w:tcW w:w="8221" w:type="dxa"/>
            <w:hideMark/>
          </w:tcPr>
          <w:p w14:paraId="589D2985"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AND</w:t>
            </w:r>
          </w:p>
        </w:tc>
      </w:tr>
      <w:tr w:rsidR="009D30A1" w:rsidRPr="00661061" w14:paraId="61B7C1EA" w14:textId="77777777" w:rsidTr="009D30A1">
        <w:trPr>
          <w:gridAfter w:val="1"/>
          <w:wAfter w:w="142" w:type="dxa"/>
        </w:trPr>
        <w:tc>
          <w:tcPr>
            <w:tcW w:w="988" w:type="dxa"/>
            <w:hideMark/>
          </w:tcPr>
          <w:p w14:paraId="09213D7F" w14:textId="348559A7"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5B40D853"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Clinical criteria:</w:t>
            </w:r>
          </w:p>
        </w:tc>
      </w:tr>
      <w:tr w:rsidR="009D30A1" w:rsidRPr="00661061" w14:paraId="1760255C" w14:textId="77777777" w:rsidTr="009D30A1">
        <w:trPr>
          <w:gridAfter w:val="1"/>
          <w:wAfter w:w="142" w:type="dxa"/>
        </w:trPr>
        <w:tc>
          <w:tcPr>
            <w:tcW w:w="988" w:type="dxa"/>
            <w:hideMark/>
          </w:tcPr>
          <w:p w14:paraId="61971F13" w14:textId="7ACD1AC1"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7D8FF969"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color w:val="333333"/>
                <w:sz w:val="18"/>
                <w:szCs w:val="18"/>
              </w:rPr>
              <w:t>Patient must not receive more than 24 weeks of treatment under this restriction</w:t>
            </w:r>
          </w:p>
        </w:tc>
      </w:tr>
      <w:tr w:rsidR="009D30A1" w:rsidRPr="00661061" w14:paraId="288B03CA" w14:textId="77777777" w:rsidTr="009D30A1">
        <w:trPr>
          <w:gridAfter w:val="1"/>
          <w:wAfter w:w="142" w:type="dxa"/>
        </w:trPr>
        <w:tc>
          <w:tcPr>
            <w:tcW w:w="988" w:type="dxa"/>
            <w:hideMark/>
          </w:tcPr>
          <w:p w14:paraId="5E8609C5" w14:textId="77777777" w:rsidR="009D30A1" w:rsidRPr="00661061" w:rsidRDefault="009D30A1" w:rsidP="009D30A1">
            <w:pPr>
              <w:rPr>
                <w:rFonts w:ascii="Arial Narrow" w:hAnsi="Arial Narrow" w:cs="Open Sans"/>
                <w:color w:val="333333"/>
                <w:sz w:val="18"/>
                <w:szCs w:val="18"/>
              </w:rPr>
            </w:pPr>
          </w:p>
        </w:tc>
        <w:tc>
          <w:tcPr>
            <w:tcW w:w="8221" w:type="dxa"/>
            <w:hideMark/>
          </w:tcPr>
          <w:p w14:paraId="5731B21E" w14:textId="77777777" w:rsidR="009D30A1" w:rsidRPr="00661061" w:rsidRDefault="009D30A1" w:rsidP="009D30A1">
            <w:pPr>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AND</w:t>
            </w:r>
          </w:p>
        </w:tc>
      </w:tr>
      <w:tr w:rsidR="009D30A1" w:rsidRPr="00661061" w14:paraId="39645C8F" w14:textId="77777777" w:rsidTr="009D30A1">
        <w:trPr>
          <w:gridAfter w:val="1"/>
          <w:wAfter w:w="142" w:type="dxa"/>
        </w:trPr>
        <w:tc>
          <w:tcPr>
            <w:tcW w:w="988" w:type="dxa"/>
            <w:hideMark/>
          </w:tcPr>
          <w:p w14:paraId="06FB5436" w14:textId="26B9DEA0"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72DA3D08" w14:textId="77777777" w:rsidR="009D30A1" w:rsidRPr="00661061" w:rsidRDefault="009D30A1" w:rsidP="009D30A1">
            <w:pPr>
              <w:textAlignment w:val="baseline"/>
              <w:rPr>
                <w:rFonts w:ascii="Arial Narrow" w:hAnsi="Arial Narrow" w:cs="Open Sans"/>
                <w:color w:val="333333"/>
                <w:sz w:val="18"/>
                <w:szCs w:val="18"/>
              </w:rPr>
            </w:pPr>
            <w:r w:rsidRPr="00F26BAF">
              <w:rPr>
                <w:rFonts w:ascii="Arial Narrow" w:hAnsi="Arial Narrow" w:cs="Open Sans"/>
                <w:b/>
                <w:bCs/>
                <w:color w:val="333333"/>
                <w:sz w:val="18"/>
                <w:szCs w:val="18"/>
                <w:bdr w:val="none" w:sz="0" w:space="0" w:color="auto" w:frame="1"/>
              </w:rPr>
              <w:t>Population criteria:</w:t>
            </w:r>
          </w:p>
        </w:tc>
      </w:tr>
      <w:tr w:rsidR="009D30A1" w:rsidRPr="00661061" w14:paraId="22F833BC" w14:textId="77777777" w:rsidTr="009D30A1">
        <w:trPr>
          <w:gridAfter w:val="1"/>
          <w:wAfter w:w="142" w:type="dxa"/>
        </w:trPr>
        <w:tc>
          <w:tcPr>
            <w:tcW w:w="988" w:type="dxa"/>
            <w:hideMark/>
          </w:tcPr>
          <w:p w14:paraId="582EE612" w14:textId="6BC71057" w:rsidR="009D30A1" w:rsidRPr="00661061" w:rsidRDefault="009D30A1" w:rsidP="009D30A1">
            <w:pPr>
              <w:jc w:val="center"/>
              <w:textAlignment w:val="baseline"/>
              <w:rPr>
                <w:rFonts w:ascii="Arial Narrow" w:hAnsi="Arial Narrow" w:cs="Open Sans"/>
                <w:color w:val="333333"/>
                <w:sz w:val="18"/>
                <w:szCs w:val="18"/>
              </w:rPr>
            </w:pPr>
          </w:p>
        </w:tc>
        <w:tc>
          <w:tcPr>
            <w:tcW w:w="8221" w:type="dxa"/>
            <w:hideMark/>
          </w:tcPr>
          <w:p w14:paraId="1A3D3342" w14:textId="77777777" w:rsidR="009D30A1" w:rsidRDefault="009D30A1" w:rsidP="009D30A1">
            <w:pPr>
              <w:rPr>
                <w:rFonts w:ascii="Arial Narrow" w:hAnsi="Arial Narrow" w:cs="Open Sans"/>
                <w:color w:val="333333"/>
                <w:sz w:val="18"/>
                <w:szCs w:val="18"/>
              </w:rPr>
            </w:pPr>
            <w:r w:rsidRPr="00F26BAF">
              <w:rPr>
                <w:rFonts w:ascii="Arial Narrow" w:hAnsi="Arial Narrow" w:cs="Open Sans"/>
                <w:strike/>
                <w:color w:val="333333"/>
                <w:sz w:val="18"/>
                <w:szCs w:val="18"/>
              </w:rPr>
              <w:t>Patient must be aged 18 years or older</w:t>
            </w:r>
            <w:r>
              <w:rPr>
                <w:rFonts w:ascii="Arial Narrow" w:hAnsi="Arial Narrow" w:cs="Open Sans"/>
                <w:strike/>
                <w:color w:val="333333"/>
                <w:sz w:val="18"/>
                <w:szCs w:val="18"/>
              </w:rPr>
              <w:t xml:space="preserve"> </w:t>
            </w:r>
          </w:p>
          <w:p w14:paraId="38E421FA" w14:textId="77777777" w:rsidR="009D30A1" w:rsidRPr="00661061" w:rsidRDefault="009D30A1" w:rsidP="009D30A1">
            <w:pPr>
              <w:rPr>
                <w:rFonts w:ascii="Arial Narrow" w:hAnsi="Arial Narrow" w:cs="Open Sans"/>
                <w:color w:val="333333"/>
                <w:sz w:val="18"/>
                <w:szCs w:val="18"/>
              </w:rPr>
            </w:pPr>
            <w:r>
              <w:rPr>
                <w:rFonts w:ascii="Arial Narrow" w:hAnsi="Arial Narrow" w:cs="Open Sans"/>
                <w:color w:val="333333"/>
                <w:sz w:val="18"/>
                <w:szCs w:val="18"/>
              </w:rPr>
              <w:t>Patients must be at least 18 years of age</w:t>
            </w:r>
          </w:p>
        </w:tc>
      </w:tr>
      <w:tr w:rsidR="009D30A1" w:rsidRPr="00661061" w14:paraId="7AD961BE" w14:textId="77777777" w:rsidTr="009D30A1">
        <w:trPr>
          <w:gridAfter w:val="1"/>
          <w:wAfter w:w="142" w:type="dxa"/>
        </w:trPr>
        <w:tc>
          <w:tcPr>
            <w:tcW w:w="988" w:type="dxa"/>
          </w:tcPr>
          <w:p w14:paraId="26E58AD1" w14:textId="77777777" w:rsidR="009D30A1" w:rsidRPr="00F26BAF" w:rsidRDefault="009D30A1" w:rsidP="009D30A1">
            <w:pPr>
              <w:jc w:val="center"/>
              <w:textAlignment w:val="baseline"/>
              <w:rPr>
                <w:rFonts w:ascii="Arial Narrow" w:hAnsi="Arial Narrow" w:cs="Open Sans"/>
                <w:strike/>
                <w:color w:val="333333"/>
                <w:sz w:val="18"/>
                <w:szCs w:val="18"/>
              </w:rPr>
            </w:pPr>
          </w:p>
        </w:tc>
        <w:tc>
          <w:tcPr>
            <w:tcW w:w="8221" w:type="dxa"/>
          </w:tcPr>
          <w:p w14:paraId="4F0B2D65" w14:textId="77777777" w:rsidR="009D30A1" w:rsidRPr="00F26BAF" w:rsidRDefault="009D30A1" w:rsidP="009D30A1">
            <w:pPr>
              <w:rPr>
                <w:rFonts w:ascii="Arial Narrow" w:hAnsi="Arial Narrow" w:cs="Open Sans"/>
                <w:strike/>
                <w:color w:val="333333"/>
                <w:sz w:val="18"/>
                <w:szCs w:val="18"/>
              </w:rPr>
            </w:pPr>
          </w:p>
        </w:tc>
      </w:tr>
      <w:tr w:rsidR="009D30A1" w:rsidRPr="00661061" w14:paraId="0405CD76" w14:textId="77777777" w:rsidTr="009D30A1">
        <w:trPr>
          <w:gridAfter w:val="1"/>
          <w:wAfter w:w="142" w:type="dxa"/>
        </w:trPr>
        <w:tc>
          <w:tcPr>
            <w:tcW w:w="988" w:type="dxa"/>
            <w:hideMark/>
          </w:tcPr>
          <w:p w14:paraId="6DEB88E8" w14:textId="5304FAB5"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7FF0182D"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38DC714E"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The authority application must be made in writing and must include:</w:t>
            </w:r>
          </w:p>
          <w:p w14:paraId="7BF39A05"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(1) a completed authority prescription form; and</w:t>
            </w:r>
          </w:p>
          <w:p w14:paraId="4B68A61B"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(2) a completed authority application form relevant to the indication and treatment phase (the latest version is located on the website specified in the Administrative Advice), which includes:</w:t>
            </w:r>
          </w:p>
          <w:p w14:paraId="08B9300E"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w:t>
            </w:r>
            <w:proofErr w:type="spellStart"/>
            <w:r w:rsidRPr="00661061">
              <w:rPr>
                <w:rFonts w:ascii="Arial Narrow" w:hAnsi="Arial Narrow" w:cs="Open Sans"/>
                <w:color w:val="333333"/>
                <w:sz w:val="18"/>
                <w:szCs w:val="18"/>
              </w:rPr>
              <w:t>i</w:t>
            </w:r>
            <w:proofErr w:type="spellEnd"/>
            <w:r w:rsidRPr="00661061">
              <w:rPr>
                <w:rFonts w:ascii="Arial Narrow" w:hAnsi="Arial Narrow" w:cs="Open Sans"/>
                <w:color w:val="333333"/>
                <w:sz w:val="18"/>
                <w:szCs w:val="18"/>
              </w:rPr>
              <w:t xml:space="preserve">) the completed baseline Mayo clinic or partial Mayo clinic calculation sheet prior to initiating treatment (if available) including the date of </w:t>
            </w:r>
            <w:proofErr w:type="gramStart"/>
            <w:r w:rsidRPr="00661061">
              <w:rPr>
                <w:rFonts w:ascii="Arial Narrow" w:hAnsi="Arial Narrow" w:cs="Open Sans"/>
                <w:color w:val="333333"/>
                <w:sz w:val="18"/>
                <w:szCs w:val="18"/>
              </w:rPr>
              <w:t>assessment;</w:t>
            </w:r>
            <w:proofErr w:type="gramEnd"/>
          </w:p>
          <w:p w14:paraId="43753F2F"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(ii) the date of commencement of this drug.</w:t>
            </w:r>
          </w:p>
        </w:tc>
      </w:tr>
      <w:tr w:rsidR="009D30A1" w:rsidRPr="00661061" w14:paraId="093CCBEB" w14:textId="77777777" w:rsidTr="009D30A1">
        <w:trPr>
          <w:gridAfter w:val="1"/>
          <w:wAfter w:w="142" w:type="dxa"/>
        </w:trPr>
        <w:tc>
          <w:tcPr>
            <w:tcW w:w="988" w:type="dxa"/>
            <w:hideMark/>
          </w:tcPr>
          <w:p w14:paraId="6DA7E41B" w14:textId="7BA0D635"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5CE6E182"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20662241"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A patient may qualify for PBS-subsidised treatment under this restriction once only.</w:t>
            </w:r>
          </w:p>
        </w:tc>
      </w:tr>
      <w:tr w:rsidR="009D30A1" w:rsidRPr="00661061" w14:paraId="7FF59E88" w14:textId="77777777" w:rsidTr="009D30A1">
        <w:trPr>
          <w:gridAfter w:val="1"/>
          <w:wAfter w:w="142" w:type="dxa"/>
        </w:trPr>
        <w:tc>
          <w:tcPr>
            <w:tcW w:w="988" w:type="dxa"/>
            <w:hideMark/>
          </w:tcPr>
          <w:p w14:paraId="7C67A19A" w14:textId="6446A44A"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2EAF89BB"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1F439D48"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For continuing PBS-subsidised treatment, a Grandfathered patient must qualify under the Continuing treatment criteria.</w:t>
            </w:r>
          </w:p>
        </w:tc>
      </w:tr>
      <w:tr w:rsidR="009D30A1" w:rsidRPr="00661061" w14:paraId="66E52F8E" w14:textId="77777777" w:rsidTr="009D30A1">
        <w:trPr>
          <w:gridAfter w:val="1"/>
          <w:wAfter w:w="142" w:type="dxa"/>
        </w:trPr>
        <w:tc>
          <w:tcPr>
            <w:tcW w:w="988" w:type="dxa"/>
            <w:hideMark/>
          </w:tcPr>
          <w:p w14:paraId="0CCFBD46" w14:textId="0519A099"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189CCF45"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52C83D51"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The assessment of the patient's response to this PBS-subsidised course of therapy must be conducted no later than 4 weeks from the cessation of the treatment course.</w:t>
            </w:r>
          </w:p>
        </w:tc>
      </w:tr>
      <w:tr w:rsidR="009D30A1" w:rsidRPr="00661061" w14:paraId="54364578" w14:textId="77777777" w:rsidTr="009D30A1">
        <w:trPr>
          <w:gridAfter w:val="1"/>
          <w:wAfter w:w="142" w:type="dxa"/>
        </w:trPr>
        <w:tc>
          <w:tcPr>
            <w:tcW w:w="988" w:type="dxa"/>
            <w:hideMark/>
          </w:tcPr>
          <w:p w14:paraId="015E4058" w14:textId="4332CEC5"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17D716B6"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318EF413"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Where a response assessment is not conducted within these timeframes, the patient will be deemed to have failed to respond to treatment with this drug.</w:t>
            </w:r>
          </w:p>
        </w:tc>
      </w:tr>
      <w:tr w:rsidR="009D30A1" w:rsidRPr="00661061" w14:paraId="15627252" w14:textId="77777777" w:rsidTr="009D30A1">
        <w:trPr>
          <w:gridAfter w:val="1"/>
          <w:wAfter w:w="142" w:type="dxa"/>
        </w:trPr>
        <w:tc>
          <w:tcPr>
            <w:tcW w:w="988" w:type="dxa"/>
            <w:hideMark/>
          </w:tcPr>
          <w:p w14:paraId="4113F681" w14:textId="0F333675"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35E49638"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1D63B6A4"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 xml:space="preserve">Patients who have failed to maintain a partial Mayo clinic score less than or equal to 2, with no </w:t>
            </w:r>
            <w:proofErr w:type="spellStart"/>
            <w:r w:rsidRPr="00661061">
              <w:rPr>
                <w:rFonts w:ascii="Arial Narrow" w:hAnsi="Arial Narrow" w:cs="Open Sans"/>
                <w:color w:val="333333"/>
                <w:sz w:val="18"/>
                <w:szCs w:val="18"/>
              </w:rPr>
              <w:t>subscore</w:t>
            </w:r>
            <w:proofErr w:type="spellEnd"/>
            <w:r w:rsidRPr="00661061">
              <w:rPr>
                <w:rFonts w:ascii="Arial Narrow" w:hAnsi="Arial Narrow" w:cs="Open Sans"/>
                <w:color w:val="333333"/>
                <w:sz w:val="18"/>
                <w:szCs w:val="18"/>
              </w:rPr>
              <w:t xml:space="preserve"> greater than 1 with continuing treatment with this drug, will not be eligible to receive further PBS-subsidised treatment with this drug.</w:t>
            </w:r>
          </w:p>
        </w:tc>
      </w:tr>
      <w:tr w:rsidR="009D30A1" w:rsidRPr="00661061" w14:paraId="3A4C192F" w14:textId="77777777" w:rsidTr="009D30A1">
        <w:trPr>
          <w:gridAfter w:val="1"/>
          <w:wAfter w:w="142" w:type="dxa"/>
        </w:trPr>
        <w:tc>
          <w:tcPr>
            <w:tcW w:w="988" w:type="dxa"/>
            <w:hideMark/>
          </w:tcPr>
          <w:p w14:paraId="7CC864DD" w14:textId="3ABCE6A5"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2ED27184"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5A5998E9"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Patients are eligible to receive continuing treatment with this drug in courses of up to 24 weeks providing they continue to sustain a response.</w:t>
            </w:r>
          </w:p>
        </w:tc>
      </w:tr>
      <w:tr w:rsidR="009D30A1" w:rsidRPr="00661061" w14:paraId="23158A56" w14:textId="77777777" w:rsidTr="009D30A1">
        <w:trPr>
          <w:gridAfter w:val="1"/>
          <w:wAfter w:w="142" w:type="dxa"/>
        </w:trPr>
        <w:tc>
          <w:tcPr>
            <w:tcW w:w="988" w:type="dxa"/>
            <w:hideMark/>
          </w:tcPr>
          <w:p w14:paraId="146EE131" w14:textId="7BE90DFF"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7CC1C25B"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Prescribing Instructions:</w:t>
            </w:r>
          </w:p>
          <w:p w14:paraId="304A07AF"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 xml:space="preserve">At the time of the authority application, medical practitioners should request </w:t>
            </w:r>
            <w:proofErr w:type="gramStart"/>
            <w:r w:rsidRPr="00661061">
              <w:rPr>
                <w:rFonts w:ascii="Arial Narrow" w:hAnsi="Arial Narrow" w:cs="Open Sans"/>
                <w:color w:val="333333"/>
                <w:sz w:val="18"/>
                <w:szCs w:val="18"/>
              </w:rPr>
              <w:t>sufficient quantity</w:t>
            </w:r>
            <w:proofErr w:type="gramEnd"/>
            <w:r w:rsidRPr="00661061">
              <w:rPr>
                <w:rFonts w:ascii="Arial Narrow" w:hAnsi="Arial Narrow" w:cs="Open Sans"/>
                <w:color w:val="333333"/>
                <w:sz w:val="18"/>
                <w:szCs w:val="18"/>
              </w:rPr>
              <w:t xml:space="preserve"> for up to 24 weeks of treatment under this restriction.</w:t>
            </w:r>
          </w:p>
        </w:tc>
      </w:tr>
      <w:tr w:rsidR="009D30A1" w:rsidRPr="00661061" w14:paraId="64C31936" w14:textId="77777777" w:rsidTr="009D30A1">
        <w:trPr>
          <w:gridAfter w:val="1"/>
          <w:wAfter w:w="142" w:type="dxa"/>
        </w:trPr>
        <w:tc>
          <w:tcPr>
            <w:tcW w:w="988" w:type="dxa"/>
            <w:hideMark/>
          </w:tcPr>
          <w:p w14:paraId="03B36A4A" w14:textId="5D200E97" w:rsidR="009D30A1" w:rsidRPr="00661061" w:rsidRDefault="009D30A1" w:rsidP="009D30A1">
            <w:pPr>
              <w:textAlignment w:val="baseline"/>
              <w:rPr>
                <w:rFonts w:ascii="Arial Narrow" w:hAnsi="Arial Narrow" w:cs="Open Sans"/>
                <w:color w:val="333333"/>
                <w:sz w:val="18"/>
                <w:szCs w:val="18"/>
              </w:rPr>
            </w:pPr>
          </w:p>
        </w:tc>
        <w:tc>
          <w:tcPr>
            <w:tcW w:w="8221" w:type="dxa"/>
            <w:hideMark/>
          </w:tcPr>
          <w:p w14:paraId="15015727"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b/>
                <w:bCs/>
                <w:color w:val="333333"/>
                <w:sz w:val="18"/>
                <w:szCs w:val="18"/>
                <w:bdr w:val="none" w:sz="0" w:space="0" w:color="auto" w:frame="1"/>
              </w:rPr>
              <w:t>Administrative Advice:</w:t>
            </w:r>
          </w:p>
          <w:p w14:paraId="6F792478"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lastRenderedPageBreak/>
              <w:t xml:space="preserve">Any queries concerning the arrangements to prescribe may be directed to Services Australia on 1800 700 270 (hours of operation 8 a.m. to 5 p.m. </w:t>
            </w:r>
            <w:r w:rsidRPr="00661061">
              <w:rPr>
                <w:rFonts w:ascii="Arial Narrow" w:hAnsi="Arial Narrow" w:cs="Open Sans"/>
                <w:strike/>
                <w:color w:val="333333"/>
                <w:sz w:val="18"/>
                <w:szCs w:val="18"/>
              </w:rPr>
              <w:t>EST</w:t>
            </w:r>
            <w:r w:rsidRPr="00661061">
              <w:rPr>
                <w:rFonts w:ascii="Arial Narrow" w:hAnsi="Arial Narrow" w:cs="Open Sans"/>
                <w:color w:val="333333"/>
                <w:sz w:val="18"/>
                <w:szCs w:val="18"/>
              </w:rPr>
              <w:t xml:space="preserve"> Monday to Friday).</w:t>
            </w:r>
          </w:p>
          <w:p w14:paraId="1578FD5E"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Prescribing information (including Authority Application forms and other relevant documentation as applicable) is available on the Services Australia website at www.servicesaustralia.gov.au</w:t>
            </w:r>
          </w:p>
          <w:p w14:paraId="5D9CB6AB"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6018AED0"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Or mailed to:</w:t>
            </w:r>
          </w:p>
          <w:p w14:paraId="2DF74299"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Services Australia</w:t>
            </w:r>
          </w:p>
          <w:p w14:paraId="01C2A3AE"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Complex Drugs</w:t>
            </w:r>
          </w:p>
          <w:p w14:paraId="230DF140"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Reply Paid 9826</w:t>
            </w:r>
          </w:p>
          <w:p w14:paraId="68ECF014" w14:textId="77777777" w:rsidR="009D30A1" w:rsidRPr="00661061" w:rsidRDefault="009D30A1" w:rsidP="009D30A1">
            <w:pPr>
              <w:textAlignment w:val="baseline"/>
              <w:rPr>
                <w:rFonts w:ascii="Arial Narrow" w:hAnsi="Arial Narrow" w:cs="Open Sans"/>
                <w:color w:val="333333"/>
                <w:sz w:val="18"/>
                <w:szCs w:val="18"/>
              </w:rPr>
            </w:pPr>
            <w:r w:rsidRPr="00661061">
              <w:rPr>
                <w:rFonts w:ascii="Arial Narrow" w:hAnsi="Arial Narrow" w:cs="Open Sans"/>
                <w:color w:val="333333"/>
                <w:sz w:val="18"/>
                <w:szCs w:val="18"/>
              </w:rPr>
              <w:t>HOBART TAS 7001</w:t>
            </w:r>
          </w:p>
        </w:tc>
      </w:tr>
      <w:tr w:rsidR="009D30A1" w:rsidRPr="004028AE" w14:paraId="5FF79090" w14:textId="77777777" w:rsidTr="009D30A1">
        <w:trPr>
          <w:gridAfter w:val="1"/>
          <w:wAfter w:w="142" w:type="dxa"/>
          <w:trHeight w:val="423"/>
        </w:trPr>
        <w:tc>
          <w:tcPr>
            <w:tcW w:w="9209" w:type="dxa"/>
            <w:gridSpan w:val="2"/>
          </w:tcPr>
          <w:p w14:paraId="2BAB26AD" w14:textId="77777777" w:rsidR="009D30A1" w:rsidRPr="004028AE"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4028AE" w14:paraId="262D7B14" w14:textId="77777777" w:rsidTr="009D30A1">
        <w:trPr>
          <w:gridAfter w:val="1"/>
          <w:wAfter w:w="142" w:type="dxa"/>
        </w:trPr>
        <w:tc>
          <w:tcPr>
            <w:tcW w:w="9209" w:type="dxa"/>
            <w:gridSpan w:val="2"/>
          </w:tcPr>
          <w:p w14:paraId="3771DCB9" w14:textId="77777777" w:rsidR="009D30A1" w:rsidRPr="004028AE" w:rsidRDefault="009D30A1" w:rsidP="009D30A1">
            <w:pPr>
              <w:textAlignment w:val="baseline"/>
              <w:rPr>
                <w:rFonts w:ascii="Arial Narrow" w:hAnsi="Arial Narrow" w:cs="Open Sans"/>
                <w:b/>
                <w:bCs/>
                <w:color w:val="333333"/>
                <w:sz w:val="18"/>
                <w:szCs w:val="18"/>
                <w:bdr w:val="none" w:sz="0" w:space="0" w:color="auto" w:frame="1"/>
              </w:rPr>
            </w:pPr>
            <w:r>
              <w:rPr>
                <w:rFonts w:ascii="Arial Narrow" w:hAnsi="Arial Narrow"/>
                <w:b/>
                <w:sz w:val="18"/>
                <w:szCs w:val="18"/>
              </w:rPr>
              <w:t xml:space="preserve">Restriction Summary 11882 / Treatment of Concept: 11882 </w:t>
            </w:r>
          </w:p>
        </w:tc>
      </w:tr>
      <w:tr w:rsidR="009D30A1" w:rsidRPr="004028AE" w14:paraId="41CA44F0" w14:textId="77777777" w:rsidTr="009D30A1">
        <w:trPr>
          <w:gridAfter w:val="1"/>
          <w:wAfter w:w="142" w:type="dxa"/>
        </w:trPr>
        <w:tc>
          <w:tcPr>
            <w:tcW w:w="988" w:type="dxa"/>
            <w:hideMark/>
          </w:tcPr>
          <w:p w14:paraId="39D767E3" w14:textId="31DCAB12"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17B93D18"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Indication:</w:t>
            </w:r>
          </w:p>
          <w:p w14:paraId="38697C17"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color w:val="333333"/>
                <w:sz w:val="18"/>
                <w:szCs w:val="18"/>
              </w:rPr>
              <w:t>Moderate to severe ulcerative colitis</w:t>
            </w:r>
          </w:p>
        </w:tc>
      </w:tr>
      <w:tr w:rsidR="009D30A1" w:rsidRPr="004028AE" w14:paraId="6DA18077" w14:textId="77777777" w:rsidTr="009D30A1">
        <w:trPr>
          <w:gridAfter w:val="1"/>
          <w:wAfter w:w="142" w:type="dxa"/>
        </w:trPr>
        <w:tc>
          <w:tcPr>
            <w:tcW w:w="988" w:type="dxa"/>
          </w:tcPr>
          <w:p w14:paraId="07C38914" w14:textId="77777777" w:rsidR="009D30A1" w:rsidRPr="004028AE" w:rsidRDefault="009D30A1" w:rsidP="009D30A1">
            <w:pPr>
              <w:textAlignment w:val="baseline"/>
              <w:rPr>
                <w:rFonts w:ascii="Arial Narrow" w:hAnsi="Arial Narrow" w:cs="Open Sans"/>
                <w:color w:val="333333"/>
                <w:sz w:val="18"/>
                <w:szCs w:val="18"/>
              </w:rPr>
            </w:pPr>
          </w:p>
        </w:tc>
        <w:tc>
          <w:tcPr>
            <w:tcW w:w="8221" w:type="dxa"/>
          </w:tcPr>
          <w:p w14:paraId="736E683A" w14:textId="77777777" w:rsidR="009D30A1" w:rsidRPr="004028AE"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4028AE" w14:paraId="6296F85D" w14:textId="77777777" w:rsidTr="009D30A1">
        <w:trPr>
          <w:gridAfter w:val="1"/>
          <w:wAfter w:w="142" w:type="dxa"/>
        </w:trPr>
        <w:tc>
          <w:tcPr>
            <w:tcW w:w="988" w:type="dxa"/>
            <w:hideMark/>
          </w:tcPr>
          <w:p w14:paraId="67CA37C2" w14:textId="77777777" w:rsidR="009D30A1" w:rsidRPr="004028AE" w:rsidRDefault="009D30A1" w:rsidP="009D30A1">
            <w:pPr>
              <w:rPr>
                <w:rFonts w:ascii="Arial Narrow" w:hAnsi="Arial Narrow" w:cs="Open Sans"/>
                <w:color w:val="333333"/>
                <w:sz w:val="18"/>
                <w:szCs w:val="18"/>
              </w:rPr>
            </w:pPr>
          </w:p>
        </w:tc>
        <w:tc>
          <w:tcPr>
            <w:tcW w:w="8221" w:type="dxa"/>
            <w:hideMark/>
          </w:tcPr>
          <w:p w14:paraId="53CA0848"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Treatment Phase:</w:t>
            </w:r>
          </w:p>
          <w:p w14:paraId="08ACA733"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color w:val="333333"/>
                <w:sz w:val="18"/>
                <w:szCs w:val="18"/>
              </w:rPr>
              <w:t>Continuing treatment or Grandfathered patients - balance of supply</w:t>
            </w:r>
          </w:p>
        </w:tc>
      </w:tr>
      <w:tr w:rsidR="009D30A1" w:rsidRPr="004028AE" w14:paraId="6EF795D3" w14:textId="77777777" w:rsidTr="009D30A1">
        <w:trPr>
          <w:gridAfter w:val="1"/>
          <w:wAfter w:w="142" w:type="dxa"/>
        </w:trPr>
        <w:tc>
          <w:tcPr>
            <w:tcW w:w="988" w:type="dxa"/>
          </w:tcPr>
          <w:p w14:paraId="54C2E166" w14:textId="77777777" w:rsidR="009D30A1" w:rsidRPr="004028AE" w:rsidRDefault="009D30A1" w:rsidP="009D30A1">
            <w:pPr>
              <w:rPr>
                <w:rFonts w:ascii="Arial Narrow" w:hAnsi="Arial Narrow" w:cs="Open Sans"/>
                <w:color w:val="333333"/>
                <w:sz w:val="18"/>
                <w:szCs w:val="18"/>
              </w:rPr>
            </w:pPr>
          </w:p>
        </w:tc>
        <w:tc>
          <w:tcPr>
            <w:tcW w:w="8221" w:type="dxa"/>
          </w:tcPr>
          <w:p w14:paraId="534DE92F" w14:textId="77777777" w:rsidR="009D30A1" w:rsidRPr="004028AE"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4028AE" w14:paraId="15086D49" w14:textId="77777777" w:rsidTr="009D30A1">
        <w:trPr>
          <w:gridAfter w:val="1"/>
          <w:wAfter w:w="142" w:type="dxa"/>
        </w:trPr>
        <w:tc>
          <w:tcPr>
            <w:tcW w:w="988" w:type="dxa"/>
            <w:hideMark/>
          </w:tcPr>
          <w:p w14:paraId="2B3BB31E" w14:textId="799BA0CF"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2C535C4B"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Treatment criteria:</w:t>
            </w:r>
          </w:p>
        </w:tc>
      </w:tr>
      <w:tr w:rsidR="009D30A1" w:rsidRPr="004028AE" w14:paraId="3923D02D" w14:textId="77777777" w:rsidTr="009D30A1">
        <w:trPr>
          <w:gridAfter w:val="1"/>
          <w:wAfter w:w="142" w:type="dxa"/>
        </w:trPr>
        <w:tc>
          <w:tcPr>
            <w:tcW w:w="988" w:type="dxa"/>
            <w:hideMark/>
          </w:tcPr>
          <w:p w14:paraId="7F553A4B" w14:textId="62752C25"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03AA58F8"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color w:val="333333"/>
                <w:sz w:val="18"/>
                <w:szCs w:val="18"/>
              </w:rPr>
              <w:t>Must be treated by a gastroenterologist (code 87); or</w:t>
            </w:r>
          </w:p>
        </w:tc>
      </w:tr>
      <w:tr w:rsidR="009D30A1" w:rsidRPr="004028AE" w14:paraId="6499E8DA" w14:textId="77777777" w:rsidTr="009D30A1">
        <w:trPr>
          <w:gridAfter w:val="1"/>
          <w:wAfter w:w="142" w:type="dxa"/>
        </w:trPr>
        <w:tc>
          <w:tcPr>
            <w:tcW w:w="988" w:type="dxa"/>
            <w:hideMark/>
          </w:tcPr>
          <w:p w14:paraId="2DF61D06" w14:textId="442B6687"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55C43E61"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color w:val="333333"/>
                <w:sz w:val="18"/>
                <w:szCs w:val="18"/>
              </w:rPr>
              <w:t>Must be treated by a consultant physician [internal medicine specialising in gastroenterology (code 81)]; or</w:t>
            </w:r>
          </w:p>
        </w:tc>
      </w:tr>
      <w:tr w:rsidR="009D30A1" w:rsidRPr="004028AE" w14:paraId="0CDD7889" w14:textId="77777777" w:rsidTr="009D30A1">
        <w:trPr>
          <w:gridAfter w:val="1"/>
          <w:wAfter w:w="142" w:type="dxa"/>
        </w:trPr>
        <w:tc>
          <w:tcPr>
            <w:tcW w:w="988" w:type="dxa"/>
            <w:hideMark/>
          </w:tcPr>
          <w:p w14:paraId="7F86D652" w14:textId="50090FC6"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72D913E7"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color w:val="333333"/>
                <w:sz w:val="18"/>
                <w:szCs w:val="18"/>
              </w:rPr>
              <w:t>Must be treated by a consultant physician [general medicine specialising in gastroenterology (code 82)]</w:t>
            </w:r>
          </w:p>
        </w:tc>
      </w:tr>
      <w:tr w:rsidR="009D30A1" w:rsidRPr="004028AE" w14:paraId="173FD509" w14:textId="77777777" w:rsidTr="009D30A1">
        <w:trPr>
          <w:gridAfter w:val="1"/>
          <w:wAfter w:w="142" w:type="dxa"/>
        </w:trPr>
        <w:tc>
          <w:tcPr>
            <w:tcW w:w="988" w:type="dxa"/>
            <w:hideMark/>
          </w:tcPr>
          <w:p w14:paraId="2765DDBD" w14:textId="77777777" w:rsidR="009D30A1" w:rsidRPr="004028AE" w:rsidRDefault="009D30A1" w:rsidP="009D30A1">
            <w:pPr>
              <w:rPr>
                <w:rFonts w:ascii="Arial Narrow" w:hAnsi="Arial Narrow" w:cs="Open Sans"/>
                <w:color w:val="333333"/>
                <w:sz w:val="18"/>
                <w:szCs w:val="18"/>
              </w:rPr>
            </w:pPr>
          </w:p>
        </w:tc>
        <w:tc>
          <w:tcPr>
            <w:tcW w:w="8221" w:type="dxa"/>
            <w:hideMark/>
          </w:tcPr>
          <w:p w14:paraId="09F85775"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AND</w:t>
            </w:r>
          </w:p>
        </w:tc>
      </w:tr>
      <w:tr w:rsidR="009D30A1" w:rsidRPr="004028AE" w14:paraId="4981613B" w14:textId="77777777" w:rsidTr="009D30A1">
        <w:trPr>
          <w:gridAfter w:val="1"/>
          <w:wAfter w:w="142" w:type="dxa"/>
        </w:trPr>
        <w:tc>
          <w:tcPr>
            <w:tcW w:w="988" w:type="dxa"/>
            <w:hideMark/>
          </w:tcPr>
          <w:p w14:paraId="06DC7039" w14:textId="06AF0AC1"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51C9E5CA"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Clinical criteria:</w:t>
            </w:r>
          </w:p>
        </w:tc>
      </w:tr>
      <w:tr w:rsidR="009D30A1" w:rsidRPr="004028AE" w14:paraId="040672BF" w14:textId="77777777" w:rsidTr="009D30A1">
        <w:trPr>
          <w:gridAfter w:val="1"/>
          <w:wAfter w:w="142" w:type="dxa"/>
        </w:trPr>
        <w:tc>
          <w:tcPr>
            <w:tcW w:w="988" w:type="dxa"/>
            <w:hideMark/>
          </w:tcPr>
          <w:p w14:paraId="037BEF07" w14:textId="043C5034"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448D83CF"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color w:val="333333"/>
                <w:sz w:val="18"/>
                <w:szCs w:val="18"/>
              </w:rPr>
              <w:t>Patient must have received insufficient therapy with this drug for this condition under the Continuing treatment restriction to complete 24 weeks treatment; or</w:t>
            </w:r>
          </w:p>
        </w:tc>
      </w:tr>
      <w:tr w:rsidR="009D30A1" w:rsidRPr="004028AE" w14:paraId="27A590E0" w14:textId="77777777" w:rsidTr="009D30A1">
        <w:trPr>
          <w:gridAfter w:val="1"/>
          <w:wAfter w:w="142" w:type="dxa"/>
        </w:trPr>
        <w:tc>
          <w:tcPr>
            <w:tcW w:w="988" w:type="dxa"/>
            <w:hideMark/>
          </w:tcPr>
          <w:p w14:paraId="066CB500" w14:textId="18DD9650"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1368698A"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color w:val="333333"/>
                <w:sz w:val="18"/>
                <w:szCs w:val="18"/>
              </w:rPr>
              <w:t>Patient must have received insufficient therapy with this drug for this condition under the Grandfathered treatment restriction to complete 24 weeks treatment</w:t>
            </w:r>
          </w:p>
        </w:tc>
      </w:tr>
      <w:tr w:rsidR="009D30A1" w:rsidRPr="004028AE" w14:paraId="73FDA86C" w14:textId="77777777" w:rsidTr="009D30A1">
        <w:trPr>
          <w:gridAfter w:val="1"/>
          <w:wAfter w:w="142" w:type="dxa"/>
        </w:trPr>
        <w:tc>
          <w:tcPr>
            <w:tcW w:w="988" w:type="dxa"/>
            <w:hideMark/>
          </w:tcPr>
          <w:p w14:paraId="15B3AEA1" w14:textId="77777777" w:rsidR="009D30A1" w:rsidRPr="004028AE" w:rsidRDefault="009D30A1" w:rsidP="009D30A1">
            <w:pPr>
              <w:rPr>
                <w:rFonts w:ascii="Arial Narrow" w:hAnsi="Arial Narrow" w:cs="Open Sans"/>
                <w:color w:val="333333"/>
                <w:sz w:val="18"/>
                <w:szCs w:val="18"/>
              </w:rPr>
            </w:pPr>
          </w:p>
        </w:tc>
        <w:tc>
          <w:tcPr>
            <w:tcW w:w="8221" w:type="dxa"/>
            <w:hideMark/>
          </w:tcPr>
          <w:p w14:paraId="293F1461"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AND</w:t>
            </w:r>
          </w:p>
        </w:tc>
      </w:tr>
      <w:tr w:rsidR="009D30A1" w:rsidRPr="004028AE" w14:paraId="2582C2A4" w14:textId="77777777" w:rsidTr="009D30A1">
        <w:trPr>
          <w:gridAfter w:val="1"/>
          <w:wAfter w:w="142" w:type="dxa"/>
        </w:trPr>
        <w:tc>
          <w:tcPr>
            <w:tcW w:w="988" w:type="dxa"/>
            <w:hideMark/>
          </w:tcPr>
          <w:p w14:paraId="6533399C" w14:textId="07DC301E"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7935F19B"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Clinical criteria:</w:t>
            </w:r>
          </w:p>
        </w:tc>
      </w:tr>
      <w:tr w:rsidR="009D30A1" w:rsidRPr="004028AE" w14:paraId="58BEEFC2" w14:textId="77777777" w:rsidTr="009D30A1">
        <w:trPr>
          <w:gridAfter w:val="1"/>
          <w:wAfter w:w="142" w:type="dxa"/>
        </w:trPr>
        <w:tc>
          <w:tcPr>
            <w:tcW w:w="988" w:type="dxa"/>
            <w:hideMark/>
          </w:tcPr>
          <w:p w14:paraId="2471E6D2" w14:textId="252E9317"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40B0C694" w14:textId="77777777" w:rsidR="009D30A1" w:rsidRPr="004028AE" w:rsidRDefault="009D30A1" w:rsidP="009D30A1">
            <w:pPr>
              <w:rPr>
                <w:rFonts w:ascii="Arial Narrow" w:hAnsi="Arial Narrow" w:cs="Open Sans"/>
                <w:color w:val="333333"/>
                <w:sz w:val="18"/>
                <w:szCs w:val="18"/>
              </w:rPr>
            </w:pPr>
            <w:r w:rsidRPr="004028AE">
              <w:rPr>
                <w:rFonts w:ascii="Arial Narrow" w:hAnsi="Arial Narrow" w:cs="Open Sans"/>
                <w:color w:val="333333"/>
                <w:sz w:val="18"/>
                <w:szCs w:val="18"/>
              </w:rPr>
              <w:t>The treatment must provide no more than the balance of up to 24 weeks treatment available under the above restriction</w:t>
            </w:r>
          </w:p>
        </w:tc>
      </w:tr>
      <w:tr w:rsidR="009D30A1" w:rsidRPr="004028AE" w14:paraId="3F67C1F5" w14:textId="77777777" w:rsidTr="009D30A1">
        <w:trPr>
          <w:gridAfter w:val="1"/>
          <w:wAfter w:w="142" w:type="dxa"/>
        </w:trPr>
        <w:tc>
          <w:tcPr>
            <w:tcW w:w="988" w:type="dxa"/>
            <w:hideMark/>
          </w:tcPr>
          <w:p w14:paraId="6CEA9075" w14:textId="4D329FD3" w:rsidR="009D30A1" w:rsidRPr="004028AE" w:rsidRDefault="009D30A1" w:rsidP="009D30A1">
            <w:pPr>
              <w:textAlignment w:val="baseline"/>
              <w:rPr>
                <w:rFonts w:ascii="Arial Narrow" w:hAnsi="Arial Narrow" w:cs="Open Sans"/>
                <w:color w:val="333333"/>
                <w:sz w:val="18"/>
                <w:szCs w:val="18"/>
              </w:rPr>
            </w:pPr>
          </w:p>
        </w:tc>
        <w:tc>
          <w:tcPr>
            <w:tcW w:w="8221" w:type="dxa"/>
            <w:hideMark/>
          </w:tcPr>
          <w:p w14:paraId="7DB4C6DF"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b/>
                <w:bCs/>
                <w:color w:val="333333"/>
                <w:sz w:val="18"/>
                <w:szCs w:val="18"/>
                <w:bdr w:val="none" w:sz="0" w:space="0" w:color="auto" w:frame="1"/>
              </w:rPr>
              <w:t>Administrative Advice:</w:t>
            </w:r>
          </w:p>
          <w:p w14:paraId="1B3E4848" w14:textId="77777777" w:rsidR="009D30A1" w:rsidRPr="004028AE" w:rsidRDefault="009D30A1" w:rsidP="009D30A1">
            <w:pPr>
              <w:textAlignment w:val="baseline"/>
              <w:rPr>
                <w:rFonts w:ascii="Arial Narrow" w:hAnsi="Arial Narrow" w:cs="Open Sans"/>
                <w:color w:val="333333"/>
                <w:sz w:val="18"/>
                <w:szCs w:val="18"/>
              </w:rPr>
            </w:pPr>
            <w:r w:rsidRPr="004028AE">
              <w:rPr>
                <w:rFonts w:ascii="Arial Narrow" w:hAnsi="Arial Narrow" w:cs="Open Sans"/>
                <w:color w:val="333333"/>
                <w:sz w:val="18"/>
                <w:szCs w:val="18"/>
              </w:rPr>
              <w:t xml:space="preserve">Applications for authorisation under this restriction may be made in real time using the Online PBS Authorities system (see www.servicesaustralia.gov.au/HPOS) or by telephone by contacting Services Australia on 1800 700 270 (hours of operation 8 a.m. to 5 p.m. </w:t>
            </w:r>
            <w:r w:rsidRPr="004028AE">
              <w:rPr>
                <w:rFonts w:ascii="Arial Narrow" w:hAnsi="Arial Narrow" w:cs="Open Sans"/>
                <w:strike/>
                <w:color w:val="333333"/>
                <w:sz w:val="18"/>
                <w:szCs w:val="18"/>
              </w:rPr>
              <w:t>EST</w:t>
            </w:r>
            <w:r w:rsidRPr="004028AE">
              <w:rPr>
                <w:rFonts w:ascii="Arial Narrow" w:hAnsi="Arial Narrow" w:cs="Open Sans"/>
                <w:color w:val="333333"/>
                <w:sz w:val="18"/>
                <w:szCs w:val="18"/>
              </w:rPr>
              <w:t xml:space="preserve"> Monday to Friday).</w:t>
            </w:r>
          </w:p>
        </w:tc>
      </w:tr>
    </w:tbl>
    <w:p w14:paraId="0A8898A4" w14:textId="77777777" w:rsidR="009D30A1" w:rsidRDefault="009D30A1" w:rsidP="009D30A1"/>
    <w:p w14:paraId="35548DBE" w14:textId="77777777" w:rsidR="009D30A1" w:rsidRDefault="009D30A1" w:rsidP="009D30A1"/>
    <w:p w14:paraId="07CE746A" w14:textId="77777777" w:rsidR="009D30A1" w:rsidRDefault="009D30A1" w:rsidP="009D30A1"/>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2"/>
        <w:gridCol w:w="992"/>
        <w:gridCol w:w="849"/>
        <w:gridCol w:w="709"/>
        <w:gridCol w:w="709"/>
        <w:gridCol w:w="1990"/>
      </w:tblGrid>
      <w:tr w:rsidR="009D30A1" w14:paraId="5054594D" w14:textId="77777777" w:rsidTr="009D30A1">
        <w:trPr>
          <w:cantSplit/>
          <w:trHeight w:val="471"/>
        </w:trPr>
        <w:tc>
          <w:tcPr>
            <w:tcW w:w="3960" w:type="dxa"/>
            <w:gridSpan w:val="2"/>
            <w:tcBorders>
              <w:top w:val="single" w:sz="4" w:space="0" w:color="auto"/>
              <w:left w:val="single" w:sz="4" w:space="0" w:color="auto"/>
              <w:bottom w:val="single" w:sz="4" w:space="0" w:color="auto"/>
              <w:right w:val="single" w:sz="4" w:space="0" w:color="auto"/>
            </w:tcBorders>
            <w:hideMark/>
          </w:tcPr>
          <w:p w14:paraId="1654B770" w14:textId="77777777" w:rsidR="009D30A1" w:rsidRDefault="009D30A1" w:rsidP="009D30A1">
            <w:pPr>
              <w:keepNext/>
              <w:ind w:left="-57"/>
              <w:rPr>
                <w:rFonts w:ascii="Arial Narrow" w:hAnsi="Arial Narrow"/>
                <w:b/>
                <w:bCs/>
                <w:sz w:val="18"/>
                <w:szCs w:val="18"/>
              </w:rPr>
            </w:pPr>
            <w:r>
              <w:rPr>
                <w:rFonts w:ascii="Arial Narrow" w:hAnsi="Arial Narrow"/>
                <w:b/>
                <w:bCs/>
                <w:sz w:val="18"/>
                <w:szCs w:val="18"/>
              </w:rPr>
              <w:t>MEDICINAL PRODUCT</w:t>
            </w:r>
          </w:p>
          <w:p w14:paraId="4B0E0E9E" w14:textId="77777777" w:rsidR="009D30A1" w:rsidRDefault="009D30A1" w:rsidP="009D30A1">
            <w:pPr>
              <w:keepNext/>
              <w:ind w:left="-57"/>
              <w:rPr>
                <w:rFonts w:ascii="Arial Narrow" w:hAnsi="Arial Narrow"/>
                <w:b/>
                <w:sz w:val="18"/>
                <w:szCs w:val="18"/>
              </w:rPr>
            </w:pPr>
            <w:r>
              <w:rPr>
                <w:rFonts w:ascii="Arial Narrow" w:hAnsi="Arial Narrow"/>
                <w:b/>
                <w:bCs/>
                <w:sz w:val="18"/>
                <w:szCs w:val="18"/>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75538F73"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21B316A1"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Max. qty packs</w:t>
            </w:r>
          </w:p>
        </w:tc>
        <w:tc>
          <w:tcPr>
            <w:tcW w:w="709" w:type="dxa"/>
            <w:tcBorders>
              <w:top w:val="single" w:sz="4" w:space="0" w:color="auto"/>
              <w:left w:val="single" w:sz="4" w:space="0" w:color="auto"/>
              <w:bottom w:val="single" w:sz="4" w:space="0" w:color="auto"/>
              <w:right w:val="single" w:sz="4" w:space="0" w:color="auto"/>
            </w:tcBorders>
            <w:hideMark/>
          </w:tcPr>
          <w:p w14:paraId="6E77EF09" w14:textId="77777777" w:rsidR="009D30A1" w:rsidRDefault="009D30A1" w:rsidP="009D30A1">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Borders>
              <w:top w:val="single" w:sz="4" w:space="0" w:color="auto"/>
              <w:left w:val="single" w:sz="4" w:space="0" w:color="auto"/>
              <w:bottom w:val="single" w:sz="4" w:space="0" w:color="auto"/>
              <w:right w:val="single" w:sz="4" w:space="0" w:color="auto"/>
            </w:tcBorders>
            <w:hideMark/>
          </w:tcPr>
          <w:p w14:paraId="0A1A103A" w14:textId="77777777" w:rsidR="009D30A1" w:rsidRDefault="009D30A1" w:rsidP="009D30A1">
            <w:pPr>
              <w:keepNext/>
              <w:ind w:left="-108"/>
              <w:jc w:val="center"/>
              <w:rPr>
                <w:rFonts w:ascii="Arial Narrow" w:hAnsi="Arial Narrow"/>
                <w:b/>
                <w:sz w:val="18"/>
                <w:szCs w:val="18"/>
              </w:rPr>
            </w:pPr>
            <w:proofErr w:type="gramStart"/>
            <w:r>
              <w:rPr>
                <w:rFonts w:ascii="Arial Narrow" w:hAnsi="Arial Narrow"/>
                <w:b/>
                <w:sz w:val="18"/>
                <w:szCs w:val="18"/>
              </w:rPr>
              <w:t>№.of</w:t>
            </w:r>
            <w:proofErr w:type="gramEnd"/>
          </w:p>
          <w:p w14:paraId="24ED4089" w14:textId="77777777" w:rsidR="009D30A1" w:rsidRDefault="009D30A1" w:rsidP="009D30A1">
            <w:pPr>
              <w:keepNext/>
              <w:ind w:left="-108"/>
              <w:jc w:val="center"/>
              <w:rPr>
                <w:rFonts w:ascii="Arial Narrow" w:hAnsi="Arial Narrow"/>
                <w:b/>
                <w:sz w:val="18"/>
                <w:szCs w:val="18"/>
              </w:rPr>
            </w:pPr>
            <w:proofErr w:type="spellStart"/>
            <w:r>
              <w:rPr>
                <w:rFonts w:ascii="Arial Narrow" w:hAnsi="Arial Narrow"/>
                <w:b/>
                <w:sz w:val="18"/>
                <w:szCs w:val="18"/>
              </w:rPr>
              <w:t>Rpts</w:t>
            </w:r>
            <w:proofErr w:type="spellEnd"/>
          </w:p>
        </w:tc>
        <w:tc>
          <w:tcPr>
            <w:tcW w:w="1990" w:type="dxa"/>
            <w:tcBorders>
              <w:top w:val="single" w:sz="4" w:space="0" w:color="auto"/>
              <w:left w:val="single" w:sz="4" w:space="0" w:color="auto"/>
              <w:bottom w:val="single" w:sz="4" w:space="0" w:color="auto"/>
              <w:right w:val="single" w:sz="4" w:space="0" w:color="auto"/>
            </w:tcBorders>
            <w:hideMark/>
          </w:tcPr>
          <w:p w14:paraId="3CD19BD7" w14:textId="77777777" w:rsidR="009D30A1" w:rsidRDefault="009D30A1" w:rsidP="009D30A1">
            <w:pPr>
              <w:keepNext/>
              <w:rPr>
                <w:rFonts w:ascii="Arial Narrow" w:hAnsi="Arial Narrow"/>
                <w:b/>
                <w:sz w:val="18"/>
                <w:szCs w:val="18"/>
                <w:lang w:val="fr-FR"/>
              </w:rPr>
            </w:pPr>
            <w:r>
              <w:rPr>
                <w:rFonts w:ascii="Arial Narrow" w:hAnsi="Arial Narrow"/>
                <w:b/>
                <w:sz w:val="18"/>
                <w:szCs w:val="18"/>
              </w:rPr>
              <w:t>Available brands</w:t>
            </w:r>
          </w:p>
        </w:tc>
      </w:tr>
      <w:tr w:rsidR="009D30A1" w14:paraId="52272409" w14:textId="77777777" w:rsidTr="009D30A1">
        <w:trPr>
          <w:cantSplit/>
          <w:trHeight w:val="83"/>
        </w:trPr>
        <w:tc>
          <w:tcPr>
            <w:tcW w:w="9209" w:type="dxa"/>
            <w:gridSpan w:val="7"/>
            <w:tcBorders>
              <w:top w:val="single" w:sz="4" w:space="0" w:color="auto"/>
              <w:left w:val="single" w:sz="4" w:space="0" w:color="auto"/>
              <w:bottom w:val="single" w:sz="4" w:space="0" w:color="auto"/>
              <w:right w:val="single" w:sz="4" w:space="0" w:color="auto"/>
            </w:tcBorders>
            <w:hideMark/>
          </w:tcPr>
          <w:p w14:paraId="4EF2C2C7" w14:textId="77777777" w:rsidR="009D30A1" w:rsidRPr="00521DFF" w:rsidRDefault="009D30A1" w:rsidP="009D30A1">
            <w:pPr>
              <w:keepNext/>
              <w:ind w:left="-108"/>
              <w:rPr>
                <w:rFonts w:ascii="Arial" w:eastAsia="Calibri" w:hAnsi="Arial"/>
                <w:sz w:val="18"/>
                <w:szCs w:val="18"/>
              </w:rPr>
            </w:pPr>
            <w:r w:rsidRPr="00521DFF">
              <w:rPr>
                <w:rFonts w:ascii="Arial" w:eastAsia="Calibri" w:hAnsi="Arial"/>
                <w:sz w:val="18"/>
                <w:szCs w:val="18"/>
              </w:rPr>
              <w:t>OZANIMOD</w:t>
            </w:r>
          </w:p>
        </w:tc>
      </w:tr>
      <w:tr w:rsidR="009D30A1" w14:paraId="7933E258" w14:textId="77777777" w:rsidTr="009D30A1">
        <w:trPr>
          <w:cantSplit/>
          <w:trHeight w:val="270"/>
        </w:trPr>
        <w:tc>
          <w:tcPr>
            <w:tcW w:w="3960" w:type="dxa"/>
            <w:gridSpan w:val="2"/>
            <w:tcBorders>
              <w:top w:val="single" w:sz="4" w:space="0" w:color="auto"/>
              <w:left w:val="single" w:sz="4" w:space="0" w:color="auto"/>
              <w:bottom w:val="single" w:sz="4" w:space="0" w:color="auto"/>
              <w:right w:val="single" w:sz="4" w:space="0" w:color="auto"/>
            </w:tcBorders>
            <w:hideMark/>
          </w:tcPr>
          <w:p w14:paraId="429E3BA5" w14:textId="77777777" w:rsidR="009D30A1" w:rsidRPr="002654B2" w:rsidRDefault="009D30A1" w:rsidP="009D30A1">
            <w:pPr>
              <w:keepNext/>
              <w:ind w:left="-57"/>
              <w:rPr>
                <w:rFonts w:ascii="Arial Narrow" w:hAnsi="Arial Narrow" w:cstheme="minorHAnsi"/>
                <w:sz w:val="18"/>
                <w:szCs w:val="18"/>
              </w:rPr>
            </w:pPr>
            <w:r w:rsidRPr="002654B2">
              <w:rPr>
                <w:rStyle w:val="form-strength"/>
                <w:rFonts w:ascii="Arial Narrow" w:hAnsi="Arial Narrow" w:cstheme="minorHAnsi"/>
                <w:color w:val="222222"/>
                <w:sz w:val="18"/>
                <w:szCs w:val="18"/>
                <w:bdr w:val="none" w:sz="0" w:space="0" w:color="auto" w:frame="1"/>
              </w:rPr>
              <w:t>ozanimod 230 microgram capsule [4] (&amp;) ozanimod 460 microgram capsule [3], 7</w:t>
            </w:r>
            <w:r w:rsidRPr="002654B2">
              <w:rPr>
                <w:rFonts w:ascii="Arial Narrow" w:hAnsi="Arial Narrow" w:cstheme="minorHAnsi"/>
                <w:color w:val="222222"/>
                <w:sz w:val="18"/>
                <w:szCs w:val="18"/>
                <w:shd w:val="clear" w:color="auto" w:fill="EEEEEE"/>
              </w:rPr>
              <w:t> </w:t>
            </w:r>
          </w:p>
        </w:tc>
        <w:tc>
          <w:tcPr>
            <w:tcW w:w="992" w:type="dxa"/>
            <w:tcBorders>
              <w:top w:val="single" w:sz="4" w:space="0" w:color="auto"/>
              <w:left w:val="single" w:sz="4" w:space="0" w:color="auto"/>
              <w:bottom w:val="single" w:sz="4" w:space="0" w:color="auto"/>
              <w:right w:val="single" w:sz="4" w:space="0" w:color="auto"/>
            </w:tcBorders>
            <w:hideMark/>
          </w:tcPr>
          <w:p w14:paraId="4B6302A1" w14:textId="77777777" w:rsidR="009D30A1" w:rsidRDefault="009D30A1" w:rsidP="009D30A1">
            <w:pPr>
              <w:keepNext/>
              <w:jc w:val="center"/>
              <w:rPr>
                <w:rFonts w:ascii="Arial Narrow" w:hAnsi="Arial Narrow"/>
                <w:sz w:val="18"/>
                <w:szCs w:val="18"/>
              </w:rPr>
            </w:pPr>
            <w:r>
              <w:rPr>
                <w:rFonts w:ascii="Arial Narrow" w:hAnsi="Arial Narrow"/>
                <w:sz w:val="18"/>
                <w:szCs w:val="18"/>
              </w:rPr>
              <w:t>12278F</w:t>
            </w:r>
          </w:p>
        </w:tc>
        <w:tc>
          <w:tcPr>
            <w:tcW w:w="849" w:type="dxa"/>
            <w:tcBorders>
              <w:top w:val="single" w:sz="4" w:space="0" w:color="auto"/>
              <w:left w:val="single" w:sz="4" w:space="0" w:color="auto"/>
              <w:bottom w:val="single" w:sz="4" w:space="0" w:color="auto"/>
              <w:right w:val="single" w:sz="4" w:space="0" w:color="auto"/>
            </w:tcBorders>
            <w:hideMark/>
          </w:tcPr>
          <w:p w14:paraId="3068C497" w14:textId="77777777" w:rsidR="009D30A1" w:rsidRDefault="009D30A1" w:rsidP="009D30A1">
            <w:pPr>
              <w:keepNext/>
              <w:jc w:val="center"/>
              <w:rPr>
                <w:rFonts w:ascii="Arial Narrow" w:hAnsi="Arial Narrow"/>
                <w:sz w:val="18"/>
                <w:szCs w:val="18"/>
              </w:rPr>
            </w:pPr>
            <w:r>
              <w:rPr>
                <w:rFonts w:ascii="Arial Narrow" w:hAnsi="Arial Narrow"/>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3E4A9020" w14:textId="77777777" w:rsidR="009D30A1" w:rsidRDefault="009D30A1" w:rsidP="009D30A1">
            <w:pPr>
              <w:keepNext/>
              <w:jc w:val="center"/>
              <w:rPr>
                <w:rFonts w:ascii="Arial Narrow" w:hAnsi="Arial Narrow"/>
                <w:sz w:val="18"/>
                <w:szCs w:val="18"/>
              </w:rPr>
            </w:pPr>
            <w:r>
              <w:rPr>
                <w:rFonts w:ascii="Arial Narrow" w:hAnsi="Arial Narrow"/>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4D87E91A" w14:textId="77777777" w:rsidR="009D30A1" w:rsidRDefault="009D30A1" w:rsidP="009D30A1">
            <w:pPr>
              <w:keepNext/>
              <w:jc w:val="center"/>
              <w:rPr>
                <w:rFonts w:ascii="Arial Narrow" w:hAnsi="Arial Narrow"/>
                <w:sz w:val="18"/>
                <w:szCs w:val="18"/>
              </w:rPr>
            </w:pPr>
            <w:r>
              <w:rPr>
                <w:rFonts w:ascii="Arial Narrow" w:hAnsi="Arial Narrow"/>
                <w:sz w:val="18"/>
                <w:szCs w:val="18"/>
              </w:rPr>
              <w:t>0</w:t>
            </w:r>
          </w:p>
        </w:tc>
        <w:tc>
          <w:tcPr>
            <w:tcW w:w="1990" w:type="dxa"/>
            <w:tcBorders>
              <w:top w:val="single" w:sz="4" w:space="0" w:color="auto"/>
              <w:left w:val="single" w:sz="4" w:space="0" w:color="auto"/>
              <w:bottom w:val="single" w:sz="4" w:space="0" w:color="auto"/>
              <w:right w:val="single" w:sz="4" w:space="0" w:color="auto"/>
            </w:tcBorders>
            <w:hideMark/>
          </w:tcPr>
          <w:p w14:paraId="72065D3D" w14:textId="77777777" w:rsidR="009D30A1" w:rsidRDefault="009D30A1" w:rsidP="009D30A1">
            <w:pPr>
              <w:keepNext/>
              <w:rPr>
                <w:rFonts w:ascii="Arial Narrow" w:hAnsi="Arial Narrow"/>
                <w:sz w:val="18"/>
                <w:szCs w:val="18"/>
              </w:rPr>
            </w:pPr>
            <w:proofErr w:type="spellStart"/>
            <w:r>
              <w:rPr>
                <w:rFonts w:ascii="Arial Narrow" w:hAnsi="Arial Narrow"/>
                <w:sz w:val="18"/>
                <w:szCs w:val="18"/>
              </w:rPr>
              <w:t>Zeposia</w:t>
            </w:r>
            <w:proofErr w:type="spellEnd"/>
          </w:p>
        </w:tc>
      </w:tr>
      <w:tr w:rsidR="009D30A1" w14:paraId="6CCBC60A" w14:textId="77777777" w:rsidTr="009D30A1">
        <w:trPr>
          <w:cantSplit/>
          <w:trHeight w:val="270"/>
        </w:trPr>
        <w:tc>
          <w:tcPr>
            <w:tcW w:w="9209" w:type="dxa"/>
            <w:gridSpan w:val="7"/>
            <w:tcBorders>
              <w:top w:val="single" w:sz="4" w:space="0" w:color="auto"/>
              <w:left w:val="single" w:sz="4" w:space="0" w:color="auto"/>
              <w:bottom w:val="single" w:sz="4" w:space="0" w:color="auto"/>
              <w:right w:val="single" w:sz="4" w:space="0" w:color="auto"/>
            </w:tcBorders>
          </w:tcPr>
          <w:p w14:paraId="567F4D78" w14:textId="77777777" w:rsidR="009D30A1" w:rsidRDefault="009D30A1" w:rsidP="009D30A1">
            <w:pPr>
              <w:keepNext/>
              <w:rPr>
                <w:rFonts w:ascii="Arial Narrow" w:hAnsi="Arial Narrow"/>
                <w:sz w:val="18"/>
                <w:szCs w:val="18"/>
              </w:rPr>
            </w:pPr>
          </w:p>
        </w:tc>
      </w:tr>
      <w:tr w:rsidR="009D30A1" w14:paraId="2A44416C" w14:textId="77777777" w:rsidTr="009D30A1">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79587B" w14:textId="77777777" w:rsidR="009D30A1" w:rsidRDefault="009D30A1" w:rsidP="009D30A1">
            <w:pPr>
              <w:rPr>
                <w:rFonts w:ascii="Arial Narrow" w:hAnsi="Arial Narrow"/>
                <w:sz w:val="18"/>
                <w:szCs w:val="18"/>
              </w:rPr>
            </w:pPr>
          </w:p>
        </w:tc>
      </w:tr>
      <w:tr w:rsidR="009D30A1" w14:paraId="56551AC6" w14:textId="77777777" w:rsidTr="009D30A1">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8EA4CD" w14:textId="77777777" w:rsidR="009D30A1" w:rsidRDefault="009D30A1" w:rsidP="009D30A1">
            <w:pPr>
              <w:rPr>
                <w:rFonts w:ascii="Arial Narrow" w:hAnsi="Arial Narrow"/>
                <w:b/>
                <w:sz w:val="18"/>
                <w:szCs w:val="18"/>
              </w:rPr>
            </w:pPr>
            <w:r>
              <w:rPr>
                <w:rFonts w:ascii="Arial Narrow" w:hAnsi="Arial Narrow"/>
                <w:b/>
                <w:sz w:val="18"/>
                <w:szCs w:val="18"/>
              </w:rPr>
              <w:t>Restriction Summary [NEW 1] / Treatment of Concept: [NEW 2]</w:t>
            </w:r>
          </w:p>
        </w:tc>
      </w:tr>
      <w:tr w:rsidR="009D30A1" w14:paraId="66592E45" w14:textId="77777777" w:rsidTr="009D30A1">
        <w:tc>
          <w:tcPr>
            <w:tcW w:w="98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CD3BEF" w14:textId="318F5E91" w:rsidR="009D30A1" w:rsidRPr="001E7C5C" w:rsidRDefault="009D30A1" w:rsidP="009D30A1">
            <w:pPr>
              <w:jc w:val="center"/>
              <w:rPr>
                <w:rFonts w:ascii="Arial Narrow" w:hAnsi="Arial Narrow"/>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81372F" w14:textId="77777777" w:rsidR="009D30A1" w:rsidRDefault="009D30A1" w:rsidP="009D30A1">
            <w:pPr>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GENERAL – General Schedule (Code GE)</w:t>
            </w:r>
            <w:r>
              <w:rPr>
                <w:rFonts w:ascii="Arial Narrow" w:hAnsi="Arial Narrow"/>
                <w:color w:val="FF0000"/>
                <w:sz w:val="18"/>
                <w:szCs w:val="18"/>
              </w:rPr>
              <w:t xml:space="preserve"> </w:t>
            </w:r>
          </w:p>
          <w:p w14:paraId="1F2EED7A" w14:textId="77777777" w:rsidR="009D30A1" w:rsidRDefault="009D30A1" w:rsidP="009D30A1">
            <w:pPr>
              <w:rPr>
                <w:rFonts w:ascii="Arial Narrow" w:hAnsi="Arial Narrow"/>
                <w:sz w:val="18"/>
                <w:szCs w:val="18"/>
              </w:rPr>
            </w:pPr>
          </w:p>
        </w:tc>
      </w:tr>
      <w:tr w:rsidR="009D30A1" w14:paraId="03A88887" w14:textId="77777777" w:rsidTr="009D30A1">
        <w:trPr>
          <w:trHeight w:val="24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650FBD0" w14:textId="77777777" w:rsidR="009D30A1" w:rsidRDefault="009D30A1" w:rsidP="009D30A1">
            <w:pPr>
              <w:rPr>
                <w:rFonts w:ascii="Arial Narrow" w:hAnsi="Arial Narrow"/>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D91FDE" w14:textId="77777777" w:rsidR="009D30A1" w:rsidRDefault="009D30A1" w:rsidP="009D30A1">
            <w:pPr>
              <w:rPr>
                <w:rFonts w:ascii="Arial Narrow" w:hAnsi="Arial Narrow"/>
                <w:b/>
                <w:sz w:val="18"/>
                <w:szCs w:val="18"/>
              </w:rPr>
            </w:pPr>
            <w:r>
              <w:rPr>
                <w:rFonts w:ascii="Arial Narrow" w:hAnsi="Arial Narrow"/>
                <w:b/>
                <w:sz w:val="18"/>
                <w:szCs w:val="18"/>
              </w:rPr>
              <w:t>Prescriber type:</w:t>
            </w:r>
            <w:r>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931536">
              <w:rPr>
                <w:rFonts w:ascii="Arial Narrow" w:hAnsi="Arial Narrow"/>
                <w:sz w:val="18"/>
                <w:szCs w:val="18"/>
              </w:rPr>
            </w:r>
            <w:r w:rsidR="00931536">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9D30A1" w14:paraId="60F704D5" w14:textId="77777777" w:rsidTr="009D30A1">
        <w:trPr>
          <w:trHeight w:val="302"/>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38A66B3" w14:textId="77777777" w:rsidR="009D30A1" w:rsidRDefault="009D30A1" w:rsidP="009D30A1">
            <w:pPr>
              <w:rPr>
                <w:rFonts w:ascii="Arial Narrow" w:hAnsi="Arial Narrow"/>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92E20E" w14:textId="77777777" w:rsidR="009D30A1" w:rsidRDefault="009D30A1" w:rsidP="009D30A1">
            <w:pPr>
              <w:rPr>
                <w:rFonts w:ascii="Arial Narrow" w:eastAsia="Calibri" w:hAnsi="Arial Narrow"/>
                <w:color w:val="FF00FF"/>
                <w:sz w:val="18"/>
                <w:szCs w:val="18"/>
              </w:rPr>
            </w:pPr>
            <w:r>
              <w:rPr>
                <w:rFonts w:ascii="Arial Narrow" w:hAnsi="Arial Narrow"/>
                <w:b/>
                <w:sz w:val="18"/>
                <w:szCs w:val="18"/>
              </w:rPr>
              <w:t xml:space="preserve">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931536">
              <w:rPr>
                <w:rFonts w:ascii="Arial Narrow" w:eastAsia="Calibri" w:hAnsi="Arial Narrow"/>
                <w:sz w:val="18"/>
                <w:szCs w:val="18"/>
              </w:rPr>
            </w:r>
            <w:r w:rsidR="00931536">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Authority Required (STREAMLINED) [NEW 2]</w:t>
            </w:r>
          </w:p>
        </w:tc>
      </w:tr>
    </w:tbl>
    <w:tbl>
      <w:tblPr>
        <w:tblStyle w:val="TableGrid"/>
        <w:tblW w:w="9209" w:type="dxa"/>
        <w:tblLook w:val="04A0" w:firstRow="1" w:lastRow="0" w:firstColumn="1" w:lastColumn="0" w:noHBand="0" w:noVBand="1"/>
      </w:tblPr>
      <w:tblGrid>
        <w:gridCol w:w="988"/>
        <w:gridCol w:w="8221"/>
      </w:tblGrid>
      <w:tr w:rsidR="009D30A1" w:rsidRPr="0057693B" w14:paraId="1C3ECE68" w14:textId="77777777" w:rsidTr="009D30A1">
        <w:tc>
          <w:tcPr>
            <w:tcW w:w="988" w:type="dxa"/>
          </w:tcPr>
          <w:p w14:paraId="7F813FBC"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1C76FFC4"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08201AEA" w14:textId="77777777" w:rsidTr="009D30A1">
        <w:tc>
          <w:tcPr>
            <w:tcW w:w="988" w:type="dxa"/>
            <w:hideMark/>
          </w:tcPr>
          <w:p w14:paraId="30813B35" w14:textId="642BB186"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68C92868"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B12F95">
              <w:rPr>
                <w:rFonts w:ascii="Arial Narrow" w:hAnsi="Arial Narrow" w:cs="Open Sans"/>
                <w:color w:val="333333"/>
                <w:sz w:val="18"/>
                <w:szCs w:val="18"/>
                <w:bdr w:val="none" w:sz="0" w:space="0" w:color="auto" w:frame="1"/>
              </w:rPr>
              <w:t>Moderate to severe ulcerative colitis</w:t>
            </w:r>
            <w:r>
              <w:rPr>
                <w:rFonts w:ascii="Arial Narrow" w:hAnsi="Arial Narrow" w:cs="Open Sans"/>
                <w:b/>
                <w:bCs/>
                <w:color w:val="333333"/>
                <w:sz w:val="18"/>
                <w:szCs w:val="18"/>
                <w:bdr w:val="none" w:sz="0" w:space="0" w:color="auto" w:frame="1"/>
              </w:rPr>
              <w:t xml:space="preserve"> </w:t>
            </w:r>
          </w:p>
        </w:tc>
      </w:tr>
      <w:tr w:rsidR="009D30A1" w:rsidRPr="0057693B" w14:paraId="15B5D936" w14:textId="77777777" w:rsidTr="009D30A1">
        <w:tc>
          <w:tcPr>
            <w:tcW w:w="988" w:type="dxa"/>
          </w:tcPr>
          <w:p w14:paraId="52B54385"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tcPr>
          <w:p w14:paraId="0EEC2E38"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3CEBEF99" w14:textId="77777777" w:rsidTr="009D30A1">
        <w:tc>
          <w:tcPr>
            <w:tcW w:w="988" w:type="dxa"/>
            <w:hideMark/>
          </w:tcPr>
          <w:p w14:paraId="7C5AAF4D" w14:textId="77777777" w:rsidR="009D30A1" w:rsidRPr="0057693B" w:rsidRDefault="009D30A1" w:rsidP="009D30A1">
            <w:pPr>
              <w:jc w:val="center"/>
              <w:rPr>
                <w:rFonts w:ascii="Arial Narrow" w:hAnsi="Arial Narrow" w:cs="Open Sans"/>
                <w:color w:val="333333"/>
                <w:sz w:val="18"/>
                <w:szCs w:val="18"/>
              </w:rPr>
            </w:pPr>
          </w:p>
        </w:tc>
        <w:tc>
          <w:tcPr>
            <w:tcW w:w="8221" w:type="dxa"/>
            <w:hideMark/>
          </w:tcPr>
          <w:p w14:paraId="3E041023"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FF3582">
              <w:rPr>
                <w:rFonts w:ascii="Arial Narrow" w:hAnsi="Arial Narrow" w:cs="Open Sans"/>
                <w:color w:val="333333"/>
                <w:sz w:val="18"/>
                <w:szCs w:val="18"/>
                <w:bdr w:val="none" w:sz="0" w:space="0" w:color="auto" w:frame="1"/>
              </w:rPr>
              <w:t>Dose escalation occurring at initial treatment, or</w:t>
            </w:r>
            <w:r>
              <w:rPr>
                <w:rFonts w:ascii="Arial Narrow" w:hAnsi="Arial Narrow" w:cs="Open Sans"/>
                <w:color w:val="333333"/>
                <w:sz w:val="18"/>
                <w:szCs w:val="18"/>
                <w:bdr w:val="none" w:sz="0" w:space="0" w:color="auto" w:frame="1"/>
              </w:rPr>
              <w:t xml:space="preserve"> re-initiation of treatment</w:t>
            </w:r>
          </w:p>
        </w:tc>
      </w:tr>
      <w:tr w:rsidR="009D30A1" w:rsidRPr="0057693B" w14:paraId="5F87296F" w14:textId="77777777" w:rsidTr="009D30A1">
        <w:tc>
          <w:tcPr>
            <w:tcW w:w="988" w:type="dxa"/>
          </w:tcPr>
          <w:p w14:paraId="4253951A" w14:textId="77777777" w:rsidR="009D30A1" w:rsidRPr="0057693B" w:rsidRDefault="009D30A1" w:rsidP="009D30A1">
            <w:pPr>
              <w:jc w:val="center"/>
              <w:rPr>
                <w:rFonts w:ascii="Arial Narrow" w:hAnsi="Arial Narrow" w:cs="Open Sans"/>
                <w:color w:val="333333"/>
                <w:sz w:val="18"/>
                <w:szCs w:val="18"/>
              </w:rPr>
            </w:pPr>
          </w:p>
        </w:tc>
        <w:tc>
          <w:tcPr>
            <w:tcW w:w="8221" w:type="dxa"/>
          </w:tcPr>
          <w:p w14:paraId="1B8BDC17" w14:textId="77777777" w:rsidR="009D30A1" w:rsidRPr="0057693B" w:rsidRDefault="009D30A1" w:rsidP="009D30A1">
            <w:pPr>
              <w:textAlignment w:val="baseline"/>
              <w:rPr>
                <w:rFonts w:ascii="Arial Narrow" w:hAnsi="Arial Narrow" w:cs="Open Sans"/>
                <w:b/>
                <w:bCs/>
                <w:color w:val="333333"/>
                <w:sz w:val="18"/>
                <w:szCs w:val="18"/>
                <w:bdr w:val="none" w:sz="0" w:space="0" w:color="auto" w:frame="1"/>
              </w:rPr>
            </w:pPr>
          </w:p>
        </w:tc>
      </w:tr>
      <w:tr w:rsidR="009D30A1" w:rsidRPr="0057693B" w14:paraId="7734ACA1" w14:textId="77777777" w:rsidTr="009D30A1">
        <w:tc>
          <w:tcPr>
            <w:tcW w:w="988" w:type="dxa"/>
            <w:hideMark/>
          </w:tcPr>
          <w:p w14:paraId="5F4D6150" w14:textId="7B463B24"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369B19AC"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Treatment criteria:</w:t>
            </w:r>
          </w:p>
        </w:tc>
      </w:tr>
      <w:tr w:rsidR="009D30A1" w:rsidRPr="0057693B" w14:paraId="30B80671" w14:textId="77777777" w:rsidTr="009D30A1">
        <w:tc>
          <w:tcPr>
            <w:tcW w:w="988" w:type="dxa"/>
            <w:hideMark/>
          </w:tcPr>
          <w:p w14:paraId="3ACF91D4" w14:textId="5057CFA2"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481A36E0"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 Must be treated by a gastroenterologist (code 87); or</w:t>
            </w:r>
          </w:p>
        </w:tc>
      </w:tr>
      <w:tr w:rsidR="009D30A1" w:rsidRPr="0057693B" w14:paraId="4345CA2C" w14:textId="77777777" w:rsidTr="009D30A1">
        <w:tc>
          <w:tcPr>
            <w:tcW w:w="988" w:type="dxa"/>
            <w:hideMark/>
          </w:tcPr>
          <w:p w14:paraId="1EDBF971" w14:textId="53C567EC"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77FD161A"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 Must be treated by a consultant physician [internal medicine specialising in gastroenterology (code 81)]; or</w:t>
            </w:r>
          </w:p>
        </w:tc>
      </w:tr>
      <w:tr w:rsidR="009D30A1" w:rsidRPr="0057693B" w14:paraId="372242CB" w14:textId="77777777" w:rsidTr="009D30A1">
        <w:tc>
          <w:tcPr>
            <w:tcW w:w="988" w:type="dxa"/>
            <w:hideMark/>
          </w:tcPr>
          <w:p w14:paraId="6769D505" w14:textId="57309C0E"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621E1541"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color w:val="333333"/>
                <w:sz w:val="18"/>
                <w:szCs w:val="18"/>
              </w:rPr>
              <w:t xml:space="preserve"> Must be treated by a consultant physician [general medicine specialising in gastroenterology (code 82)]</w:t>
            </w:r>
          </w:p>
        </w:tc>
      </w:tr>
      <w:tr w:rsidR="009D30A1" w:rsidRPr="0057693B" w14:paraId="64B231D8" w14:textId="77777777" w:rsidTr="009D30A1">
        <w:tc>
          <w:tcPr>
            <w:tcW w:w="988" w:type="dxa"/>
            <w:hideMark/>
          </w:tcPr>
          <w:p w14:paraId="386939F7" w14:textId="77777777" w:rsidR="009D30A1" w:rsidRPr="0057693B" w:rsidRDefault="009D30A1" w:rsidP="009D30A1">
            <w:pPr>
              <w:jc w:val="center"/>
              <w:rPr>
                <w:rFonts w:ascii="Arial Narrow" w:hAnsi="Arial Narrow" w:cs="Open Sans"/>
                <w:color w:val="333333"/>
                <w:sz w:val="18"/>
                <w:szCs w:val="18"/>
              </w:rPr>
            </w:pPr>
          </w:p>
        </w:tc>
        <w:tc>
          <w:tcPr>
            <w:tcW w:w="8221" w:type="dxa"/>
            <w:hideMark/>
          </w:tcPr>
          <w:p w14:paraId="37E198DD" w14:textId="77777777" w:rsidR="009D30A1" w:rsidRPr="0057693B" w:rsidRDefault="009D30A1" w:rsidP="009D30A1">
            <w:pPr>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AND</w:t>
            </w:r>
          </w:p>
        </w:tc>
      </w:tr>
      <w:tr w:rsidR="009D30A1" w:rsidRPr="0057693B" w14:paraId="797C60E3" w14:textId="77777777" w:rsidTr="009D30A1">
        <w:tc>
          <w:tcPr>
            <w:tcW w:w="988" w:type="dxa"/>
            <w:hideMark/>
          </w:tcPr>
          <w:p w14:paraId="232F2A53"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6377797B" w14:textId="77777777" w:rsidR="009D30A1" w:rsidRPr="0057693B" w:rsidRDefault="009D30A1" w:rsidP="009D30A1">
            <w:pPr>
              <w:textAlignment w:val="baseline"/>
              <w:rPr>
                <w:rFonts w:ascii="Arial Narrow" w:hAnsi="Arial Narrow" w:cs="Open Sans"/>
                <w:color w:val="333333"/>
                <w:sz w:val="18"/>
                <w:szCs w:val="18"/>
              </w:rPr>
            </w:pPr>
            <w:r w:rsidRPr="0057693B">
              <w:rPr>
                <w:rFonts w:ascii="Arial Narrow" w:hAnsi="Arial Narrow" w:cs="Open Sans"/>
                <w:b/>
                <w:bCs/>
                <w:color w:val="333333"/>
                <w:sz w:val="18"/>
                <w:szCs w:val="18"/>
                <w:bdr w:val="none" w:sz="0" w:space="0" w:color="auto" w:frame="1"/>
              </w:rPr>
              <w:t>Population criteria:</w:t>
            </w:r>
          </w:p>
        </w:tc>
      </w:tr>
      <w:tr w:rsidR="009D30A1" w:rsidRPr="0057693B" w14:paraId="57D6BEAA" w14:textId="77777777" w:rsidTr="009D30A1">
        <w:tc>
          <w:tcPr>
            <w:tcW w:w="988" w:type="dxa"/>
            <w:hideMark/>
          </w:tcPr>
          <w:p w14:paraId="339DD250" w14:textId="77777777" w:rsidR="009D30A1" w:rsidRPr="0057693B" w:rsidRDefault="009D30A1" w:rsidP="009D30A1">
            <w:pPr>
              <w:jc w:val="center"/>
              <w:textAlignment w:val="baseline"/>
              <w:rPr>
                <w:rFonts w:ascii="Arial Narrow" w:hAnsi="Arial Narrow" w:cs="Open Sans"/>
                <w:color w:val="333333"/>
                <w:sz w:val="18"/>
                <w:szCs w:val="18"/>
              </w:rPr>
            </w:pPr>
            <w:r>
              <w:rPr>
                <w:rFonts w:ascii="Arial Narrow" w:hAnsi="Arial Narrow" w:cs="Open Sans"/>
                <w:color w:val="333333"/>
                <w:sz w:val="18"/>
                <w:szCs w:val="18"/>
              </w:rPr>
              <w:t>NEW PC 1</w:t>
            </w:r>
          </w:p>
        </w:tc>
        <w:tc>
          <w:tcPr>
            <w:tcW w:w="8221" w:type="dxa"/>
            <w:hideMark/>
          </w:tcPr>
          <w:p w14:paraId="489A05A1" w14:textId="63C9BCCD" w:rsidR="009D30A1" w:rsidRPr="00007521" w:rsidRDefault="009D30A1" w:rsidP="009D30A1">
            <w:pPr>
              <w:rPr>
                <w:rFonts w:ascii="Arial Narrow" w:hAnsi="Arial Narrow" w:cs="Open Sans"/>
                <w:color w:val="333333"/>
                <w:sz w:val="18"/>
                <w:szCs w:val="18"/>
              </w:rPr>
            </w:pPr>
            <w:r>
              <w:rPr>
                <w:rFonts w:ascii="Arial Narrow" w:hAnsi="Arial Narrow" w:cs="Open Sans"/>
                <w:color w:val="333333"/>
                <w:sz w:val="18"/>
                <w:szCs w:val="18"/>
              </w:rPr>
              <w:t xml:space="preserve">Patient must have an accompanying authority application for the </w:t>
            </w:r>
            <w:proofErr w:type="gramStart"/>
            <w:r>
              <w:rPr>
                <w:rFonts w:ascii="Arial Narrow" w:hAnsi="Arial Narrow" w:cs="Open Sans"/>
                <w:color w:val="333333"/>
                <w:sz w:val="18"/>
                <w:szCs w:val="18"/>
              </w:rPr>
              <w:t>920 microgram</w:t>
            </w:r>
            <w:proofErr w:type="gramEnd"/>
            <w:r>
              <w:rPr>
                <w:rFonts w:ascii="Arial Narrow" w:hAnsi="Arial Narrow" w:cs="Open Sans"/>
                <w:color w:val="333333"/>
                <w:sz w:val="18"/>
                <w:szCs w:val="18"/>
              </w:rPr>
              <w:t xml:space="preserve"> strength that has at least been </w:t>
            </w:r>
            <w:r w:rsidRPr="00007521">
              <w:rPr>
                <w:rFonts w:ascii="Arial Narrow" w:hAnsi="Arial Narrow" w:cs="Open Sans"/>
                <w:color w:val="333333"/>
                <w:sz w:val="18"/>
                <w:szCs w:val="18"/>
              </w:rPr>
              <w:t>submitted, but awaiting outcome</w:t>
            </w:r>
            <w:r>
              <w:rPr>
                <w:rFonts w:ascii="Arial Narrow" w:hAnsi="Arial Narrow" w:cs="Open Sans"/>
                <w:color w:val="333333"/>
                <w:sz w:val="18"/>
                <w:szCs w:val="18"/>
              </w:rPr>
              <w:t>.</w:t>
            </w:r>
          </w:p>
        </w:tc>
      </w:tr>
      <w:tr w:rsidR="009D30A1" w:rsidRPr="0057693B" w14:paraId="3513E1F9" w14:textId="77777777" w:rsidTr="009D30A1">
        <w:tc>
          <w:tcPr>
            <w:tcW w:w="988" w:type="dxa"/>
          </w:tcPr>
          <w:p w14:paraId="645D5D0B" w14:textId="77777777" w:rsidR="009D30A1" w:rsidRDefault="009D30A1" w:rsidP="009D30A1">
            <w:pPr>
              <w:jc w:val="center"/>
              <w:textAlignment w:val="baseline"/>
              <w:rPr>
                <w:rFonts w:ascii="Arial Narrow" w:hAnsi="Arial Narrow" w:cs="Open Sans"/>
                <w:color w:val="333333"/>
                <w:sz w:val="18"/>
                <w:szCs w:val="18"/>
              </w:rPr>
            </w:pPr>
          </w:p>
        </w:tc>
        <w:tc>
          <w:tcPr>
            <w:tcW w:w="8221" w:type="dxa"/>
          </w:tcPr>
          <w:p w14:paraId="6CC74E4D" w14:textId="77777777" w:rsidR="009D30A1" w:rsidRDefault="009D30A1" w:rsidP="009D30A1">
            <w:pPr>
              <w:rPr>
                <w:rFonts w:ascii="Arial Narrow" w:hAnsi="Arial Narrow" w:cs="Open Sans"/>
                <w:color w:val="333333"/>
                <w:sz w:val="18"/>
                <w:szCs w:val="18"/>
              </w:rPr>
            </w:pPr>
          </w:p>
        </w:tc>
      </w:tr>
      <w:tr w:rsidR="009D30A1" w:rsidRPr="0057693B" w14:paraId="0538B33D" w14:textId="77777777" w:rsidTr="009D30A1">
        <w:tc>
          <w:tcPr>
            <w:tcW w:w="988" w:type="dxa"/>
            <w:hideMark/>
          </w:tcPr>
          <w:p w14:paraId="56D0ECFD" w14:textId="77777777" w:rsidR="009D30A1" w:rsidRPr="0057693B" w:rsidRDefault="009D30A1" w:rsidP="009D30A1">
            <w:pPr>
              <w:jc w:val="center"/>
              <w:textAlignment w:val="baseline"/>
              <w:rPr>
                <w:rFonts w:ascii="Arial Narrow" w:hAnsi="Arial Narrow" w:cs="Open Sans"/>
                <w:color w:val="333333"/>
                <w:sz w:val="18"/>
                <w:szCs w:val="18"/>
              </w:rPr>
            </w:pPr>
          </w:p>
        </w:tc>
        <w:tc>
          <w:tcPr>
            <w:tcW w:w="8221" w:type="dxa"/>
            <w:hideMark/>
          </w:tcPr>
          <w:p w14:paraId="28209674" w14:textId="77777777" w:rsidR="009D30A1" w:rsidRPr="0057693B" w:rsidRDefault="009D30A1" w:rsidP="009D30A1">
            <w:pPr>
              <w:textAlignment w:val="baseline"/>
              <w:rPr>
                <w:rFonts w:ascii="Arial Narrow" w:hAnsi="Arial Narrow" w:cs="Open Sans"/>
                <w:color w:val="333333"/>
                <w:sz w:val="18"/>
                <w:szCs w:val="18"/>
              </w:rPr>
            </w:pPr>
          </w:p>
        </w:tc>
      </w:tr>
      <w:tr w:rsidR="009D30A1" w:rsidRPr="0057693B" w14:paraId="26A1C355" w14:textId="77777777" w:rsidTr="009D30A1">
        <w:tc>
          <w:tcPr>
            <w:tcW w:w="988" w:type="dxa"/>
            <w:hideMark/>
          </w:tcPr>
          <w:p w14:paraId="6B40EF7E" w14:textId="4D5CFEFB" w:rsidR="009D30A1" w:rsidRPr="006F13B8" w:rsidRDefault="009D30A1" w:rsidP="009D30A1">
            <w:pPr>
              <w:jc w:val="center"/>
              <w:textAlignment w:val="baseline"/>
              <w:rPr>
                <w:rFonts w:ascii="Arial Narrow" w:hAnsi="Arial Narrow" w:cs="Open Sans"/>
                <w:strike/>
                <w:color w:val="333333"/>
                <w:sz w:val="18"/>
                <w:szCs w:val="18"/>
              </w:rPr>
            </w:pPr>
          </w:p>
        </w:tc>
        <w:tc>
          <w:tcPr>
            <w:tcW w:w="8221" w:type="dxa"/>
            <w:hideMark/>
          </w:tcPr>
          <w:p w14:paraId="3530A7CA" w14:textId="77777777" w:rsidR="009D30A1" w:rsidRPr="0057693B" w:rsidRDefault="009D30A1" w:rsidP="009D30A1">
            <w:pPr>
              <w:textAlignment w:val="baseline"/>
              <w:rPr>
                <w:rFonts w:ascii="Arial Narrow" w:hAnsi="Arial Narrow" w:cs="Open Sans"/>
                <w:color w:val="333333"/>
                <w:sz w:val="18"/>
                <w:szCs w:val="18"/>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Pr>
                <w:rFonts w:ascii="Arial Narrow" w:hAnsi="Arial Narrow"/>
                <w:sz w:val="18"/>
                <w:szCs w:val="18"/>
              </w:rPr>
              <w:t>N</w:t>
            </w:r>
            <w:r w:rsidRPr="006F3062">
              <w:rPr>
                <w:rFonts w:ascii="Arial Narrow" w:hAnsi="Arial Narrow"/>
                <w:sz w:val="18"/>
                <w:szCs w:val="18"/>
              </w:rPr>
              <w:t>o increase in the maximum quantity or number of units may be authorised.</w:t>
            </w:r>
          </w:p>
        </w:tc>
      </w:tr>
      <w:tr w:rsidR="009D30A1" w:rsidRPr="0057693B" w14:paraId="26E0E410" w14:textId="77777777" w:rsidTr="009D30A1">
        <w:tc>
          <w:tcPr>
            <w:tcW w:w="988" w:type="dxa"/>
          </w:tcPr>
          <w:p w14:paraId="26CF4A47" w14:textId="03AEBC5A" w:rsidR="009D30A1" w:rsidRPr="006F13B8" w:rsidRDefault="009D30A1" w:rsidP="009D30A1">
            <w:pPr>
              <w:jc w:val="center"/>
              <w:textAlignment w:val="baseline"/>
              <w:rPr>
                <w:rFonts w:ascii="Arial Narrow" w:hAnsi="Arial Narrow" w:cs="Open Sans"/>
                <w:strike/>
                <w:color w:val="333333"/>
                <w:sz w:val="18"/>
                <w:szCs w:val="18"/>
              </w:rPr>
            </w:pPr>
          </w:p>
        </w:tc>
        <w:tc>
          <w:tcPr>
            <w:tcW w:w="8221" w:type="dxa"/>
          </w:tcPr>
          <w:p w14:paraId="79615AAF" w14:textId="77777777" w:rsidR="009D30A1" w:rsidRPr="0057693B" w:rsidRDefault="009D30A1" w:rsidP="009D30A1">
            <w:pPr>
              <w:textAlignment w:val="baseline"/>
              <w:rPr>
                <w:rFonts w:ascii="Arial Narrow" w:hAnsi="Arial Narrow" w:cs="Open Sans"/>
                <w:color w:val="333333"/>
                <w:sz w:val="18"/>
                <w:szCs w:val="18"/>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sidRPr="006F3062">
              <w:rPr>
                <w:rFonts w:ascii="Arial Narrow" w:hAnsi="Arial Narrow" w:cs="Open Sans"/>
                <w:color w:val="333333"/>
                <w:sz w:val="18"/>
                <w:szCs w:val="18"/>
                <w:shd w:val="clear" w:color="auto" w:fill="F4F4F4"/>
              </w:rPr>
              <w:t>No increase in the maximum number of repeats may be authorised.</w:t>
            </w:r>
          </w:p>
        </w:tc>
      </w:tr>
      <w:tr w:rsidR="009D30A1" w:rsidRPr="0057693B" w14:paraId="2616099B" w14:textId="77777777" w:rsidTr="009D30A1">
        <w:tc>
          <w:tcPr>
            <w:tcW w:w="988" w:type="dxa"/>
          </w:tcPr>
          <w:p w14:paraId="1C99F04A" w14:textId="617C8204" w:rsidR="009D30A1" w:rsidRPr="006F13B8" w:rsidRDefault="009D30A1" w:rsidP="009D30A1">
            <w:pPr>
              <w:jc w:val="center"/>
              <w:textAlignment w:val="baseline"/>
              <w:rPr>
                <w:rFonts w:ascii="Arial Narrow" w:hAnsi="Arial Narrow" w:cs="Open Sans"/>
                <w:strike/>
                <w:color w:val="333333"/>
                <w:sz w:val="18"/>
                <w:szCs w:val="18"/>
              </w:rPr>
            </w:pPr>
          </w:p>
        </w:tc>
        <w:tc>
          <w:tcPr>
            <w:tcW w:w="8221" w:type="dxa"/>
          </w:tcPr>
          <w:p w14:paraId="58A3FC61" w14:textId="77777777" w:rsidR="009D30A1" w:rsidRPr="0057693B" w:rsidRDefault="009D30A1" w:rsidP="009D30A1">
            <w:pPr>
              <w:textAlignment w:val="baseline"/>
              <w:rPr>
                <w:rFonts w:ascii="Arial Narrow" w:hAnsi="Arial Narrow" w:cs="Open Sans"/>
                <w:color w:val="333333"/>
                <w:sz w:val="18"/>
                <w:szCs w:val="18"/>
              </w:rPr>
            </w:pPr>
            <w:r w:rsidRPr="006F3062">
              <w:rPr>
                <w:rStyle w:val="Strong"/>
                <w:rFonts w:ascii="Arial Narrow" w:hAnsi="Arial Narrow" w:cs="Open Sans"/>
                <w:color w:val="333333"/>
                <w:sz w:val="18"/>
                <w:szCs w:val="18"/>
                <w:u w:val="single"/>
                <w:bdr w:val="none" w:sz="0" w:space="0" w:color="auto" w:frame="1"/>
              </w:rPr>
              <w:t>NOTE:</w:t>
            </w:r>
            <w:r>
              <w:rPr>
                <w:rStyle w:val="Strong"/>
                <w:rFonts w:ascii="Arial Narrow" w:hAnsi="Arial Narrow" w:cs="Open Sans"/>
                <w:color w:val="333333"/>
                <w:sz w:val="18"/>
                <w:szCs w:val="18"/>
                <w:u w:val="single"/>
                <w:bdr w:val="none" w:sz="0" w:space="0" w:color="auto" w:frame="1"/>
              </w:rPr>
              <w:t xml:space="preserve"> </w:t>
            </w:r>
            <w:r w:rsidRPr="006F3062">
              <w:rPr>
                <w:rFonts w:ascii="Arial Narrow" w:hAnsi="Arial Narrow" w:cs="Open Sans"/>
                <w:color w:val="333333"/>
                <w:sz w:val="18"/>
                <w:szCs w:val="18"/>
                <w:shd w:val="clear" w:color="auto" w:fill="F4F4F4"/>
              </w:rPr>
              <w:t>Special Pricing Arrangements apply.</w:t>
            </w:r>
          </w:p>
        </w:tc>
      </w:tr>
    </w:tbl>
    <w:p w14:paraId="367B3628" w14:textId="77777777" w:rsidR="009D30A1" w:rsidRDefault="009D30A1" w:rsidP="009D30A1"/>
    <w:p w14:paraId="2FD974DF" w14:textId="77777777" w:rsidR="009D30A1" w:rsidRPr="009A0E7B" w:rsidRDefault="009D30A1" w:rsidP="009D30A1">
      <w:pPr>
        <w:rPr>
          <w:rFonts w:asciiTheme="minorHAnsi" w:hAnsiTheme="minorHAnsi" w:cstheme="minorHAnsi"/>
          <w:i/>
        </w:rPr>
      </w:pPr>
      <w:r>
        <w:rPr>
          <w:rFonts w:asciiTheme="minorHAnsi" w:hAnsiTheme="minorHAnsi" w:cstheme="minorHAnsi"/>
          <w:i/>
        </w:rPr>
        <w:t>Revised</w:t>
      </w:r>
      <w:r w:rsidRPr="009A0E7B">
        <w:rPr>
          <w:rFonts w:asciiTheme="minorHAnsi" w:hAnsiTheme="minorHAnsi" w:cstheme="minorHAnsi"/>
          <w:i/>
        </w:rPr>
        <w:t xml:space="preserve"> </w:t>
      </w:r>
      <w:r>
        <w:rPr>
          <w:rFonts w:asciiTheme="minorHAnsi" w:hAnsiTheme="minorHAnsi" w:cstheme="minorHAnsi"/>
          <w:i/>
        </w:rPr>
        <w:t>27221 concept</w:t>
      </w:r>
      <w:r w:rsidRPr="009A0E7B">
        <w:rPr>
          <w:rFonts w:asciiTheme="minorHAnsi" w:hAnsiTheme="minorHAnsi" w:cstheme="minorHAnsi"/>
          <w:i/>
        </w:rPr>
        <w:t>:</w:t>
      </w:r>
    </w:p>
    <w:tbl>
      <w:tblPr>
        <w:tblStyle w:val="TableGrid"/>
        <w:tblW w:w="9209" w:type="dxa"/>
        <w:tblLook w:val="04A0" w:firstRow="1" w:lastRow="0" w:firstColumn="1" w:lastColumn="0" w:noHBand="0" w:noVBand="1"/>
      </w:tblPr>
      <w:tblGrid>
        <w:gridCol w:w="988"/>
        <w:gridCol w:w="8221"/>
      </w:tblGrid>
      <w:tr w:rsidR="009D30A1" w14:paraId="0EB5E19C" w14:textId="77777777" w:rsidTr="009D30A1">
        <w:tc>
          <w:tcPr>
            <w:tcW w:w="988" w:type="dxa"/>
          </w:tcPr>
          <w:p w14:paraId="44656EC5" w14:textId="0094AB93" w:rsidR="009D30A1" w:rsidRPr="00A423B9" w:rsidRDefault="009D30A1" w:rsidP="009D30A1">
            <w:pPr>
              <w:rPr>
                <w:rFonts w:ascii="Arial Narrow" w:hAnsi="Arial Narrow"/>
                <w:sz w:val="18"/>
                <w:szCs w:val="18"/>
              </w:rPr>
            </w:pPr>
          </w:p>
        </w:tc>
        <w:tc>
          <w:tcPr>
            <w:tcW w:w="8221" w:type="dxa"/>
          </w:tcPr>
          <w:p w14:paraId="02575AA8" w14:textId="77777777" w:rsidR="009D30A1" w:rsidRDefault="009D30A1" w:rsidP="009D30A1">
            <w:pPr>
              <w:pStyle w:val="NormalWeb"/>
              <w:shd w:val="clear" w:color="auto" w:fill="FFFFFF"/>
              <w:spacing w:before="0" w:after="0"/>
              <w:textAlignment w:val="baseline"/>
              <w:rPr>
                <w:rFonts w:ascii="Arial Narrow" w:hAnsi="Arial Narrow" w:cs="Open Sans"/>
                <w:b/>
                <w:bCs/>
                <w:color w:val="333333"/>
                <w:sz w:val="18"/>
                <w:szCs w:val="18"/>
                <w:bdr w:val="none" w:sz="0" w:space="0" w:color="auto" w:frame="1"/>
              </w:rPr>
            </w:pPr>
            <w:r w:rsidRPr="004812E7">
              <w:rPr>
                <w:rFonts w:ascii="Arial Narrow" w:hAnsi="Arial Narrow" w:cs="Open Sans"/>
                <w:b/>
                <w:bCs/>
                <w:color w:val="333333"/>
                <w:sz w:val="18"/>
                <w:szCs w:val="18"/>
                <w:u w:val="single"/>
                <w:bdr w:val="none" w:sz="0" w:space="0" w:color="auto" w:frame="1"/>
              </w:rPr>
              <w:t>NOTE:</w:t>
            </w:r>
            <w:r>
              <w:rPr>
                <w:rFonts w:ascii="Arial Narrow" w:hAnsi="Arial Narrow" w:cs="Open Sans"/>
                <w:b/>
                <w:bCs/>
                <w:color w:val="333333"/>
                <w:sz w:val="18"/>
                <w:szCs w:val="18"/>
                <w:bdr w:val="none" w:sz="0" w:space="0" w:color="auto" w:frame="1"/>
              </w:rPr>
              <w:t xml:space="preserve"> </w:t>
            </w:r>
          </w:p>
          <w:p w14:paraId="6C3D7F66" w14:textId="77777777" w:rsidR="009D30A1" w:rsidRDefault="009D30A1" w:rsidP="009D30A1">
            <w:pPr>
              <w:pStyle w:val="NormalWeb"/>
              <w:shd w:val="clear" w:color="auto" w:fill="FFFFFF"/>
              <w:spacing w:before="0" w:after="0"/>
              <w:textAlignment w:val="baseline"/>
              <w:rPr>
                <w:rFonts w:ascii="Arial Narrow" w:hAnsi="Arial Narrow" w:cs="Open Sans"/>
                <w:b/>
                <w:bCs/>
                <w:color w:val="333333"/>
                <w:sz w:val="18"/>
                <w:szCs w:val="18"/>
                <w:bdr w:val="none" w:sz="0" w:space="0" w:color="auto" w:frame="1"/>
              </w:rPr>
            </w:pPr>
            <w:r w:rsidRPr="004812E7">
              <w:rPr>
                <w:rFonts w:ascii="Arial Narrow" w:hAnsi="Arial Narrow" w:cs="Open Sans"/>
                <w:b/>
                <w:bCs/>
                <w:color w:val="333333"/>
                <w:sz w:val="18"/>
                <w:szCs w:val="18"/>
                <w:bdr w:val="none" w:sz="0" w:space="0" w:color="auto" w:frame="1"/>
              </w:rPr>
              <w:t>TREATMENT OF ADULT PATIENTS WITH MODERATE TO SEVERE ULCERATIVE COLITIS</w:t>
            </w:r>
          </w:p>
          <w:p w14:paraId="0E4D57E2"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48312BD4"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The following information applies to Pharmaceutical Benefits Scheme (PBS)</w:t>
            </w:r>
            <w:r>
              <w:rPr>
                <w:rFonts w:ascii="Arial Narrow" w:hAnsi="Arial Narrow" w:cs="Open Sans"/>
                <w:color w:val="333333"/>
                <w:sz w:val="18"/>
                <w:szCs w:val="18"/>
              </w:rPr>
              <w:t xml:space="preserve"> b</w:t>
            </w:r>
            <w:r w:rsidRPr="004812E7">
              <w:rPr>
                <w:rFonts w:ascii="Arial Narrow" w:hAnsi="Arial Narrow" w:cs="Open Sans"/>
                <w:color w:val="333333"/>
                <w:sz w:val="18"/>
                <w:szCs w:val="18"/>
              </w:rPr>
              <w:t xml:space="preserve">enefits for </w:t>
            </w:r>
            <w:r>
              <w:rPr>
                <w:rFonts w:ascii="Arial Narrow" w:hAnsi="Arial Narrow" w:cs="Open Sans"/>
                <w:color w:val="333333"/>
                <w:sz w:val="18"/>
                <w:szCs w:val="18"/>
              </w:rPr>
              <w:t>the indication of moderate to severe</w:t>
            </w:r>
            <w:r w:rsidRPr="004812E7">
              <w:rPr>
                <w:rFonts w:ascii="Arial Narrow" w:hAnsi="Arial Narrow" w:cs="Open Sans"/>
                <w:color w:val="333333"/>
                <w:sz w:val="18"/>
                <w:szCs w:val="18"/>
              </w:rPr>
              <w:t xml:space="preserve"> ulcerative colitis</w:t>
            </w:r>
            <w:r>
              <w:rPr>
                <w:rFonts w:ascii="Arial Narrow" w:hAnsi="Arial Narrow" w:cs="Open Sans"/>
                <w:color w:val="333333"/>
                <w:sz w:val="18"/>
                <w:szCs w:val="18"/>
              </w:rPr>
              <w:t xml:space="preserve"> (MSUC)</w:t>
            </w:r>
            <w:r w:rsidRPr="004812E7">
              <w:rPr>
                <w:rFonts w:ascii="Arial Narrow" w:hAnsi="Arial Narrow" w:cs="Open Sans"/>
                <w:color w:val="333333"/>
                <w:sz w:val="18"/>
                <w:szCs w:val="18"/>
              </w:rPr>
              <w:t xml:space="preserve">. Patients are eligible for </w:t>
            </w:r>
            <w:r>
              <w:rPr>
                <w:rFonts w:ascii="Arial Narrow" w:hAnsi="Arial Narrow" w:cs="Open Sans"/>
                <w:color w:val="333333"/>
                <w:sz w:val="18"/>
                <w:szCs w:val="18"/>
              </w:rPr>
              <w:t xml:space="preserve">one </w:t>
            </w:r>
            <w:r w:rsidRPr="004812E7">
              <w:rPr>
                <w:rFonts w:ascii="Arial Narrow" w:hAnsi="Arial Narrow" w:cs="Open Sans"/>
                <w:color w:val="333333"/>
                <w:sz w:val="18"/>
                <w:szCs w:val="18"/>
              </w:rPr>
              <w:t xml:space="preserve">PBS-subsidised </w:t>
            </w:r>
            <w:r>
              <w:rPr>
                <w:rFonts w:ascii="Arial Narrow" w:hAnsi="Arial Narrow" w:cs="Open Sans"/>
                <w:color w:val="333333"/>
                <w:sz w:val="18"/>
                <w:szCs w:val="18"/>
              </w:rPr>
              <w:t>drug</w:t>
            </w:r>
            <w:r w:rsidRPr="004812E7">
              <w:rPr>
                <w:rFonts w:ascii="Arial Narrow" w:hAnsi="Arial Narrow" w:cs="Open Sans"/>
                <w:color w:val="333333"/>
                <w:sz w:val="18"/>
                <w:szCs w:val="18"/>
              </w:rPr>
              <w:t xml:space="preserve"> treatment </w:t>
            </w:r>
            <w:r>
              <w:rPr>
                <w:rFonts w:ascii="Arial Narrow" w:hAnsi="Arial Narrow" w:cs="Open Sans"/>
                <w:color w:val="333333"/>
                <w:sz w:val="18"/>
                <w:szCs w:val="18"/>
              </w:rPr>
              <w:t xml:space="preserve">indicated for MSUC </w:t>
            </w:r>
            <w:r w:rsidRPr="004812E7">
              <w:rPr>
                <w:rFonts w:ascii="Arial Narrow" w:hAnsi="Arial Narrow" w:cs="Open Sans"/>
                <w:color w:val="333333"/>
                <w:sz w:val="18"/>
                <w:szCs w:val="18"/>
              </w:rPr>
              <w:t>at any one time.</w:t>
            </w:r>
            <w:r>
              <w:rPr>
                <w:rFonts w:ascii="Arial Narrow" w:hAnsi="Arial Narrow" w:cs="Open Sans"/>
                <w:color w:val="333333"/>
                <w:sz w:val="18"/>
                <w:szCs w:val="18"/>
              </w:rPr>
              <w:t xml:space="preserve"> </w:t>
            </w:r>
          </w:p>
          <w:p w14:paraId="216B3CBC"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2A05AE2C"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 xml:space="preserve">Where the term 'biological medicine' appears in </w:t>
            </w:r>
            <w:r>
              <w:rPr>
                <w:rFonts w:ascii="Arial Narrow" w:hAnsi="Arial Narrow" w:cs="Open Sans"/>
                <w:color w:val="333333"/>
                <w:sz w:val="18"/>
                <w:szCs w:val="18"/>
              </w:rPr>
              <w:t>this note</w:t>
            </w:r>
            <w:r w:rsidRPr="004812E7">
              <w:rPr>
                <w:rFonts w:ascii="Arial Narrow" w:hAnsi="Arial Narrow" w:cs="Open Sans"/>
                <w:color w:val="333333"/>
                <w:sz w:val="18"/>
                <w:szCs w:val="18"/>
              </w:rPr>
              <w:t xml:space="preserve"> and restriction</w:t>
            </w:r>
            <w:r>
              <w:rPr>
                <w:rFonts w:ascii="Arial Narrow" w:hAnsi="Arial Narrow" w:cs="Open Sans"/>
                <w:color w:val="333333"/>
                <w:sz w:val="18"/>
                <w:szCs w:val="18"/>
              </w:rPr>
              <w:t>s</w:t>
            </w:r>
            <w:r w:rsidRPr="004812E7">
              <w:rPr>
                <w:rFonts w:ascii="Arial Narrow" w:hAnsi="Arial Narrow" w:cs="Open Sans"/>
                <w:color w:val="333333"/>
                <w:sz w:val="18"/>
                <w:szCs w:val="18"/>
              </w:rPr>
              <w:t xml:space="preserve">, it refers to </w:t>
            </w:r>
            <w:r>
              <w:rPr>
                <w:rFonts w:ascii="Arial Narrow" w:hAnsi="Arial Narrow" w:cs="Open Sans"/>
                <w:color w:val="333333"/>
                <w:sz w:val="18"/>
                <w:szCs w:val="18"/>
              </w:rPr>
              <w:t xml:space="preserve">any PBS benefit indicated for MSUC. </w:t>
            </w:r>
          </w:p>
          <w:p w14:paraId="36F79877"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Pr>
                <w:rFonts w:ascii="Arial Narrow" w:hAnsi="Arial Narrow" w:cs="Open Sans"/>
                <w:color w:val="333333"/>
                <w:sz w:val="18"/>
                <w:szCs w:val="18"/>
              </w:rPr>
              <w:t xml:space="preserve">Some benefits are not biological </w:t>
            </w:r>
            <w:proofErr w:type="gramStart"/>
            <w:r>
              <w:rPr>
                <w:rFonts w:ascii="Arial Narrow" w:hAnsi="Arial Narrow" w:cs="Open Sans"/>
                <w:color w:val="333333"/>
                <w:sz w:val="18"/>
                <w:szCs w:val="18"/>
              </w:rPr>
              <w:t>medicines, but</w:t>
            </w:r>
            <w:proofErr w:type="gramEnd"/>
            <w:r>
              <w:rPr>
                <w:rFonts w:ascii="Arial Narrow" w:hAnsi="Arial Narrow" w:cs="Open Sans"/>
                <w:color w:val="333333"/>
                <w:sz w:val="18"/>
                <w:szCs w:val="18"/>
              </w:rPr>
              <w:t xml:space="preserve"> are small molecules. However, for practical purposes, these benefits are included within the term “biological medicine”.  </w:t>
            </w:r>
          </w:p>
          <w:p w14:paraId="53A0D5D6"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5C384CF4"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From 1 July 2021, under the PBS, all adult patients will be able to commence a treatment cycle where they may trial PBS-subsidised biological medicine without having to experience a disease flare when swapping to one of the alternate agents. Under these arrangements, within a single treatment cycle, a patient may continue to receive long-term treatment with a PBS subsidised biological medicine while they continue to show a response to therapy.</w:t>
            </w:r>
          </w:p>
          <w:p w14:paraId="76ED2127"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021DC052" w14:textId="33687FD4"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 xml:space="preserve">A patient who received PBS-subsidised biological medicine treatment prior to 1 July 2021 is considered to </w:t>
            </w:r>
            <w:r>
              <w:rPr>
                <w:rFonts w:ascii="Arial Narrow" w:hAnsi="Arial Narrow" w:cs="Open Sans"/>
                <w:color w:val="333333"/>
                <w:sz w:val="18"/>
                <w:szCs w:val="18"/>
              </w:rPr>
              <w:t xml:space="preserve">have </w:t>
            </w:r>
            <w:r w:rsidRPr="004812E7">
              <w:rPr>
                <w:rFonts w:ascii="Arial Narrow" w:hAnsi="Arial Narrow" w:cs="Open Sans"/>
                <w:color w:val="333333"/>
                <w:sz w:val="18"/>
                <w:szCs w:val="18"/>
              </w:rPr>
              <w:t>start</w:t>
            </w:r>
            <w:r>
              <w:rPr>
                <w:rFonts w:ascii="Arial Narrow" w:hAnsi="Arial Narrow" w:cs="Open Sans"/>
                <w:color w:val="333333"/>
                <w:sz w:val="18"/>
                <w:szCs w:val="18"/>
              </w:rPr>
              <w:t>ed</w:t>
            </w:r>
            <w:r w:rsidRPr="004812E7">
              <w:rPr>
                <w:rFonts w:ascii="Arial Narrow" w:hAnsi="Arial Narrow" w:cs="Open Sans"/>
                <w:color w:val="333333"/>
                <w:sz w:val="18"/>
                <w:szCs w:val="18"/>
              </w:rPr>
              <w:t xml:space="preserve"> their first cycle as of 1 July 2021. Within the same treatment cycle, </w:t>
            </w:r>
            <w:r>
              <w:rPr>
                <w:rFonts w:ascii="Arial Narrow" w:hAnsi="Arial Narrow" w:cs="Open Sans"/>
                <w:color w:val="333333"/>
                <w:sz w:val="18"/>
                <w:szCs w:val="18"/>
              </w:rPr>
              <w:t xml:space="preserve">the same biological medicine cannot be trialled twice. </w:t>
            </w:r>
            <w:r w:rsidRPr="004812E7">
              <w:rPr>
                <w:rFonts w:ascii="Arial Narrow" w:hAnsi="Arial Narrow" w:cs="Open Sans"/>
                <w:color w:val="333333"/>
                <w:sz w:val="18"/>
                <w:szCs w:val="18"/>
              </w:rPr>
              <w:t xml:space="preserve"> </w:t>
            </w:r>
            <w:r>
              <w:rPr>
                <w:rFonts w:ascii="Arial Narrow" w:hAnsi="Arial Narrow" w:cs="Open Sans"/>
                <w:color w:val="333333"/>
                <w:sz w:val="18"/>
                <w:szCs w:val="18"/>
              </w:rPr>
              <w:t>Where</w:t>
            </w:r>
            <w:r w:rsidRPr="004812E7">
              <w:rPr>
                <w:rFonts w:ascii="Arial Narrow" w:hAnsi="Arial Narrow" w:cs="Open Sans"/>
                <w:color w:val="333333"/>
                <w:sz w:val="18"/>
                <w:szCs w:val="18"/>
              </w:rPr>
              <w:t xml:space="preserve"> 3 </w:t>
            </w:r>
            <w:r>
              <w:rPr>
                <w:rFonts w:ascii="Arial Narrow" w:hAnsi="Arial Narrow" w:cs="Open Sans"/>
                <w:color w:val="333333"/>
                <w:sz w:val="18"/>
                <w:szCs w:val="18"/>
              </w:rPr>
              <w:t>biological medicines have failed to provide the patient with an adequate response a treatment cycle is considered complete. There must be a</w:t>
            </w:r>
            <w:r w:rsidRPr="004812E7">
              <w:rPr>
                <w:rFonts w:ascii="Arial Narrow" w:hAnsi="Arial Narrow" w:cs="Open Sans"/>
                <w:color w:val="333333"/>
                <w:sz w:val="18"/>
                <w:szCs w:val="18"/>
              </w:rPr>
              <w:t xml:space="preserve"> 5-year break i</w:t>
            </w:r>
            <w:r w:rsidR="00E960DD">
              <w:rPr>
                <w:rFonts w:ascii="Arial Narrow" w:hAnsi="Arial Narrow" w:cs="Open Sans"/>
                <w:color w:val="333333"/>
                <w:sz w:val="18"/>
                <w:szCs w:val="18"/>
              </w:rPr>
              <w:t>n PBS-subsidised therapy before</w:t>
            </w:r>
            <w:r w:rsidRPr="004812E7">
              <w:rPr>
                <w:rFonts w:ascii="Arial Narrow" w:hAnsi="Arial Narrow" w:cs="Open Sans"/>
                <w:color w:val="333333"/>
                <w:sz w:val="18"/>
                <w:szCs w:val="18"/>
              </w:rPr>
              <w:t xml:space="preserve"> </w:t>
            </w:r>
            <w:r>
              <w:rPr>
                <w:rFonts w:ascii="Arial Narrow" w:hAnsi="Arial Narrow" w:cs="Open Sans"/>
                <w:color w:val="333333"/>
                <w:sz w:val="18"/>
                <w:szCs w:val="18"/>
              </w:rPr>
              <w:t>starting the</w:t>
            </w:r>
            <w:r w:rsidRPr="004812E7">
              <w:rPr>
                <w:rFonts w:ascii="Arial Narrow" w:hAnsi="Arial Narrow" w:cs="Open Sans"/>
                <w:color w:val="333333"/>
                <w:sz w:val="18"/>
                <w:szCs w:val="18"/>
              </w:rPr>
              <w:t xml:space="preserve"> next cycle. The 5-year break is measured from the date of the last approval for PBS-subsidised biological medicine treatment in the most recent cycle to the date of the first application for initial treatment with a PBS-subsidised biological medicine under the new treatment cycle.</w:t>
            </w:r>
          </w:p>
          <w:p w14:paraId="4A67B3AC"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0764BBEF"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Pr>
                <w:rFonts w:ascii="Arial Narrow" w:hAnsi="Arial Narrow" w:cs="Open Sans"/>
                <w:color w:val="333333"/>
                <w:sz w:val="18"/>
                <w:szCs w:val="18"/>
              </w:rPr>
              <w:t>A s</w:t>
            </w:r>
            <w:r w:rsidRPr="004812E7">
              <w:rPr>
                <w:rFonts w:ascii="Arial Narrow" w:hAnsi="Arial Narrow" w:cs="Open Sans"/>
                <w:color w:val="333333"/>
                <w:sz w:val="18"/>
                <w:szCs w:val="18"/>
              </w:rPr>
              <w:t>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17FED72F" w14:textId="62DC7621"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2691F666"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Pr>
                <w:rFonts w:ascii="Arial Narrow" w:hAnsi="Arial Narrow" w:cs="Open Sans"/>
                <w:color w:val="333333"/>
                <w:sz w:val="18"/>
                <w:szCs w:val="18"/>
              </w:rPr>
              <w:t>Selecting the correct</w:t>
            </w:r>
            <w:r w:rsidRPr="004812E7">
              <w:rPr>
                <w:rFonts w:ascii="Arial Narrow" w:hAnsi="Arial Narrow" w:cs="Open Sans"/>
                <w:color w:val="333333"/>
                <w:sz w:val="18"/>
                <w:szCs w:val="18"/>
              </w:rPr>
              <w:t xml:space="preserve"> treatment </w:t>
            </w:r>
            <w:r>
              <w:rPr>
                <w:rFonts w:ascii="Arial Narrow" w:hAnsi="Arial Narrow" w:cs="Open Sans"/>
                <w:color w:val="333333"/>
                <w:sz w:val="18"/>
                <w:szCs w:val="18"/>
              </w:rPr>
              <w:t>phase listing to seek the authority application:</w:t>
            </w:r>
          </w:p>
          <w:p w14:paraId="48A6761B"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350DB57D"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(1) Initial treatment.</w:t>
            </w:r>
          </w:p>
          <w:p w14:paraId="69F8416B"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Pr>
                <w:rFonts w:ascii="Arial Narrow" w:hAnsi="Arial Narrow" w:cs="Open Sans"/>
                <w:color w:val="333333"/>
                <w:sz w:val="18"/>
                <w:szCs w:val="18"/>
              </w:rPr>
              <w:t xml:space="preserve">Apply under an initial 1 treatment listing where the patient has never received a biological medicine. </w:t>
            </w:r>
          </w:p>
          <w:p w14:paraId="73F28ADF"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3AC68785"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(2) Continuing treatment.</w:t>
            </w:r>
          </w:p>
          <w:p w14:paraId="6D49D28E"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Pr>
                <w:rFonts w:ascii="Arial Narrow" w:hAnsi="Arial Narrow" w:cs="Open Sans"/>
                <w:color w:val="333333"/>
                <w:sz w:val="18"/>
                <w:szCs w:val="18"/>
              </w:rPr>
              <w:t xml:space="preserve">Under no circumstance is continuing treatment to proceed initial treatment. An authority application for continuing treatment is not to be made on the same day as initial treatment. </w:t>
            </w:r>
          </w:p>
          <w:p w14:paraId="441F783D"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0654904F"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 xml:space="preserve">(3) </w:t>
            </w:r>
            <w:r>
              <w:rPr>
                <w:rFonts w:ascii="Arial Narrow" w:hAnsi="Arial Narrow" w:cs="Open Sans"/>
                <w:color w:val="333333"/>
                <w:sz w:val="18"/>
                <w:szCs w:val="18"/>
              </w:rPr>
              <w:t>Changing</w:t>
            </w:r>
            <w:r w:rsidRPr="004812E7">
              <w:rPr>
                <w:rFonts w:ascii="Arial Narrow" w:hAnsi="Arial Narrow" w:cs="Open Sans"/>
                <w:color w:val="333333"/>
                <w:sz w:val="18"/>
                <w:szCs w:val="18"/>
              </w:rPr>
              <w:t xml:space="preserve"> therapy.</w:t>
            </w:r>
          </w:p>
          <w:p w14:paraId="7530D97F" w14:textId="77777777" w:rsidR="009D30A1" w:rsidRDefault="009D30A1" w:rsidP="009D30A1">
            <w:pPr>
              <w:pStyle w:val="NormalWeb"/>
              <w:shd w:val="clear" w:color="auto" w:fill="FFFFFF"/>
              <w:spacing w:before="0" w:after="0"/>
              <w:textAlignment w:val="baseline"/>
              <w:rPr>
                <w:rFonts w:ascii="Arial Narrow" w:hAnsi="Arial Narrow" w:cs="Open Sans"/>
                <w:color w:val="333333"/>
                <w:sz w:val="18"/>
                <w:szCs w:val="18"/>
              </w:rPr>
            </w:pPr>
            <w:r>
              <w:rPr>
                <w:rFonts w:ascii="Arial Narrow" w:hAnsi="Arial Narrow" w:cs="Open Sans"/>
                <w:color w:val="333333"/>
                <w:sz w:val="18"/>
                <w:szCs w:val="18"/>
              </w:rPr>
              <w:t>Apply under an initial 2 treatment listing. T</w:t>
            </w:r>
            <w:r w:rsidRPr="004812E7">
              <w:rPr>
                <w:rFonts w:ascii="Arial Narrow" w:hAnsi="Arial Narrow" w:cs="Open Sans"/>
                <w:color w:val="333333"/>
                <w:sz w:val="18"/>
                <w:szCs w:val="18"/>
              </w:rPr>
              <w:t>he indices of disease severity (</w:t>
            </w:r>
            <w:proofErr w:type="gramStart"/>
            <w:r w:rsidRPr="004812E7">
              <w:rPr>
                <w:rFonts w:ascii="Arial Narrow" w:hAnsi="Arial Narrow" w:cs="Open Sans"/>
                <w:color w:val="333333"/>
                <w:sz w:val="18"/>
                <w:szCs w:val="18"/>
              </w:rPr>
              <w:t>i.e.</w:t>
            </w:r>
            <w:proofErr w:type="gramEnd"/>
            <w:r w:rsidRPr="004812E7">
              <w:rPr>
                <w:rFonts w:ascii="Arial Narrow" w:hAnsi="Arial Narrow" w:cs="Open Sans"/>
                <w:color w:val="333333"/>
                <w:sz w:val="18"/>
                <w:szCs w:val="18"/>
              </w:rPr>
              <w:t xml:space="preserve"> Mayo clinic score or partial Mayo clinic score), or the prior corticosteroid therapy and immunosuppressive therapy</w:t>
            </w:r>
            <w:r>
              <w:rPr>
                <w:rFonts w:ascii="Arial Narrow" w:hAnsi="Arial Narrow" w:cs="Open Sans"/>
                <w:color w:val="333333"/>
                <w:sz w:val="18"/>
                <w:szCs w:val="18"/>
              </w:rPr>
              <w:t xml:space="preserve"> will not need to be restated. </w:t>
            </w:r>
            <w:r w:rsidRPr="004812E7">
              <w:rPr>
                <w:rFonts w:ascii="Arial Narrow" w:hAnsi="Arial Narrow" w:cs="Open Sans"/>
                <w:color w:val="333333"/>
                <w:sz w:val="18"/>
                <w:szCs w:val="18"/>
              </w:rPr>
              <w:t xml:space="preserve">A patient may trial an alternate biological medicine treatment at any time, regardless of whether they are receiving therapy (initial or continuing) at the time of the application. However, they cannot </w:t>
            </w:r>
            <w:r>
              <w:rPr>
                <w:rFonts w:ascii="Arial Narrow" w:hAnsi="Arial Narrow" w:cs="Open Sans"/>
                <w:color w:val="333333"/>
                <w:sz w:val="18"/>
                <w:szCs w:val="18"/>
              </w:rPr>
              <w:t>change</w:t>
            </w:r>
            <w:r w:rsidRPr="004812E7">
              <w:rPr>
                <w:rFonts w:ascii="Arial Narrow" w:hAnsi="Arial Narrow" w:cs="Open Sans"/>
                <w:color w:val="333333"/>
                <w:sz w:val="18"/>
                <w:szCs w:val="18"/>
              </w:rPr>
              <w:t xml:space="preserve"> to a particular biological medicine if they have failed to respond to prior treatment with that drug once within the same treatment cycle.</w:t>
            </w:r>
            <w:r>
              <w:rPr>
                <w:rFonts w:ascii="Arial Narrow" w:hAnsi="Arial Narrow" w:cs="Open Sans"/>
                <w:color w:val="333333"/>
                <w:sz w:val="18"/>
                <w:szCs w:val="18"/>
              </w:rPr>
              <w:t xml:space="preserve"> A response assessment to the preceding supply of biological medicine must accompany this initial 2 treatment authority application. </w:t>
            </w:r>
          </w:p>
          <w:p w14:paraId="6E14E32E"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p>
          <w:p w14:paraId="325C5A44" w14:textId="77777777" w:rsidR="009D30A1" w:rsidRPr="004812E7" w:rsidRDefault="009D30A1" w:rsidP="009D30A1">
            <w:pPr>
              <w:pStyle w:val="NormalWeb"/>
              <w:shd w:val="clear" w:color="auto" w:fill="FFFFFF"/>
              <w:spacing w:before="0" w:after="0"/>
              <w:textAlignment w:val="baseline"/>
              <w:rPr>
                <w:rFonts w:ascii="Arial Narrow" w:hAnsi="Arial Narrow" w:cs="Open Sans"/>
                <w:color w:val="333333"/>
                <w:sz w:val="18"/>
                <w:szCs w:val="18"/>
              </w:rPr>
            </w:pPr>
            <w:r w:rsidRPr="004812E7">
              <w:rPr>
                <w:rFonts w:ascii="Arial Narrow" w:hAnsi="Arial Narrow" w:cs="Open Sans"/>
                <w:color w:val="333333"/>
                <w:sz w:val="18"/>
                <w:szCs w:val="18"/>
              </w:rPr>
              <w:t>(4) Recommencement of treatment after a 5-year break in PBS-subsidised therapy.</w:t>
            </w:r>
          </w:p>
          <w:p w14:paraId="1BFFB49A" w14:textId="77777777" w:rsidR="009D30A1" w:rsidRDefault="009D30A1" w:rsidP="009D30A1">
            <w:pPr>
              <w:pStyle w:val="NormalWeb"/>
              <w:shd w:val="clear" w:color="auto" w:fill="FFFFFF"/>
              <w:spacing w:before="0" w:after="0"/>
              <w:textAlignment w:val="baseline"/>
              <w:rPr>
                <w:rFonts w:ascii="Arial Narrow" w:hAnsi="Arial Narrow"/>
                <w:sz w:val="18"/>
                <w:szCs w:val="18"/>
              </w:rPr>
            </w:pPr>
            <w:r w:rsidRPr="00CD4848">
              <w:rPr>
                <w:rFonts w:ascii="Arial Narrow" w:hAnsi="Arial Narrow"/>
                <w:sz w:val="18"/>
                <w:szCs w:val="18"/>
              </w:rPr>
              <w:lastRenderedPageBreak/>
              <w:t xml:space="preserve">Apply under initial 3 treatment listing. </w:t>
            </w:r>
            <w:r>
              <w:rPr>
                <w:rFonts w:ascii="Arial Narrow" w:hAnsi="Arial Narrow"/>
                <w:sz w:val="18"/>
                <w:szCs w:val="18"/>
              </w:rPr>
              <w:t>Prior corticosteroid and immunosuppressive therapies need not be re-trialled.</w:t>
            </w:r>
          </w:p>
          <w:p w14:paraId="3BC03FE1" w14:textId="77777777" w:rsidR="009D30A1" w:rsidRDefault="009D30A1" w:rsidP="009D30A1">
            <w:pPr>
              <w:pStyle w:val="NormalWeb"/>
              <w:shd w:val="clear" w:color="auto" w:fill="FFFFFF"/>
              <w:spacing w:before="0" w:after="0"/>
              <w:textAlignment w:val="baseline"/>
              <w:rPr>
                <w:rFonts w:ascii="Arial Narrow" w:hAnsi="Arial Narrow"/>
                <w:sz w:val="18"/>
                <w:szCs w:val="18"/>
              </w:rPr>
            </w:pPr>
          </w:p>
          <w:p w14:paraId="595F5C99" w14:textId="77777777" w:rsidR="009D30A1" w:rsidRDefault="009D30A1" w:rsidP="009D30A1">
            <w:pPr>
              <w:pStyle w:val="NormalWeb"/>
              <w:shd w:val="clear" w:color="auto" w:fill="FFFFFF"/>
              <w:spacing w:before="0" w:after="0"/>
              <w:textAlignment w:val="baseline"/>
              <w:rPr>
                <w:rFonts w:ascii="Arial Narrow" w:hAnsi="Arial Narrow"/>
                <w:sz w:val="18"/>
                <w:szCs w:val="18"/>
              </w:rPr>
            </w:pPr>
            <w:r>
              <w:rPr>
                <w:rFonts w:ascii="Arial Narrow" w:hAnsi="Arial Narrow"/>
                <w:sz w:val="18"/>
                <w:szCs w:val="18"/>
              </w:rPr>
              <w:t>(5) Balance of supply.</w:t>
            </w:r>
          </w:p>
          <w:p w14:paraId="3A704CD3" w14:textId="77777777" w:rsidR="009D30A1" w:rsidRDefault="009D30A1" w:rsidP="009D30A1">
            <w:pPr>
              <w:pStyle w:val="NormalWeb"/>
              <w:shd w:val="clear" w:color="auto" w:fill="FFFFFF"/>
              <w:spacing w:before="0" w:after="0"/>
              <w:textAlignment w:val="baseline"/>
              <w:rPr>
                <w:rFonts w:ascii="Arial Narrow" w:hAnsi="Arial Narrow"/>
                <w:sz w:val="18"/>
                <w:szCs w:val="18"/>
              </w:rPr>
            </w:pPr>
            <w:r>
              <w:rPr>
                <w:rFonts w:ascii="Arial Narrow" w:hAnsi="Arial Narrow"/>
                <w:sz w:val="18"/>
                <w:szCs w:val="18"/>
              </w:rPr>
              <w:t xml:space="preserve">Where the full number of repeat prescriptions have not been requested under any initial or continuing listing, apply for the balance of the supply of the repeats under any treatment phase listing containing the words “balance of supply”. </w:t>
            </w:r>
          </w:p>
          <w:p w14:paraId="013FFC12" w14:textId="77777777" w:rsidR="009D30A1" w:rsidRPr="00CD4848" w:rsidRDefault="009D30A1" w:rsidP="009D30A1">
            <w:pPr>
              <w:pStyle w:val="NormalWeb"/>
              <w:shd w:val="clear" w:color="auto" w:fill="FFFFFF"/>
              <w:spacing w:before="0" w:after="0"/>
              <w:textAlignment w:val="baseline"/>
              <w:rPr>
                <w:rFonts w:ascii="Arial Narrow" w:hAnsi="Arial Narrow"/>
                <w:sz w:val="18"/>
                <w:szCs w:val="18"/>
              </w:rPr>
            </w:pPr>
            <w:r>
              <w:rPr>
                <w:rFonts w:ascii="Arial Narrow" w:hAnsi="Arial Narrow"/>
                <w:sz w:val="18"/>
                <w:szCs w:val="18"/>
              </w:rPr>
              <w:t xml:space="preserve"> </w:t>
            </w:r>
          </w:p>
        </w:tc>
      </w:tr>
    </w:tbl>
    <w:p w14:paraId="729CD172" w14:textId="77777777" w:rsidR="009D30A1" w:rsidRDefault="009D30A1" w:rsidP="009D30A1"/>
    <w:p w14:paraId="2F88DA45" w14:textId="19FCE60D" w:rsidR="0048614E" w:rsidRPr="009A0E7B" w:rsidRDefault="00A83B31" w:rsidP="0048614E">
      <w:r w:rsidRPr="00C56135">
        <w:rPr>
          <w:rFonts w:asciiTheme="minorHAnsi" w:hAnsiTheme="minorHAnsi"/>
          <w:b/>
          <w:i/>
          <w:szCs w:val="22"/>
        </w:rPr>
        <w:t>This restriction may be subject to further review. Should there be any changes made to the restriction the sponsor will be informed</w:t>
      </w:r>
      <w:r w:rsidRPr="00C56135">
        <w:rPr>
          <w:rFonts w:asciiTheme="minorHAnsi" w:hAnsiTheme="minorHAnsi"/>
          <w:b/>
          <w:szCs w:val="22"/>
        </w:rPr>
        <w:t>.</w:t>
      </w:r>
    </w:p>
    <w:p w14:paraId="4EA32CB5" w14:textId="4E87E865" w:rsidR="007260F5" w:rsidRDefault="007260F5" w:rsidP="003A0DE4">
      <w:pPr>
        <w:pStyle w:val="NoSpacing"/>
        <w:rPr>
          <w:lang w:val="en-GB"/>
        </w:rPr>
      </w:pPr>
    </w:p>
    <w:p w14:paraId="5015C6FD" w14:textId="77777777" w:rsidR="0098274C" w:rsidRDefault="0098274C" w:rsidP="0098274C">
      <w:pPr>
        <w:pStyle w:val="2-SectionHeading"/>
        <w:outlineLvl w:val="1"/>
        <w:rPr>
          <w:bCs/>
          <w:lang w:val="en-GB"/>
        </w:rPr>
      </w:pPr>
      <w:bookmarkStart w:id="52" w:name="_Hlk102658826"/>
      <w:r w:rsidRPr="00BB6824">
        <w:rPr>
          <w:bCs/>
          <w:lang w:val="en-GB"/>
        </w:rPr>
        <w:t>Context for Decision</w:t>
      </w:r>
    </w:p>
    <w:p w14:paraId="6E7FC407" w14:textId="77777777" w:rsidR="0098274C" w:rsidRPr="007129F2" w:rsidRDefault="0098274C" w:rsidP="0098274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69044DE" w14:textId="77777777" w:rsidR="0098274C" w:rsidRPr="00BB6824" w:rsidRDefault="0098274C" w:rsidP="0098274C">
      <w:pPr>
        <w:pStyle w:val="2-SectionHeading"/>
        <w:outlineLvl w:val="1"/>
        <w:rPr>
          <w:bCs/>
          <w:lang w:val="en-GB"/>
        </w:rPr>
      </w:pPr>
      <w:bookmarkStart w:id="53" w:name="_Hlk102733998"/>
      <w:r w:rsidRPr="00BB6824">
        <w:rPr>
          <w:bCs/>
          <w:lang w:val="en-GB"/>
        </w:rPr>
        <w:t>Sponsor’s Comment</w:t>
      </w:r>
    </w:p>
    <w:p w14:paraId="678BE590" w14:textId="77777777" w:rsidR="0098274C" w:rsidRPr="001179AC" w:rsidRDefault="0098274C" w:rsidP="0098274C">
      <w:pPr>
        <w:spacing w:after="120"/>
        <w:ind w:firstLine="720"/>
        <w:rPr>
          <w:rFonts w:asciiTheme="minorHAnsi" w:hAnsiTheme="minorHAnsi"/>
          <w:bCs/>
        </w:rPr>
      </w:pPr>
      <w:r w:rsidRPr="00C07617">
        <w:rPr>
          <w:rFonts w:asciiTheme="minorHAnsi" w:hAnsiTheme="minorHAnsi"/>
          <w:bCs/>
        </w:rPr>
        <w:t>The sponsor had no comment.</w:t>
      </w:r>
    </w:p>
    <w:bookmarkEnd w:id="52"/>
    <w:bookmarkEnd w:id="53"/>
    <w:p w14:paraId="6D2C1B07" w14:textId="77777777" w:rsidR="0098274C" w:rsidRPr="007260F5" w:rsidRDefault="0098274C" w:rsidP="007260F5">
      <w:pPr>
        <w:rPr>
          <w:lang w:val="en-GB" w:eastAsia="en-US"/>
        </w:rPr>
      </w:pPr>
    </w:p>
    <w:sectPr w:rsidR="0098274C" w:rsidRPr="007260F5" w:rsidSect="0078484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FCEA6" w14:textId="77777777" w:rsidR="00EF2AD0" w:rsidRDefault="00EF2AD0" w:rsidP="00124A51">
      <w:r>
        <w:separator/>
      </w:r>
    </w:p>
    <w:p w14:paraId="18C771F3" w14:textId="77777777" w:rsidR="00EF2AD0" w:rsidRDefault="00EF2AD0"/>
  </w:endnote>
  <w:endnote w:type="continuationSeparator" w:id="0">
    <w:p w14:paraId="4BB258FD" w14:textId="77777777" w:rsidR="00EF2AD0" w:rsidRDefault="00EF2AD0" w:rsidP="00124A51">
      <w:r>
        <w:continuationSeparator/>
      </w:r>
    </w:p>
    <w:p w14:paraId="140CB29C" w14:textId="77777777" w:rsidR="00EF2AD0" w:rsidRDefault="00EF2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9070000" w:usb2="00000010" w:usb3="00000000" w:csb0="000A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CC54" w14:textId="77777777" w:rsidR="00B77D4B" w:rsidRDefault="00B77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7C7E" w14:textId="7AC9626B" w:rsidR="0036016B" w:rsidRDefault="0036016B">
    <w:pPr>
      <w:pStyle w:val="Footer"/>
    </w:pPr>
  </w:p>
  <w:bookmarkStart w:id="55" w:name="_Hlk76375156"/>
  <w:p w14:paraId="1AD1ABFE" w14:textId="64BB0A96" w:rsidR="0036016B" w:rsidRPr="003A0DE4" w:rsidRDefault="0036016B" w:rsidP="003A0DE4">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noProof/>
      </w:rPr>
      <w:t>40</w:t>
    </w:r>
    <w:r w:rsidRPr="00836F75">
      <w:rPr>
        <w:b/>
        <w:noProof/>
      </w:rPr>
      <w:fldChar w:fldCharType="end"/>
    </w:r>
    <w:r>
      <w:rPr>
        <w:b/>
        <w:noProof/>
      </w:rPr>
      <w:t xml:space="preserve"> </w:t>
    </w:r>
    <w:bookmarkEnd w:id="5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4A7D" w14:textId="77777777" w:rsidR="00B77D4B" w:rsidRDefault="00B7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7124F" w14:textId="77777777" w:rsidR="00EF2AD0" w:rsidRDefault="00EF2AD0">
      <w:r>
        <w:separator/>
      </w:r>
    </w:p>
  </w:footnote>
  <w:footnote w:type="continuationSeparator" w:id="0">
    <w:p w14:paraId="34635278" w14:textId="77777777" w:rsidR="00EF2AD0" w:rsidRDefault="00EF2AD0" w:rsidP="00124A51">
      <w:r>
        <w:continuationSeparator/>
      </w:r>
    </w:p>
    <w:p w14:paraId="615F940B" w14:textId="77777777" w:rsidR="00EF2AD0" w:rsidRDefault="00EF2AD0"/>
  </w:footnote>
  <w:footnote w:id="1">
    <w:p w14:paraId="4301A3D0" w14:textId="77777777" w:rsidR="0036016B" w:rsidRDefault="0036016B" w:rsidP="007D46F6">
      <w:pPr>
        <w:pStyle w:val="FootnoteText"/>
      </w:pPr>
      <w:r>
        <w:rPr>
          <w:rStyle w:val="FootnoteReference"/>
        </w:rPr>
        <w:footnoteRef/>
      </w:r>
      <w:r>
        <w:t xml:space="preserve"> Anti-TNF therapy includes IFX, ADA and GOL.</w:t>
      </w:r>
    </w:p>
  </w:footnote>
  <w:footnote w:id="2">
    <w:p w14:paraId="530567C1" w14:textId="77777777" w:rsidR="0036016B" w:rsidRPr="00E10FE4" w:rsidRDefault="0036016B" w:rsidP="00856A9A">
      <w:pPr>
        <w:pStyle w:val="FootnoteText"/>
        <w:rPr>
          <w:lang w:val="en-US"/>
        </w:rPr>
      </w:pPr>
      <w:r>
        <w:rPr>
          <w:rStyle w:val="FootnoteReference"/>
        </w:rPr>
        <w:footnoteRef/>
      </w:r>
      <w:r>
        <w:t xml:space="preserve"> </w:t>
      </w:r>
      <w:r>
        <w:rPr>
          <w:lang w:val="en-US"/>
        </w:rPr>
        <w:t xml:space="preserve">Sandborn, W. J. et. Al., </w:t>
      </w:r>
      <w:r w:rsidRPr="00E10FE4">
        <w:rPr>
          <w:lang w:val="en-US"/>
        </w:rPr>
        <w:t>Tofacitinib, an Oral Janus Kinase Inhibitor, in Active Ulcerative Colitis</w:t>
      </w:r>
      <w:r>
        <w:rPr>
          <w:lang w:val="en-US"/>
        </w:rPr>
        <w:t xml:space="preserve">. The New England Journal of Medicine. 2012; </w:t>
      </w:r>
      <w:r w:rsidRPr="00A36037">
        <w:rPr>
          <w:lang w:val="en-US"/>
        </w:rPr>
        <w:t>367:616-624</w:t>
      </w:r>
      <w:r>
        <w:rPr>
          <w:lang w:val="en-US"/>
        </w:rPr>
        <w:t>.</w:t>
      </w:r>
    </w:p>
  </w:footnote>
  <w:footnote w:id="3">
    <w:p w14:paraId="0E764FD9" w14:textId="6CB01B8C" w:rsidR="0036016B" w:rsidRPr="00956FDD" w:rsidRDefault="0036016B">
      <w:pPr>
        <w:pStyle w:val="FootnoteText"/>
        <w:rPr>
          <w:lang w:val="en-US"/>
        </w:rPr>
      </w:pPr>
      <w:r>
        <w:rPr>
          <w:rStyle w:val="FootnoteReference"/>
        </w:rPr>
        <w:footnoteRef/>
      </w:r>
      <w:r>
        <w:t xml:space="preserve"> </w:t>
      </w:r>
      <w:r w:rsidRPr="00956FDD">
        <w:t>Yarur, A. J.</w:t>
      </w:r>
      <w:r>
        <w:t xml:space="preserve"> et. al.</w:t>
      </w:r>
      <w:r w:rsidRPr="00956FDD">
        <w:t xml:space="preserve"> Predictors of aggressive inflammatory bowel disease. Gastroenterology &amp; hepatology</w:t>
      </w:r>
      <w:r>
        <w:rPr>
          <w:i/>
          <w:iCs/>
        </w:rPr>
        <w:t>.</w:t>
      </w:r>
      <w:r w:rsidRPr="00956FDD">
        <w:t xml:space="preserve"> </w:t>
      </w:r>
      <w:r>
        <w:t xml:space="preserve">2011; </w:t>
      </w:r>
      <w:r w:rsidRPr="00956FDD">
        <w:t>7(10), 652–659.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E8E2" w14:textId="77777777" w:rsidR="00B77D4B" w:rsidRDefault="00B77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3E80" w14:textId="31BBF2FF" w:rsidR="0036016B" w:rsidRPr="00056684" w:rsidRDefault="0036016B" w:rsidP="003A0DE4">
    <w:pPr>
      <w:pStyle w:val="Header"/>
      <w:ind w:left="360"/>
      <w:rPr>
        <w:rFonts w:asciiTheme="minorHAnsi" w:hAnsiTheme="minorHAnsi"/>
        <w:i/>
        <w:color w:val="808080"/>
      </w:rPr>
    </w:pPr>
    <w:bookmarkStart w:id="54" w:name="_Hlk76375146"/>
    <w:r>
      <w:rPr>
        <w:rFonts w:asciiTheme="minorHAnsi" w:hAnsiTheme="minorHAnsi"/>
        <w:i/>
        <w:color w:val="808080"/>
      </w:rPr>
      <w:t xml:space="preserve">Public Summary Document </w:t>
    </w:r>
    <w:r w:rsidRPr="00056684">
      <w:rPr>
        <w:rFonts w:asciiTheme="minorHAnsi" w:hAnsiTheme="minorHAnsi"/>
        <w:i/>
        <w:color w:val="808080"/>
      </w:rPr>
      <w:t>–</w:t>
    </w:r>
    <w:r>
      <w:rPr>
        <w:rFonts w:asciiTheme="minorHAnsi" w:hAnsiTheme="minorHAnsi"/>
        <w:i/>
        <w:color w:val="808080"/>
      </w:rPr>
      <w:t xml:space="preserve"> March 2022</w:t>
    </w:r>
    <w:r w:rsidRPr="00056684">
      <w:rPr>
        <w:rFonts w:asciiTheme="minorHAnsi" w:hAnsiTheme="minorHAnsi"/>
        <w:i/>
        <w:color w:val="808080"/>
      </w:rPr>
      <w:t xml:space="preserve"> PBAC Meeting</w:t>
    </w:r>
  </w:p>
  <w:bookmarkEnd w:id="54"/>
  <w:p w14:paraId="557D3759" w14:textId="17B9F7F5" w:rsidR="0036016B" w:rsidRDefault="003601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4EDE" w14:textId="77777777" w:rsidR="00B77D4B" w:rsidRDefault="00B77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1094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0001"/>
    <w:multiLevelType w:val="hybridMultilevel"/>
    <w:tmpl w:val="AB822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43B7D"/>
    <w:multiLevelType w:val="hybridMultilevel"/>
    <w:tmpl w:val="3B140150"/>
    <w:lvl w:ilvl="0" w:tplc="C5C80AD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7499"/>
    <w:multiLevelType w:val="hybridMultilevel"/>
    <w:tmpl w:val="0652D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B219F8"/>
    <w:multiLevelType w:val="hybridMultilevel"/>
    <w:tmpl w:val="5CD60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6274A"/>
    <w:multiLevelType w:val="hybridMultilevel"/>
    <w:tmpl w:val="F1DC1B22"/>
    <w:lvl w:ilvl="0" w:tplc="5A04D296">
      <w:start w:val="1"/>
      <w:numFmt w:val="decimal"/>
      <w:lvlText w:val="%1."/>
      <w:lvlJc w:val="left"/>
      <w:pPr>
        <w:ind w:left="1778" w:hanging="360"/>
      </w:pPr>
      <w:rPr>
        <w:rFonts w:hint="default"/>
        <w:b w:val="0"/>
        <w:bCs/>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923C3C"/>
    <w:multiLevelType w:val="hybridMultilevel"/>
    <w:tmpl w:val="EE5CCA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A5C1AAE"/>
    <w:multiLevelType w:val="hybridMultilevel"/>
    <w:tmpl w:val="5396026E"/>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8" w15:restartNumberingAfterBreak="0">
    <w:nsid w:val="3FAD01D7"/>
    <w:multiLevelType w:val="hybridMultilevel"/>
    <w:tmpl w:val="8588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C8400DA"/>
    <w:multiLevelType w:val="hybridMultilevel"/>
    <w:tmpl w:val="A042A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3AA2A1D"/>
    <w:multiLevelType w:val="hybridMultilevel"/>
    <w:tmpl w:val="F6F0D6C0"/>
    <w:lvl w:ilvl="0" w:tplc="B464DD0E">
      <w:start w:val="2"/>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0F6BED"/>
    <w:multiLevelType w:val="hybridMultilevel"/>
    <w:tmpl w:val="7A767E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4B51C26"/>
    <w:multiLevelType w:val="hybridMultilevel"/>
    <w:tmpl w:val="4D925E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6381817"/>
    <w:multiLevelType w:val="hybridMultilevel"/>
    <w:tmpl w:val="ABDC8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CA5DC4"/>
    <w:multiLevelType w:val="hybridMultilevel"/>
    <w:tmpl w:val="5A3AEBEE"/>
    <w:lvl w:ilvl="0" w:tplc="2E70CC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44491C"/>
    <w:multiLevelType w:val="hybridMultilevel"/>
    <w:tmpl w:val="E078D9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10"/>
  </w:num>
  <w:num w:numId="4">
    <w:abstractNumId w:val="0"/>
  </w:num>
  <w:num w:numId="5">
    <w:abstractNumId w:val="4"/>
  </w:num>
  <w:num w:numId="6">
    <w:abstractNumId w:val="16"/>
  </w:num>
  <w:num w:numId="7">
    <w:abstractNumId w:val="7"/>
  </w:num>
  <w:num w:numId="8">
    <w:abstractNumId w:val="2"/>
  </w:num>
  <w:num w:numId="9">
    <w:abstractNumId w:val="12"/>
  </w:num>
  <w:num w:numId="10">
    <w:abstractNumId w:val="15"/>
  </w:num>
  <w:num w:numId="11">
    <w:abstractNumId w:val="6"/>
  </w:num>
  <w:num w:numId="12">
    <w:abstractNumId w:val="5"/>
  </w:num>
  <w:num w:numId="13">
    <w:abstractNumId w:val="8"/>
  </w:num>
  <w:num w:numId="14">
    <w:abstractNumId w:val="11"/>
  </w:num>
  <w:num w:numId="15">
    <w:abstractNumId w:val="19"/>
  </w:num>
  <w:num w:numId="16">
    <w:abstractNumId w:val="14"/>
  </w:num>
  <w:num w:numId="17">
    <w:abstractNumId w:val="3"/>
  </w:num>
  <w:num w:numId="18">
    <w:abstractNumId w:val="1"/>
  </w:num>
  <w:num w:numId="19">
    <w:abstractNumId w:val="17"/>
  </w:num>
  <w:num w:numId="20">
    <w:abstractNumId w:val="17"/>
  </w:num>
  <w:num w:numId="21">
    <w:abstractNumId w:val="13"/>
  </w:num>
  <w:num w:numId="22">
    <w:abstractNumId w:val="18"/>
  </w:num>
  <w:num w:numId="2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svweaa00tep9e9p0vxvvdvrrdww0dxd2a2&quot;&gt;Ozanimod&lt;record-ids&gt;&lt;item&gt;1&lt;/item&gt;&lt;item&gt;2&lt;/item&gt;&lt;item&gt;4&lt;/item&gt;&lt;item&gt;5&lt;/item&gt;&lt;item&gt;6&lt;/item&gt;&lt;item&gt;7&lt;/item&gt;&lt;item&gt;8&lt;/item&gt;&lt;item&gt;9&lt;/item&gt;&lt;item&gt;10&lt;/item&gt;&lt;item&gt;12&lt;/item&gt;&lt;item&gt;13&lt;/item&gt;&lt;item&gt;14&lt;/item&gt;&lt;item&gt;15&lt;/item&gt;&lt;item&gt;16&lt;/item&gt;&lt;item&gt;17&lt;/item&gt;&lt;item&gt;18&lt;/item&gt;&lt;/record-ids&gt;&lt;/item&gt;&lt;/Libraries&gt;"/>
  </w:docVars>
  <w:rsids>
    <w:rsidRoot w:val="00E65E79"/>
    <w:rsid w:val="00000790"/>
    <w:rsid w:val="0000110B"/>
    <w:rsid w:val="000013DC"/>
    <w:rsid w:val="00003278"/>
    <w:rsid w:val="00003499"/>
    <w:rsid w:val="000039B7"/>
    <w:rsid w:val="0000639A"/>
    <w:rsid w:val="00007BC6"/>
    <w:rsid w:val="0001059F"/>
    <w:rsid w:val="0001093B"/>
    <w:rsid w:val="00011128"/>
    <w:rsid w:val="00011483"/>
    <w:rsid w:val="00012934"/>
    <w:rsid w:val="00012D82"/>
    <w:rsid w:val="00013247"/>
    <w:rsid w:val="0001431C"/>
    <w:rsid w:val="00015656"/>
    <w:rsid w:val="00015886"/>
    <w:rsid w:val="00015B2A"/>
    <w:rsid w:val="000162EF"/>
    <w:rsid w:val="00020511"/>
    <w:rsid w:val="000207C9"/>
    <w:rsid w:val="00020D0E"/>
    <w:rsid w:val="0002225F"/>
    <w:rsid w:val="0002236D"/>
    <w:rsid w:val="00023763"/>
    <w:rsid w:val="00026138"/>
    <w:rsid w:val="000266D7"/>
    <w:rsid w:val="000274B8"/>
    <w:rsid w:val="0003038B"/>
    <w:rsid w:val="000304B8"/>
    <w:rsid w:val="00030D14"/>
    <w:rsid w:val="00031F87"/>
    <w:rsid w:val="00032BE7"/>
    <w:rsid w:val="00033863"/>
    <w:rsid w:val="00035DC0"/>
    <w:rsid w:val="00036733"/>
    <w:rsid w:val="00036829"/>
    <w:rsid w:val="000372EF"/>
    <w:rsid w:val="00037A5E"/>
    <w:rsid w:val="00040330"/>
    <w:rsid w:val="00040895"/>
    <w:rsid w:val="00040D81"/>
    <w:rsid w:val="000412F7"/>
    <w:rsid w:val="000435EE"/>
    <w:rsid w:val="00043AE1"/>
    <w:rsid w:val="00043C37"/>
    <w:rsid w:val="00045017"/>
    <w:rsid w:val="00045A2B"/>
    <w:rsid w:val="00045A80"/>
    <w:rsid w:val="00045DF1"/>
    <w:rsid w:val="0004698F"/>
    <w:rsid w:val="00050149"/>
    <w:rsid w:val="00052A8C"/>
    <w:rsid w:val="00052CC1"/>
    <w:rsid w:val="00053824"/>
    <w:rsid w:val="000539D0"/>
    <w:rsid w:val="000540C2"/>
    <w:rsid w:val="00054621"/>
    <w:rsid w:val="000546D7"/>
    <w:rsid w:val="00054F9E"/>
    <w:rsid w:val="0005526A"/>
    <w:rsid w:val="00055E04"/>
    <w:rsid w:val="00056ECF"/>
    <w:rsid w:val="00056EEF"/>
    <w:rsid w:val="00056F53"/>
    <w:rsid w:val="0005759B"/>
    <w:rsid w:val="000604DF"/>
    <w:rsid w:val="00060926"/>
    <w:rsid w:val="00060B1A"/>
    <w:rsid w:val="000619D0"/>
    <w:rsid w:val="00061BBD"/>
    <w:rsid w:val="00062DA4"/>
    <w:rsid w:val="00063321"/>
    <w:rsid w:val="00064499"/>
    <w:rsid w:val="000645DC"/>
    <w:rsid w:val="00064B28"/>
    <w:rsid w:val="000653B5"/>
    <w:rsid w:val="00066360"/>
    <w:rsid w:val="00066AF8"/>
    <w:rsid w:val="00066D88"/>
    <w:rsid w:val="00071248"/>
    <w:rsid w:val="000720B9"/>
    <w:rsid w:val="0007250D"/>
    <w:rsid w:val="000737F7"/>
    <w:rsid w:val="0007506B"/>
    <w:rsid w:val="000765F6"/>
    <w:rsid w:val="00076633"/>
    <w:rsid w:val="0007672F"/>
    <w:rsid w:val="00076B54"/>
    <w:rsid w:val="000774F0"/>
    <w:rsid w:val="00077720"/>
    <w:rsid w:val="00080909"/>
    <w:rsid w:val="0008094B"/>
    <w:rsid w:val="00080D1E"/>
    <w:rsid w:val="00081070"/>
    <w:rsid w:val="000812CA"/>
    <w:rsid w:val="00081CDE"/>
    <w:rsid w:val="00081E63"/>
    <w:rsid w:val="0008258D"/>
    <w:rsid w:val="00082E31"/>
    <w:rsid w:val="00083554"/>
    <w:rsid w:val="00083622"/>
    <w:rsid w:val="00083AD0"/>
    <w:rsid w:val="00083B5E"/>
    <w:rsid w:val="00083E99"/>
    <w:rsid w:val="000845A8"/>
    <w:rsid w:val="00084638"/>
    <w:rsid w:val="00084FA8"/>
    <w:rsid w:val="000853C5"/>
    <w:rsid w:val="000856C5"/>
    <w:rsid w:val="00085C31"/>
    <w:rsid w:val="00086B83"/>
    <w:rsid w:val="000901F3"/>
    <w:rsid w:val="000902D9"/>
    <w:rsid w:val="00090ABE"/>
    <w:rsid w:val="00090B20"/>
    <w:rsid w:val="00090C7E"/>
    <w:rsid w:val="00090DDF"/>
    <w:rsid w:val="00091FFD"/>
    <w:rsid w:val="00092600"/>
    <w:rsid w:val="0009262B"/>
    <w:rsid w:val="00093310"/>
    <w:rsid w:val="000935D4"/>
    <w:rsid w:val="0009445C"/>
    <w:rsid w:val="0009452B"/>
    <w:rsid w:val="00095200"/>
    <w:rsid w:val="00095FE5"/>
    <w:rsid w:val="00096284"/>
    <w:rsid w:val="00096829"/>
    <w:rsid w:val="0009765E"/>
    <w:rsid w:val="000A1996"/>
    <w:rsid w:val="000A1BC0"/>
    <w:rsid w:val="000A2E00"/>
    <w:rsid w:val="000A3A68"/>
    <w:rsid w:val="000A3BDC"/>
    <w:rsid w:val="000A4DF4"/>
    <w:rsid w:val="000A5218"/>
    <w:rsid w:val="000A6039"/>
    <w:rsid w:val="000A7453"/>
    <w:rsid w:val="000A799D"/>
    <w:rsid w:val="000A7D08"/>
    <w:rsid w:val="000A7D14"/>
    <w:rsid w:val="000B0121"/>
    <w:rsid w:val="000B0670"/>
    <w:rsid w:val="000B0E75"/>
    <w:rsid w:val="000B1206"/>
    <w:rsid w:val="000B1A20"/>
    <w:rsid w:val="000B2DCB"/>
    <w:rsid w:val="000B3F7E"/>
    <w:rsid w:val="000B58F7"/>
    <w:rsid w:val="000B5A85"/>
    <w:rsid w:val="000B5CE0"/>
    <w:rsid w:val="000B673A"/>
    <w:rsid w:val="000B6CAC"/>
    <w:rsid w:val="000B7612"/>
    <w:rsid w:val="000B78AE"/>
    <w:rsid w:val="000C3658"/>
    <w:rsid w:val="000C3DF9"/>
    <w:rsid w:val="000C459B"/>
    <w:rsid w:val="000C4E35"/>
    <w:rsid w:val="000C6713"/>
    <w:rsid w:val="000D0C22"/>
    <w:rsid w:val="000D1BFC"/>
    <w:rsid w:val="000D1D5D"/>
    <w:rsid w:val="000D1FE7"/>
    <w:rsid w:val="000D281A"/>
    <w:rsid w:val="000D2848"/>
    <w:rsid w:val="000D326A"/>
    <w:rsid w:val="000D3930"/>
    <w:rsid w:val="000D51FB"/>
    <w:rsid w:val="000D7453"/>
    <w:rsid w:val="000E0073"/>
    <w:rsid w:val="000E0640"/>
    <w:rsid w:val="000E135D"/>
    <w:rsid w:val="000E17F0"/>
    <w:rsid w:val="000E25A6"/>
    <w:rsid w:val="000E32E6"/>
    <w:rsid w:val="000E3B99"/>
    <w:rsid w:val="000E4730"/>
    <w:rsid w:val="000E5083"/>
    <w:rsid w:val="000E5C59"/>
    <w:rsid w:val="000E6D46"/>
    <w:rsid w:val="000E7913"/>
    <w:rsid w:val="000E7BB0"/>
    <w:rsid w:val="000E7EC1"/>
    <w:rsid w:val="000F00BA"/>
    <w:rsid w:val="000F04D4"/>
    <w:rsid w:val="000F1077"/>
    <w:rsid w:val="000F284B"/>
    <w:rsid w:val="000F316A"/>
    <w:rsid w:val="000F3C74"/>
    <w:rsid w:val="000F47AC"/>
    <w:rsid w:val="000F4BB8"/>
    <w:rsid w:val="000F4FA9"/>
    <w:rsid w:val="000F5251"/>
    <w:rsid w:val="000F53FB"/>
    <w:rsid w:val="000F6EC4"/>
    <w:rsid w:val="000F7127"/>
    <w:rsid w:val="000F7AA5"/>
    <w:rsid w:val="000F7B54"/>
    <w:rsid w:val="00100F8A"/>
    <w:rsid w:val="0010315B"/>
    <w:rsid w:val="00103BA4"/>
    <w:rsid w:val="00104472"/>
    <w:rsid w:val="0010452E"/>
    <w:rsid w:val="00104551"/>
    <w:rsid w:val="0010467B"/>
    <w:rsid w:val="00105612"/>
    <w:rsid w:val="00105A3E"/>
    <w:rsid w:val="00105AE2"/>
    <w:rsid w:val="001060C6"/>
    <w:rsid w:val="0010659A"/>
    <w:rsid w:val="00106B80"/>
    <w:rsid w:val="0011032E"/>
    <w:rsid w:val="0011156F"/>
    <w:rsid w:val="00112272"/>
    <w:rsid w:val="0011348B"/>
    <w:rsid w:val="00114508"/>
    <w:rsid w:val="0011486A"/>
    <w:rsid w:val="00114EA6"/>
    <w:rsid w:val="00115982"/>
    <w:rsid w:val="00115C1A"/>
    <w:rsid w:val="00116171"/>
    <w:rsid w:val="00116255"/>
    <w:rsid w:val="00116C53"/>
    <w:rsid w:val="001216C9"/>
    <w:rsid w:val="00121799"/>
    <w:rsid w:val="001218DA"/>
    <w:rsid w:val="001222FC"/>
    <w:rsid w:val="00122867"/>
    <w:rsid w:val="001235C4"/>
    <w:rsid w:val="001238DC"/>
    <w:rsid w:val="00123902"/>
    <w:rsid w:val="0012475E"/>
    <w:rsid w:val="00124A51"/>
    <w:rsid w:val="00125171"/>
    <w:rsid w:val="00126043"/>
    <w:rsid w:val="00126621"/>
    <w:rsid w:val="00126B1D"/>
    <w:rsid w:val="00127DBF"/>
    <w:rsid w:val="001301E6"/>
    <w:rsid w:val="001301E9"/>
    <w:rsid w:val="00130D6C"/>
    <w:rsid w:val="00131D82"/>
    <w:rsid w:val="0013245D"/>
    <w:rsid w:val="00132B22"/>
    <w:rsid w:val="00133D36"/>
    <w:rsid w:val="001363F7"/>
    <w:rsid w:val="00136DFA"/>
    <w:rsid w:val="001370D2"/>
    <w:rsid w:val="00137645"/>
    <w:rsid w:val="00140054"/>
    <w:rsid w:val="0014015A"/>
    <w:rsid w:val="00140E99"/>
    <w:rsid w:val="00141088"/>
    <w:rsid w:val="001411F0"/>
    <w:rsid w:val="00141C75"/>
    <w:rsid w:val="00141E4B"/>
    <w:rsid w:val="00142769"/>
    <w:rsid w:val="00142F13"/>
    <w:rsid w:val="00143F67"/>
    <w:rsid w:val="00144002"/>
    <w:rsid w:val="0014481B"/>
    <w:rsid w:val="00145540"/>
    <w:rsid w:val="001456B0"/>
    <w:rsid w:val="0015132C"/>
    <w:rsid w:val="00151A1A"/>
    <w:rsid w:val="00153916"/>
    <w:rsid w:val="00154716"/>
    <w:rsid w:val="00156F8F"/>
    <w:rsid w:val="00157130"/>
    <w:rsid w:val="001576B1"/>
    <w:rsid w:val="0016047B"/>
    <w:rsid w:val="00160A4C"/>
    <w:rsid w:val="00160BE6"/>
    <w:rsid w:val="00161A70"/>
    <w:rsid w:val="001624F2"/>
    <w:rsid w:val="00162913"/>
    <w:rsid w:val="001633B3"/>
    <w:rsid w:val="00163403"/>
    <w:rsid w:val="00163EFF"/>
    <w:rsid w:val="00163F66"/>
    <w:rsid w:val="00163F8A"/>
    <w:rsid w:val="001641B1"/>
    <w:rsid w:val="0016432A"/>
    <w:rsid w:val="001661FB"/>
    <w:rsid w:val="001671A0"/>
    <w:rsid w:val="0016767F"/>
    <w:rsid w:val="0017097D"/>
    <w:rsid w:val="00170C51"/>
    <w:rsid w:val="00170DE5"/>
    <w:rsid w:val="001720FA"/>
    <w:rsid w:val="00173565"/>
    <w:rsid w:val="00173B07"/>
    <w:rsid w:val="00173CAE"/>
    <w:rsid w:val="00173F5B"/>
    <w:rsid w:val="001751FA"/>
    <w:rsid w:val="0017584E"/>
    <w:rsid w:val="00175FF3"/>
    <w:rsid w:val="00177401"/>
    <w:rsid w:val="001779D8"/>
    <w:rsid w:val="00177A31"/>
    <w:rsid w:val="00181D9C"/>
    <w:rsid w:val="00182B7B"/>
    <w:rsid w:val="00182E27"/>
    <w:rsid w:val="00183D77"/>
    <w:rsid w:val="00183F39"/>
    <w:rsid w:val="00184809"/>
    <w:rsid w:val="00184B0E"/>
    <w:rsid w:val="001859C7"/>
    <w:rsid w:val="00186C9D"/>
    <w:rsid w:val="0018752F"/>
    <w:rsid w:val="001879C1"/>
    <w:rsid w:val="00193838"/>
    <w:rsid w:val="00193D64"/>
    <w:rsid w:val="00194AD8"/>
    <w:rsid w:val="00195222"/>
    <w:rsid w:val="00196CDC"/>
    <w:rsid w:val="001975D8"/>
    <w:rsid w:val="001A178E"/>
    <w:rsid w:val="001A2E3C"/>
    <w:rsid w:val="001A3FE2"/>
    <w:rsid w:val="001A4244"/>
    <w:rsid w:val="001A43FA"/>
    <w:rsid w:val="001A47C5"/>
    <w:rsid w:val="001A59BF"/>
    <w:rsid w:val="001A59FB"/>
    <w:rsid w:val="001A5E9E"/>
    <w:rsid w:val="001A6354"/>
    <w:rsid w:val="001A6366"/>
    <w:rsid w:val="001A645B"/>
    <w:rsid w:val="001A7AE8"/>
    <w:rsid w:val="001A7B52"/>
    <w:rsid w:val="001A7E76"/>
    <w:rsid w:val="001B204E"/>
    <w:rsid w:val="001B2372"/>
    <w:rsid w:val="001B2749"/>
    <w:rsid w:val="001B2C72"/>
    <w:rsid w:val="001B2DA9"/>
    <w:rsid w:val="001B32C1"/>
    <w:rsid w:val="001B3443"/>
    <w:rsid w:val="001B4BD6"/>
    <w:rsid w:val="001B4C33"/>
    <w:rsid w:val="001B4D20"/>
    <w:rsid w:val="001B6297"/>
    <w:rsid w:val="001B72D2"/>
    <w:rsid w:val="001B7DDA"/>
    <w:rsid w:val="001B7F78"/>
    <w:rsid w:val="001C1797"/>
    <w:rsid w:val="001C253F"/>
    <w:rsid w:val="001C2912"/>
    <w:rsid w:val="001C2A9B"/>
    <w:rsid w:val="001C4169"/>
    <w:rsid w:val="001C4299"/>
    <w:rsid w:val="001C4874"/>
    <w:rsid w:val="001C487F"/>
    <w:rsid w:val="001C5F94"/>
    <w:rsid w:val="001C613E"/>
    <w:rsid w:val="001C6202"/>
    <w:rsid w:val="001C650D"/>
    <w:rsid w:val="001C6E66"/>
    <w:rsid w:val="001D1100"/>
    <w:rsid w:val="001D12DB"/>
    <w:rsid w:val="001D1391"/>
    <w:rsid w:val="001D1664"/>
    <w:rsid w:val="001D25D7"/>
    <w:rsid w:val="001D3E64"/>
    <w:rsid w:val="001D50B2"/>
    <w:rsid w:val="001D597F"/>
    <w:rsid w:val="001D6950"/>
    <w:rsid w:val="001D6C67"/>
    <w:rsid w:val="001D7645"/>
    <w:rsid w:val="001E0066"/>
    <w:rsid w:val="001E0662"/>
    <w:rsid w:val="001E0F81"/>
    <w:rsid w:val="001E1E86"/>
    <w:rsid w:val="001E238E"/>
    <w:rsid w:val="001E2483"/>
    <w:rsid w:val="001E24D8"/>
    <w:rsid w:val="001E27FA"/>
    <w:rsid w:val="001E2B1E"/>
    <w:rsid w:val="001E2CFF"/>
    <w:rsid w:val="001E2F24"/>
    <w:rsid w:val="001E306A"/>
    <w:rsid w:val="001E30D4"/>
    <w:rsid w:val="001E34DF"/>
    <w:rsid w:val="001E52EB"/>
    <w:rsid w:val="001E5721"/>
    <w:rsid w:val="001E6103"/>
    <w:rsid w:val="001E61D2"/>
    <w:rsid w:val="001E6208"/>
    <w:rsid w:val="001E6B62"/>
    <w:rsid w:val="001E740C"/>
    <w:rsid w:val="001E767D"/>
    <w:rsid w:val="001E7D8A"/>
    <w:rsid w:val="001F07CC"/>
    <w:rsid w:val="001F1235"/>
    <w:rsid w:val="001F1CB3"/>
    <w:rsid w:val="001F25B6"/>
    <w:rsid w:val="001F2C39"/>
    <w:rsid w:val="001F326E"/>
    <w:rsid w:val="001F38B5"/>
    <w:rsid w:val="001F4081"/>
    <w:rsid w:val="001F4A61"/>
    <w:rsid w:val="001F6C98"/>
    <w:rsid w:val="001F7361"/>
    <w:rsid w:val="001F7FF5"/>
    <w:rsid w:val="00200247"/>
    <w:rsid w:val="00200808"/>
    <w:rsid w:val="00200CDC"/>
    <w:rsid w:val="002011B0"/>
    <w:rsid w:val="00203181"/>
    <w:rsid w:val="00203783"/>
    <w:rsid w:val="0020385F"/>
    <w:rsid w:val="00203F90"/>
    <w:rsid w:val="002068A0"/>
    <w:rsid w:val="00207021"/>
    <w:rsid w:val="0020732F"/>
    <w:rsid w:val="00207D00"/>
    <w:rsid w:val="002105C1"/>
    <w:rsid w:val="00212584"/>
    <w:rsid w:val="00213AB2"/>
    <w:rsid w:val="00213EF5"/>
    <w:rsid w:val="00213F1E"/>
    <w:rsid w:val="00215645"/>
    <w:rsid w:val="00216BF5"/>
    <w:rsid w:val="00216FC1"/>
    <w:rsid w:val="00217463"/>
    <w:rsid w:val="0022189B"/>
    <w:rsid w:val="00222931"/>
    <w:rsid w:val="00222B4D"/>
    <w:rsid w:val="00223B49"/>
    <w:rsid w:val="00223B8D"/>
    <w:rsid w:val="00223D5A"/>
    <w:rsid w:val="00224505"/>
    <w:rsid w:val="00224DD4"/>
    <w:rsid w:val="0022504A"/>
    <w:rsid w:val="002269CC"/>
    <w:rsid w:val="00227137"/>
    <w:rsid w:val="002278A0"/>
    <w:rsid w:val="00230327"/>
    <w:rsid w:val="002309CC"/>
    <w:rsid w:val="00231DF2"/>
    <w:rsid w:val="00231E87"/>
    <w:rsid w:val="0023209F"/>
    <w:rsid w:val="00232F3E"/>
    <w:rsid w:val="00233C01"/>
    <w:rsid w:val="0023413C"/>
    <w:rsid w:val="002346F0"/>
    <w:rsid w:val="00235D53"/>
    <w:rsid w:val="0023629D"/>
    <w:rsid w:val="002364AE"/>
    <w:rsid w:val="00236FCE"/>
    <w:rsid w:val="00237255"/>
    <w:rsid w:val="00237BF7"/>
    <w:rsid w:val="00237FE6"/>
    <w:rsid w:val="00240708"/>
    <w:rsid w:val="00240791"/>
    <w:rsid w:val="00240E5E"/>
    <w:rsid w:val="00240F69"/>
    <w:rsid w:val="002424AF"/>
    <w:rsid w:val="002430DB"/>
    <w:rsid w:val="002437CC"/>
    <w:rsid w:val="002439DC"/>
    <w:rsid w:val="002441D2"/>
    <w:rsid w:val="00244DC8"/>
    <w:rsid w:val="0024586A"/>
    <w:rsid w:val="002458BA"/>
    <w:rsid w:val="00245CE9"/>
    <w:rsid w:val="00245D47"/>
    <w:rsid w:val="0024636C"/>
    <w:rsid w:val="00247925"/>
    <w:rsid w:val="0025096B"/>
    <w:rsid w:val="00251006"/>
    <w:rsid w:val="002524D5"/>
    <w:rsid w:val="00252DB7"/>
    <w:rsid w:val="002532C9"/>
    <w:rsid w:val="00253B1D"/>
    <w:rsid w:val="0025421B"/>
    <w:rsid w:val="0025459D"/>
    <w:rsid w:val="00254AE8"/>
    <w:rsid w:val="00254D62"/>
    <w:rsid w:val="00254DCF"/>
    <w:rsid w:val="0025534B"/>
    <w:rsid w:val="002553D8"/>
    <w:rsid w:val="00255666"/>
    <w:rsid w:val="00255BB7"/>
    <w:rsid w:val="00256733"/>
    <w:rsid w:val="002570C9"/>
    <w:rsid w:val="00257541"/>
    <w:rsid w:val="002578F2"/>
    <w:rsid w:val="00257A39"/>
    <w:rsid w:val="00257AC4"/>
    <w:rsid w:val="0026069B"/>
    <w:rsid w:val="00260D21"/>
    <w:rsid w:val="00261C9A"/>
    <w:rsid w:val="00261EEF"/>
    <w:rsid w:val="002621DC"/>
    <w:rsid w:val="002624D6"/>
    <w:rsid w:val="00262A1A"/>
    <w:rsid w:val="00262A87"/>
    <w:rsid w:val="00264597"/>
    <w:rsid w:val="00264D26"/>
    <w:rsid w:val="00266136"/>
    <w:rsid w:val="00267642"/>
    <w:rsid w:val="00267AEA"/>
    <w:rsid w:val="002700E6"/>
    <w:rsid w:val="00270DD2"/>
    <w:rsid w:val="0027123F"/>
    <w:rsid w:val="00271A60"/>
    <w:rsid w:val="0027294B"/>
    <w:rsid w:val="00272FD2"/>
    <w:rsid w:val="00273EB4"/>
    <w:rsid w:val="00274682"/>
    <w:rsid w:val="002754E4"/>
    <w:rsid w:val="0027588A"/>
    <w:rsid w:val="00275C5A"/>
    <w:rsid w:val="00275CA4"/>
    <w:rsid w:val="00275DF8"/>
    <w:rsid w:val="00281014"/>
    <w:rsid w:val="0028121E"/>
    <w:rsid w:val="00281478"/>
    <w:rsid w:val="00281755"/>
    <w:rsid w:val="00281A56"/>
    <w:rsid w:val="002827BC"/>
    <w:rsid w:val="002854D6"/>
    <w:rsid w:val="0028562B"/>
    <w:rsid w:val="00285B07"/>
    <w:rsid w:val="0028665D"/>
    <w:rsid w:val="00290AA7"/>
    <w:rsid w:val="00290B23"/>
    <w:rsid w:val="002914CB"/>
    <w:rsid w:val="00294A18"/>
    <w:rsid w:val="00295CE9"/>
    <w:rsid w:val="00295FA3"/>
    <w:rsid w:val="002A094A"/>
    <w:rsid w:val="002A14AB"/>
    <w:rsid w:val="002A19CB"/>
    <w:rsid w:val="002A1CA4"/>
    <w:rsid w:val="002A2ADE"/>
    <w:rsid w:val="002A2F50"/>
    <w:rsid w:val="002A3B3F"/>
    <w:rsid w:val="002A4DE2"/>
    <w:rsid w:val="002A551F"/>
    <w:rsid w:val="002A5530"/>
    <w:rsid w:val="002A5AB0"/>
    <w:rsid w:val="002A70D9"/>
    <w:rsid w:val="002A7660"/>
    <w:rsid w:val="002B05A1"/>
    <w:rsid w:val="002B066A"/>
    <w:rsid w:val="002B09A4"/>
    <w:rsid w:val="002B0BB7"/>
    <w:rsid w:val="002B0CFF"/>
    <w:rsid w:val="002B1C1F"/>
    <w:rsid w:val="002B432F"/>
    <w:rsid w:val="002B4774"/>
    <w:rsid w:val="002B4AF2"/>
    <w:rsid w:val="002B6291"/>
    <w:rsid w:val="002B62B3"/>
    <w:rsid w:val="002B6407"/>
    <w:rsid w:val="002B6754"/>
    <w:rsid w:val="002B6CCE"/>
    <w:rsid w:val="002B789E"/>
    <w:rsid w:val="002C0563"/>
    <w:rsid w:val="002C1135"/>
    <w:rsid w:val="002C20A0"/>
    <w:rsid w:val="002C20C4"/>
    <w:rsid w:val="002C2510"/>
    <w:rsid w:val="002C2775"/>
    <w:rsid w:val="002C27C1"/>
    <w:rsid w:val="002C2C66"/>
    <w:rsid w:val="002C3487"/>
    <w:rsid w:val="002C35EA"/>
    <w:rsid w:val="002C38C0"/>
    <w:rsid w:val="002C4364"/>
    <w:rsid w:val="002C5099"/>
    <w:rsid w:val="002C528B"/>
    <w:rsid w:val="002C5889"/>
    <w:rsid w:val="002C71CE"/>
    <w:rsid w:val="002C7700"/>
    <w:rsid w:val="002D08F8"/>
    <w:rsid w:val="002D1D35"/>
    <w:rsid w:val="002D37B0"/>
    <w:rsid w:val="002D577C"/>
    <w:rsid w:val="002D644A"/>
    <w:rsid w:val="002D700A"/>
    <w:rsid w:val="002E1071"/>
    <w:rsid w:val="002E116A"/>
    <w:rsid w:val="002E15B9"/>
    <w:rsid w:val="002E2158"/>
    <w:rsid w:val="002E2162"/>
    <w:rsid w:val="002E2326"/>
    <w:rsid w:val="002E2AA0"/>
    <w:rsid w:val="002E2B49"/>
    <w:rsid w:val="002E3749"/>
    <w:rsid w:val="002E3DE1"/>
    <w:rsid w:val="002E4F02"/>
    <w:rsid w:val="002E5DA8"/>
    <w:rsid w:val="002E6D23"/>
    <w:rsid w:val="002E7722"/>
    <w:rsid w:val="002F07BA"/>
    <w:rsid w:val="002F0DA9"/>
    <w:rsid w:val="002F1014"/>
    <w:rsid w:val="002F1313"/>
    <w:rsid w:val="002F2DF5"/>
    <w:rsid w:val="002F3512"/>
    <w:rsid w:val="002F3972"/>
    <w:rsid w:val="002F57F9"/>
    <w:rsid w:val="002F5D4C"/>
    <w:rsid w:val="002F5DE0"/>
    <w:rsid w:val="002F643C"/>
    <w:rsid w:val="002F71C0"/>
    <w:rsid w:val="002F74F1"/>
    <w:rsid w:val="00301017"/>
    <w:rsid w:val="00301069"/>
    <w:rsid w:val="00301343"/>
    <w:rsid w:val="0030155F"/>
    <w:rsid w:val="00304EEC"/>
    <w:rsid w:val="0030587B"/>
    <w:rsid w:val="00306D98"/>
    <w:rsid w:val="0030786C"/>
    <w:rsid w:val="003100D0"/>
    <w:rsid w:val="0031031A"/>
    <w:rsid w:val="003105B2"/>
    <w:rsid w:val="00310981"/>
    <w:rsid w:val="00311A0D"/>
    <w:rsid w:val="0031226D"/>
    <w:rsid w:val="003124D9"/>
    <w:rsid w:val="00312594"/>
    <w:rsid w:val="003137BA"/>
    <w:rsid w:val="00314C7C"/>
    <w:rsid w:val="00315498"/>
    <w:rsid w:val="003157FE"/>
    <w:rsid w:val="00315F4C"/>
    <w:rsid w:val="00316474"/>
    <w:rsid w:val="00322107"/>
    <w:rsid w:val="00322355"/>
    <w:rsid w:val="00322846"/>
    <w:rsid w:val="0032297F"/>
    <w:rsid w:val="00322F11"/>
    <w:rsid w:val="00323EF3"/>
    <w:rsid w:val="003249A9"/>
    <w:rsid w:val="0032585E"/>
    <w:rsid w:val="00326DA7"/>
    <w:rsid w:val="003270E4"/>
    <w:rsid w:val="00330207"/>
    <w:rsid w:val="00330427"/>
    <w:rsid w:val="00330DAA"/>
    <w:rsid w:val="00330F5C"/>
    <w:rsid w:val="00331295"/>
    <w:rsid w:val="003366C9"/>
    <w:rsid w:val="003371B0"/>
    <w:rsid w:val="00340DF1"/>
    <w:rsid w:val="00343C62"/>
    <w:rsid w:val="00343F4C"/>
    <w:rsid w:val="0034446A"/>
    <w:rsid w:val="00344CBF"/>
    <w:rsid w:val="003452E7"/>
    <w:rsid w:val="00346472"/>
    <w:rsid w:val="00346CA8"/>
    <w:rsid w:val="0035127D"/>
    <w:rsid w:val="003517F9"/>
    <w:rsid w:val="00351BA9"/>
    <w:rsid w:val="00352390"/>
    <w:rsid w:val="003545A6"/>
    <w:rsid w:val="00354F64"/>
    <w:rsid w:val="0035620E"/>
    <w:rsid w:val="00356516"/>
    <w:rsid w:val="00357F2C"/>
    <w:rsid w:val="0036016B"/>
    <w:rsid w:val="00360345"/>
    <w:rsid w:val="00361684"/>
    <w:rsid w:val="00361A05"/>
    <w:rsid w:val="003624BF"/>
    <w:rsid w:val="003624C4"/>
    <w:rsid w:val="00363B00"/>
    <w:rsid w:val="0036447C"/>
    <w:rsid w:val="0036522F"/>
    <w:rsid w:val="003654AC"/>
    <w:rsid w:val="003710CF"/>
    <w:rsid w:val="00371606"/>
    <w:rsid w:val="00371647"/>
    <w:rsid w:val="0037358A"/>
    <w:rsid w:val="00373937"/>
    <w:rsid w:val="003740BD"/>
    <w:rsid w:val="003750F6"/>
    <w:rsid w:val="003760FC"/>
    <w:rsid w:val="00376D25"/>
    <w:rsid w:val="00382787"/>
    <w:rsid w:val="0038365C"/>
    <w:rsid w:val="0038369B"/>
    <w:rsid w:val="00383B78"/>
    <w:rsid w:val="00383C3F"/>
    <w:rsid w:val="00383D6A"/>
    <w:rsid w:val="00385A9D"/>
    <w:rsid w:val="003865CE"/>
    <w:rsid w:val="00386771"/>
    <w:rsid w:val="00386D1F"/>
    <w:rsid w:val="0038725D"/>
    <w:rsid w:val="00387C47"/>
    <w:rsid w:val="003902B1"/>
    <w:rsid w:val="0039085D"/>
    <w:rsid w:val="003915B0"/>
    <w:rsid w:val="0039179C"/>
    <w:rsid w:val="00391F62"/>
    <w:rsid w:val="0039210A"/>
    <w:rsid w:val="003922F4"/>
    <w:rsid w:val="00392B9D"/>
    <w:rsid w:val="00392E39"/>
    <w:rsid w:val="00395E9C"/>
    <w:rsid w:val="00396896"/>
    <w:rsid w:val="00396FD0"/>
    <w:rsid w:val="003A04CE"/>
    <w:rsid w:val="003A06E8"/>
    <w:rsid w:val="003A0DE4"/>
    <w:rsid w:val="003A1A7A"/>
    <w:rsid w:val="003A203A"/>
    <w:rsid w:val="003A2392"/>
    <w:rsid w:val="003A2831"/>
    <w:rsid w:val="003A39B1"/>
    <w:rsid w:val="003A3CB6"/>
    <w:rsid w:val="003A3ED1"/>
    <w:rsid w:val="003A43E7"/>
    <w:rsid w:val="003A44DB"/>
    <w:rsid w:val="003A67B0"/>
    <w:rsid w:val="003A6D3B"/>
    <w:rsid w:val="003A790D"/>
    <w:rsid w:val="003A7B25"/>
    <w:rsid w:val="003B0622"/>
    <w:rsid w:val="003B0E95"/>
    <w:rsid w:val="003B12A9"/>
    <w:rsid w:val="003B2FAE"/>
    <w:rsid w:val="003B3971"/>
    <w:rsid w:val="003B55D1"/>
    <w:rsid w:val="003B5B61"/>
    <w:rsid w:val="003C0923"/>
    <w:rsid w:val="003C097D"/>
    <w:rsid w:val="003C1654"/>
    <w:rsid w:val="003C2961"/>
    <w:rsid w:val="003C3252"/>
    <w:rsid w:val="003C345B"/>
    <w:rsid w:val="003C3B30"/>
    <w:rsid w:val="003C3E30"/>
    <w:rsid w:val="003C41E3"/>
    <w:rsid w:val="003C5542"/>
    <w:rsid w:val="003C6242"/>
    <w:rsid w:val="003C74A7"/>
    <w:rsid w:val="003C7D19"/>
    <w:rsid w:val="003C7D2F"/>
    <w:rsid w:val="003D1828"/>
    <w:rsid w:val="003D1DE4"/>
    <w:rsid w:val="003D1E9A"/>
    <w:rsid w:val="003D2422"/>
    <w:rsid w:val="003D39A1"/>
    <w:rsid w:val="003D3CEE"/>
    <w:rsid w:val="003D3EF7"/>
    <w:rsid w:val="003D3FBF"/>
    <w:rsid w:val="003D4A30"/>
    <w:rsid w:val="003D4F82"/>
    <w:rsid w:val="003D5E08"/>
    <w:rsid w:val="003D60FE"/>
    <w:rsid w:val="003D7452"/>
    <w:rsid w:val="003D7691"/>
    <w:rsid w:val="003D79BB"/>
    <w:rsid w:val="003D7C98"/>
    <w:rsid w:val="003D7D9D"/>
    <w:rsid w:val="003E0543"/>
    <w:rsid w:val="003E1BFF"/>
    <w:rsid w:val="003E359D"/>
    <w:rsid w:val="003E3B7F"/>
    <w:rsid w:val="003E3DC7"/>
    <w:rsid w:val="003E5AAE"/>
    <w:rsid w:val="003E749E"/>
    <w:rsid w:val="003E7934"/>
    <w:rsid w:val="003E7988"/>
    <w:rsid w:val="003F0A5B"/>
    <w:rsid w:val="003F0AF6"/>
    <w:rsid w:val="003F14B1"/>
    <w:rsid w:val="003F4156"/>
    <w:rsid w:val="003F57CC"/>
    <w:rsid w:val="003F5ADF"/>
    <w:rsid w:val="003F78ED"/>
    <w:rsid w:val="003F7FB9"/>
    <w:rsid w:val="00400745"/>
    <w:rsid w:val="00400B29"/>
    <w:rsid w:val="0040411B"/>
    <w:rsid w:val="00404E8D"/>
    <w:rsid w:val="0040504B"/>
    <w:rsid w:val="00405503"/>
    <w:rsid w:val="004059F4"/>
    <w:rsid w:val="00407FE5"/>
    <w:rsid w:val="004101B0"/>
    <w:rsid w:val="00410326"/>
    <w:rsid w:val="00410708"/>
    <w:rsid w:val="00410EC7"/>
    <w:rsid w:val="004116D5"/>
    <w:rsid w:val="00411B39"/>
    <w:rsid w:val="004127A7"/>
    <w:rsid w:val="00413779"/>
    <w:rsid w:val="004137F4"/>
    <w:rsid w:val="00413A1E"/>
    <w:rsid w:val="00414476"/>
    <w:rsid w:val="00414B97"/>
    <w:rsid w:val="00414C2E"/>
    <w:rsid w:val="004151CF"/>
    <w:rsid w:val="0041552E"/>
    <w:rsid w:val="00415637"/>
    <w:rsid w:val="00416364"/>
    <w:rsid w:val="004165FD"/>
    <w:rsid w:val="0042047F"/>
    <w:rsid w:val="00420AA6"/>
    <w:rsid w:val="00420B9F"/>
    <w:rsid w:val="0042192C"/>
    <w:rsid w:val="00422260"/>
    <w:rsid w:val="0042341B"/>
    <w:rsid w:val="0042413F"/>
    <w:rsid w:val="00427E4C"/>
    <w:rsid w:val="004319F8"/>
    <w:rsid w:val="00431E55"/>
    <w:rsid w:val="004321F6"/>
    <w:rsid w:val="00433044"/>
    <w:rsid w:val="00434088"/>
    <w:rsid w:val="00435807"/>
    <w:rsid w:val="00436470"/>
    <w:rsid w:val="004375B9"/>
    <w:rsid w:val="00440C54"/>
    <w:rsid w:val="00440C8F"/>
    <w:rsid w:val="0044117E"/>
    <w:rsid w:val="00441449"/>
    <w:rsid w:val="004428D0"/>
    <w:rsid w:val="00442E25"/>
    <w:rsid w:val="00443247"/>
    <w:rsid w:val="00444185"/>
    <w:rsid w:val="004443A7"/>
    <w:rsid w:val="0044442C"/>
    <w:rsid w:val="00444A30"/>
    <w:rsid w:val="00445941"/>
    <w:rsid w:val="00445B22"/>
    <w:rsid w:val="004464EB"/>
    <w:rsid w:val="00446BAC"/>
    <w:rsid w:val="00446D06"/>
    <w:rsid w:val="00447D26"/>
    <w:rsid w:val="00447DFC"/>
    <w:rsid w:val="004502AC"/>
    <w:rsid w:val="0045387B"/>
    <w:rsid w:val="004538C4"/>
    <w:rsid w:val="0045424A"/>
    <w:rsid w:val="004542A5"/>
    <w:rsid w:val="00454C6E"/>
    <w:rsid w:val="00455B07"/>
    <w:rsid w:val="00455D45"/>
    <w:rsid w:val="00456C5C"/>
    <w:rsid w:val="00460180"/>
    <w:rsid w:val="004615C2"/>
    <w:rsid w:val="00464595"/>
    <w:rsid w:val="00464719"/>
    <w:rsid w:val="004658B5"/>
    <w:rsid w:val="004703DC"/>
    <w:rsid w:val="0047051A"/>
    <w:rsid w:val="00471DD7"/>
    <w:rsid w:val="00471E53"/>
    <w:rsid w:val="00471EA5"/>
    <w:rsid w:val="004723C1"/>
    <w:rsid w:val="00472A79"/>
    <w:rsid w:val="00473F19"/>
    <w:rsid w:val="00474933"/>
    <w:rsid w:val="00475E22"/>
    <w:rsid w:val="0048088E"/>
    <w:rsid w:val="00480F2B"/>
    <w:rsid w:val="00481744"/>
    <w:rsid w:val="00482720"/>
    <w:rsid w:val="00483054"/>
    <w:rsid w:val="004835E7"/>
    <w:rsid w:val="0048369E"/>
    <w:rsid w:val="00484260"/>
    <w:rsid w:val="004848A8"/>
    <w:rsid w:val="004852C4"/>
    <w:rsid w:val="00485CE2"/>
    <w:rsid w:val="0048614E"/>
    <w:rsid w:val="004867E2"/>
    <w:rsid w:val="004875BA"/>
    <w:rsid w:val="00490B17"/>
    <w:rsid w:val="00490E05"/>
    <w:rsid w:val="00490F97"/>
    <w:rsid w:val="00491B3A"/>
    <w:rsid w:val="00492CFD"/>
    <w:rsid w:val="00494207"/>
    <w:rsid w:val="00494DD5"/>
    <w:rsid w:val="004962D2"/>
    <w:rsid w:val="0049742D"/>
    <w:rsid w:val="0049776A"/>
    <w:rsid w:val="00497A04"/>
    <w:rsid w:val="00497FB9"/>
    <w:rsid w:val="004A0A6D"/>
    <w:rsid w:val="004A0DA1"/>
    <w:rsid w:val="004A13D6"/>
    <w:rsid w:val="004A2EC3"/>
    <w:rsid w:val="004A411E"/>
    <w:rsid w:val="004A48DD"/>
    <w:rsid w:val="004A52E9"/>
    <w:rsid w:val="004A6040"/>
    <w:rsid w:val="004A6597"/>
    <w:rsid w:val="004A73D2"/>
    <w:rsid w:val="004A7848"/>
    <w:rsid w:val="004A7AC8"/>
    <w:rsid w:val="004A7FAA"/>
    <w:rsid w:val="004B0540"/>
    <w:rsid w:val="004B0770"/>
    <w:rsid w:val="004B0D80"/>
    <w:rsid w:val="004B1856"/>
    <w:rsid w:val="004B1CB4"/>
    <w:rsid w:val="004B2E9B"/>
    <w:rsid w:val="004B2F18"/>
    <w:rsid w:val="004B3DDB"/>
    <w:rsid w:val="004B4204"/>
    <w:rsid w:val="004B44FD"/>
    <w:rsid w:val="004B4CE4"/>
    <w:rsid w:val="004B5CFC"/>
    <w:rsid w:val="004B5E62"/>
    <w:rsid w:val="004B5ECB"/>
    <w:rsid w:val="004B6F79"/>
    <w:rsid w:val="004B73AF"/>
    <w:rsid w:val="004B774D"/>
    <w:rsid w:val="004C13A1"/>
    <w:rsid w:val="004C19CA"/>
    <w:rsid w:val="004C1ED6"/>
    <w:rsid w:val="004C4AED"/>
    <w:rsid w:val="004C5E08"/>
    <w:rsid w:val="004C64CD"/>
    <w:rsid w:val="004D0A18"/>
    <w:rsid w:val="004D12E4"/>
    <w:rsid w:val="004D2C2D"/>
    <w:rsid w:val="004D3435"/>
    <w:rsid w:val="004D5A2F"/>
    <w:rsid w:val="004D5EFB"/>
    <w:rsid w:val="004D62D9"/>
    <w:rsid w:val="004D69B5"/>
    <w:rsid w:val="004D7227"/>
    <w:rsid w:val="004E00B1"/>
    <w:rsid w:val="004E01BC"/>
    <w:rsid w:val="004E0E7F"/>
    <w:rsid w:val="004E0EB8"/>
    <w:rsid w:val="004E16AB"/>
    <w:rsid w:val="004E18E9"/>
    <w:rsid w:val="004E1C65"/>
    <w:rsid w:val="004E2ADC"/>
    <w:rsid w:val="004E3120"/>
    <w:rsid w:val="004E349E"/>
    <w:rsid w:val="004E34A9"/>
    <w:rsid w:val="004E3B86"/>
    <w:rsid w:val="004E4095"/>
    <w:rsid w:val="004E427F"/>
    <w:rsid w:val="004E4324"/>
    <w:rsid w:val="004E43B2"/>
    <w:rsid w:val="004E5FC9"/>
    <w:rsid w:val="004E6FBE"/>
    <w:rsid w:val="004F0D2C"/>
    <w:rsid w:val="004F1D02"/>
    <w:rsid w:val="004F2679"/>
    <w:rsid w:val="004F2D8A"/>
    <w:rsid w:val="004F2F21"/>
    <w:rsid w:val="004F30A9"/>
    <w:rsid w:val="004F3DE5"/>
    <w:rsid w:val="004F460D"/>
    <w:rsid w:val="004F5014"/>
    <w:rsid w:val="004F55CE"/>
    <w:rsid w:val="004F6913"/>
    <w:rsid w:val="004F7865"/>
    <w:rsid w:val="004F7B2D"/>
    <w:rsid w:val="0050174E"/>
    <w:rsid w:val="00501854"/>
    <w:rsid w:val="0050219B"/>
    <w:rsid w:val="00503771"/>
    <w:rsid w:val="00503F17"/>
    <w:rsid w:val="0050518A"/>
    <w:rsid w:val="00505635"/>
    <w:rsid w:val="00505E42"/>
    <w:rsid w:val="00506928"/>
    <w:rsid w:val="005077EF"/>
    <w:rsid w:val="00507F6C"/>
    <w:rsid w:val="00511AD5"/>
    <w:rsid w:val="00511DC7"/>
    <w:rsid w:val="005142C5"/>
    <w:rsid w:val="00514AA2"/>
    <w:rsid w:val="0051501B"/>
    <w:rsid w:val="005152B5"/>
    <w:rsid w:val="00515F95"/>
    <w:rsid w:val="0051655E"/>
    <w:rsid w:val="00516875"/>
    <w:rsid w:val="005209B7"/>
    <w:rsid w:val="005211D0"/>
    <w:rsid w:val="0052123C"/>
    <w:rsid w:val="00521319"/>
    <w:rsid w:val="00521F7D"/>
    <w:rsid w:val="00522BC8"/>
    <w:rsid w:val="00523C28"/>
    <w:rsid w:val="00523F39"/>
    <w:rsid w:val="005250AA"/>
    <w:rsid w:val="005251FB"/>
    <w:rsid w:val="005256F6"/>
    <w:rsid w:val="00530462"/>
    <w:rsid w:val="0053176B"/>
    <w:rsid w:val="005323F5"/>
    <w:rsid w:val="00534543"/>
    <w:rsid w:val="00536040"/>
    <w:rsid w:val="00536749"/>
    <w:rsid w:val="00536933"/>
    <w:rsid w:val="00536F42"/>
    <w:rsid w:val="00537182"/>
    <w:rsid w:val="0053746A"/>
    <w:rsid w:val="00537954"/>
    <w:rsid w:val="00537F35"/>
    <w:rsid w:val="0054058F"/>
    <w:rsid w:val="005407D1"/>
    <w:rsid w:val="00540D29"/>
    <w:rsid w:val="005411D4"/>
    <w:rsid w:val="00541DFF"/>
    <w:rsid w:val="00541EDD"/>
    <w:rsid w:val="00542743"/>
    <w:rsid w:val="00542C2D"/>
    <w:rsid w:val="00543386"/>
    <w:rsid w:val="00545A84"/>
    <w:rsid w:val="005465F3"/>
    <w:rsid w:val="005478BD"/>
    <w:rsid w:val="005479E3"/>
    <w:rsid w:val="00550297"/>
    <w:rsid w:val="00551985"/>
    <w:rsid w:val="005524CB"/>
    <w:rsid w:val="00552BD3"/>
    <w:rsid w:val="005532A0"/>
    <w:rsid w:val="00555109"/>
    <w:rsid w:val="00555AFE"/>
    <w:rsid w:val="00556B35"/>
    <w:rsid w:val="0055741A"/>
    <w:rsid w:val="00560A88"/>
    <w:rsid w:val="005611B7"/>
    <w:rsid w:val="00561556"/>
    <w:rsid w:val="005618D4"/>
    <w:rsid w:val="00561A54"/>
    <w:rsid w:val="005625DE"/>
    <w:rsid w:val="005627A2"/>
    <w:rsid w:val="00562D89"/>
    <w:rsid w:val="00565B89"/>
    <w:rsid w:val="00565DF0"/>
    <w:rsid w:val="00566020"/>
    <w:rsid w:val="0056653D"/>
    <w:rsid w:val="0056696F"/>
    <w:rsid w:val="005675A3"/>
    <w:rsid w:val="005700B9"/>
    <w:rsid w:val="00571969"/>
    <w:rsid w:val="00572269"/>
    <w:rsid w:val="0057244A"/>
    <w:rsid w:val="00572F26"/>
    <w:rsid w:val="0057346E"/>
    <w:rsid w:val="0057390C"/>
    <w:rsid w:val="00574B5E"/>
    <w:rsid w:val="00574C2B"/>
    <w:rsid w:val="00574CF7"/>
    <w:rsid w:val="005750C5"/>
    <w:rsid w:val="005752DE"/>
    <w:rsid w:val="00575338"/>
    <w:rsid w:val="00575D8D"/>
    <w:rsid w:val="00576972"/>
    <w:rsid w:val="00580403"/>
    <w:rsid w:val="00580634"/>
    <w:rsid w:val="005813A3"/>
    <w:rsid w:val="005826E5"/>
    <w:rsid w:val="00583699"/>
    <w:rsid w:val="005843D6"/>
    <w:rsid w:val="0058516D"/>
    <w:rsid w:val="00585CDD"/>
    <w:rsid w:val="00587058"/>
    <w:rsid w:val="00587B65"/>
    <w:rsid w:val="00587FD0"/>
    <w:rsid w:val="00590744"/>
    <w:rsid w:val="00591522"/>
    <w:rsid w:val="00591957"/>
    <w:rsid w:val="005956F8"/>
    <w:rsid w:val="00595797"/>
    <w:rsid w:val="0059611A"/>
    <w:rsid w:val="005972FA"/>
    <w:rsid w:val="00597BF9"/>
    <w:rsid w:val="005A0F38"/>
    <w:rsid w:val="005A309A"/>
    <w:rsid w:val="005A373D"/>
    <w:rsid w:val="005B0AE2"/>
    <w:rsid w:val="005B0B58"/>
    <w:rsid w:val="005B3486"/>
    <w:rsid w:val="005B3FC8"/>
    <w:rsid w:val="005B4E53"/>
    <w:rsid w:val="005B5857"/>
    <w:rsid w:val="005B6A4A"/>
    <w:rsid w:val="005B77BC"/>
    <w:rsid w:val="005B7A3D"/>
    <w:rsid w:val="005B7C38"/>
    <w:rsid w:val="005C0995"/>
    <w:rsid w:val="005C144A"/>
    <w:rsid w:val="005C1B83"/>
    <w:rsid w:val="005C1F7F"/>
    <w:rsid w:val="005C2245"/>
    <w:rsid w:val="005C244F"/>
    <w:rsid w:val="005C25FF"/>
    <w:rsid w:val="005C2D55"/>
    <w:rsid w:val="005C346B"/>
    <w:rsid w:val="005D044D"/>
    <w:rsid w:val="005D0691"/>
    <w:rsid w:val="005D06C8"/>
    <w:rsid w:val="005D0ABD"/>
    <w:rsid w:val="005D18AD"/>
    <w:rsid w:val="005D2129"/>
    <w:rsid w:val="005D264D"/>
    <w:rsid w:val="005D26B4"/>
    <w:rsid w:val="005D53C3"/>
    <w:rsid w:val="005D72B8"/>
    <w:rsid w:val="005D76EF"/>
    <w:rsid w:val="005E1101"/>
    <w:rsid w:val="005E2B3E"/>
    <w:rsid w:val="005E395D"/>
    <w:rsid w:val="005E44AB"/>
    <w:rsid w:val="005E6CBC"/>
    <w:rsid w:val="005E703B"/>
    <w:rsid w:val="005E714A"/>
    <w:rsid w:val="005E72FF"/>
    <w:rsid w:val="005E73C0"/>
    <w:rsid w:val="005F0690"/>
    <w:rsid w:val="005F2706"/>
    <w:rsid w:val="005F37F9"/>
    <w:rsid w:val="005F4720"/>
    <w:rsid w:val="005F6A8F"/>
    <w:rsid w:val="005F6BB7"/>
    <w:rsid w:val="005F7588"/>
    <w:rsid w:val="005F7C7C"/>
    <w:rsid w:val="00601B70"/>
    <w:rsid w:val="006028B8"/>
    <w:rsid w:val="00603DB9"/>
    <w:rsid w:val="00603E45"/>
    <w:rsid w:val="00604DD8"/>
    <w:rsid w:val="00606FBA"/>
    <w:rsid w:val="00607669"/>
    <w:rsid w:val="006076F4"/>
    <w:rsid w:val="00607AFD"/>
    <w:rsid w:val="00611700"/>
    <w:rsid w:val="00611AFC"/>
    <w:rsid w:val="00611CDC"/>
    <w:rsid w:val="0061204D"/>
    <w:rsid w:val="006126CB"/>
    <w:rsid w:val="00612F97"/>
    <w:rsid w:val="0061345D"/>
    <w:rsid w:val="006140A7"/>
    <w:rsid w:val="0061452D"/>
    <w:rsid w:val="0061549B"/>
    <w:rsid w:val="00616802"/>
    <w:rsid w:val="00617E12"/>
    <w:rsid w:val="00620082"/>
    <w:rsid w:val="0062086C"/>
    <w:rsid w:val="00620C25"/>
    <w:rsid w:val="00621477"/>
    <w:rsid w:val="006216CD"/>
    <w:rsid w:val="00621ADA"/>
    <w:rsid w:val="00621D1F"/>
    <w:rsid w:val="00621EAD"/>
    <w:rsid w:val="00622505"/>
    <w:rsid w:val="00623F7B"/>
    <w:rsid w:val="006257ED"/>
    <w:rsid w:val="006269CC"/>
    <w:rsid w:val="0063158F"/>
    <w:rsid w:val="00631D6B"/>
    <w:rsid w:val="00631E18"/>
    <w:rsid w:val="00632183"/>
    <w:rsid w:val="006330A1"/>
    <w:rsid w:val="00633717"/>
    <w:rsid w:val="00633945"/>
    <w:rsid w:val="0063479F"/>
    <w:rsid w:val="006353F0"/>
    <w:rsid w:val="006357B5"/>
    <w:rsid w:val="00635952"/>
    <w:rsid w:val="006364A1"/>
    <w:rsid w:val="0063678E"/>
    <w:rsid w:val="00637BFD"/>
    <w:rsid w:val="006402CC"/>
    <w:rsid w:val="00641C4E"/>
    <w:rsid w:val="00641FB3"/>
    <w:rsid w:val="006436B6"/>
    <w:rsid w:val="006436EC"/>
    <w:rsid w:val="0064434C"/>
    <w:rsid w:val="00645391"/>
    <w:rsid w:val="0064614D"/>
    <w:rsid w:val="006471CC"/>
    <w:rsid w:val="00647A29"/>
    <w:rsid w:val="0065079F"/>
    <w:rsid w:val="00651A69"/>
    <w:rsid w:val="00651CFA"/>
    <w:rsid w:val="00652886"/>
    <w:rsid w:val="00652A28"/>
    <w:rsid w:val="0065379F"/>
    <w:rsid w:val="00654B11"/>
    <w:rsid w:val="00654C68"/>
    <w:rsid w:val="00654EB0"/>
    <w:rsid w:val="00655023"/>
    <w:rsid w:val="00656188"/>
    <w:rsid w:val="0065715A"/>
    <w:rsid w:val="00660297"/>
    <w:rsid w:val="006610F1"/>
    <w:rsid w:val="00661707"/>
    <w:rsid w:val="00661C6B"/>
    <w:rsid w:val="00661E80"/>
    <w:rsid w:val="0066373B"/>
    <w:rsid w:val="006644D5"/>
    <w:rsid w:val="00664541"/>
    <w:rsid w:val="00664A32"/>
    <w:rsid w:val="006654E9"/>
    <w:rsid w:val="00666DD3"/>
    <w:rsid w:val="00671004"/>
    <w:rsid w:val="00671728"/>
    <w:rsid w:val="00671B3C"/>
    <w:rsid w:val="00672646"/>
    <w:rsid w:val="00673A59"/>
    <w:rsid w:val="00673F0B"/>
    <w:rsid w:val="00674E42"/>
    <w:rsid w:val="006755A2"/>
    <w:rsid w:val="0068006A"/>
    <w:rsid w:val="006806A7"/>
    <w:rsid w:val="006813F8"/>
    <w:rsid w:val="006815D0"/>
    <w:rsid w:val="00682112"/>
    <w:rsid w:val="00682BA6"/>
    <w:rsid w:val="00685034"/>
    <w:rsid w:val="0068617A"/>
    <w:rsid w:val="006862CA"/>
    <w:rsid w:val="00686468"/>
    <w:rsid w:val="00686957"/>
    <w:rsid w:val="006872BA"/>
    <w:rsid w:val="006900F9"/>
    <w:rsid w:val="00690795"/>
    <w:rsid w:val="00691648"/>
    <w:rsid w:val="00691747"/>
    <w:rsid w:val="006917D7"/>
    <w:rsid w:val="00691DB1"/>
    <w:rsid w:val="00693452"/>
    <w:rsid w:val="0069349A"/>
    <w:rsid w:val="00693A49"/>
    <w:rsid w:val="0069434C"/>
    <w:rsid w:val="00694470"/>
    <w:rsid w:val="00694AF9"/>
    <w:rsid w:val="00694B02"/>
    <w:rsid w:val="00694F44"/>
    <w:rsid w:val="00696387"/>
    <w:rsid w:val="00696F51"/>
    <w:rsid w:val="006979A5"/>
    <w:rsid w:val="006979F4"/>
    <w:rsid w:val="006A05AC"/>
    <w:rsid w:val="006A0791"/>
    <w:rsid w:val="006A0D9D"/>
    <w:rsid w:val="006A2956"/>
    <w:rsid w:val="006A2A34"/>
    <w:rsid w:val="006A32F4"/>
    <w:rsid w:val="006A3740"/>
    <w:rsid w:val="006A45D1"/>
    <w:rsid w:val="006A4FE1"/>
    <w:rsid w:val="006A521C"/>
    <w:rsid w:val="006A535A"/>
    <w:rsid w:val="006A5FEF"/>
    <w:rsid w:val="006A6B99"/>
    <w:rsid w:val="006A7E5F"/>
    <w:rsid w:val="006A7F93"/>
    <w:rsid w:val="006B16EC"/>
    <w:rsid w:val="006B261B"/>
    <w:rsid w:val="006B2994"/>
    <w:rsid w:val="006B2C90"/>
    <w:rsid w:val="006B35E6"/>
    <w:rsid w:val="006B3CC8"/>
    <w:rsid w:val="006B465A"/>
    <w:rsid w:val="006B4F2B"/>
    <w:rsid w:val="006B5CBD"/>
    <w:rsid w:val="006B6DD0"/>
    <w:rsid w:val="006B6F84"/>
    <w:rsid w:val="006B70FC"/>
    <w:rsid w:val="006C0399"/>
    <w:rsid w:val="006C0717"/>
    <w:rsid w:val="006C14E6"/>
    <w:rsid w:val="006C2504"/>
    <w:rsid w:val="006C2546"/>
    <w:rsid w:val="006C2A8E"/>
    <w:rsid w:val="006C3255"/>
    <w:rsid w:val="006C339B"/>
    <w:rsid w:val="006C38F4"/>
    <w:rsid w:val="006C3F26"/>
    <w:rsid w:val="006C591E"/>
    <w:rsid w:val="006C5F88"/>
    <w:rsid w:val="006C64B2"/>
    <w:rsid w:val="006C6A9A"/>
    <w:rsid w:val="006D09FD"/>
    <w:rsid w:val="006D0D17"/>
    <w:rsid w:val="006D2F09"/>
    <w:rsid w:val="006D3C7D"/>
    <w:rsid w:val="006D4659"/>
    <w:rsid w:val="006D5D5F"/>
    <w:rsid w:val="006D68FB"/>
    <w:rsid w:val="006D6DCB"/>
    <w:rsid w:val="006D7697"/>
    <w:rsid w:val="006E15B8"/>
    <w:rsid w:val="006E2868"/>
    <w:rsid w:val="006E298C"/>
    <w:rsid w:val="006E4698"/>
    <w:rsid w:val="006E4DAE"/>
    <w:rsid w:val="006E5428"/>
    <w:rsid w:val="006E5553"/>
    <w:rsid w:val="006E5AD1"/>
    <w:rsid w:val="006E7523"/>
    <w:rsid w:val="006E7E69"/>
    <w:rsid w:val="006F001C"/>
    <w:rsid w:val="006F1BE4"/>
    <w:rsid w:val="006F24ED"/>
    <w:rsid w:val="006F2D0A"/>
    <w:rsid w:val="006F306C"/>
    <w:rsid w:val="006F5648"/>
    <w:rsid w:val="006F63A5"/>
    <w:rsid w:val="00700145"/>
    <w:rsid w:val="007006D5"/>
    <w:rsid w:val="00700BE9"/>
    <w:rsid w:val="0070142B"/>
    <w:rsid w:val="007019F9"/>
    <w:rsid w:val="00701D00"/>
    <w:rsid w:val="007023C6"/>
    <w:rsid w:val="00702544"/>
    <w:rsid w:val="0070276E"/>
    <w:rsid w:val="00702C99"/>
    <w:rsid w:val="00702EDF"/>
    <w:rsid w:val="00702EE8"/>
    <w:rsid w:val="00702F8F"/>
    <w:rsid w:val="007038BF"/>
    <w:rsid w:val="0070581A"/>
    <w:rsid w:val="007079FC"/>
    <w:rsid w:val="00710AC6"/>
    <w:rsid w:val="00711A36"/>
    <w:rsid w:val="007123F3"/>
    <w:rsid w:val="00713A73"/>
    <w:rsid w:val="00714C26"/>
    <w:rsid w:val="0071529C"/>
    <w:rsid w:val="00715402"/>
    <w:rsid w:val="00716762"/>
    <w:rsid w:val="007170DA"/>
    <w:rsid w:val="00717132"/>
    <w:rsid w:val="007172AD"/>
    <w:rsid w:val="00720801"/>
    <w:rsid w:val="007220F8"/>
    <w:rsid w:val="0072246F"/>
    <w:rsid w:val="007226D6"/>
    <w:rsid w:val="00722B1B"/>
    <w:rsid w:val="0072416F"/>
    <w:rsid w:val="007260F5"/>
    <w:rsid w:val="007261CA"/>
    <w:rsid w:val="0072646E"/>
    <w:rsid w:val="007268B8"/>
    <w:rsid w:val="00727C94"/>
    <w:rsid w:val="007305BC"/>
    <w:rsid w:val="00730DA3"/>
    <w:rsid w:val="00731B0A"/>
    <w:rsid w:val="00731EAE"/>
    <w:rsid w:val="00733073"/>
    <w:rsid w:val="0073420E"/>
    <w:rsid w:val="0073490D"/>
    <w:rsid w:val="00735033"/>
    <w:rsid w:val="00735328"/>
    <w:rsid w:val="00736459"/>
    <w:rsid w:val="0073685B"/>
    <w:rsid w:val="007368B2"/>
    <w:rsid w:val="007373B1"/>
    <w:rsid w:val="00740CCB"/>
    <w:rsid w:val="0074130E"/>
    <w:rsid w:val="007414DA"/>
    <w:rsid w:val="0074156F"/>
    <w:rsid w:val="00741742"/>
    <w:rsid w:val="00741B29"/>
    <w:rsid w:val="00741D62"/>
    <w:rsid w:val="007436B0"/>
    <w:rsid w:val="007449BF"/>
    <w:rsid w:val="00744E5E"/>
    <w:rsid w:val="007456E3"/>
    <w:rsid w:val="00746BB2"/>
    <w:rsid w:val="00746BC0"/>
    <w:rsid w:val="00747424"/>
    <w:rsid w:val="00747E2D"/>
    <w:rsid w:val="00750654"/>
    <w:rsid w:val="007510B4"/>
    <w:rsid w:val="00751626"/>
    <w:rsid w:val="007517D3"/>
    <w:rsid w:val="00752142"/>
    <w:rsid w:val="007523F9"/>
    <w:rsid w:val="00752591"/>
    <w:rsid w:val="0075357E"/>
    <w:rsid w:val="00753F4D"/>
    <w:rsid w:val="007541EA"/>
    <w:rsid w:val="007543E7"/>
    <w:rsid w:val="007548B1"/>
    <w:rsid w:val="007567EA"/>
    <w:rsid w:val="007573E8"/>
    <w:rsid w:val="007577B2"/>
    <w:rsid w:val="00760149"/>
    <w:rsid w:val="00760C4E"/>
    <w:rsid w:val="00760F9E"/>
    <w:rsid w:val="0076247A"/>
    <w:rsid w:val="007627BE"/>
    <w:rsid w:val="00764671"/>
    <w:rsid w:val="00764F03"/>
    <w:rsid w:val="00765B1A"/>
    <w:rsid w:val="00771E87"/>
    <w:rsid w:val="007722C5"/>
    <w:rsid w:val="00773988"/>
    <w:rsid w:val="007752A2"/>
    <w:rsid w:val="00775484"/>
    <w:rsid w:val="00775A67"/>
    <w:rsid w:val="00777335"/>
    <w:rsid w:val="00780325"/>
    <w:rsid w:val="00781078"/>
    <w:rsid w:val="00781FB5"/>
    <w:rsid w:val="00782FD4"/>
    <w:rsid w:val="007843F2"/>
    <w:rsid w:val="00784842"/>
    <w:rsid w:val="007853D0"/>
    <w:rsid w:val="00785793"/>
    <w:rsid w:val="007858ED"/>
    <w:rsid w:val="00785A9F"/>
    <w:rsid w:val="00790560"/>
    <w:rsid w:val="00790AAE"/>
    <w:rsid w:val="00791C83"/>
    <w:rsid w:val="00791F74"/>
    <w:rsid w:val="007925DF"/>
    <w:rsid w:val="00792B51"/>
    <w:rsid w:val="007941A2"/>
    <w:rsid w:val="0079479A"/>
    <w:rsid w:val="007960D3"/>
    <w:rsid w:val="007964CB"/>
    <w:rsid w:val="007A08AA"/>
    <w:rsid w:val="007A0A12"/>
    <w:rsid w:val="007A0CA3"/>
    <w:rsid w:val="007A132D"/>
    <w:rsid w:val="007A1345"/>
    <w:rsid w:val="007A1516"/>
    <w:rsid w:val="007A19F7"/>
    <w:rsid w:val="007A2630"/>
    <w:rsid w:val="007A2DDB"/>
    <w:rsid w:val="007A4846"/>
    <w:rsid w:val="007A528C"/>
    <w:rsid w:val="007A5EA3"/>
    <w:rsid w:val="007A635F"/>
    <w:rsid w:val="007A63C0"/>
    <w:rsid w:val="007A70BA"/>
    <w:rsid w:val="007A7BDB"/>
    <w:rsid w:val="007B0479"/>
    <w:rsid w:val="007B0AD0"/>
    <w:rsid w:val="007B0D68"/>
    <w:rsid w:val="007B251D"/>
    <w:rsid w:val="007B2DDA"/>
    <w:rsid w:val="007B45A8"/>
    <w:rsid w:val="007B4E94"/>
    <w:rsid w:val="007B4F58"/>
    <w:rsid w:val="007B5275"/>
    <w:rsid w:val="007B528D"/>
    <w:rsid w:val="007B59FE"/>
    <w:rsid w:val="007B5AF7"/>
    <w:rsid w:val="007B5E2A"/>
    <w:rsid w:val="007B63CA"/>
    <w:rsid w:val="007B6F56"/>
    <w:rsid w:val="007B77D1"/>
    <w:rsid w:val="007B7A00"/>
    <w:rsid w:val="007C05C2"/>
    <w:rsid w:val="007C07C7"/>
    <w:rsid w:val="007C0D41"/>
    <w:rsid w:val="007C1CD9"/>
    <w:rsid w:val="007C32EF"/>
    <w:rsid w:val="007C361D"/>
    <w:rsid w:val="007C3DBB"/>
    <w:rsid w:val="007C4B84"/>
    <w:rsid w:val="007C60AD"/>
    <w:rsid w:val="007C70FF"/>
    <w:rsid w:val="007C7C25"/>
    <w:rsid w:val="007C7C39"/>
    <w:rsid w:val="007D004F"/>
    <w:rsid w:val="007D0254"/>
    <w:rsid w:val="007D0B38"/>
    <w:rsid w:val="007D1EF7"/>
    <w:rsid w:val="007D1F3C"/>
    <w:rsid w:val="007D2AA8"/>
    <w:rsid w:val="007D3954"/>
    <w:rsid w:val="007D46F6"/>
    <w:rsid w:val="007D4D03"/>
    <w:rsid w:val="007D5440"/>
    <w:rsid w:val="007D60D6"/>
    <w:rsid w:val="007D69EB"/>
    <w:rsid w:val="007D71FE"/>
    <w:rsid w:val="007D76D5"/>
    <w:rsid w:val="007D7B9A"/>
    <w:rsid w:val="007E128F"/>
    <w:rsid w:val="007E2C03"/>
    <w:rsid w:val="007E427F"/>
    <w:rsid w:val="007E483D"/>
    <w:rsid w:val="007E4A88"/>
    <w:rsid w:val="007E521A"/>
    <w:rsid w:val="007E63FD"/>
    <w:rsid w:val="007E6F20"/>
    <w:rsid w:val="007E726D"/>
    <w:rsid w:val="007F0AAC"/>
    <w:rsid w:val="007F1017"/>
    <w:rsid w:val="007F154A"/>
    <w:rsid w:val="007F174D"/>
    <w:rsid w:val="007F1B73"/>
    <w:rsid w:val="007F1D03"/>
    <w:rsid w:val="007F234F"/>
    <w:rsid w:val="007F4A3F"/>
    <w:rsid w:val="007F4A61"/>
    <w:rsid w:val="007F5255"/>
    <w:rsid w:val="007F56CC"/>
    <w:rsid w:val="007F58C5"/>
    <w:rsid w:val="007F61C2"/>
    <w:rsid w:val="007F782F"/>
    <w:rsid w:val="00800721"/>
    <w:rsid w:val="00800C60"/>
    <w:rsid w:val="008014FD"/>
    <w:rsid w:val="0080229B"/>
    <w:rsid w:val="00802AB8"/>
    <w:rsid w:val="00803BC2"/>
    <w:rsid w:val="00804330"/>
    <w:rsid w:val="00804A10"/>
    <w:rsid w:val="00805142"/>
    <w:rsid w:val="00805FCE"/>
    <w:rsid w:val="00807A8B"/>
    <w:rsid w:val="0081001C"/>
    <w:rsid w:val="00810576"/>
    <w:rsid w:val="00811383"/>
    <w:rsid w:val="008120A0"/>
    <w:rsid w:val="00812149"/>
    <w:rsid w:val="00812CAC"/>
    <w:rsid w:val="00812D90"/>
    <w:rsid w:val="00813DA8"/>
    <w:rsid w:val="00816361"/>
    <w:rsid w:val="008166EF"/>
    <w:rsid w:val="00816FEF"/>
    <w:rsid w:val="008208E2"/>
    <w:rsid w:val="00820A8C"/>
    <w:rsid w:val="00820AFA"/>
    <w:rsid w:val="008215FB"/>
    <w:rsid w:val="00821C14"/>
    <w:rsid w:val="0082229A"/>
    <w:rsid w:val="00822621"/>
    <w:rsid w:val="00822922"/>
    <w:rsid w:val="00822D99"/>
    <w:rsid w:val="00823174"/>
    <w:rsid w:val="008254F5"/>
    <w:rsid w:val="00825751"/>
    <w:rsid w:val="00825F6B"/>
    <w:rsid w:val="008264EB"/>
    <w:rsid w:val="00827BE5"/>
    <w:rsid w:val="008300AC"/>
    <w:rsid w:val="00831162"/>
    <w:rsid w:val="00831692"/>
    <w:rsid w:val="00832AFC"/>
    <w:rsid w:val="00832E0D"/>
    <w:rsid w:val="00833B05"/>
    <w:rsid w:val="008348DB"/>
    <w:rsid w:val="008362B4"/>
    <w:rsid w:val="00840CA2"/>
    <w:rsid w:val="00841B2E"/>
    <w:rsid w:val="00841D56"/>
    <w:rsid w:val="0084374F"/>
    <w:rsid w:val="008440C4"/>
    <w:rsid w:val="00844A22"/>
    <w:rsid w:val="00845F8D"/>
    <w:rsid w:val="00846F7D"/>
    <w:rsid w:val="0084709A"/>
    <w:rsid w:val="0084726C"/>
    <w:rsid w:val="00847703"/>
    <w:rsid w:val="0084784D"/>
    <w:rsid w:val="00847DF5"/>
    <w:rsid w:val="00850268"/>
    <w:rsid w:val="0085309D"/>
    <w:rsid w:val="008541A5"/>
    <w:rsid w:val="008542FE"/>
    <w:rsid w:val="008552E0"/>
    <w:rsid w:val="00855952"/>
    <w:rsid w:val="00855D6B"/>
    <w:rsid w:val="00855E26"/>
    <w:rsid w:val="00856897"/>
    <w:rsid w:val="00856A9A"/>
    <w:rsid w:val="00856AD8"/>
    <w:rsid w:val="00856CCC"/>
    <w:rsid w:val="00856E9A"/>
    <w:rsid w:val="00857E0D"/>
    <w:rsid w:val="0086075D"/>
    <w:rsid w:val="00860E5D"/>
    <w:rsid w:val="00860F96"/>
    <w:rsid w:val="0086161F"/>
    <w:rsid w:val="00861F8A"/>
    <w:rsid w:val="00862502"/>
    <w:rsid w:val="00862734"/>
    <w:rsid w:val="00862CC1"/>
    <w:rsid w:val="008638B6"/>
    <w:rsid w:val="00864FF1"/>
    <w:rsid w:val="008657B1"/>
    <w:rsid w:val="00865F45"/>
    <w:rsid w:val="008660D4"/>
    <w:rsid w:val="00866537"/>
    <w:rsid w:val="00866C83"/>
    <w:rsid w:val="00867C98"/>
    <w:rsid w:val="0087183A"/>
    <w:rsid w:val="00871EC5"/>
    <w:rsid w:val="00871FA9"/>
    <w:rsid w:val="0087229B"/>
    <w:rsid w:val="00872783"/>
    <w:rsid w:val="00872845"/>
    <w:rsid w:val="008728E9"/>
    <w:rsid w:val="0087293B"/>
    <w:rsid w:val="0087407E"/>
    <w:rsid w:val="008747EF"/>
    <w:rsid w:val="00874BE3"/>
    <w:rsid w:val="00876B6D"/>
    <w:rsid w:val="008776BD"/>
    <w:rsid w:val="00880C86"/>
    <w:rsid w:val="008811A6"/>
    <w:rsid w:val="00881662"/>
    <w:rsid w:val="00881AF2"/>
    <w:rsid w:val="00882874"/>
    <w:rsid w:val="00882AA4"/>
    <w:rsid w:val="00882E15"/>
    <w:rsid w:val="00882E3C"/>
    <w:rsid w:val="00883787"/>
    <w:rsid w:val="00885342"/>
    <w:rsid w:val="008855E4"/>
    <w:rsid w:val="008857D4"/>
    <w:rsid w:val="008857FD"/>
    <w:rsid w:val="0088683D"/>
    <w:rsid w:val="00886CD2"/>
    <w:rsid w:val="008875D9"/>
    <w:rsid w:val="00890D0F"/>
    <w:rsid w:val="00891943"/>
    <w:rsid w:val="00891E6F"/>
    <w:rsid w:val="0089275D"/>
    <w:rsid w:val="00892A36"/>
    <w:rsid w:val="00893239"/>
    <w:rsid w:val="0089445A"/>
    <w:rsid w:val="00894489"/>
    <w:rsid w:val="00894DCF"/>
    <w:rsid w:val="00894F32"/>
    <w:rsid w:val="0089606C"/>
    <w:rsid w:val="008961B2"/>
    <w:rsid w:val="008963A5"/>
    <w:rsid w:val="00896D5D"/>
    <w:rsid w:val="008A0DD0"/>
    <w:rsid w:val="008A24E0"/>
    <w:rsid w:val="008A2DDF"/>
    <w:rsid w:val="008A32F6"/>
    <w:rsid w:val="008A3363"/>
    <w:rsid w:val="008A3371"/>
    <w:rsid w:val="008A3C3E"/>
    <w:rsid w:val="008A79DE"/>
    <w:rsid w:val="008A7F80"/>
    <w:rsid w:val="008B014D"/>
    <w:rsid w:val="008B0B0F"/>
    <w:rsid w:val="008B1757"/>
    <w:rsid w:val="008B443A"/>
    <w:rsid w:val="008B7992"/>
    <w:rsid w:val="008B7D7E"/>
    <w:rsid w:val="008C0FEC"/>
    <w:rsid w:val="008C22A8"/>
    <w:rsid w:val="008C3519"/>
    <w:rsid w:val="008C4385"/>
    <w:rsid w:val="008C5610"/>
    <w:rsid w:val="008C5739"/>
    <w:rsid w:val="008C5C69"/>
    <w:rsid w:val="008C7298"/>
    <w:rsid w:val="008C7681"/>
    <w:rsid w:val="008C7ECB"/>
    <w:rsid w:val="008D1B2C"/>
    <w:rsid w:val="008D2206"/>
    <w:rsid w:val="008D23FC"/>
    <w:rsid w:val="008D2613"/>
    <w:rsid w:val="008D2B46"/>
    <w:rsid w:val="008D3B86"/>
    <w:rsid w:val="008D4079"/>
    <w:rsid w:val="008D43D4"/>
    <w:rsid w:val="008D4755"/>
    <w:rsid w:val="008D4C3D"/>
    <w:rsid w:val="008D5C60"/>
    <w:rsid w:val="008D743C"/>
    <w:rsid w:val="008D7BBD"/>
    <w:rsid w:val="008D7D29"/>
    <w:rsid w:val="008E0D3C"/>
    <w:rsid w:val="008E1B9E"/>
    <w:rsid w:val="008E30B0"/>
    <w:rsid w:val="008E4086"/>
    <w:rsid w:val="008E4228"/>
    <w:rsid w:val="008E4318"/>
    <w:rsid w:val="008E55AB"/>
    <w:rsid w:val="008F120A"/>
    <w:rsid w:val="008F27E0"/>
    <w:rsid w:val="008F3070"/>
    <w:rsid w:val="008F3077"/>
    <w:rsid w:val="008F3712"/>
    <w:rsid w:val="008F411E"/>
    <w:rsid w:val="008F48EB"/>
    <w:rsid w:val="008F4F0B"/>
    <w:rsid w:val="008F588B"/>
    <w:rsid w:val="008F6547"/>
    <w:rsid w:val="008F6B71"/>
    <w:rsid w:val="00900992"/>
    <w:rsid w:val="00900D9C"/>
    <w:rsid w:val="00901248"/>
    <w:rsid w:val="009024B5"/>
    <w:rsid w:val="009038D2"/>
    <w:rsid w:val="00903C97"/>
    <w:rsid w:val="009046C4"/>
    <w:rsid w:val="00904DCD"/>
    <w:rsid w:val="00905C05"/>
    <w:rsid w:val="009062A5"/>
    <w:rsid w:val="00907223"/>
    <w:rsid w:val="009106AD"/>
    <w:rsid w:val="00910F44"/>
    <w:rsid w:val="00910FA7"/>
    <w:rsid w:val="00911272"/>
    <w:rsid w:val="00911A77"/>
    <w:rsid w:val="009135D6"/>
    <w:rsid w:val="009139EB"/>
    <w:rsid w:val="00914A19"/>
    <w:rsid w:val="00914C77"/>
    <w:rsid w:val="00916875"/>
    <w:rsid w:val="00921725"/>
    <w:rsid w:val="00921ACB"/>
    <w:rsid w:val="0092369B"/>
    <w:rsid w:val="00924616"/>
    <w:rsid w:val="00925BD1"/>
    <w:rsid w:val="00925C48"/>
    <w:rsid w:val="00926360"/>
    <w:rsid w:val="00926D73"/>
    <w:rsid w:val="00926F6B"/>
    <w:rsid w:val="00931536"/>
    <w:rsid w:val="00933027"/>
    <w:rsid w:val="00933A57"/>
    <w:rsid w:val="00933D88"/>
    <w:rsid w:val="00934988"/>
    <w:rsid w:val="00934EA1"/>
    <w:rsid w:val="00935A94"/>
    <w:rsid w:val="00936223"/>
    <w:rsid w:val="00937089"/>
    <w:rsid w:val="00937DA7"/>
    <w:rsid w:val="009428CA"/>
    <w:rsid w:val="009439E2"/>
    <w:rsid w:val="00944602"/>
    <w:rsid w:val="00944F8A"/>
    <w:rsid w:val="009469F6"/>
    <w:rsid w:val="009510A2"/>
    <w:rsid w:val="0095122B"/>
    <w:rsid w:val="00952399"/>
    <w:rsid w:val="00952511"/>
    <w:rsid w:val="0095252D"/>
    <w:rsid w:val="00952671"/>
    <w:rsid w:val="00953216"/>
    <w:rsid w:val="00953257"/>
    <w:rsid w:val="0095474C"/>
    <w:rsid w:val="00954999"/>
    <w:rsid w:val="00954EB1"/>
    <w:rsid w:val="00954FA7"/>
    <w:rsid w:val="00955381"/>
    <w:rsid w:val="00955A72"/>
    <w:rsid w:val="00955F9C"/>
    <w:rsid w:val="00956FDD"/>
    <w:rsid w:val="009573AD"/>
    <w:rsid w:val="009576B5"/>
    <w:rsid w:val="00957D62"/>
    <w:rsid w:val="00957EFA"/>
    <w:rsid w:val="00960331"/>
    <w:rsid w:val="00960D9A"/>
    <w:rsid w:val="00962CB9"/>
    <w:rsid w:val="00962CBF"/>
    <w:rsid w:val="00962CDC"/>
    <w:rsid w:val="009631F7"/>
    <w:rsid w:val="00964312"/>
    <w:rsid w:val="0096447E"/>
    <w:rsid w:val="00964505"/>
    <w:rsid w:val="009645F8"/>
    <w:rsid w:val="00965B8A"/>
    <w:rsid w:val="00965CF6"/>
    <w:rsid w:val="0097071F"/>
    <w:rsid w:val="009717AC"/>
    <w:rsid w:val="00971B7D"/>
    <w:rsid w:val="00971BED"/>
    <w:rsid w:val="00972282"/>
    <w:rsid w:val="0097370B"/>
    <w:rsid w:val="0097493F"/>
    <w:rsid w:val="009751C1"/>
    <w:rsid w:val="00975525"/>
    <w:rsid w:val="0097586B"/>
    <w:rsid w:val="009760EA"/>
    <w:rsid w:val="009769D6"/>
    <w:rsid w:val="00977FB6"/>
    <w:rsid w:val="009803F7"/>
    <w:rsid w:val="009811F1"/>
    <w:rsid w:val="0098274C"/>
    <w:rsid w:val="009832E0"/>
    <w:rsid w:val="00983E57"/>
    <w:rsid w:val="0098510E"/>
    <w:rsid w:val="00985DE2"/>
    <w:rsid w:val="0098675D"/>
    <w:rsid w:val="009873AF"/>
    <w:rsid w:val="009900C1"/>
    <w:rsid w:val="00991075"/>
    <w:rsid w:val="00991748"/>
    <w:rsid w:val="009926E0"/>
    <w:rsid w:val="00993D9D"/>
    <w:rsid w:val="0099451E"/>
    <w:rsid w:val="0099570E"/>
    <w:rsid w:val="00996A49"/>
    <w:rsid w:val="00996B1A"/>
    <w:rsid w:val="00996C8B"/>
    <w:rsid w:val="00996F57"/>
    <w:rsid w:val="009A0E7B"/>
    <w:rsid w:val="009A2858"/>
    <w:rsid w:val="009A2DCC"/>
    <w:rsid w:val="009A2DEA"/>
    <w:rsid w:val="009A3502"/>
    <w:rsid w:val="009A437D"/>
    <w:rsid w:val="009A5ABC"/>
    <w:rsid w:val="009A74E6"/>
    <w:rsid w:val="009A7F10"/>
    <w:rsid w:val="009B0395"/>
    <w:rsid w:val="009B1626"/>
    <w:rsid w:val="009B2057"/>
    <w:rsid w:val="009B2404"/>
    <w:rsid w:val="009B313C"/>
    <w:rsid w:val="009B363F"/>
    <w:rsid w:val="009B3E26"/>
    <w:rsid w:val="009B42CB"/>
    <w:rsid w:val="009B549E"/>
    <w:rsid w:val="009B642E"/>
    <w:rsid w:val="009B7691"/>
    <w:rsid w:val="009C1390"/>
    <w:rsid w:val="009C19C5"/>
    <w:rsid w:val="009C32ED"/>
    <w:rsid w:val="009C3706"/>
    <w:rsid w:val="009C3A3A"/>
    <w:rsid w:val="009C4189"/>
    <w:rsid w:val="009C4E7B"/>
    <w:rsid w:val="009C6CEA"/>
    <w:rsid w:val="009C7B85"/>
    <w:rsid w:val="009D0254"/>
    <w:rsid w:val="009D04BC"/>
    <w:rsid w:val="009D08C1"/>
    <w:rsid w:val="009D1A64"/>
    <w:rsid w:val="009D2C20"/>
    <w:rsid w:val="009D30A1"/>
    <w:rsid w:val="009D3811"/>
    <w:rsid w:val="009D4771"/>
    <w:rsid w:val="009D5B91"/>
    <w:rsid w:val="009D792E"/>
    <w:rsid w:val="009E0995"/>
    <w:rsid w:val="009E0DFE"/>
    <w:rsid w:val="009E0F31"/>
    <w:rsid w:val="009E31F6"/>
    <w:rsid w:val="009E4C07"/>
    <w:rsid w:val="009E6D1C"/>
    <w:rsid w:val="009E75F4"/>
    <w:rsid w:val="009E75FF"/>
    <w:rsid w:val="009E7922"/>
    <w:rsid w:val="009F2830"/>
    <w:rsid w:val="009F3418"/>
    <w:rsid w:val="009F4649"/>
    <w:rsid w:val="009F54C0"/>
    <w:rsid w:val="009F56FA"/>
    <w:rsid w:val="009F5BD1"/>
    <w:rsid w:val="00A01184"/>
    <w:rsid w:val="00A01759"/>
    <w:rsid w:val="00A018FD"/>
    <w:rsid w:val="00A037C2"/>
    <w:rsid w:val="00A03D43"/>
    <w:rsid w:val="00A04380"/>
    <w:rsid w:val="00A05472"/>
    <w:rsid w:val="00A05508"/>
    <w:rsid w:val="00A05B2E"/>
    <w:rsid w:val="00A05C32"/>
    <w:rsid w:val="00A05E1D"/>
    <w:rsid w:val="00A06248"/>
    <w:rsid w:val="00A0653F"/>
    <w:rsid w:val="00A06DA8"/>
    <w:rsid w:val="00A06DD7"/>
    <w:rsid w:val="00A07188"/>
    <w:rsid w:val="00A1098F"/>
    <w:rsid w:val="00A11619"/>
    <w:rsid w:val="00A11CD0"/>
    <w:rsid w:val="00A13948"/>
    <w:rsid w:val="00A13ACD"/>
    <w:rsid w:val="00A1555B"/>
    <w:rsid w:val="00A155C5"/>
    <w:rsid w:val="00A16AD8"/>
    <w:rsid w:val="00A174B4"/>
    <w:rsid w:val="00A20533"/>
    <w:rsid w:val="00A21B64"/>
    <w:rsid w:val="00A21C95"/>
    <w:rsid w:val="00A21CF3"/>
    <w:rsid w:val="00A22463"/>
    <w:rsid w:val="00A24813"/>
    <w:rsid w:val="00A25D2E"/>
    <w:rsid w:val="00A27AEC"/>
    <w:rsid w:val="00A31739"/>
    <w:rsid w:val="00A31AE5"/>
    <w:rsid w:val="00A31CEE"/>
    <w:rsid w:val="00A320DB"/>
    <w:rsid w:val="00A35276"/>
    <w:rsid w:val="00A35692"/>
    <w:rsid w:val="00A357E3"/>
    <w:rsid w:val="00A35D16"/>
    <w:rsid w:val="00A36037"/>
    <w:rsid w:val="00A367E0"/>
    <w:rsid w:val="00A36A29"/>
    <w:rsid w:val="00A37341"/>
    <w:rsid w:val="00A37741"/>
    <w:rsid w:val="00A37BCD"/>
    <w:rsid w:val="00A40C0C"/>
    <w:rsid w:val="00A41689"/>
    <w:rsid w:val="00A42592"/>
    <w:rsid w:val="00A42D0E"/>
    <w:rsid w:val="00A43126"/>
    <w:rsid w:val="00A43C59"/>
    <w:rsid w:val="00A44589"/>
    <w:rsid w:val="00A44E70"/>
    <w:rsid w:val="00A45535"/>
    <w:rsid w:val="00A4760E"/>
    <w:rsid w:val="00A477CF"/>
    <w:rsid w:val="00A478EE"/>
    <w:rsid w:val="00A47C51"/>
    <w:rsid w:val="00A50DA5"/>
    <w:rsid w:val="00A50ECD"/>
    <w:rsid w:val="00A518F3"/>
    <w:rsid w:val="00A521F5"/>
    <w:rsid w:val="00A52729"/>
    <w:rsid w:val="00A52C28"/>
    <w:rsid w:val="00A53675"/>
    <w:rsid w:val="00A55AE2"/>
    <w:rsid w:val="00A564D7"/>
    <w:rsid w:val="00A5669E"/>
    <w:rsid w:val="00A56AD4"/>
    <w:rsid w:val="00A56B6A"/>
    <w:rsid w:val="00A578DC"/>
    <w:rsid w:val="00A57FCE"/>
    <w:rsid w:val="00A60A0D"/>
    <w:rsid w:val="00A619D1"/>
    <w:rsid w:val="00A61EAE"/>
    <w:rsid w:val="00A63251"/>
    <w:rsid w:val="00A63A16"/>
    <w:rsid w:val="00A640E2"/>
    <w:rsid w:val="00A646DC"/>
    <w:rsid w:val="00A64D65"/>
    <w:rsid w:val="00A65816"/>
    <w:rsid w:val="00A6691F"/>
    <w:rsid w:val="00A6725B"/>
    <w:rsid w:val="00A67360"/>
    <w:rsid w:val="00A677DD"/>
    <w:rsid w:val="00A70498"/>
    <w:rsid w:val="00A70605"/>
    <w:rsid w:val="00A712DA"/>
    <w:rsid w:val="00A72D4F"/>
    <w:rsid w:val="00A73134"/>
    <w:rsid w:val="00A744B0"/>
    <w:rsid w:val="00A747D1"/>
    <w:rsid w:val="00A7576B"/>
    <w:rsid w:val="00A757E4"/>
    <w:rsid w:val="00A7594D"/>
    <w:rsid w:val="00A76001"/>
    <w:rsid w:val="00A764A7"/>
    <w:rsid w:val="00A7657A"/>
    <w:rsid w:val="00A76C39"/>
    <w:rsid w:val="00A76DDE"/>
    <w:rsid w:val="00A774F2"/>
    <w:rsid w:val="00A77540"/>
    <w:rsid w:val="00A777B2"/>
    <w:rsid w:val="00A816F2"/>
    <w:rsid w:val="00A825D4"/>
    <w:rsid w:val="00A8281A"/>
    <w:rsid w:val="00A828F6"/>
    <w:rsid w:val="00A82B73"/>
    <w:rsid w:val="00A835C7"/>
    <w:rsid w:val="00A83B31"/>
    <w:rsid w:val="00A84461"/>
    <w:rsid w:val="00A84D36"/>
    <w:rsid w:val="00A866AC"/>
    <w:rsid w:val="00A86913"/>
    <w:rsid w:val="00A86E8B"/>
    <w:rsid w:val="00A87164"/>
    <w:rsid w:val="00A87173"/>
    <w:rsid w:val="00A91912"/>
    <w:rsid w:val="00A93072"/>
    <w:rsid w:val="00A938BD"/>
    <w:rsid w:val="00A93953"/>
    <w:rsid w:val="00A94779"/>
    <w:rsid w:val="00A9545B"/>
    <w:rsid w:val="00A959D8"/>
    <w:rsid w:val="00A963AD"/>
    <w:rsid w:val="00AA104E"/>
    <w:rsid w:val="00AA113D"/>
    <w:rsid w:val="00AA1775"/>
    <w:rsid w:val="00AA17C4"/>
    <w:rsid w:val="00AA3129"/>
    <w:rsid w:val="00AA31F6"/>
    <w:rsid w:val="00AA41BA"/>
    <w:rsid w:val="00AA6456"/>
    <w:rsid w:val="00AA6BD5"/>
    <w:rsid w:val="00AA6BD8"/>
    <w:rsid w:val="00AA6C7D"/>
    <w:rsid w:val="00AA7FD6"/>
    <w:rsid w:val="00AB042A"/>
    <w:rsid w:val="00AB1408"/>
    <w:rsid w:val="00AB1516"/>
    <w:rsid w:val="00AB19EF"/>
    <w:rsid w:val="00AB2D34"/>
    <w:rsid w:val="00AB3029"/>
    <w:rsid w:val="00AB3430"/>
    <w:rsid w:val="00AB37B9"/>
    <w:rsid w:val="00AB4AD1"/>
    <w:rsid w:val="00AB5E07"/>
    <w:rsid w:val="00AB6E5D"/>
    <w:rsid w:val="00AB7CFA"/>
    <w:rsid w:val="00AC0144"/>
    <w:rsid w:val="00AC0ABD"/>
    <w:rsid w:val="00AC1C43"/>
    <w:rsid w:val="00AC2A48"/>
    <w:rsid w:val="00AC5027"/>
    <w:rsid w:val="00AC5B48"/>
    <w:rsid w:val="00AC64C4"/>
    <w:rsid w:val="00AC6DD9"/>
    <w:rsid w:val="00AD1450"/>
    <w:rsid w:val="00AD1903"/>
    <w:rsid w:val="00AD2350"/>
    <w:rsid w:val="00AD28BE"/>
    <w:rsid w:val="00AD2CEF"/>
    <w:rsid w:val="00AD2EBF"/>
    <w:rsid w:val="00AD356F"/>
    <w:rsid w:val="00AD3F14"/>
    <w:rsid w:val="00AD6502"/>
    <w:rsid w:val="00AD795C"/>
    <w:rsid w:val="00AE0695"/>
    <w:rsid w:val="00AE0CAC"/>
    <w:rsid w:val="00AE11A2"/>
    <w:rsid w:val="00AE2029"/>
    <w:rsid w:val="00AE2520"/>
    <w:rsid w:val="00AE3B7E"/>
    <w:rsid w:val="00AE3E7E"/>
    <w:rsid w:val="00AE4876"/>
    <w:rsid w:val="00AF1315"/>
    <w:rsid w:val="00AF19BF"/>
    <w:rsid w:val="00AF2DC3"/>
    <w:rsid w:val="00AF4432"/>
    <w:rsid w:val="00AF498E"/>
    <w:rsid w:val="00AF5775"/>
    <w:rsid w:val="00AF589D"/>
    <w:rsid w:val="00AF65A0"/>
    <w:rsid w:val="00B01727"/>
    <w:rsid w:val="00B02497"/>
    <w:rsid w:val="00B032E3"/>
    <w:rsid w:val="00B033E5"/>
    <w:rsid w:val="00B03A63"/>
    <w:rsid w:val="00B04084"/>
    <w:rsid w:val="00B05314"/>
    <w:rsid w:val="00B07CA0"/>
    <w:rsid w:val="00B103BE"/>
    <w:rsid w:val="00B11B38"/>
    <w:rsid w:val="00B11BE0"/>
    <w:rsid w:val="00B12664"/>
    <w:rsid w:val="00B12851"/>
    <w:rsid w:val="00B136E0"/>
    <w:rsid w:val="00B13C29"/>
    <w:rsid w:val="00B14F06"/>
    <w:rsid w:val="00B15112"/>
    <w:rsid w:val="00B17311"/>
    <w:rsid w:val="00B17A6B"/>
    <w:rsid w:val="00B201A4"/>
    <w:rsid w:val="00B201D1"/>
    <w:rsid w:val="00B20EE4"/>
    <w:rsid w:val="00B213A6"/>
    <w:rsid w:val="00B22764"/>
    <w:rsid w:val="00B22F7C"/>
    <w:rsid w:val="00B22F9F"/>
    <w:rsid w:val="00B235B0"/>
    <w:rsid w:val="00B24DF6"/>
    <w:rsid w:val="00B254E5"/>
    <w:rsid w:val="00B25C1B"/>
    <w:rsid w:val="00B27146"/>
    <w:rsid w:val="00B27E4F"/>
    <w:rsid w:val="00B3096C"/>
    <w:rsid w:val="00B311C8"/>
    <w:rsid w:val="00B31327"/>
    <w:rsid w:val="00B3139A"/>
    <w:rsid w:val="00B32067"/>
    <w:rsid w:val="00B32B85"/>
    <w:rsid w:val="00B3365D"/>
    <w:rsid w:val="00B349BA"/>
    <w:rsid w:val="00B34F5C"/>
    <w:rsid w:val="00B34F9E"/>
    <w:rsid w:val="00B34FE2"/>
    <w:rsid w:val="00B35166"/>
    <w:rsid w:val="00B357D8"/>
    <w:rsid w:val="00B360F4"/>
    <w:rsid w:val="00B361CF"/>
    <w:rsid w:val="00B362AC"/>
    <w:rsid w:val="00B36A00"/>
    <w:rsid w:val="00B37BFC"/>
    <w:rsid w:val="00B40358"/>
    <w:rsid w:val="00B41614"/>
    <w:rsid w:val="00B41B6A"/>
    <w:rsid w:val="00B42851"/>
    <w:rsid w:val="00B42F80"/>
    <w:rsid w:val="00B435CB"/>
    <w:rsid w:val="00B44186"/>
    <w:rsid w:val="00B445E1"/>
    <w:rsid w:val="00B4593B"/>
    <w:rsid w:val="00B46701"/>
    <w:rsid w:val="00B5040F"/>
    <w:rsid w:val="00B505C8"/>
    <w:rsid w:val="00B50DB8"/>
    <w:rsid w:val="00B5228D"/>
    <w:rsid w:val="00B53654"/>
    <w:rsid w:val="00B53905"/>
    <w:rsid w:val="00B5450F"/>
    <w:rsid w:val="00B54B5B"/>
    <w:rsid w:val="00B5562E"/>
    <w:rsid w:val="00B55D65"/>
    <w:rsid w:val="00B567DC"/>
    <w:rsid w:val="00B57000"/>
    <w:rsid w:val="00B604A1"/>
    <w:rsid w:val="00B60939"/>
    <w:rsid w:val="00B60AFD"/>
    <w:rsid w:val="00B62715"/>
    <w:rsid w:val="00B6295E"/>
    <w:rsid w:val="00B65611"/>
    <w:rsid w:val="00B66E90"/>
    <w:rsid w:val="00B705CB"/>
    <w:rsid w:val="00B70B83"/>
    <w:rsid w:val="00B70E8E"/>
    <w:rsid w:val="00B72913"/>
    <w:rsid w:val="00B72918"/>
    <w:rsid w:val="00B72BAE"/>
    <w:rsid w:val="00B73329"/>
    <w:rsid w:val="00B76C92"/>
    <w:rsid w:val="00B77D4B"/>
    <w:rsid w:val="00B80C7B"/>
    <w:rsid w:val="00B818A4"/>
    <w:rsid w:val="00B81F1F"/>
    <w:rsid w:val="00B8333A"/>
    <w:rsid w:val="00B83AE5"/>
    <w:rsid w:val="00B84117"/>
    <w:rsid w:val="00B858F0"/>
    <w:rsid w:val="00B85AA2"/>
    <w:rsid w:val="00B861E1"/>
    <w:rsid w:val="00B8649C"/>
    <w:rsid w:val="00B867FE"/>
    <w:rsid w:val="00B8695D"/>
    <w:rsid w:val="00B86D46"/>
    <w:rsid w:val="00B87006"/>
    <w:rsid w:val="00B87F0A"/>
    <w:rsid w:val="00B904E5"/>
    <w:rsid w:val="00B9196F"/>
    <w:rsid w:val="00B92113"/>
    <w:rsid w:val="00B92D0B"/>
    <w:rsid w:val="00B934A5"/>
    <w:rsid w:val="00B93765"/>
    <w:rsid w:val="00B943F2"/>
    <w:rsid w:val="00B947FC"/>
    <w:rsid w:val="00B94945"/>
    <w:rsid w:val="00B94DD6"/>
    <w:rsid w:val="00B955C5"/>
    <w:rsid w:val="00B956F4"/>
    <w:rsid w:val="00B96CFB"/>
    <w:rsid w:val="00B976B3"/>
    <w:rsid w:val="00BA0D4B"/>
    <w:rsid w:val="00BA0EF7"/>
    <w:rsid w:val="00BA1508"/>
    <w:rsid w:val="00BA1BCF"/>
    <w:rsid w:val="00BA322D"/>
    <w:rsid w:val="00BA3A40"/>
    <w:rsid w:val="00BA41F4"/>
    <w:rsid w:val="00BA4580"/>
    <w:rsid w:val="00BA4DE9"/>
    <w:rsid w:val="00BA63FA"/>
    <w:rsid w:val="00BA7FCD"/>
    <w:rsid w:val="00BB00B3"/>
    <w:rsid w:val="00BB0BDD"/>
    <w:rsid w:val="00BB176C"/>
    <w:rsid w:val="00BB1F67"/>
    <w:rsid w:val="00BB286B"/>
    <w:rsid w:val="00BB2A73"/>
    <w:rsid w:val="00BB3A45"/>
    <w:rsid w:val="00BB3ED2"/>
    <w:rsid w:val="00BB4050"/>
    <w:rsid w:val="00BB4350"/>
    <w:rsid w:val="00BB4ACC"/>
    <w:rsid w:val="00BB648C"/>
    <w:rsid w:val="00BB703E"/>
    <w:rsid w:val="00BB732D"/>
    <w:rsid w:val="00BB7405"/>
    <w:rsid w:val="00BC2367"/>
    <w:rsid w:val="00BC240E"/>
    <w:rsid w:val="00BC3631"/>
    <w:rsid w:val="00BC391E"/>
    <w:rsid w:val="00BC47A9"/>
    <w:rsid w:val="00BC4EB9"/>
    <w:rsid w:val="00BC515B"/>
    <w:rsid w:val="00BC5255"/>
    <w:rsid w:val="00BC591F"/>
    <w:rsid w:val="00BC68D9"/>
    <w:rsid w:val="00BC69DA"/>
    <w:rsid w:val="00BC7186"/>
    <w:rsid w:val="00BC7789"/>
    <w:rsid w:val="00BC7D6D"/>
    <w:rsid w:val="00BD1EA0"/>
    <w:rsid w:val="00BD2108"/>
    <w:rsid w:val="00BD2E48"/>
    <w:rsid w:val="00BD5786"/>
    <w:rsid w:val="00BD68A3"/>
    <w:rsid w:val="00BD6938"/>
    <w:rsid w:val="00BD6CF3"/>
    <w:rsid w:val="00BE0A47"/>
    <w:rsid w:val="00BE0ECA"/>
    <w:rsid w:val="00BE133A"/>
    <w:rsid w:val="00BE2180"/>
    <w:rsid w:val="00BE21F2"/>
    <w:rsid w:val="00BE3415"/>
    <w:rsid w:val="00BE4198"/>
    <w:rsid w:val="00BE4275"/>
    <w:rsid w:val="00BF041C"/>
    <w:rsid w:val="00BF06AE"/>
    <w:rsid w:val="00BF0EB2"/>
    <w:rsid w:val="00BF0F95"/>
    <w:rsid w:val="00BF21D4"/>
    <w:rsid w:val="00BF2433"/>
    <w:rsid w:val="00BF2466"/>
    <w:rsid w:val="00BF3162"/>
    <w:rsid w:val="00BF31D9"/>
    <w:rsid w:val="00BF362F"/>
    <w:rsid w:val="00BF481C"/>
    <w:rsid w:val="00BF4826"/>
    <w:rsid w:val="00BF4B2B"/>
    <w:rsid w:val="00BF5A2F"/>
    <w:rsid w:val="00BF61C9"/>
    <w:rsid w:val="00BF65A4"/>
    <w:rsid w:val="00BF6C94"/>
    <w:rsid w:val="00BF70F9"/>
    <w:rsid w:val="00C00424"/>
    <w:rsid w:val="00C01E08"/>
    <w:rsid w:val="00C028D7"/>
    <w:rsid w:val="00C03266"/>
    <w:rsid w:val="00C032F2"/>
    <w:rsid w:val="00C0347E"/>
    <w:rsid w:val="00C03980"/>
    <w:rsid w:val="00C07CF1"/>
    <w:rsid w:val="00C10235"/>
    <w:rsid w:val="00C11116"/>
    <w:rsid w:val="00C1179F"/>
    <w:rsid w:val="00C125E8"/>
    <w:rsid w:val="00C12B23"/>
    <w:rsid w:val="00C12C14"/>
    <w:rsid w:val="00C15F04"/>
    <w:rsid w:val="00C16545"/>
    <w:rsid w:val="00C1660A"/>
    <w:rsid w:val="00C16DFC"/>
    <w:rsid w:val="00C17478"/>
    <w:rsid w:val="00C177D5"/>
    <w:rsid w:val="00C179B3"/>
    <w:rsid w:val="00C17E3F"/>
    <w:rsid w:val="00C200AA"/>
    <w:rsid w:val="00C2092D"/>
    <w:rsid w:val="00C21763"/>
    <w:rsid w:val="00C217A0"/>
    <w:rsid w:val="00C237ED"/>
    <w:rsid w:val="00C24632"/>
    <w:rsid w:val="00C2521D"/>
    <w:rsid w:val="00C25418"/>
    <w:rsid w:val="00C259B9"/>
    <w:rsid w:val="00C25D9C"/>
    <w:rsid w:val="00C26423"/>
    <w:rsid w:val="00C2778B"/>
    <w:rsid w:val="00C31649"/>
    <w:rsid w:val="00C31E4F"/>
    <w:rsid w:val="00C33483"/>
    <w:rsid w:val="00C34281"/>
    <w:rsid w:val="00C3434C"/>
    <w:rsid w:val="00C34C1C"/>
    <w:rsid w:val="00C352B5"/>
    <w:rsid w:val="00C361E0"/>
    <w:rsid w:val="00C361FA"/>
    <w:rsid w:val="00C37DD0"/>
    <w:rsid w:val="00C40385"/>
    <w:rsid w:val="00C404A9"/>
    <w:rsid w:val="00C405A7"/>
    <w:rsid w:val="00C4161A"/>
    <w:rsid w:val="00C41768"/>
    <w:rsid w:val="00C4253F"/>
    <w:rsid w:val="00C43EAC"/>
    <w:rsid w:val="00C46073"/>
    <w:rsid w:val="00C475AA"/>
    <w:rsid w:val="00C52696"/>
    <w:rsid w:val="00C53C98"/>
    <w:rsid w:val="00C5444A"/>
    <w:rsid w:val="00C54C8C"/>
    <w:rsid w:val="00C54CBF"/>
    <w:rsid w:val="00C55422"/>
    <w:rsid w:val="00C55A64"/>
    <w:rsid w:val="00C5645D"/>
    <w:rsid w:val="00C56FCF"/>
    <w:rsid w:val="00C57468"/>
    <w:rsid w:val="00C576F1"/>
    <w:rsid w:val="00C57B6C"/>
    <w:rsid w:val="00C603A4"/>
    <w:rsid w:val="00C605E0"/>
    <w:rsid w:val="00C607C9"/>
    <w:rsid w:val="00C628A6"/>
    <w:rsid w:val="00C628DC"/>
    <w:rsid w:val="00C64344"/>
    <w:rsid w:val="00C6456B"/>
    <w:rsid w:val="00C645EC"/>
    <w:rsid w:val="00C64AC7"/>
    <w:rsid w:val="00C65108"/>
    <w:rsid w:val="00C65576"/>
    <w:rsid w:val="00C66165"/>
    <w:rsid w:val="00C66388"/>
    <w:rsid w:val="00C66785"/>
    <w:rsid w:val="00C7060A"/>
    <w:rsid w:val="00C7151A"/>
    <w:rsid w:val="00C717E3"/>
    <w:rsid w:val="00C71F60"/>
    <w:rsid w:val="00C72241"/>
    <w:rsid w:val="00C734D8"/>
    <w:rsid w:val="00C74B5B"/>
    <w:rsid w:val="00C750C8"/>
    <w:rsid w:val="00C7529F"/>
    <w:rsid w:val="00C7560F"/>
    <w:rsid w:val="00C76DEE"/>
    <w:rsid w:val="00C80235"/>
    <w:rsid w:val="00C80A0E"/>
    <w:rsid w:val="00C8213F"/>
    <w:rsid w:val="00C8312F"/>
    <w:rsid w:val="00C8369B"/>
    <w:rsid w:val="00C83FB1"/>
    <w:rsid w:val="00C8419E"/>
    <w:rsid w:val="00C84B99"/>
    <w:rsid w:val="00C85154"/>
    <w:rsid w:val="00C86A57"/>
    <w:rsid w:val="00C86AF5"/>
    <w:rsid w:val="00C8797A"/>
    <w:rsid w:val="00C900B8"/>
    <w:rsid w:val="00C90717"/>
    <w:rsid w:val="00C908C2"/>
    <w:rsid w:val="00C90C71"/>
    <w:rsid w:val="00C915A4"/>
    <w:rsid w:val="00C91FD1"/>
    <w:rsid w:val="00C92EF7"/>
    <w:rsid w:val="00C931CF"/>
    <w:rsid w:val="00C938CF"/>
    <w:rsid w:val="00C93DA2"/>
    <w:rsid w:val="00C94053"/>
    <w:rsid w:val="00C95494"/>
    <w:rsid w:val="00C95CC6"/>
    <w:rsid w:val="00C961CA"/>
    <w:rsid w:val="00C9623C"/>
    <w:rsid w:val="00C9624D"/>
    <w:rsid w:val="00C967E4"/>
    <w:rsid w:val="00C969DA"/>
    <w:rsid w:val="00CA19C9"/>
    <w:rsid w:val="00CA2C77"/>
    <w:rsid w:val="00CA444F"/>
    <w:rsid w:val="00CA4DD3"/>
    <w:rsid w:val="00CA5245"/>
    <w:rsid w:val="00CA54F6"/>
    <w:rsid w:val="00CA71F4"/>
    <w:rsid w:val="00CA7B09"/>
    <w:rsid w:val="00CA7D96"/>
    <w:rsid w:val="00CB12A5"/>
    <w:rsid w:val="00CB1CAC"/>
    <w:rsid w:val="00CB2F2A"/>
    <w:rsid w:val="00CB441C"/>
    <w:rsid w:val="00CB44D7"/>
    <w:rsid w:val="00CB4CB2"/>
    <w:rsid w:val="00CB4DFA"/>
    <w:rsid w:val="00CB5B1A"/>
    <w:rsid w:val="00CB6B22"/>
    <w:rsid w:val="00CB7F5F"/>
    <w:rsid w:val="00CC066F"/>
    <w:rsid w:val="00CC0C31"/>
    <w:rsid w:val="00CC1B39"/>
    <w:rsid w:val="00CC2A11"/>
    <w:rsid w:val="00CC35EA"/>
    <w:rsid w:val="00CC3848"/>
    <w:rsid w:val="00CC3FA6"/>
    <w:rsid w:val="00CC4283"/>
    <w:rsid w:val="00CC67C0"/>
    <w:rsid w:val="00CC6D8F"/>
    <w:rsid w:val="00CD0EEB"/>
    <w:rsid w:val="00CD19B3"/>
    <w:rsid w:val="00CD2983"/>
    <w:rsid w:val="00CD3F77"/>
    <w:rsid w:val="00CD5160"/>
    <w:rsid w:val="00CD5AEB"/>
    <w:rsid w:val="00CD6A06"/>
    <w:rsid w:val="00CD6ADC"/>
    <w:rsid w:val="00CD7193"/>
    <w:rsid w:val="00CE18DB"/>
    <w:rsid w:val="00CE2021"/>
    <w:rsid w:val="00CE29F7"/>
    <w:rsid w:val="00CE2CAA"/>
    <w:rsid w:val="00CE38C8"/>
    <w:rsid w:val="00CE4807"/>
    <w:rsid w:val="00CE6274"/>
    <w:rsid w:val="00CE62B1"/>
    <w:rsid w:val="00CE77B6"/>
    <w:rsid w:val="00CF0346"/>
    <w:rsid w:val="00CF0877"/>
    <w:rsid w:val="00CF2B8D"/>
    <w:rsid w:val="00CF3188"/>
    <w:rsid w:val="00CF395E"/>
    <w:rsid w:val="00CF456B"/>
    <w:rsid w:val="00CF4625"/>
    <w:rsid w:val="00CF47BB"/>
    <w:rsid w:val="00CF5A22"/>
    <w:rsid w:val="00D0226C"/>
    <w:rsid w:val="00D0262E"/>
    <w:rsid w:val="00D02E56"/>
    <w:rsid w:val="00D02F03"/>
    <w:rsid w:val="00D033EB"/>
    <w:rsid w:val="00D0361C"/>
    <w:rsid w:val="00D03B8F"/>
    <w:rsid w:val="00D04D95"/>
    <w:rsid w:val="00D05837"/>
    <w:rsid w:val="00D05AB9"/>
    <w:rsid w:val="00D05E3D"/>
    <w:rsid w:val="00D06139"/>
    <w:rsid w:val="00D06EEF"/>
    <w:rsid w:val="00D07DC4"/>
    <w:rsid w:val="00D10002"/>
    <w:rsid w:val="00D10A00"/>
    <w:rsid w:val="00D110BD"/>
    <w:rsid w:val="00D11752"/>
    <w:rsid w:val="00D13675"/>
    <w:rsid w:val="00D141E1"/>
    <w:rsid w:val="00D1461A"/>
    <w:rsid w:val="00D14F54"/>
    <w:rsid w:val="00D15314"/>
    <w:rsid w:val="00D16529"/>
    <w:rsid w:val="00D16F7C"/>
    <w:rsid w:val="00D17090"/>
    <w:rsid w:val="00D173B1"/>
    <w:rsid w:val="00D17497"/>
    <w:rsid w:val="00D17D6C"/>
    <w:rsid w:val="00D2010A"/>
    <w:rsid w:val="00D2155B"/>
    <w:rsid w:val="00D21AFA"/>
    <w:rsid w:val="00D21DED"/>
    <w:rsid w:val="00D229C9"/>
    <w:rsid w:val="00D229FA"/>
    <w:rsid w:val="00D22AA5"/>
    <w:rsid w:val="00D23D11"/>
    <w:rsid w:val="00D244B6"/>
    <w:rsid w:val="00D24FB1"/>
    <w:rsid w:val="00D25212"/>
    <w:rsid w:val="00D25A5F"/>
    <w:rsid w:val="00D26A00"/>
    <w:rsid w:val="00D26EFE"/>
    <w:rsid w:val="00D2744C"/>
    <w:rsid w:val="00D2754D"/>
    <w:rsid w:val="00D276FA"/>
    <w:rsid w:val="00D27B27"/>
    <w:rsid w:val="00D30455"/>
    <w:rsid w:val="00D313E9"/>
    <w:rsid w:val="00D31CB3"/>
    <w:rsid w:val="00D32D47"/>
    <w:rsid w:val="00D33568"/>
    <w:rsid w:val="00D33BE9"/>
    <w:rsid w:val="00D33F93"/>
    <w:rsid w:val="00D3552D"/>
    <w:rsid w:val="00D35555"/>
    <w:rsid w:val="00D357FF"/>
    <w:rsid w:val="00D359E3"/>
    <w:rsid w:val="00D36EA0"/>
    <w:rsid w:val="00D41844"/>
    <w:rsid w:val="00D424C7"/>
    <w:rsid w:val="00D42FA7"/>
    <w:rsid w:val="00D4309F"/>
    <w:rsid w:val="00D43B2A"/>
    <w:rsid w:val="00D43D83"/>
    <w:rsid w:val="00D43EE7"/>
    <w:rsid w:val="00D443C7"/>
    <w:rsid w:val="00D44CC5"/>
    <w:rsid w:val="00D47575"/>
    <w:rsid w:val="00D47862"/>
    <w:rsid w:val="00D518C8"/>
    <w:rsid w:val="00D5243B"/>
    <w:rsid w:val="00D53236"/>
    <w:rsid w:val="00D533EC"/>
    <w:rsid w:val="00D5455D"/>
    <w:rsid w:val="00D552A1"/>
    <w:rsid w:val="00D55391"/>
    <w:rsid w:val="00D553C6"/>
    <w:rsid w:val="00D56A95"/>
    <w:rsid w:val="00D56F8F"/>
    <w:rsid w:val="00D57E4E"/>
    <w:rsid w:val="00D57EB7"/>
    <w:rsid w:val="00D60576"/>
    <w:rsid w:val="00D607B1"/>
    <w:rsid w:val="00D63077"/>
    <w:rsid w:val="00D6387D"/>
    <w:rsid w:val="00D648F5"/>
    <w:rsid w:val="00D65FA4"/>
    <w:rsid w:val="00D668BF"/>
    <w:rsid w:val="00D67800"/>
    <w:rsid w:val="00D70750"/>
    <w:rsid w:val="00D70B3A"/>
    <w:rsid w:val="00D70F16"/>
    <w:rsid w:val="00D710C5"/>
    <w:rsid w:val="00D72F57"/>
    <w:rsid w:val="00D730EB"/>
    <w:rsid w:val="00D73BF2"/>
    <w:rsid w:val="00D75425"/>
    <w:rsid w:val="00D76A44"/>
    <w:rsid w:val="00D76F12"/>
    <w:rsid w:val="00D815EF"/>
    <w:rsid w:val="00D81F26"/>
    <w:rsid w:val="00D86231"/>
    <w:rsid w:val="00D86DCA"/>
    <w:rsid w:val="00D918AD"/>
    <w:rsid w:val="00D91923"/>
    <w:rsid w:val="00D92264"/>
    <w:rsid w:val="00D92707"/>
    <w:rsid w:val="00D92B92"/>
    <w:rsid w:val="00D93753"/>
    <w:rsid w:val="00D949DD"/>
    <w:rsid w:val="00D96841"/>
    <w:rsid w:val="00D97E11"/>
    <w:rsid w:val="00DA1B0B"/>
    <w:rsid w:val="00DA3037"/>
    <w:rsid w:val="00DA3088"/>
    <w:rsid w:val="00DA3167"/>
    <w:rsid w:val="00DA39C1"/>
    <w:rsid w:val="00DA420E"/>
    <w:rsid w:val="00DA4DC3"/>
    <w:rsid w:val="00DA5FDB"/>
    <w:rsid w:val="00DA6140"/>
    <w:rsid w:val="00DA6ADF"/>
    <w:rsid w:val="00DA77A5"/>
    <w:rsid w:val="00DB1391"/>
    <w:rsid w:val="00DB3DBF"/>
    <w:rsid w:val="00DB3F26"/>
    <w:rsid w:val="00DB44B1"/>
    <w:rsid w:val="00DB484F"/>
    <w:rsid w:val="00DB58B1"/>
    <w:rsid w:val="00DC04F6"/>
    <w:rsid w:val="00DC0690"/>
    <w:rsid w:val="00DC1D65"/>
    <w:rsid w:val="00DC27EE"/>
    <w:rsid w:val="00DC33D2"/>
    <w:rsid w:val="00DC3C57"/>
    <w:rsid w:val="00DC4076"/>
    <w:rsid w:val="00DC51A6"/>
    <w:rsid w:val="00DC5501"/>
    <w:rsid w:val="00DC7154"/>
    <w:rsid w:val="00DC7E8A"/>
    <w:rsid w:val="00DD0F78"/>
    <w:rsid w:val="00DD1417"/>
    <w:rsid w:val="00DD166D"/>
    <w:rsid w:val="00DD21BD"/>
    <w:rsid w:val="00DD273C"/>
    <w:rsid w:val="00DD2975"/>
    <w:rsid w:val="00DD2BAF"/>
    <w:rsid w:val="00DD3F28"/>
    <w:rsid w:val="00DD4537"/>
    <w:rsid w:val="00DD46B3"/>
    <w:rsid w:val="00DD4E15"/>
    <w:rsid w:val="00DD5CA7"/>
    <w:rsid w:val="00DD6167"/>
    <w:rsid w:val="00DD79FD"/>
    <w:rsid w:val="00DE054A"/>
    <w:rsid w:val="00DE0CCB"/>
    <w:rsid w:val="00DE2304"/>
    <w:rsid w:val="00DE30EC"/>
    <w:rsid w:val="00DE3138"/>
    <w:rsid w:val="00DE34ED"/>
    <w:rsid w:val="00DE37F8"/>
    <w:rsid w:val="00DE467A"/>
    <w:rsid w:val="00DE4FCB"/>
    <w:rsid w:val="00DE5D07"/>
    <w:rsid w:val="00DE72A7"/>
    <w:rsid w:val="00DE755C"/>
    <w:rsid w:val="00DE75DA"/>
    <w:rsid w:val="00DE777E"/>
    <w:rsid w:val="00DE7832"/>
    <w:rsid w:val="00DE7CF2"/>
    <w:rsid w:val="00DE7E3B"/>
    <w:rsid w:val="00DF0CFF"/>
    <w:rsid w:val="00DF149D"/>
    <w:rsid w:val="00DF184B"/>
    <w:rsid w:val="00DF18FC"/>
    <w:rsid w:val="00DF3FC6"/>
    <w:rsid w:val="00DF41FE"/>
    <w:rsid w:val="00DF443A"/>
    <w:rsid w:val="00DF5128"/>
    <w:rsid w:val="00DF5D2B"/>
    <w:rsid w:val="00E00E8E"/>
    <w:rsid w:val="00E01C90"/>
    <w:rsid w:val="00E0270D"/>
    <w:rsid w:val="00E05400"/>
    <w:rsid w:val="00E05630"/>
    <w:rsid w:val="00E0579B"/>
    <w:rsid w:val="00E05D1D"/>
    <w:rsid w:val="00E06944"/>
    <w:rsid w:val="00E06DBB"/>
    <w:rsid w:val="00E10149"/>
    <w:rsid w:val="00E10FE4"/>
    <w:rsid w:val="00E11340"/>
    <w:rsid w:val="00E122A1"/>
    <w:rsid w:val="00E15A61"/>
    <w:rsid w:val="00E16372"/>
    <w:rsid w:val="00E1748E"/>
    <w:rsid w:val="00E206BE"/>
    <w:rsid w:val="00E20E4D"/>
    <w:rsid w:val="00E20ED6"/>
    <w:rsid w:val="00E20FFC"/>
    <w:rsid w:val="00E21358"/>
    <w:rsid w:val="00E2249B"/>
    <w:rsid w:val="00E2249C"/>
    <w:rsid w:val="00E228FB"/>
    <w:rsid w:val="00E22A0D"/>
    <w:rsid w:val="00E244F6"/>
    <w:rsid w:val="00E26D38"/>
    <w:rsid w:val="00E2771E"/>
    <w:rsid w:val="00E3059A"/>
    <w:rsid w:val="00E311EF"/>
    <w:rsid w:val="00E312E9"/>
    <w:rsid w:val="00E319E8"/>
    <w:rsid w:val="00E32180"/>
    <w:rsid w:val="00E33323"/>
    <w:rsid w:val="00E34948"/>
    <w:rsid w:val="00E34962"/>
    <w:rsid w:val="00E372C3"/>
    <w:rsid w:val="00E37569"/>
    <w:rsid w:val="00E401B2"/>
    <w:rsid w:val="00E402FD"/>
    <w:rsid w:val="00E40B50"/>
    <w:rsid w:val="00E41E30"/>
    <w:rsid w:val="00E428BA"/>
    <w:rsid w:val="00E42F73"/>
    <w:rsid w:val="00E43D70"/>
    <w:rsid w:val="00E43EAB"/>
    <w:rsid w:val="00E44C3D"/>
    <w:rsid w:val="00E44E56"/>
    <w:rsid w:val="00E45DE6"/>
    <w:rsid w:val="00E466F3"/>
    <w:rsid w:val="00E478E1"/>
    <w:rsid w:val="00E47B2C"/>
    <w:rsid w:val="00E51560"/>
    <w:rsid w:val="00E51764"/>
    <w:rsid w:val="00E5376F"/>
    <w:rsid w:val="00E53FC8"/>
    <w:rsid w:val="00E5416E"/>
    <w:rsid w:val="00E54347"/>
    <w:rsid w:val="00E55424"/>
    <w:rsid w:val="00E55915"/>
    <w:rsid w:val="00E55BB5"/>
    <w:rsid w:val="00E568E9"/>
    <w:rsid w:val="00E60D3A"/>
    <w:rsid w:val="00E613C4"/>
    <w:rsid w:val="00E61879"/>
    <w:rsid w:val="00E62C7B"/>
    <w:rsid w:val="00E633AB"/>
    <w:rsid w:val="00E64BFC"/>
    <w:rsid w:val="00E65E79"/>
    <w:rsid w:val="00E66145"/>
    <w:rsid w:val="00E66BA2"/>
    <w:rsid w:val="00E67416"/>
    <w:rsid w:val="00E67E71"/>
    <w:rsid w:val="00E70146"/>
    <w:rsid w:val="00E70873"/>
    <w:rsid w:val="00E718B6"/>
    <w:rsid w:val="00E723BA"/>
    <w:rsid w:val="00E729CD"/>
    <w:rsid w:val="00E72F38"/>
    <w:rsid w:val="00E73581"/>
    <w:rsid w:val="00E745EA"/>
    <w:rsid w:val="00E74D89"/>
    <w:rsid w:val="00E7579D"/>
    <w:rsid w:val="00E764FA"/>
    <w:rsid w:val="00E800FF"/>
    <w:rsid w:val="00E8049E"/>
    <w:rsid w:val="00E805C9"/>
    <w:rsid w:val="00E80EB3"/>
    <w:rsid w:val="00E8170F"/>
    <w:rsid w:val="00E82167"/>
    <w:rsid w:val="00E833F7"/>
    <w:rsid w:val="00E83BDF"/>
    <w:rsid w:val="00E841DF"/>
    <w:rsid w:val="00E85AD0"/>
    <w:rsid w:val="00E85C50"/>
    <w:rsid w:val="00E861E4"/>
    <w:rsid w:val="00E87760"/>
    <w:rsid w:val="00E878D7"/>
    <w:rsid w:val="00E87A1D"/>
    <w:rsid w:val="00E87DAA"/>
    <w:rsid w:val="00E9094A"/>
    <w:rsid w:val="00E90FD1"/>
    <w:rsid w:val="00E9173A"/>
    <w:rsid w:val="00E91D35"/>
    <w:rsid w:val="00E926A5"/>
    <w:rsid w:val="00E94010"/>
    <w:rsid w:val="00E960DD"/>
    <w:rsid w:val="00EA0447"/>
    <w:rsid w:val="00EA12A7"/>
    <w:rsid w:val="00EA17C3"/>
    <w:rsid w:val="00EA1900"/>
    <w:rsid w:val="00EA24E1"/>
    <w:rsid w:val="00EA2CAA"/>
    <w:rsid w:val="00EA3864"/>
    <w:rsid w:val="00EA3D93"/>
    <w:rsid w:val="00EA5AA3"/>
    <w:rsid w:val="00EA652B"/>
    <w:rsid w:val="00EA7618"/>
    <w:rsid w:val="00EA7B8C"/>
    <w:rsid w:val="00EA7F1C"/>
    <w:rsid w:val="00EA7FA4"/>
    <w:rsid w:val="00EB15B6"/>
    <w:rsid w:val="00EB1602"/>
    <w:rsid w:val="00EB18FE"/>
    <w:rsid w:val="00EB33F8"/>
    <w:rsid w:val="00EB3D06"/>
    <w:rsid w:val="00EB3E32"/>
    <w:rsid w:val="00EB4916"/>
    <w:rsid w:val="00EB4F93"/>
    <w:rsid w:val="00EB50DF"/>
    <w:rsid w:val="00EB5D37"/>
    <w:rsid w:val="00EB5DF8"/>
    <w:rsid w:val="00EB6192"/>
    <w:rsid w:val="00EB6748"/>
    <w:rsid w:val="00EB704C"/>
    <w:rsid w:val="00EC00C9"/>
    <w:rsid w:val="00EC0DD9"/>
    <w:rsid w:val="00EC2217"/>
    <w:rsid w:val="00EC23BD"/>
    <w:rsid w:val="00EC2599"/>
    <w:rsid w:val="00EC2649"/>
    <w:rsid w:val="00EC2BF4"/>
    <w:rsid w:val="00EC31ED"/>
    <w:rsid w:val="00EC3C67"/>
    <w:rsid w:val="00EC3CC7"/>
    <w:rsid w:val="00EC492A"/>
    <w:rsid w:val="00EC4FC4"/>
    <w:rsid w:val="00EC5836"/>
    <w:rsid w:val="00EC688C"/>
    <w:rsid w:val="00EC6EE7"/>
    <w:rsid w:val="00EC75EB"/>
    <w:rsid w:val="00ED0ED8"/>
    <w:rsid w:val="00ED2C20"/>
    <w:rsid w:val="00ED349D"/>
    <w:rsid w:val="00ED4DB4"/>
    <w:rsid w:val="00ED4E28"/>
    <w:rsid w:val="00ED52E2"/>
    <w:rsid w:val="00ED57EA"/>
    <w:rsid w:val="00ED5BD4"/>
    <w:rsid w:val="00ED61F5"/>
    <w:rsid w:val="00ED69E1"/>
    <w:rsid w:val="00EE0358"/>
    <w:rsid w:val="00EE052B"/>
    <w:rsid w:val="00EE07D3"/>
    <w:rsid w:val="00EE08E3"/>
    <w:rsid w:val="00EE0FE2"/>
    <w:rsid w:val="00EE10AF"/>
    <w:rsid w:val="00EE10F1"/>
    <w:rsid w:val="00EE1996"/>
    <w:rsid w:val="00EE1C01"/>
    <w:rsid w:val="00EE22AF"/>
    <w:rsid w:val="00EE2892"/>
    <w:rsid w:val="00EE48EF"/>
    <w:rsid w:val="00EE6541"/>
    <w:rsid w:val="00EF0171"/>
    <w:rsid w:val="00EF1B25"/>
    <w:rsid w:val="00EF1BE4"/>
    <w:rsid w:val="00EF1DA0"/>
    <w:rsid w:val="00EF1E4B"/>
    <w:rsid w:val="00EF2576"/>
    <w:rsid w:val="00EF2AD0"/>
    <w:rsid w:val="00EF33E4"/>
    <w:rsid w:val="00EF46AC"/>
    <w:rsid w:val="00EF4747"/>
    <w:rsid w:val="00EF49FD"/>
    <w:rsid w:val="00EF4BF8"/>
    <w:rsid w:val="00EF6960"/>
    <w:rsid w:val="00EF7067"/>
    <w:rsid w:val="00EF71BB"/>
    <w:rsid w:val="00F0105A"/>
    <w:rsid w:val="00F012DF"/>
    <w:rsid w:val="00F02253"/>
    <w:rsid w:val="00F0265E"/>
    <w:rsid w:val="00F03622"/>
    <w:rsid w:val="00F03C2E"/>
    <w:rsid w:val="00F04A66"/>
    <w:rsid w:val="00F04B4B"/>
    <w:rsid w:val="00F04CDC"/>
    <w:rsid w:val="00F0516C"/>
    <w:rsid w:val="00F067A2"/>
    <w:rsid w:val="00F07B9E"/>
    <w:rsid w:val="00F10021"/>
    <w:rsid w:val="00F102B6"/>
    <w:rsid w:val="00F10AD1"/>
    <w:rsid w:val="00F11016"/>
    <w:rsid w:val="00F1116F"/>
    <w:rsid w:val="00F11483"/>
    <w:rsid w:val="00F121A6"/>
    <w:rsid w:val="00F1263A"/>
    <w:rsid w:val="00F12CEA"/>
    <w:rsid w:val="00F1422D"/>
    <w:rsid w:val="00F1534B"/>
    <w:rsid w:val="00F1576C"/>
    <w:rsid w:val="00F15B77"/>
    <w:rsid w:val="00F15C07"/>
    <w:rsid w:val="00F15D64"/>
    <w:rsid w:val="00F1700A"/>
    <w:rsid w:val="00F170CA"/>
    <w:rsid w:val="00F201DF"/>
    <w:rsid w:val="00F23B55"/>
    <w:rsid w:val="00F2425D"/>
    <w:rsid w:val="00F2456B"/>
    <w:rsid w:val="00F24837"/>
    <w:rsid w:val="00F24A23"/>
    <w:rsid w:val="00F2575F"/>
    <w:rsid w:val="00F26C7E"/>
    <w:rsid w:val="00F27565"/>
    <w:rsid w:val="00F278B6"/>
    <w:rsid w:val="00F308B1"/>
    <w:rsid w:val="00F310D4"/>
    <w:rsid w:val="00F31318"/>
    <w:rsid w:val="00F31D5A"/>
    <w:rsid w:val="00F33975"/>
    <w:rsid w:val="00F33DE9"/>
    <w:rsid w:val="00F34AF6"/>
    <w:rsid w:val="00F355CC"/>
    <w:rsid w:val="00F357BD"/>
    <w:rsid w:val="00F35E6D"/>
    <w:rsid w:val="00F3619A"/>
    <w:rsid w:val="00F36456"/>
    <w:rsid w:val="00F36544"/>
    <w:rsid w:val="00F36B99"/>
    <w:rsid w:val="00F40AAA"/>
    <w:rsid w:val="00F40BA7"/>
    <w:rsid w:val="00F40F9D"/>
    <w:rsid w:val="00F4119C"/>
    <w:rsid w:val="00F415B1"/>
    <w:rsid w:val="00F41ACD"/>
    <w:rsid w:val="00F41FF8"/>
    <w:rsid w:val="00F4246D"/>
    <w:rsid w:val="00F42CC8"/>
    <w:rsid w:val="00F43DDD"/>
    <w:rsid w:val="00F44D78"/>
    <w:rsid w:val="00F46769"/>
    <w:rsid w:val="00F467FF"/>
    <w:rsid w:val="00F4680E"/>
    <w:rsid w:val="00F46CB6"/>
    <w:rsid w:val="00F47531"/>
    <w:rsid w:val="00F4756D"/>
    <w:rsid w:val="00F47DE8"/>
    <w:rsid w:val="00F47F41"/>
    <w:rsid w:val="00F50111"/>
    <w:rsid w:val="00F507A2"/>
    <w:rsid w:val="00F52DC1"/>
    <w:rsid w:val="00F53A8A"/>
    <w:rsid w:val="00F53F9F"/>
    <w:rsid w:val="00F542C1"/>
    <w:rsid w:val="00F55257"/>
    <w:rsid w:val="00F554E7"/>
    <w:rsid w:val="00F55E73"/>
    <w:rsid w:val="00F55EDA"/>
    <w:rsid w:val="00F56C80"/>
    <w:rsid w:val="00F570E2"/>
    <w:rsid w:val="00F57DF4"/>
    <w:rsid w:val="00F57EEB"/>
    <w:rsid w:val="00F60092"/>
    <w:rsid w:val="00F61C18"/>
    <w:rsid w:val="00F61EE5"/>
    <w:rsid w:val="00F63840"/>
    <w:rsid w:val="00F651A4"/>
    <w:rsid w:val="00F659C9"/>
    <w:rsid w:val="00F65F4B"/>
    <w:rsid w:val="00F6612C"/>
    <w:rsid w:val="00F66F15"/>
    <w:rsid w:val="00F67642"/>
    <w:rsid w:val="00F679FA"/>
    <w:rsid w:val="00F67A69"/>
    <w:rsid w:val="00F70BFF"/>
    <w:rsid w:val="00F70C9D"/>
    <w:rsid w:val="00F70D9E"/>
    <w:rsid w:val="00F71894"/>
    <w:rsid w:val="00F72BFE"/>
    <w:rsid w:val="00F74BC5"/>
    <w:rsid w:val="00F74CD9"/>
    <w:rsid w:val="00F7518B"/>
    <w:rsid w:val="00F7577F"/>
    <w:rsid w:val="00F772A0"/>
    <w:rsid w:val="00F77A71"/>
    <w:rsid w:val="00F80423"/>
    <w:rsid w:val="00F80A7B"/>
    <w:rsid w:val="00F80E5D"/>
    <w:rsid w:val="00F819FF"/>
    <w:rsid w:val="00F81E78"/>
    <w:rsid w:val="00F8319C"/>
    <w:rsid w:val="00F83E3A"/>
    <w:rsid w:val="00F83EB0"/>
    <w:rsid w:val="00F851CE"/>
    <w:rsid w:val="00F854DF"/>
    <w:rsid w:val="00F85607"/>
    <w:rsid w:val="00F87977"/>
    <w:rsid w:val="00F9087A"/>
    <w:rsid w:val="00F90936"/>
    <w:rsid w:val="00F90DEA"/>
    <w:rsid w:val="00F91219"/>
    <w:rsid w:val="00F92444"/>
    <w:rsid w:val="00F92DC3"/>
    <w:rsid w:val="00F9393E"/>
    <w:rsid w:val="00F95137"/>
    <w:rsid w:val="00F96D04"/>
    <w:rsid w:val="00F96E70"/>
    <w:rsid w:val="00F96FD0"/>
    <w:rsid w:val="00F9742F"/>
    <w:rsid w:val="00F97A78"/>
    <w:rsid w:val="00FA0434"/>
    <w:rsid w:val="00FA0B20"/>
    <w:rsid w:val="00FA0D57"/>
    <w:rsid w:val="00FA24E7"/>
    <w:rsid w:val="00FA2D60"/>
    <w:rsid w:val="00FA3DB2"/>
    <w:rsid w:val="00FA40F9"/>
    <w:rsid w:val="00FA4359"/>
    <w:rsid w:val="00FA4F87"/>
    <w:rsid w:val="00FA5070"/>
    <w:rsid w:val="00FA5EE6"/>
    <w:rsid w:val="00FA6739"/>
    <w:rsid w:val="00FA6D3A"/>
    <w:rsid w:val="00FA7956"/>
    <w:rsid w:val="00FA7AEC"/>
    <w:rsid w:val="00FA7E2B"/>
    <w:rsid w:val="00FB0914"/>
    <w:rsid w:val="00FB0985"/>
    <w:rsid w:val="00FB1258"/>
    <w:rsid w:val="00FB2FCB"/>
    <w:rsid w:val="00FB3760"/>
    <w:rsid w:val="00FB3FA3"/>
    <w:rsid w:val="00FB3FAF"/>
    <w:rsid w:val="00FB683E"/>
    <w:rsid w:val="00FB7C55"/>
    <w:rsid w:val="00FC06B4"/>
    <w:rsid w:val="00FC0C3C"/>
    <w:rsid w:val="00FC1074"/>
    <w:rsid w:val="00FC160A"/>
    <w:rsid w:val="00FC1884"/>
    <w:rsid w:val="00FC371D"/>
    <w:rsid w:val="00FC4506"/>
    <w:rsid w:val="00FC510F"/>
    <w:rsid w:val="00FC5556"/>
    <w:rsid w:val="00FC5F0B"/>
    <w:rsid w:val="00FC69FE"/>
    <w:rsid w:val="00FC6D7D"/>
    <w:rsid w:val="00FD0852"/>
    <w:rsid w:val="00FD2100"/>
    <w:rsid w:val="00FD2694"/>
    <w:rsid w:val="00FD3104"/>
    <w:rsid w:val="00FD436C"/>
    <w:rsid w:val="00FD446D"/>
    <w:rsid w:val="00FD487A"/>
    <w:rsid w:val="00FD4CF9"/>
    <w:rsid w:val="00FD4F2C"/>
    <w:rsid w:val="00FD4F2D"/>
    <w:rsid w:val="00FD5B63"/>
    <w:rsid w:val="00FD6394"/>
    <w:rsid w:val="00FD6C5A"/>
    <w:rsid w:val="00FE0B5B"/>
    <w:rsid w:val="00FE0E6C"/>
    <w:rsid w:val="00FE1304"/>
    <w:rsid w:val="00FE19B3"/>
    <w:rsid w:val="00FE1CDC"/>
    <w:rsid w:val="00FE2DEF"/>
    <w:rsid w:val="00FE403A"/>
    <w:rsid w:val="00FE4D10"/>
    <w:rsid w:val="00FE4DA6"/>
    <w:rsid w:val="00FE4F8A"/>
    <w:rsid w:val="00FE4FAA"/>
    <w:rsid w:val="00FE5D6A"/>
    <w:rsid w:val="00FE70C3"/>
    <w:rsid w:val="00FF0A80"/>
    <w:rsid w:val="00FF124E"/>
    <w:rsid w:val="00FF21DF"/>
    <w:rsid w:val="00FF2AD9"/>
    <w:rsid w:val="00FF359F"/>
    <w:rsid w:val="00FF3DCF"/>
    <w:rsid w:val="00FF43D1"/>
    <w:rsid w:val="00FF492C"/>
    <w:rsid w:val="00FF4A21"/>
    <w:rsid w:val="00FF4F83"/>
    <w:rsid w:val="00FF5AA3"/>
    <w:rsid w:val="00FF5AD8"/>
    <w:rsid w:val="00FF6E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 H17,Bayer Caption,IB Caption,Medical Caption,B Caption,Caption Char2 Char,Caption Char Char Char2,Caption Char1 Char Char Char1,Caption Char2 Char Char Char1 Char1,Caption Char Char1 Char Char Char1 Char1,Caption Char Char1,Caption2,NDA,c,! Q"/>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 H17 Char,Bayer Caption Char,IB Caption Char,Medical Caption Char,B Caption Char,Caption Char2 Char Char,Caption Char Char Char2 Char,Caption Char1 Char Char Char1 Char,Caption Char2 Char Char Char1 Char1 Char,Caption Char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Bullets Points,Styl moj,Akapit z listą1,Akapit z listą11,ES Paragraph,PBAC ES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Bullets Points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01B70"/>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iPriority w:val="99"/>
    <w:unhideWhenUsed/>
    <w:rsid w:val="00173F5B"/>
    <w:pPr>
      <w:jc w:val="left"/>
    </w:pPr>
    <w:rPr>
      <w:rFonts w:cs="Times New Roman"/>
      <w:sz w:val="20"/>
      <w:szCs w:val="20"/>
      <w:lang w:eastAsia="en-US"/>
    </w:rPr>
  </w:style>
  <w:style w:type="character" w:customStyle="1" w:styleId="FootnoteTextChar">
    <w:name w:val="Footnote Text Char"/>
    <w:basedOn w:val="DefaultParagraphFont"/>
    <w:link w:val="FootnoteText"/>
    <w:uiPriority w:val="99"/>
    <w:rsid w:val="00173F5B"/>
    <w:rPr>
      <w:rFonts w:ascii="Calibri" w:hAnsi="Calibri"/>
      <w:lang w:eastAsia="en-US"/>
    </w:rPr>
  </w:style>
  <w:style w:type="character" w:customStyle="1" w:styleId="UnresolvedMention1">
    <w:name w:val="Unresolved Mention1"/>
    <w:basedOn w:val="DefaultParagraphFont"/>
    <w:uiPriority w:val="99"/>
    <w:semiHidden/>
    <w:unhideWhenUsed/>
    <w:rsid w:val="00295CE9"/>
    <w:rPr>
      <w:color w:val="605E5C"/>
      <w:shd w:val="clear" w:color="auto" w:fill="E1DFDD"/>
    </w:rPr>
  </w:style>
  <w:style w:type="paragraph" w:customStyle="1" w:styleId="Tablenotes">
    <w:name w:val="Table notes"/>
    <w:basedOn w:val="Normal"/>
    <w:link w:val="TablenotesChar"/>
    <w:uiPriority w:val="99"/>
    <w:qFormat/>
    <w:rsid w:val="00E319E8"/>
    <w:pPr>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rsid w:val="00E319E8"/>
    <w:rPr>
      <w:rFonts w:ascii="Trebuchet MS" w:hAnsi="Trebuchet MS"/>
      <w:sz w:val="16"/>
      <w:lang w:eastAsia="en-US"/>
    </w:rPr>
  </w:style>
  <w:style w:type="table" w:customStyle="1" w:styleId="Sourcetable1">
    <w:name w:val="Source table_1"/>
    <w:basedOn w:val="TableNormal"/>
    <w:next w:val="TableGrid"/>
    <w:rsid w:val="00AF589D"/>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FA6D3A"/>
    <w:rPr>
      <w:rFonts w:ascii="Calibri" w:hAnsi="Calibri" w:cs="Arial"/>
      <w:b/>
      <w:caps/>
      <w:sz w:val="32"/>
      <w:szCs w:val="24"/>
    </w:rPr>
  </w:style>
  <w:style w:type="character" w:customStyle="1" w:styleId="Heading3Char">
    <w:name w:val="Heading 3 Char"/>
    <w:basedOn w:val="DefaultParagraphFont"/>
    <w:link w:val="Heading3"/>
    <w:rsid w:val="00FA6D3A"/>
    <w:rPr>
      <w:rFonts w:ascii="Calibri" w:hAnsi="Calibri" w:cs="Arial"/>
      <w:sz w:val="24"/>
      <w:szCs w:val="24"/>
      <w:u w:val="single"/>
    </w:rPr>
  </w:style>
  <w:style w:type="character" w:customStyle="1" w:styleId="Heading4Char">
    <w:name w:val="Heading 4 Char"/>
    <w:basedOn w:val="DefaultParagraphFont"/>
    <w:link w:val="Heading4"/>
    <w:rsid w:val="00FA6D3A"/>
    <w:rPr>
      <w:rFonts w:ascii="Calibri" w:hAnsi="Calibri" w:cs="Arial"/>
      <w:b/>
      <w:bCs/>
      <w:i/>
      <w:sz w:val="26"/>
      <w:szCs w:val="28"/>
    </w:rPr>
  </w:style>
  <w:style w:type="character" w:customStyle="1" w:styleId="Heading5Char">
    <w:name w:val="Heading 5 Char"/>
    <w:basedOn w:val="DefaultParagraphFont"/>
    <w:link w:val="Heading5"/>
    <w:rsid w:val="00FA6D3A"/>
    <w:rPr>
      <w:rFonts w:ascii="Calibri" w:hAnsi="Calibri" w:cs="Arial"/>
      <w:b/>
      <w:bCs/>
      <w:iCs/>
      <w:sz w:val="26"/>
      <w:szCs w:val="26"/>
    </w:rPr>
  </w:style>
  <w:style w:type="character" w:customStyle="1" w:styleId="Heading6Char">
    <w:name w:val="Heading 6 Char"/>
    <w:basedOn w:val="DefaultParagraphFont"/>
    <w:link w:val="Heading6"/>
    <w:rsid w:val="00FA6D3A"/>
    <w:rPr>
      <w:rFonts w:ascii="Calibri" w:hAnsi="Calibri" w:cs="Arial"/>
      <w:b/>
      <w:bCs/>
      <w:i/>
      <w:sz w:val="24"/>
      <w:szCs w:val="24"/>
    </w:rPr>
  </w:style>
  <w:style w:type="character" w:styleId="FootnoteReference">
    <w:name w:val="footnote reference"/>
    <w:basedOn w:val="DefaultParagraphFont"/>
    <w:unhideWhenUsed/>
    <w:qFormat/>
    <w:rsid w:val="00FA6D3A"/>
    <w:rPr>
      <w:vertAlign w:val="superscript"/>
    </w:rPr>
  </w:style>
  <w:style w:type="paragraph" w:customStyle="1" w:styleId="TableTextHeading">
    <w:name w:val="Table Text Heading"/>
    <w:basedOn w:val="Normal"/>
    <w:uiPriority w:val="99"/>
    <w:rsid w:val="00FA6D3A"/>
    <w:pPr>
      <w:spacing w:before="60" w:after="60"/>
      <w:jc w:val="center"/>
    </w:pPr>
    <w:rPr>
      <w:rFonts w:ascii="Arial Bold" w:hAnsi="Arial Bold" w:cs="Times New Roman"/>
      <w:b/>
      <w:sz w:val="18"/>
      <w:szCs w:val="20"/>
    </w:rPr>
  </w:style>
  <w:style w:type="paragraph" w:customStyle="1" w:styleId="TableText1">
    <w:name w:val="TableText"/>
    <w:basedOn w:val="Normal"/>
    <w:uiPriority w:val="99"/>
    <w:qFormat/>
    <w:rsid w:val="00FA6D3A"/>
    <w:pPr>
      <w:spacing w:before="60" w:after="60"/>
      <w:jc w:val="left"/>
    </w:pPr>
    <w:rPr>
      <w:rFonts w:ascii="Arial" w:hAnsi="Arial" w:cs="Times New Roman"/>
      <w:sz w:val="18"/>
      <w:szCs w:val="22"/>
    </w:rPr>
  </w:style>
  <w:style w:type="paragraph" w:customStyle="1" w:styleId="V50Instructions">
    <w:name w:val="V5.0 Instructions"/>
    <w:basedOn w:val="Normal"/>
    <w:link w:val="V50InstructionsChar"/>
    <w:qFormat/>
    <w:rsid w:val="00FA6D3A"/>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FA6D3A"/>
    <w:rPr>
      <w:rFonts w:asciiTheme="minorHAnsi" w:eastAsiaTheme="minorHAnsi" w:hAnsiTheme="minorHAnsi" w:cstheme="minorBidi"/>
      <w:color w:val="4BACC6" w:themeColor="accent5"/>
      <w:sz w:val="24"/>
      <w:szCs w:val="22"/>
      <w:lang w:eastAsia="en-US"/>
    </w:rPr>
  </w:style>
  <w:style w:type="table" w:customStyle="1" w:styleId="LashStyleTable1">
    <w:name w:val="Lash Style Table1"/>
    <w:basedOn w:val="TableNormal"/>
    <w:next w:val="TableGrid"/>
    <w:uiPriority w:val="39"/>
    <w:rsid w:val="00DE467A"/>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D8"/>
    <w:pPr>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F0265E"/>
    <w:rPr>
      <w:color w:val="605E5C"/>
      <w:shd w:val="clear" w:color="auto" w:fill="E1DFDD"/>
    </w:rPr>
  </w:style>
  <w:style w:type="table" w:customStyle="1" w:styleId="TableGrid2">
    <w:name w:val="Table Grid2"/>
    <w:basedOn w:val="TableNormal"/>
    <w:next w:val="TableGrid"/>
    <w:uiPriority w:val="39"/>
    <w:rsid w:val="002F3512"/>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unhideWhenUsed/>
    <w:rsid w:val="007368B2"/>
    <w:pPr>
      <w:spacing w:after="160" w:line="360" w:lineRule="auto"/>
      <w:ind w:left="849" w:hanging="283"/>
      <w:contextualSpacing/>
      <w:jc w:val="left"/>
    </w:pPr>
    <w:rPr>
      <w:rFonts w:ascii="Trebuchet MS" w:hAnsi="Trebuchet MS" w:cs="Times New Roman"/>
      <w:sz w:val="22"/>
      <w:szCs w:val="20"/>
      <w:lang w:eastAsia="en-US"/>
    </w:rPr>
  </w:style>
  <w:style w:type="table" w:customStyle="1" w:styleId="TableHTAsimple1">
    <w:name w:val="Table HTA simple1"/>
    <w:basedOn w:val="TableNormal"/>
    <w:uiPriority w:val="99"/>
    <w:rsid w:val="007368B2"/>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Summarybox11">
    <w:name w:val="Summary box11"/>
    <w:basedOn w:val="TableNormal"/>
    <w:next w:val="TableGrid"/>
    <w:rsid w:val="007368B2"/>
    <w:pPr>
      <w:jc w:val="both"/>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
    <w:name w:val="HTA Table shaded1"/>
    <w:basedOn w:val="TableNormal"/>
    <w:rsid w:val="007368B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ndNoteBibliographyTitle">
    <w:name w:val="EndNote Bibliography Title"/>
    <w:basedOn w:val="Normal"/>
    <w:link w:val="EndNoteBibliographyTitleChar"/>
    <w:rsid w:val="002A5530"/>
    <w:pPr>
      <w:jc w:val="center"/>
    </w:pPr>
    <w:rPr>
      <w:rFonts w:cs="Calibri"/>
      <w:noProof/>
    </w:rPr>
  </w:style>
  <w:style w:type="character" w:customStyle="1" w:styleId="EndNoteBibliographyTitleChar">
    <w:name w:val="EndNote Bibliography Title Char"/>
    <w:basedOn w:val="DefaultParagraphFont"/>
    <w:link w:val="EndNoteBibliographyTitle"/>
    <w:rsid w:val="002A5530"/>
    <w:rPr>
      <w:rFonts w:ascii="Calibri" w:hAnsi="Calibri" w:cs="Calibri"/>
      <w:noProof/>
      <w:sz w:val="24"/>
      <w:szCs w:val="24"/>
    </w:rPr>
  </w:style>
  <w:style w:type="paragraph" w:customStyle="1" w:styleId="EndNoteBibliography">
    <w:name w:val="EndNote Bibliography"/>
    <w:basedOn w:val="Normal"/>
    <w:link w:val="EndNoteBibliographyChar"/>
    <w:rsid w:val="002A5530"/>
    <w:rPr>
      <w:rFonts w:cs="Calibri"/>
      <w:noProof/>
    </w:rPr>
  </w:style>
  <w:style w:type="character" w:customStyle="1" w:styleId="EndNoteBibliographyChar">
    <w:name w:val="EndNote Bibliography Char"/>
    <w:basedOn w:val="DefaultParagraphFont"/>
    <w:link w:val="EndNoteBibliography"/>
    <w:rsid w:val="002A5530"/>
    <w:rPr>
      <w:rFonts w:ascii="Calibri" w:hAnsi="Calibri" w:cs="Calibri"/>
      <w:noProof/>
      <w:sz w:val="24"/>
      <w:szCs w:val="24"/>
    </w:rPr>
  </w:style>
  <w:style w:type="character" w:customStyle="1" w:styleId="ExecSumBodyTextChar">
    <w:name w:val="Exec Sum Body Text Char"/>
    <w:basedOn w:val="DefaultParagraphFont"/>
    <w:link w:val="ExecSumBodyText"/>
    <w:locked/>
    <w:rsid w:val="005A0F38"/>
    <w:rPr>
      <w:rFonts w:asciiTheme="minorHAnsi" w:hAnsiTheme="minorHAnsi" w:cs="Arial"/>
      <w:sz w:val="24"/>
      <w:szCs w:val="24"/>
    </w:rPr>
  </w:style>
  <w:style w:type="paragraph" w:customStyle="1" w:styleId="ExecSumBodyText">
    <w:name w:val="Exec Sum Body Text"/>
    <w:basedOn w:val="Normal"/>
    <w:link w:val="ExecSumBodyTextChar"/>
    <w:qFormat/>
    <w:rsid w:val="005A0F38"/>
    <w:pPr>
      <w:snapToGrid w:val="0"/>
      <w:spacing w:after="120"/>
    </w:pPr>
    <w:rPr>
      <w:rFonts w:asciiTheme="minorHAnsi" w:hAnsiTheme="minorHAnsi"/>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5F8D"/>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845F8D"/>
  </w:style>
  <w:style w:type="character" w:customStyle="1" w:styleId="CaptionChar2">
    <w:name w:val="Caption Char2"/>
    <w:aliases w:val="Caption Char1 Char,Caption Char Char Char,Caption2 Char,Char Char,Caption Char1 Char Char Char Char,Caption Char Char Char Char Char Char,Caption Char Char1 Char Char,Caption Char1 Char1 Char,Caption Char Char Char1 Char"/>
    <w:rsid w:val="00C2521D"/>
    <w:rPr>
      <w:rFonts w:ascii="Arial" w:eastAsia="Times New Roman" w:hAnsi="Arial" w:cs="Times New Roman"/>
      <w:b/>
      <w:bCs/>
      <w:sz w:val="20"/>
      <w:szCs w:val="20"/>
      <w:lang w:val="en-AU" w:eastAsia="en-AU"/>
    </w:rPr>
  </w:style>
  <w:style w:type="paragraph" w:customStyle="1" w:styleId="Tablenotes1">
    <w:name w:val="Tablenotes"/>
    <w:basedOn w:val="Normal"/>
    <w:link w:val="TablenotesChar0"/>
    <w:qFormat/>
    <w:rsid w:val="00C2521D"/>
    <w:pPr>
      <w:widowControl w:val="0"/>
      <w:spacing w:before="20" w:after="360" w:line="269" w:lineRule="auto"/>
      <w:contextualSpacing/>
      <w:jc w:val="left"/>
    </w:pPr>
    <w:rPr>
      <w:rFonts w:ascii="Arial Narrow" w:hAnsi="Arial Narrow"/>
      <w:snapToGrid w:val="0"/>
      <w:sz w:val="18"/>
      <w:szCs w:val="20"/>
      <w:lang w:eastAsia="en-US"/>
    </w:rPr>
  </w:style>
  <w:style w:type="character" w:customStyle="1" w:styleId="TablenotesChar0">
    <w:name w:val="Tablenotes Char"/>
    <w:basedOn w:val="DefaultParagraphFont"/>
    <w:link w:val="Tablenotes1"/>
    <w:rsid w:val="00C2521D"/>
    <w:rPr>
      <w:rFonts w:ascii="Arial Narrow" w:hAnsi="Arial Narrow" w:cs="Arial"/>
      <w:snapToGrid w:val="0"/>
      <w:sz w:val="18"/>
      <w:lang w:eastAsia="en-US"/>
    </w:rPr>
  </w:style>
  <w:style w:type="table" w:customStyle="1" w:styleId="HTATableshaded">
    <w:name w:val="HTA Table shaded"/>
    <w:basedOn w:val="TableNormal"/>
    <w:rsid w:val="00C2521D"/>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3-SubsectionHeading">
    <w:name w:val="3-Subsection Heading"/>
    <w:basedOn w:val="Heading2"/>
    <w:next w:val="Normal"/>
    <w:link w:val="3-SubsectionHeadingChar"/>
    <w:qFormat/>
    <w:rsid w:val="003A0DE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A0DE4"/>
    <w:rPr>
      <w:rFonts w:asciiTheme="minorHAnsi" w:eastAsiaTheme="majorEastAsia" w:hAnsiTheme="minorHAnsi" w:cstheme="majorBidi"/>
      <w:b/>
      <w:i/>
      <w:snapToGrid/>
      <w:spacing w:val="5"/>
      <w:kern w:val="28"/>
      <w:sz w:val="28"/>
      <w:szCs w:val="36"/>
      <w:lang w:eastAsia="en-US"/>
    </w:rPr>
  </w:style>
  <w:style w:type="character" w:styleId="Strong">
    <w:name w:val="Strong"/>
    <w:basedOn w:val="DefaultParagraphFont"/>
    <w:uiPriority w:val="22"/>
    <w:qFormat/>
    <w:rsid w:val="009D30A1"/>
    <w:rPr>
      <w:b/>
      <w:bCs/>
    </w:rPr>
  </w:style>
  <w:style w:type="character" w:customStyle="1" w:styleId="form-strength">
    <w:name w:val="form-strength"/>
    <w:basedOn w:val="DefaultParagraphFont"/>
    <w:rsid w:val="009D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6991411">
      <w:bodyDiv w:val="1"/>
      <w:marLeft w:val="0"/>
      <w:marRight w:val="0"/>
      <w:marTop w:val="0"/>
      <w:marBottom w:val="0"/>
      <w:divBdr>
        <w:top w:val="none" w:sz="0" w:space="0" w:color="auto"/>
        <w:left w:val="none" w:sz="0" w:space="0" w:color="auto"/>
        <w:bottom w:val="none" w:sz="0" w:space="0" w:color="auto"/>
        <w:right w:val="none" w:sz="0" w:space="0" w:color="auto"/>
      </w:divBdr>
    </w:div>
    <w:div w:id="29105543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65583228">
      <w:bodyDiv w:val="1"/>
      <w:marLeft w:val="0"/>
      <w:marRight w:val="0"/>
      <w:marTop w:val="0"/>
      <w:marBottom w:val="0"/>
      <w:divBdr>
        <w:top w:val="none" w:sz="0" w:space="0" w:color="auto"/>
        <w:left w:val="none" w:sz="0" w:space="0" w:color="auto"/>
        <w:bottom w:val="none" w:sz="0" w:space="0" w:color="auto"/>
        <w:right w:val="none" w:sz="0" w:space="0" w:color="auto"/>
      </w:divBdr>
    </w:div>
    <w:div w:id="482547438">
      <w:bodyDiv w:val="1"/>
      <w:marLeft w:val="0"/>
      <w:marRight w:val="0"/>
      <w:marTop w:val="0"/>
      <w:marBottom w:val="0"/>
      <w:divBdr>
        <w:top w:val="none" w:sz="0" w:space="0" w:color="auto"/>
        <w:left w:val="none" w:sz="0" w:space="0" w:color="auto"/>
        <w:bottom w:val="none" w:sz="0" w:space="0" w:color="auto"/>
        <w:right w:val="none" w:sz="0" w:space="0" w:color="auto"/>
      </w:divBdr>
    </w:div>
    <w:div w:id="500315406">
      <w:bodyDiv w:val="1"/>
      <w:marLeft w:val="0"/>
      <w:marRight w:val="0"/>
      <w:marTop w:val="0"/>
      <w:marBottom w:val="0"/>
      <w:divBdr>
        <w:top w:val="none" w:sz="0" w:space="0" w:color="auto"/>
        <w:left w:val="none" w:sz="0" w:space="0" w:color="auto"/>
        <w:bottom w:val="none" w:sz="0" w:space="0" w:color="auto"/>
        <w:right w:val="none" w:sz="0" w:space="0" w:color="auto"/>
      </w:divBdr>
    </w:div>
    <w:div w:id="679627442">
      <w:bodyDiv w:val="1"/>
      <w:marLeft w:val="0"/>
      <w:marRight w:val="0"/>
      <w:marTop w:val="0"/>
      <w:marBottom w:val="0"/>
      <w:divBdr>
        <w:top w:val="none" w:sz="0" w:space="0" w:color="auto"/>
        <w:left w:val="none" w:sz="0" w:space="0" w:color="auto"/>
        <w:bottom w:val="none" w:sz="0" w:space="0" w:color="auto"/>
        <w:right w:val="none" w:sz="0" w:space="0" w:color="auto"/>
      </w:divBdr>
    </w:div>
    <w:div w:id="99032857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0069">
      <w:bodyDiv w:val="1"/>
      <w:marLeft w:val="0"/>
      <w:marRight w:val="0"/>
      <w:marTop w:val="0"/>
      <w:marBottom w:val="0"/>
      <w:divBdr>
        <w:top w:val="none" w:sz="0" w:space="0" w:color="auto"/>
        <w:left w:val="none" w:sz="0" w:space="0" w:color="auto"/>
        <w:bottom w:val="none" w:sz="0" w:space="0" w:color="auto"/>
        <w:right w:val="none" w:sz="0" w:space="0" w:color="auto"/>
      </w:divBdr>
    </w:div>
    <w:div w:id="1524510153">
      <w:bodyDiv w:val="1"/>
      <w:marLeft w:val="0"/>
      <w:marRight w:val="0"/>
      <w:marTop w:val="0"/>
      <w:marBottom w:val="0"/>
      <w:divBdr>
        <w:top w:val="none" w:sz="0" w:space="0" w:color="auto"/>
        <w:left w:val="none" w:sz="0" w:space="0" w:color="auto"/>
        <w:bottom w:val="none" w:sz="0" w:space="0" w:color="auto"/>
        <w:right w:val="none" w:sz="0" w:space="0" w:color="auto"/>
      </w:divBdr>
    </w:div>
    <w:div w:id="1538928870">
      <w:bodyDiv w:val="1"/>
      <w:marLeft w:val="0"/>
      <w:marRight w:val="0"/>
      <w:marTop w:val="0"/>
      <w:marBottom w:val="0"/>
      <w:divBdr>
        <w:top w:val="none" w:sz="0" w:space="0" w:color="auto"/>
        <w:left w:val="none" w:sz="0" w:space="0" w:color="auto"/>
        <w:bottom w:val="none" w:sz="0" w:space="0" w:color="auto"/>
        <w:right w:val="none" w:sz="0" w:space="0" w:color="auto"/>
      </w:divBdr>
    </w:div>
    <w:div w:id="1576010093">
      <w:bodyDiv w:val="1"/>
      <w:marLeft w:val="0"/>
      <w:marRight w:val="0"/>
      <w:marTop w:val="0"/>
      <w:marBottom w:val="0"/>
      <w:divBdr>
        <w:top w:val="none" w:sz="0" w:space="0" w:color="auto"/>
        <w:left w:val="none" w:sz="0" w:space="0" w:color="auto"/>
        <w:bottom w:val="none" w:sz="0" w:space="0" w:color="auto"/>
        <w:right w:val="none" w:sz="0" w:space="0" w:color="auto"/>
      </w:divBdr>
    </w:div>
    <w:div w:id="1799644167">
      <w:bodyDiv w:val="1"/>
      <w:marLeft w:val="0"/>
      <w:marRight w:val="0"/>
      <w:marTop w:val="0"/>
      <w:marBottom w:val="0"/>
      <w:divBdr>
        <w:top w:val="none" w:sz="0" w:space="0" w:color="auto"/>
        <w:left w:val="none" w:sz="0" w:space="0" w:color="auto"/>
        <w:bottom w:val="none" w:sz="0" w:space="0" w:color="auto"/>
        <w:right w:val="none" w:sz="0" w:space="0" w:color="auto"/>
      </w:divBdr>
    </w:div>
    <w:div w:id="1886016726">
      <w:bodyDiv w:val="1"/>
      <w:marLeft w:val="0"/>
      <w:marRight w:val="0"/>
      <w:marTop w:val="0"/>
      <w:marBottom w:val="0"/>
      <w:divBdr>
        <w:top w:val="none" w:sz="0" w:space="0" w:color="auto"/>
        <w:left w:val="none" w:sz="0" w:space="0" w:color="auto"/>
        <w:bottom w:val="none" w:sz="0" w:space="0" w:color="auto"/>
        <w:right w:val="none" w:sz="0" w:space="0" w:color="auto"/>
      </w:divBdr>
    </w:div>
    <w:div w:id="18887593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1E6D-0460-4FBD-BA78-59C31B18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17115</Words>
  <Characters>92492</Characters>
  <Application>Microsoft Office Word</Application>
  <DocSecurity>0</DocSecurity>
  <Lines>770</Lines>
  <Paragraphs>218</Paragraphs>
  <ScaleCrop>false</ScaleCrop>
  <Company/>
  <LinksUpToDate>false</LinksUpToDate>
  <CharactersWithSpaces>109389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2022-06-24T06:29:00Z</dcterms:created>
  <dcterms:modified xsi:type="dcterms:W3CDTF">2022-06-24T06:32:00Z</dcterms:modified>
</cp:coreProperties>
</file>