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463DC8" w14:textId="1E7F9EF9" w:rsidR="00937EEC" w:rsidRDefault="00E95C55" w:rsidP="00081A39">
      <w:pPr>
        <w:keepNext/>
        <w:spacing w:before="120" w:after="160"/>
        <w:ind w:left="720" w:hanging="720"/>
        <w:jc w:val="left"/>
        <w:outlineLvl w:val="0"/>
        <w:rPr>
          <w:rFonts w:asciiTheme="minorHAnsi" w:eastAsiaTheme="majorEastAsia" w:hAnsiTheme="minorHAnsi" w:cstheme="majorBidi"/>
          <w:b/>
          <w:spacing w:val="5"/>
          <w:kern w:val="28"/>
          <w:sz w:val="36"/>
          <w:szCs w:val="36"/>
        </w:rPr>
      </w:pPr>
      <w:bookmarkStart w:id="0" w:name="_Toc22897637"/>
      <w:bookmarkStart w:id="1" w:name="_Toc22897640"/>
      <w:bookmarkStart w:id="2" w:name="_Toc380746195"/>
      <w:bookmarkStart w:id="3" w:name="_Toc380746321"/>
      <w:bookmarkStart w:id="4" w:name="_Toc380746602"/>
      <w:r>
        <w:rPr>
          <w:rFonts w:asciiTheme="minorHAnsi" w:eastAsiaTheme="majorEastAsia" w:hAnsiTheme="minorHAnsi" w:cstheme="majorBidi"/>
          <w:b/>
          <w:spacing w:val="5"/>
          <w:kern w:val="28"/>
          <w:sz w:val="36"/>
          <w:szCs w:val="36"/>
        </w:rPr>
        <w:t>6.06</w:t>
      </w:r>
      <w:r w:rsidR="00937EEC" w:rsidRPr="00937EEC">
        <w:rPr>
          <w:rFonts w:asciiTheme="minorHAnsi" w:eastAsiaTheme="majorEastAsia" w:hAnsiTheme="minorHAnsi" w:cstheme="majorBidi"/>
          <w:b/>
          <w:spacing w:val="5"/>
          <w:kern w:val="28"/>
          <w:sz w:val="36"/>
          <w:szCs w:val="36"/>
        </w:rPr>
        <w:tab/>
        <w:t>PALBOCICLIB,</w:t>
      </w:r>
      <w:r w:rsidR="00937EEC" w:rsidRPr="00937EEC">
        <w:rPr>
          <w:rFonts w:asciiTheme="minorHAnsi" w:eastAsiaTheme="majorEastAsia" w:hAnsiTheme="minorHAnsi" w:cstheme="majorBidi"/>
          <w:b/>
          <w:spacing w:val="5"/>
          <w:kern w:val="28"/>
          <w:sz w:val="36"/>
          <w:szCs w:val="36"/>
        </w:rPr>
        <w:br/>
      </w:r>
      <w:r>
        <w:rPr>
          <w:rFonts w:asciiTheme="minorHAnsi" w:eastAsiaTheme="majorEastAsia" w:hAnsiTheme="minorHAnsi" w:cstheme="majorBidi"/>
          <w:b/>
          <w:spacing w:val="5"/>
          <w:kern w:val="28"/>
          <w:sz w:val="36"/>
          <w:szCs w:val="36"/>
        </w:rPr>
        <w:t>T</w:t>
      </w:r>
      <w:r w:rsidR="00937EEC" w:rsidRPr="00937EEC">
        <w:rPr>
          <w:rFonts w:asciiTheme="minorHAnsi" w:eastAsiaTheme="majorEastAsia" w:hAnsiTheme="minorHAnsi" w:cstheme="majorBidi"/>
          <w:b/>
          <w:spacing w:val="5"/>
          <w:kern w:val="28"/>
          <w:sz w:val="36"/>
          <w:szCs w:val="36"/>
        </w:rPr>
        <w:t>ablet</w:t>
      </w:r>
      <w:r>
        <w:rPr>
          <w:rFonts w:asciiTheme="minorHAnsi" w:eastAsiaTheme="majorEastAsia" w:hAnsiTheme="minorHAnsi" w:cstheme="majorBidi"/>
          <w:b/>
          <w:spacing w:val="5"/>
          <w:kern w:val="28"/>
          <w:sz w:val="36"/>
          <w:szCs w:val="36"/>
        </w:rPr>
        <w:t xml:space="preserve"> </w:t>
      </w:r>
      <w:r w:rsidR="00937EEC" w:rsidRPr="00937EEC">
        <w:rPr>
          <w:rFonts w:asciiTheme="minorHAnsi" w:eastAsiaTheme="majorEastAsia" w:hAnsiTheme="minorHAnsi" w:cstheme="majorBidi"/>
          <w:b/>
          <w:spacing w:val="5"/>
          <w:kern w:val="28"/>
          <w:sz w:val="36"/>
          <w:szCs w:val="36"/>
        </w:rPr>
        <w:t xml:space="preserve">75 mg, </w:t>
      </w:r>
      <w:r>
        <w:rPr>
          <w:rFonts w:asciiTheme="minorHAnsi" w:eastAsiaTheme="majorEastAsia" w:hAnsiTheme="minorHAnsi" w:cstheme="majorBidi"/>
          <w:b/>
          <w:spacing w:val="5"/>
          <w:kern w:val="28"/>
          <w:sz w:val="36"/>
          <w:szCs w:val="36"/>
        </w:rPr>
        <w:t xml:space="preserve">Tablet </w:t>
      </w:r>
      <w:r w:rsidR="00937EEC" w:rsidRPr="00937EEC">
        <w:rPr>
          <w:rFonts w:asciiTheme="minorHAnsi" w:eastAsiaTheme="majorEastAsia" w:hAnsiTheme="minorHAnsi" w:cstheme="majorBidi"/>
          <w:b/>
          <w:spacing w:val="5"/>
          <w:kern w:val="28"/>
          <w:sz w:val="36"/>
          <w:szCs w:val="36"/>
        </w:rPr>
        <w:t xml:space="preserve">100 mg, </w:t>
      </w:r>
      <w:r>
        <w:rPr>
          <w:rFonts w:asciiTheme="minorHAnsi" w:eastAsiaTheme="majorEastAsia" w:hAnsiTheme="minorHAnsi" w:cstheme="majorBidi"/>
          <w:b/>
          <w:spacing w:val="5"/>
          <w:kern w:val="28"/>
          <w:sz w:val="36"/>
          <w:szCs w:val="36"/>
        </w:rPr>
        <w:t xml:space="preserve">Tablet </w:t>
      </w:r>
      <w:r w:rsidR="00937EEC" w:rsidRPr="00937EEC">
        <w:rPr>
          <w:rFonts w:asciiTheme="minorHAnsi" w:eastAsiaTheme="majorEastAsia" w:hAnsiTheme="minorHAnsi" w:cstheme="majorBidi"/>
          <w:b/>
          <w:spacing w:val="5"/>
          <w:kern w:val="28"/>
          <w:sz w:val="36"/>
          <w:szCs w:val="36"/>
        </w:rPr>
        <w:t>125 mg,</w:t>
      </w:r>
      <w:r w:rsidR="00937EEC" w:rsidRPr="00937EEC">
        <w:rPr>
          <w:rFonts w:asciiTheme="minorHAnsi" w:eastAsiaTheme="majorEastAsia" w:hAnsiTheme="minorHAnsi" w:cstheme="majorBidi"/>
          <w:b/>
          <w:spacing w:val="5"/>
          <w:kern w:val="28"/>
          <w:sz w:val="36"/>
          <w:szCs w:val="36"/>
        </w:rPr>
        <w:br/>
      </w:r>
      <w:proofErr w:type="spellStart"/>
      <w:r w:rsidR="00937EEC" w:rsidRPr="00937EEC">
        <w:rPr>
          <w:rFonts w:asciiTheme="minorHAnsi" w:eastAsiaTheme="majorEastAsia" w:hAnsiTheme="minorHAnsi" w:cstheme="majorBidi"/>
          <w:b/>
          <w:spacing w:val="5"/>
          <w:kern w:val="28"/>
          <w:sz w:val="36"/>
          <w:szCs w:val="36"/>
        </w:rPr>
        <w:t>Ibrance</w:t>
      </w:r>
      <w:proofErr w:type="spellEnd"/>
      <w:r w:rsidR="00937EEC" w:rsidRPr="00937EEC">
        <w:rPr>
          <w:rFonts w:asciiTheme="minorHAnsi" w:eastAsiaTheme="majorEastAsia" w:hAnsiTheme="minorHAnsi" w:cstheme="majorBidi"/>
          <w:b/>
          <w:spacing w:val="5"/>
          <w:kern w:val="28"/>
          <w:sz w:val="36"/>
          <w:szCs w:val="36"/>
          <w:vertAlign w:val="superscript"/>
        </w:rPr>
        <w:t>®</w:t>
      </w:r>
      <w:r w:rsidR="00937EEC" w:rsidRPr="00937EEC">
        <w:rPr>
          <w:rFonts w:asciiTheme="minorHAnsi" w:eastAsiaTheme="majorEastAsia" w:hAnsiTheme="minorHAnsi" w:cstheme="majorBidi"/>
          <w:b/>
          <w:spacing w:val="5"/>
          <w:kern w:val="28"/>
          <w:sz w:val="36"/>
          <w:szCs w:val="36"/>
        </w:rPr>
        <w:t>,</w:t>
      </w:r>
      <w:r w:rsidR="00937EEC" w:rsidRPr="00937EEC">
        <w:rPr>
          <w:rFonts w:asciiTheme="minorHAnsi" w:eastAsiaTheme="majorEastAsia" w:hAnsiTheme="minorHAnsi" w:cstheme="majorBidi"/>
          <w:b/>
          <w:spacing w:val="5"/>
          <w:kern w:val="28"/>
          <w:sz w:val="36"/>
          <w:szCs w:val="36"/>
        </w:rPr>
        <w:br/>
        <w:t>Pfizer Australia Pty Ltd.</w:t>
      </w:r>
    </w:p>
    <w:p w14:paraId="7656435F" w14:textId="778AD931" w:rsidR="00937EEC" w:rsidRPr="00937EEC" w:rsidRDefault="00937EEC" w:rsidP="006834DA">
      <w:pPr>
        <w:pStyle w:val="2-SectionHeading"/>
      </w:pPr>
      <w:bookmarkStart w:id="5" w:name="_Toc93397657"/>
      <w:bookmarkEnd w:id="0"/>
      <w:r w:rsidRPr="00937EEC">
        <w:t>Purpose of submission</w:t>
      </w:r>
      <w:bookmarkEnd w:id="5"/>
    </w:p>
    <w:p w14:paraId="66637E6F" w14:textId="19275F3D" w:rsidR="00937EEC" w:rsidRPr="00937EEC" w:rsidRDefault="00937EEC" w:rsidP="00DE4EDC">
      <w:pPr>
        <w:pStyle w:val="3-BodyText"/>
      </w:pPr>
      <w:r w:rsidRPr="00937EEC">
        <w:t>Th</w:t>
      </w:r>
      <w:r w:rsidR="00E46A5B">
        <w:t xml:space="preserve">is </w:t>
      </w:r>
      <w:r w:rsidR="00641661">
        <w:t>C</w:t>
      </w:r>
      <w:r w:rsidR="00E46A5B">
        <w:t xml:space="preserve">ategory 2 </w:t>
      </w:r>
      <w:r w:rsidRPr="00937EEC">
        <w:t xml:space="preserve">submission requested an extension to the current Section 85 (General Schedule), Authority Required (Telephone/Electronic) listing of </w:t>
      </w:r>
      <w:proofErr w:type="spellStart"/>
      <w:r w:rsidRPr="00937EEC">
        <w:t>palbociclib</w:t>
      </w:r>
      <w:proofErr w:type="spellEnd"/>
      <w:r w:rsidRPr="00937EEC">
        <w:t xml:space="preserve"> to include: the treatment of patients with locally advanced (stage IIIB/IIIC) or metastatic (stage IV) hormone receptor positive (HR+), human epidermal growth factor receptor 2 negative (HER2-) breast cancer who have received previous endocrine therapy, in combination with </w:t>
      </w:r>
      <w:proofErr w:type="spellStart"/>
      <w:r w:rsidRPr="00937EEC">
        <w:t>fulvestrant</w:t>
      </w:r>
      <w:proofErr w:type="spellEnd"/>
      <w:r w:rsidRPr="00937EEC">
        <w:t>.</w:t>
      </w:r>
    </w:p>
    <w:p w14:paraId="11F649F5" w14:textId="0EC10F07" w:rsidR="00937EEC" w:rsidRPr="00937EEC" w:rsidRDefault="00937EEC" w:rsidP="00DE4EDC">
      <w:pPr>
        <w:pStyle w:val="3-BodyText"/>
      </w:pPr>
      <w:r w:rsidRPr="00937EEC">
        <w:t xml:space="preserve">The proposed listing was requested </w:t>
      </w:r>
      <w:proofErr w:type="gramStart"/>
      <w:r w:rsidRPr="00937EEC">
        <w:t>on the basis of</w:t>
      </w:r>
      <w:proofErr w:type="gramEnd"/>
      <w:r w:rsidRPr="00937EEC">
        <w:t xml:space="preserve"> cost-minimisation versus </w:t>
      </w:r>
      <w:proofErr w:type="spellStart"/>
      <w:r w:rsidRPr="00937EEC">
        <w:t>ribociclib</w:t>
      </w:r>
      <w:proofErr w:type="spellEnd"/>
      <w:r w:rsidRPr="00937EEC">
        <w:t xml:space="preserve"> in combination with </w:t>
      </w:r>
      <w:proofErr w:type="spellStart"/>
      <w:r w:rsidRPr="00937EEC">
        <w:t>fulvestrant</w:t>
      </w:r>
      <w:proofErr w:type="spellEnd"/>
      <w:r w:rsidRPr="00937EEC">
        <w:t xml:space="preserve">, the nominated main comparator. </w:t>
      </w:r>
      <w:proofErr w:type="spellStart"/>
      <w:r w:rsidRPr="00937EEC">
        <w:t>Abemaciclib</w:t>
      </w:r>
      <w:proofErr w:type="spellEnd"/>
      <w:r w:rsidRPr="00937EEC">
        <w:t xml:space="preserve"> </w:t>
      </w:r>
      <w:r w:rsidR="00E95C55">
        <w:t xml:space="preserve">plus </w:t>
      </w:r>
      <w:proofErr w:type="spellStart"/>
      <w:r w:rsidR="00E95C55">
        <w:t>fulvestrant</w:t>
      </w:r>
      <w:proofErr w:type="spellEnd"/>
      <w:r w:rsidR="00E95C55">
        <w:t xml:space="preserve"> </w:t>
      </w:r>
      <w:r w:rsidRPr="00937EEC">
        <w:t xml:space="preserve">was nominated as a near market comparator. </w:t>
      </w:r>
    </w:p>
    <w:p w14:paraId="3080097B" w14:textId="2FE38E6E" w:rsidR="00937EEC" w:rsidRPr="00937EEC" w:rsidRDefault="00937EEC" w:rsidP="00DE4EDC">
      <w:pPr>
        <w:pStyle w:val="TableFigureHeading"/>
      </w:pPr>
      <w:bookmarkStart w:id="6" w:name="_Ref90032874"/>
      <w:r w:rsidRPr="00937EEC">
        <w:t xml:space="preserve">Table </w:t>
      </w:r>
      <w:fldSimple w:instr=" SEQ Table \* ARABIC ">
        <w:r w:rsidR="009728EB">
          <w:rPr>
            <w:noProof/>
          </w:rPr>
          <w:t>1</w:t>
        </w:r>
      </w:fldSimple>
      <w:bookmarkEnd w:id="6"/>
      <w:r w:rsidRPr="00937EEC">
        <w:t>: Key components of the clinical issue addressed by the submission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414"/>
        <w:gridCol w:w="7603"/>
      </w:tblGrid>
      <w:tr w:rsidR="00937EEC" w:rsidRPr="00937EEC" w14:paraId="5A96B75C" w14:textId="77777777" w:rsidTr="002402D7">
        <w:trPr>
          <w:cantSplit/>
          <w:tblHeader/>
        </w:trPr>
        <w:tc>
          <w:tcPr>
            <w:tcW w:w="784" w:type="pct"/>
            <w:shd w:val="clear" w:color="auto" w:fill="auto"/>
          </w:tcPr>
          <w:p w14:paraId="3AF8867B" w14:textId="77777777" w:rsidR="00937EEC" w:rsidRPr="00937EEC" w:rsidRDefault="00937EEC" w:rsidP="00937EEC">
            <w:pPr>
              <w:keepNext/>
              <w:jc w:val="left"/>
              <w:rPr>
                <w:rFonts w:ascii="Arial Narrow" w:eastAsiaTheme="majorEastAsia" w:hAnsi="Arial Narrow" w:cs="Times New Roman"/>
                <w:b/>
                <w:sz w:val="20"/>
                <w:szCs w:val="20"/>
                <w:lang w:val="en-US"/>
              </w:rPr>
            </w:pPr>
            <w:r w:rsidRPr="00937EEC">
              <w:rPr>
                <w:rFonts w:ascii="Arial Narrow" w:eastAsiaTheme="majorEastAsia" w:hAnsi="Arial Narrow" w:cs="Times New Roman"/>
                <w:b/>
                <w:sz w:val="20"/>
                <w:lang w:val="en-US"/>
              </w:rPr>
              <w:t>Component</w:t>
            </w:r>
          </w:p>
        </w:tc>
        <w:tc>
          <w:tcPr>
            <w:tcW w:w="4216" w:type="pct"/>
            <w:shd w:val="clear" w:color="auto" w:fill="auto"/>
          </w:tcPr>
          <w:p w14:paraId="6B4BEB81" w14:textId="77777777" w:rsidR="00937EEC" w:rsidRPr="00937EEC" w:rsidRDefault="00937EEC" w:rsidP="00937EEC">
            <w:pPr>
              <w:keepNext/>
              <w:jc w:val="left"/>
              <w:rPr>
                <w:rFonts w:ascii="Arial Narrow" w:eastAsiaTheme="majorEastAsia" w:hAnsi="Arial Narrow" w:cs="Times New Roman"/>
                <w:b/>
                <w:sz w:val="20"/>
                <w:lang w:val="en-US"/>
              </w:rPr>
            </w:pPr>
            <w:r w:rsidRPr="00937EEC">
              <w:rPr>
                <w:rFonts w:ascii="Arial Narrow" w:eastAsiaTheme="majorEastAsia" w:hAnsi="Arial Narrow" w:cs="Times New Roman"/>
                <w:b/>
                <w:sz w:val="20"/>
                <w:lang w:val="en-US"/>
              </w:rPr>
              <w:t>Description</w:t>
            </w:r>
          </w:p>
        </w:tc>
      </w:tr>
      <w:tr w:rsidR="00937EEC" w:rsidRPr="00937EEC" w14:paraId="3469C368" w14:textId="77777777" w:rsidTr="002402D7">
        <w:trPr>
          <w:cantSplit/>
        </w:trPr>
        <w:tc>
          <w:tcPr>
            <w:tcW w:w="784" w:type="pct"/>
            <w:shd w:val="clear" w:color="auto" w:fill="auto"/>
          </w:tcPr>
          <w:p w14:paraId="63053C3B" w14:textId="77777777" w:rsidR="00937EEC" w:rsidRPr="00937EEC" w:rsidRDefault="00937EEC" w:rsidP="00937EEC">
            <w:pPr>
              <w:keepNext/>
              <w:spacing w:before="20" w:after="20"/>
              <w:jc w:val="left"/>
              <w:rPr>
                <w:rFonts w:ascii="Arial Narrow" w:eastAsiaTheme="majorEastAsia" w:hAnsi="Arial Narrow" w:cstheme="majorBidi"/>
                <w:bCs/>
                <w:sz w:val="20"/>
              </w:rPr>
            </w:pPr>
            <w:r w:rsidRPr="00937EEC">
              <w:rPr>
                <w:rFonts w:ascii="Arial Narrow" w:eastAsiaTheme="majorEastAsia" w:hAnsi="Arial Narrow" w:cstheme="majorBidi"/>
                <w:bCs/>
                <w:sz w:val="20"/>
              </w:rPr>
              <w:t>Population</w:t>
            </w:r>
          </w:p>
        </w:tc>
        <w:tc>
          <w:tcPr>
            <w:tcW w:w="4216" w:type="pct"/>
            <w:shd w:val="clear" w:color="auto" w:fill="auto"/>
          </w:tcPr>
          <w:p w14:paraId="5AE48E48" w14:textId="77777777" w:rsidR="00937EEC" w:rsidRPr="00937EEC" w:rsidRDefault="00937EEC" w:rsidP="00937EEC">
            <w:pPr>
              <w:keepNext/>
              <w:spacing w:before="20" w:after="20"/>
              <w:jc w:val="left"/>
              <w:rPr>
                <w:rFonts w:ascii="Arial Narrow" w:eastAsiaTheme="majorEastAsia" w:hAnsi="Arial Narrow" w:cstheme="majorBidi"/>
                <w:bCs/>
                <w:sz w:val="20"/>
                <w:szCs w:val="20"/>
              </w:rPr>
            </w:pPr>
            <w:r w:rsidRPr="00937EEC">
              <w:rPr>
                <w:rFonts w:ascii="Arial Narrow" w:eastAsiaTheme="majorEastAsia" w:hAnsi="Arial Narrow" w:cstheme="majorBidi"/>
                <w:bCs/>
                <w:sz w:val="20"/>
                <w:szCs w:val="20"/>
              </w:rPr>
              <w:t>Pre-/peri- or postmenopausal patients with HR+/HER2- locally advanced inoperable or metastatic breast cancer who have:</w:t>
            </w:r>
          </w:p>
          <w:p w14:paraId="0D333ABF" w14:textId="77777777" w:rsidR="00937EEC" w:rsidRPr="00937EEC" w:rsidRDefault="00937EEC" w:rsidP="008D0B8F">
            <w:pPr>
              <w:keepNext/>
              <w:numPr>
                <w:ilvl w:val="0"/>
                <w:numId w:val="5"/>
              </w:numPr>
              <w:spacing w:before="20" w:after="20"/>
              <w:ind w:left="352" w:hanging="176"/>
              <w:jc w:val="left"/>
              <w:rPr>
                <w:rFonts w:ascii="Arial Narrow" w:eastAsiaTheme="majorEastAsia" w:hAnsi="Arial Narrow" w:cstheme="majorBidi"/>
                <w:bCs/>
                <w:sz w:val="20"/>
                <w:szCs w:val="20"/>
              </w:rPr>
            </w:pPr>
            <w:r w:rsidRPr="00937EEC">
              <w:rPr>
                <w:rFonts w:ascii="Arial Narrow" w:eastAsiaTheme="majorEastAsia" w:hAnsi="Arial Narrow" w:cstheme="majorBidi"/>
                <w:bCs/>
                <w:sz w:val="20"/>
                <w:szCs w:val="20"/>
              </w:rPr>
              <w:t>Received previous endocrine therapy in the (neo)adjuvant or advanced/metastatic setting; and</w:t>
            </w:r>
          </w:p>
          <w:p w14:paraId="01617C05" w14:textId="77777777" w:rsidR="00937EEC" w:rsidRPr="00937EEC" w:rsidRDefault="00937EEC" w:rsidP="008D0B8F">
            <w:pPr>
              <w:keepNext/>
              <w:numPr>
                <w:ilvl w:val="0"/>
                <w:numId w:val="5"/>
              </w:numPr>
              <w:spacing w:before="20" w:after="20"/>
              <w:ind w:left="352" w:hanging="176"/>
              <w:jc w:val="left"/>
              <w:rPr>
                <w:rFonts w:ascii="Arial Narrow" w:eastAsiaTheme="majorEastAsia" w:hAnsi="Arial Narrow" w:cstheme="majorBidi"/>
                <w:bCs/>
                <w:sz w:val="20"/>
                <w:szCs w:val="20"/>
              </w:rPr>
            </w:pPr>
            <w:r w:rsidRPr="00937EEC">
              <w:rPr>
                <w:rFonts w:ascii="Arial Narrow" w:eastAsiaTheme="majorEastAsia" w:hAnsi="Arial Narrow" w:cstheme="majorBidi"/>
                <w:bCs/>
                <w:sz w:val="20"/>
                <w:szCs w:val="20"/>
              </w:rPr>
              <w:t>Experienced disease progression; and</w:t>
            </w:r>
          </w:p>
          <w:p w14:paraId="13DF7C00" w14:textId="77777777" w:rsidR="00937EEC" w:rsidRPr="00937EEC" w:rsidRDefault="00937EEC" w:rsidP="008D0B8F">
            <w:pPr>
              <w:keepNext/>
              <w:numPr>
                <w:ilvl w:val="0"/>
                <w:numId w:val="5"/>
              </w:numPr>
              <w:spacing w:before="20" w:after="20"/>
              <w:ind w:left="352" w:hanging="176"/>
              <w:jc w:val="left"/>
              <w:rPr>
                <w:rFonts w:ascii="Arial Narrow" w:eastAsiaTheme="majorEastAsia" w:hAnsi="Arial Narrow" w:cstheme="majorBidi"/>
                <w:bCs/>
                <w:sz w:val="20"/>
                <w:szCs w:val="20"/>
              </w:rPr>
            </w:pPr>
            <w:r w:rsidRPr="00937EEC">
              <w:rPr>
                <w:rFonts w:ascii="Arial Narrow" w:eastAsiaTheme="majorEastAsia" w:hAnsi="Arial Narrow" w:cstheme="majorBidi"/>
                <w:bCs/>
                <w:sz w:val="20"/>
                <w:szCs w:val="20"/>
              </w:rPr>
              <w:t>Developed endocrine resistance; and</w:t>
            </w:r>
          </w:p>
          <w:p w14:paraId="7FA4B79B" w14:textId="77777777" w:rsidR="00937EEC" w:rsidRPr="00937EEC" w:rsidRDefault="00937EEC" w:rsidP="008D0B8F">
            <w:pPr>
              <w:keepNext/>
              <w:numPr>
                <w:ilvl w:val="0"/>
                <w:numId w:val="5"/>
              </w:numPr>
              <w:spacing w:before="20" w:after="20"/>
              <w:ind w:left="352" w:hanging="176"/>
              <w:jc w:val="left"/>
              <w:rPr>
                <w:rFonts w:ascii="Arial Narrow" w:eastAsiaTheme="majorEastAsia" w:hAnsi="Arial Narrow" w:cstheme="majorBidi"/>
                <w:bCs/>
                <w:sz w:val="20"/>
                <w:szCs w:val="20"/>
              </w:rPr>
            </w:pPr>
            <w:r w:rsidRPr="00937EEC">
              <w:rPr>
                <w:rFonts w:ascii="Arial Narrow" w:eastAsiaTheme="majorEastAsia" w:hAnsi="Arial Narrow" w:cstheme="majorBidi"/>
                <w:bCs/>
                <w:sz w:val="20"/>
                <w:szCs w:val="20"/>
              </w:rPr>
              <w:t>Not previously been treated with a CDK4/6 inhibitor or who developed an intolerance to an alternative CDK4&amp;6 inhibitor necessitating withdrawal; and</w:t>
            </w:r>
          </w:p>
          <w:p w14:paraId="6D24B612" w14:textId="77777777" w:rsidR="00937EEC" w:rsidRPr="00937EEC" w:rsidRDefault="00937EEC" w:rsidP="008D0B8F">
            <w:pPr>
              <w:keepNext/>
              <w:numPr>
                <w:ilvl w:val="0"/>
                <w:numId w:val="5"/>
              </w:numPr>
              <w:spacing w:before="20" w:after="20"/>
              <w:ind w:left="352" w:hanging="176"/>
              <w:jc w:val="left"/>
              <w:rPr>
                <w:rFonts w:ascii="Arial Narrow" w:eastAsiaTheme="majorEastAsia" w:hAnsi="Arial Narrow" w:cstheme="majorBidi"/>
                <w:bCs/>
                <w:sz w:val="20"/>
                <w:szCs w:val="20"/>
              </w:rPr>
            </w:pPr>
            <w:r w:rsidRPr="00937EEC">
              <w:rPr>
                <w:rFonts w:ascii="Arial Narrow" w:eastAsiaTheme="majorEastAsia" w:hAnsi="Arial Narrow" w:cstheme="majorBidi"/>
                <w:bCs/>
                <w:sz w:val="20"/>
                <w:szCs w:val="20"/>
              </w:rPr>
              <w:t>WHO ECOG status ≤2</w:t>
            </w:r>
          </w:p>
        </w:tc>
      </w:tr>
      <w:tr w:rsidR="00937EEC" w:rsidRPr="00937EEC" w14:paraId="2BEABC57" w14:textId="77777777" w:rsidTr="002402D7">
        <w:trPr>
          <w:cantSplit/>
        </w:trPr>
        <w:tc>
          <w:tcPr>
            <w:tcW w:w="784" w:type="pct"/>
            <w:shd w:val="clear" w:color="auto" w:fill="auto"/>
          </w:tcPr>
          <w:p w14:paraId="587A31CA" w14:textId="77777777" w:rsidR="00937EEC" w:rsidRPr="00937EEC" w:rsidRDefault="00937EEC" w:rsidP="00937EEC">
            <w:pPr>
              <w:keepNext/>
              <w:spacing w:before="20" w:after="20"/>
              <w:jc w:val="left"/>
              <w:rPr>
                <w:rFonts w:ascii="Arial Narrow" w:eastAsiaTheme="majorEastAsia" w:hAnsi="Arial Narrow" w:cstheme="majorBidi"/>
                <w:bCs/>
                <w:sz w:val="20"/>
              </w:rPr>
            </w:pPr>
            <w:r w:rsidRPr="00937EEC">
              <w:rPr>
                <w:rFonts w:ascii="Arial Narrow" w:eastAsiaTheme="majorEastAsia" w:hAnsi="Arial Narrow" w:cstheme="majorBidi"/>
                <w:bCs/>
                <w:sz w:val="20"/>
              </w:rPr>
              <w:t>Intervention</w:t>
            </w:r>
          </w:p>
        </w:tc>
        <w:tc>
          <w:tcPr>
            <w:tcW w:w="4216" w:type="pct"/>
            <w:shd w:val="clear" w:color="auto" w:fill="auto"/>
          </w:tcPr>
          <w:p w14:paraId="62D4F762" w14:textId="77777777" w:rsidR="00937EEC" w:rsidRPr="00937EEC" w:rsidRDefault="00937EEC" w:rsidP="00937EEC">
            <w:pPr>
              <w:keepNext/>
              <w:spacing w:before="20" w:after="20"/>
              <w:jc w:val="left"/>
              <w:rPr>
                <w:rFonts w:ascii="Arial Narrow" w:eastAsiaTheme="majorEastAsia" w:hAnsi="Arial Narrow" w:cstheme="majorBidi"/>
                <w:bCs/>
                <w:sz w:val="20"/>
              </w:rPr>
            </w:pPr>
            <w:r w:rsidRPr="00937EEC">
              <w:rPr>
                <w:rFonts w:ascii="Arial Narrow" w:eastAsiaTheme="majorEastAsia" w:hAnsi="Arial Narrow" w:cstheme="majorBidi"/>
                <w:bCs/>
                <w:sz w:val="20"/>
              </w:rPr>
              <w:t>Palbociclib (125 mg per day orally for 3 weeks, followed by 1 week off) +</w:t>
            </w:r>
          </w:p>
          <w:p w14:paraId="1F23651D" w14:textId="77777777" w:rsidR="00937EEC" w:rsidRPr="00937EEC" w:rsidRDefault="00937EEC" w:rsidP="00937EEC">
            <w:pPr>
              <w:keepNext/>
              <w:spacing w:before="20" w:after="20"/>
              <w:jc w:val="left"/>
              <w:rPr>
                <w:rFonts w:ascii="Arial Narrow" w:eastAsiaTheme="majorEastAsia" w:hAnsi="Arial Narrow" w:cstheme="majorBidi"/>
                <w:bCs/>
                <w:sz w:val="20"/>
              </w:rPr>
            </w:pPr>
            <w:proofErr w:type="spellStart"/>
            <w:r w:rsidRPr="00937EEC">
              <w:rPr>
                <w:rFonts w:ascii="Arial Narrow" w:eastAsiaTheme="majorEastAsia" w:hAnsi="Arial Narrow" w:cstheme="majorBidi"/>
                <w:bCs/>
                <w:sz w:val="20"/>
              </w:rPr>
              <w:t>Fulvestrant</w:t>
            </w:r>
            <w:proofErr w:type="spellEnd"/>
            <w:r w:rsidRPr="00937EEC">
              <w:rPr>
                <w:rFonts w:ascii="Arial Narrow" w:eastAsiaTheme="majorEastAsia" w:hAnsi="Arial Narrow" w:cstheme="majorBidi"/>
                <w:bCs/>
                <w:sz w:val="20"/>
              </w:rPr>
              <w:t xml:space="preserve"> (500 mg IM on days 1, 15 and 28, then 4-weekly)</w:t>
            </w:r>
          </w:p>
        </w:tc>
      </w:tr>
      <w:tr w:rsidR="00937EEC" w:rsidRPr="00937EEC" w14:paraId="17ECCAA0" w14:textId="77777777" w:rsidTr="002402D7">
        <w:trPr>
          <w:cantSplit/>
        </w:trPr>
        <w:tc>
          <w:tcPr>
            <w:tcW w:w="784" w:type="pct"/>
            <w:shd w:val="clear" w:color="auto" w:fill="auto"/>
          </w:tcPr>
          <w:p w14:paraId="67480EEC" w14:textId="77777777" w:rsidR="00937EEC" w:rsidRPr="00937EEC" w:rsidRDefault="00937EEC" w:rsidP="00937EEC">
            <w:pPr>
              <w:keepNext/>
              <w:spacing w:before="20" w:after="20"/>
              <w:jc w:val="left"/>
              <w:rPr>
                <w:rFonts w:ascii="Arial Narrow" w:eastAsiaTheme="majorEastAsia" w:hAnsi="Arial Narrow" w:cstheme="majorBidi"/>
                <w:bCs/>
                <w:sz w:val="20"/>
              </w:rPr>
            </w:pPr>
            <w:r w:rsidRPr="00937EEC">
              <w:rPr>
                <w:rFonts w:ascii="Arial Narrow" w:eastAsiaTheme="majorEastAsia" w:hAnsi="Arial Narrow" w:cstheme="majorBidi"/>
                <w:bCs/>
                <w:sz w:val="20"/>
              </w:rPr>
              <w:t>Comparator</w:t>
            </w:r>
          </w:p>
        </w:tc>
        <w:tc>
          <w:tcPr>
            <w:tcW w:w="4216" w:type="pct"/>
            <w:shd w:val="clear" w:color="auto" w:fill="auto"/>
          </w:tcPr>
          <w:p w14:paraId="52717236" w14:textId="77777777" w:rsidR="00937EEC" w:rsidRPr="00937EEC" w:rsidRDefault="00937EEC" w:rsidP="00937EEC">
            <w:pPr>
              <w:keepNext/>
              <w:spacing w:before="20" w:after="20"/>
              <w:jc w:val="left"/>
              <w:rPr>
                <w:rFonts w:ascii="Arial Narrow" w:eastAsiaTheme="majorEastAsia" w:hAnsi="Arial Narrow" w:cstheme="majorBidi"/>
                <w:bCs/>
                <w:sz w:val="20"/>
              </w:rPr>
            </w:pPr>
            <w:r w:rsidRPr="00937EEC">
              <w:rPr>
                <w:rFonts w:ascii="Arial Narrow" w:eastAsiaTheme="majorEastAsia" w:hAnsi="Arial Narrow" w:cstheme="majorBidi"/>
                <w:bCs/>
                <w:sz w:val="20"/>
              </w:rPr>
              <w:t xml:space="preserve">Main comparator: </w:t>
            </w:r>
            <w:proofErr w:type="spellStart"/>
            <w:r w:rsidRPr="00937EEC">
              <w:rPr>
                <w:rFonts w:ascii="Arial Narrow" w:eastAsiaTheme="majorEastAsia" w:hAnsi="Arial Narrow" w:cstheme="majorBidi"/>
                <w:bCs/>
                <w:sz w:val="20"/>
              </w:rPr>
              <w:t>ribociclib</w:t>
            </w:r>
            <w:proofErr w:type="spellEnd"/>
            <w:r w:rsidRPr="00937EEC">
              <w:rPr>
                <w:rFonts w:ascii="Arial Narrow" w:eastAsiaTheme="majorEastAsia" w:hAnsi="Arial Narrow" w:cstheme="majorBidi"/>
                <w:bCs/>
                <w:sz w:val="20"/>
              </w:rPr>
              <w:t xml:space="preserve"> (600 mg PO QD, 3 weeks on 1 week off) +</w:t>
            </w:r>
          </w:p>
          <w:p w14:paraId="653772D5" w14:textId="77777777" w:rsidR="00937EEC" w:rsidRPr="00937EEC" w:rsidRDefault="00937EEC" w:rsidP="00937EEC">
            <w:pPr>
              <w:keepNext/>
              <w:spacing w:before="20" w:after="20"/>
              <w:jc w:val="left"/>
              <w:rPr>
                <w:rFonts w:ascii="Arial Narrow" w:eastAsiaTheme="majorEastAsia" w:hAnsi="Arial Narrow" w:cstheme="majorBidi"/>
                <w:bCs/>
                <w:sz w:val="20"/>
              </w:rPr>
            </w:pPr>
            <w:proofErr w:type="spellStart"/>
            <w:r w:rsidRPr="00937EEC">
              <w:rPr>
                <w:rFonts w:ascii="Arial Narrow" w:eastAsiaTheme="majorEastAsia" w:hAnsi="Arial Narrow" w:cstheme="majorBidi"/>
                <w:bCs/>
                <w:sz w:val="20"/>
              </w:rPr>
              <w:t>Fulvestrant</w:t>
            </w:r>
            <w:proofErr w:type="spellEnd"/>
            <w:r w:rsidRPr="00937EEC">
              <w:rPr>
                <w:rFonts w:ascii="Arial Narrow" w:eastAsiaTheme="majorEastAsia" w:hAnsi="Arial Narrow" w:cstheme="majorBidi"/>
                <w:bCs/>
                <w:sz w:val="20"/>
              </w:rPr>
              <w:t xml:space="preserve"> (500 mg IM on days 1, 15 and 28, then 4-weekly</w:t>
            </w:r>
            <w:proofErr w:type="gramStart"/>
            <w:r w:rsidRPr="00937EEC">
              <w:rPr>
                <w:rFonts w:ascii="Arial Narrow" w:eastAsiaTheme="majorEastAsia" w:hAnsi="Arial Narrow" w:cstheme="majorBidi"/>
                <w:bCs/>
                <w:sz w:val="20"/>
              </w:rPr>
              <w:t>);</w:t>
            </w:r>
            <w:proofErr w:type="gramEnd"/>
          </w:p>
          <w:p w14:paraId="1B3D40D4" w14:textId="4AF0EF40" w:rsidR="00937EEC" w:rsidRPr="00937EEC" w:rsidRDefault="00937EEC" w:rsidP="00937EEC">
            <w:pPr>
              <w:keepNext/>
              <w:spacing w:before="20" w:after="20"/>
              <w:jc w:val="left"/>
              <w:rPr>
                <w:rFonts w:ascii="Arial Narrow" w:eastAsiaTheme="majorEastAsia" w:hAnsi="Arial Narrow" w:cstheme="majorBidi"/>
                <w:bCs/>
                <w:sz w:val="20"/>
              </w:rPr>
            </w:pPr>
            <w:r w:rsidRPr="00937EEC">
              <w:rPr>
                <w:rFonts w:ascii="Arial Narrow" w:eastAsiaTheme="majorEastAsia" w:hAnsi="Arial Narrow" w:cstheme="majorBidi"/>
                <w:bCs/>
                <w:sz w:val="20"/>
              </w:rPr>
              <w:t xml:space="preserve">Near market comparator: </w:t>
            </w:r>
            <w:proofErr w:type="spellStart"/>
            <w:r w:rsidRPr="00937EEC">
              <w:rPr>
                <w:rFonts w:ascii="Arial Narrow" w:eastAsiaTheme="majorEastAsia" w:hAnsi="Arial Narrow" w:cstheme="majorBidi"/>
                <w:bCs/>
                <w:sz w:val="20"/>
              </w:rPr>
              <w:t>abemaciclib</w:t>
            </w:r>
            <w:proofErr w:type="spellEnd"/>
            <w:r w:rsidR="00E95C55">
              <w:rPr>
                <w:rFonts w:ascii="Arial Narrow" w:eastAsiaTheme="majorEastAsia" w:hAnsi="Arial Narrow" w:cstheme="majorBidi"/>
                <w:bCs/>
                <w:sz w:val="20"/>
              </w:rPr>
              <w:t xml:space="preserve"> + </w:t>
            </w:r>
            <w:proofErr w:type="spellStart"/>
            <w:r w:rsidR="00E95C55">
              <w:rPr>
                <w:rFonts w:ascii="Arial Narrow" w:eastAsiaTheme="majorEastAsia" w:hAnsi="Arial Narrow" w:cstheme="majorBidi"/>
                <w:bCs/>
                <w:sz w:val="20"/>
              </w:rPr>
              <w:t>fulvestrant</w:t>
            </w:r>
            <w:proofErr w:type="spellEnd"/>
          </w:p>
        </w:tc>
      </w:tr>
      <w:tr w:rsidR="00937EEC" w:rsidRPr="00937EEC" w14:paraId="49A016BB" w14:textId="77777777" w:rsidTr="002402D7">
        <w:trPr>
          <w:cantSplit/>
        </w:trPr>
        <w:tc>
          <w:tcPr>
            <w:tcW w:w="784" w:type="pct"/>
            <w:shd w:val="clear" w:color="auto" w:fill="auto"/>
          </w:tcPr>
          <w:p w14:paraId="72262C25" w14:textId="77777777" w:rsidR="00937EEC" w:rsidRPr="00937EEC" w:rsidRDefault="00937EEC" w:rsidP="00937EEC">
            <w:pPr>
              <w:keepNext/>
              <w:spacing w:before="20" w:after="20"/>
              <w:jc w:val="left"/>
              <w:rPr>
                <w:rFonts w:ascii="Arial Narrow" w:eastAsiaTheme="majorEastAsia" w:hAnsi="Arial Narrow" w:cstheme="majorBidi"/>
                <w:bCs/>
                <w:sz w:val="20"/>
              </w:rPr>
            </w:pPr>
            <w:r w:rsidRPr="00937EEC">
              <w:rPr>
                <w:rFonts w:ascii="Arial Narrow" w:eastAsiaTheme="majorEastAsia" w:hAnsi="Arial Narrow" w:cstheme="majorBidi"/>
                <w:bCs/>
                <w:sz w:val="20"/>
              </w:rPr>
              <w:t>Outcomes</w:t>
            </w:r>
          </w:p>
        </w:tc>
        <w:tc>
          <w:tcPr>
            <w:tcW w:w="4216" w:type="pct"/>
            <w:shd w:val="clear" w:color="auto" w:fill="auto"/>
          </w:tcPr>
          <w:p w14:paraId="3D788758" w14:textId="77777777" w:rsidR="00937EEC" w:rsidRPr="00937EEC" w:rsidRDefault="00937EEC" w:rsidP="00937EEC">
            <w:pPr>
              <w:keepNext/>
              <w:spacing w:before="20" w:after="20"/>
              <w:jc w:val="left"/>
              <w:rPr>
                <w:rFonts w:ascii="Arial Narrow" w:hAnsi="Arial Narrow"/>
                <w:snapToGrid w:val="0"/>
                <w:color w:val="000000" w:themeColor="text1"/>
                <w:sz w:val="20"/>
                <w:szCs w:val="20"/>
              </w:rPr>
            </w:pPr>
            <w:r w:rsidRPr="00937EEC">
              <w:rPr>
                <w:rFonts w:ascii="Arial Narrow" w:hAnsi="Arial Narrow"/>
                <w:snapToGrid w:val="0"/>
                <w:color w:val="000000" w:themeColor="text1"/>
                <w:sz w:val="20"/>
                <w:szCs w:val="20"/>
              </w:rPr>
              <w:t>Primary outcome: Progression free survival (PFS)</w:t>
            </w:r>
          </w:p>
          <w:p w14:paraId="53ED1734" w14:textId="77777777" w:rsidR="00937EEC" w:rsidRPr="00937EEC" w:rsidRDefault="00937EEC" w:rsidP="00937EEC">
            <w:pPr>
              <w:keepNext/>
              <w:spacing w:before="20" w:after="20"/>
              <w:jc w:val="left"/>
              <w:rPr>
                <w:rFonts w:ascii="Arial Narrow" w:hAnsi="Arial Narrow"/>
                <w:snapToGrid w:val="0"/>
                <w:color w:val="000000" w:themeColor="text1"/>
                <w:sz w:val="20"/>
                <w:szCs w:val="20"/>
              </w:rPr>
            </w:pPr>
            <w:r w:rsidRPr="00937EEC">
              <w:rPr>
                <w:rFonts w:ascii="Arial Narrow" w:hAnsi="Arial Narrow"/>
                <w:snapToGrid w:val="0"/>
                <w:color w:val="000000" w:themeColor="text1"/>
                <w:sz w:val="20"/>
                <w:szCs w:val="20"/>
              </w:rPr>
              <w:t>Secondary outcomes: Overall survival (OS), Objective Response Rate (ORR), Clinical Benefit Response (CBR), Duration of Response (</w:t>
            </w:r>
            <w:proofErr w:type="spellStart"/>
            <w:r w:rsidRPr="00937EEC">
              <w:rPr>
                <w:rFonts w:ascii="Arial Narrow" w:hAnsi="Arial Narrow"/>
                <w:snapToGrid w:val="0"/>
                <w:color w:val="000000" w:themeColor="text1"/>
                <w:sz w:val="20"/>
                <w:szCs w:val="20"/>
              </w:rPr>
              <w:t>DoR</w:t>
            </w:r>
            <w:proofErr w:type="spellEnd"/>
            <w:r w:rsidRPr="00937EEC">
              <w:rPr>
                <w:rFonts w:ascii="Arial Narrow" w:hAnsi="Arial Narrow"/>
                <w:snapToGrid w:val="0"/>
                <w:color w:val="000000" w:themeColor="text1"/>
                <w:sz w:val="20"/>
                <w:szCs w:val="20"/>
              </w:rPr>
              <w:t>), Health related quality of life (</w:t>
            </w:r>
            <w:proofErr w:type="spellStart"/>
            <w:r w:rsidRPr="00937EEC">
              <w:rPr>
                <w:rFonts w:ascii="Arial Narrow" w:hAnsi="Arial Narrow"/>
                <w:snapToGrid w:val="0"/>
                <w:color w:val="000000" w:themeColor="text1"/>
                <w:sz w:val="20"/>
                <w:szCs w:val="20"/>
              </w:rPr>
              <w:t>HRQoL</w:t>
            </w:r>
            <w:proofErr w:type="spellEnd"/>
            <w:r w:rsidRPr="00937EEC">
              <w:rPr>
                <w:rFonts w:ascii="Arial Narrow" w:hAnsi="Arial Narrow"/>
                <w:snapToGrid w:val="0"/>
                <w:color w:val="000000" w:themeColor="text1"/>
                <w:sz w:val="20"/>
                <w:szCs w:val="20"/>
              </w:rPr>
              <w:t>) and Safety (TEAEs).</w:t>
            </w:r>
          </w:p>
        </w:tc>
      </w:tr>
      <w:tr w:rsidR="00937EEC" w:rsidRPr="00937EEC" w14:paraId="45BC8080" w14:textId="77777777" w:rsidTr="002402D7">
        <w:trPr>
          <w:cantSplit/>
        </w:trPr>
        <w:tc>
          <w:tcPr>
            <w:tcW w:w="784" w:type="pct"/>
            <w:shd w:val="clear" w:color="auto" w:fill="auto"/>
          </w:tcPr>
          <w:p w14:paraId="1D94F2E8" w14:textId="77777777" w:rsidR="00937EEC" w:rsidRPr="00937EEC" w:rsidRDefault="00937EEC" w:rsidP="00937EEC">
            <w:pPr>
              <w:keepNext/>
              <w:spacing w:before="20" w:after="20"/>
              <w:jc w:val="left"/>
              <w:rPr>
                <w:rFonts w:ascii="Arial Narrow" w:eastAsiaTheme="majorEastAsia" w:hAnsi="Arial Narrow" w:cstheme="majorBidi"/>
                <w:bCs/>
                <w:sz w:val="20"/>
              </w:rPr>
            </w:pPr>
            <w:r w:rsidRPr="00937EEC">
              <w:rPr>
                <w:rFonts w:ascii="Arial Narrow" w:eastAsiaTheme="majorEastAsia" w:hAnsi="Arial Narrow" w:cstheme="majorBidi"/>
                <w:bCs/>
                <w:sz w:val="20"/>
              </w:rPr>
              <w:t>Clinical claim</w:t>
            </w:r>
          </w:p>
        </w:tc>
        <w:tc>
          <w:tcPr>
            <w:tcW w:w="4216" w:type="pct"/>
            <w:shd w:val="clear" w:color="auto" w:fill="auto"/>
          </w:tcPr>
          <w:p w14:paraId="76376221" w14:textId="77777777" w:rsidR="00937EEC" w:rsidRPr="00937EEC" w:rsidRDefault="00937EEC" w:rsidP="00937EEC">
            <w:pPr>
              <w:keepNext/>
              <w:spacing w:before="20" w:after="20"/>
              <w:jc w:val="left"/>
              <w:rPr>
                <w:rFonts w:ascii="Arial Narrow" w:hAnsi="Arial Narrow"/>
                <w:snapToGrid w:val="0"/>
                <w:color w:val="000000" w:themeColor="text1"/>
                <w:sz w:val="20"/>
                <w:szCs w:val="20"/>
              </w:rPr>
            </w:pPr>
            <w:r w:rsidRPr="00937EEC">
              <w:rPr>
                <w:rFonts w:ascii="Arial Narrow" w:hAnsi="Arial Narrow"/>
                <w:snapToGrid w:val="0"/>
                <w:color w:val="000000" w:themeColor="text1"/>
                <w:sz w:val="20"/>
                <w:szCs w:val="20"/>
              </w:rPr>
              <w:t xml:space="preserve">In patients with locally advanced inoperable or metastatic HR+/HER2-negative breast cancer, </w:t>
            </w:r>
            <w:proofErr w:type="spellStart"/>
            <w:r w:rsidRPr="00937EEC">
              <w:rPr>
                <w:rFonts w:ascii="Arial Narrow" w:hAnsi="Arial Narrow"/>
                <w:snapToGrid w:val="0"/>
                <w:color w:val="000000" w:themeColor="text1"/>
                <w:sz w:val="20"/>
                <w:szCs w:val="20"/>
              </w:rPr>
              <w:t>palbociclib</w:t>
            </w:r>
            <w:proofErr w:type="spellEnd"/>
            <w:r w:rsidRPr="00937EEC">
              <w:rPr>
                <w:rFonts w:ascii="Arial Narrow" w:hAnsi="Arial Narrow"/>
                <w:snapToGrid w:val="0"/>
                <w:color w:val="000000" w:themeColor="text1"/>
                <w:sz w:val="20"/>
                <w:szCs w:val="20"/>
              </w:rPr>
              <w:t xml:space="preserve"> plus </w:t>
            </w:r>
            <w:proofErr w:type="spellStart"/>
            <w:r w:rsidRPr="00937EEC">
              <w:rPr>
                <w:rFonts w:ascii="Arial Narrow" w:hAnsi="Arial Narrow"/>
                <w:snapToGrid w:val="0"/>
                <w:color w:val="000000" w:themeColor="text1"/>
                <w:sz w:val="20"/>
                <w:szCs w:val="20"/>
              </w:rPr>
              <w:t>fulvestrant</w:t>
            </w:r>
            <w:proofErr w:type="spellEnd"/>
            <w:r w:rsidRPr="00937EEC">
              <w:rPr>
                <w:rFonts w:ascii="Arial Narrow" w:hAnsi="Arial Narrow"/>
                <w:snapToGrid w:val="0"/>
                <w:color w:val="000000" w:themeColor="text1"/>
                <w:sz w:val="20"/>
                <w:szCs w:val="20"/>
              </w:rPr>
              <w:t xml:space="preserve"> is non-inferior in terms of efficacy and similar in terms of safety to </w:t>
            </w:r>
            <w:proofErr w:type="spellStart"/>
            <w:r w:rsidRPr="00937EEC">
              <w:rPr>
                <w:rFonts w:ascii="Arial Narrow" w:hAnsi="Arial Narrow"/>
                <w:snapToGrid w:val="0"/>
                <w:color w:val="000000" w:themeColor="text1"/>
                <w:sz w:val="20"/>
                <w:szCs w:val="20"/>
              </w:rPr>
              <w:t>ribociclib</w:t>
            </w:r>
            <w:proofErr w:type="spellEnd"/>
            <w:r w:rsidRPr="00937EEC">
              <w:rPr>
                <w:rFonts w:ascii="Arial Narrow" w:hAnsi="Arial Narrow"/>
                <w:snapToGrid w:val="0"/>
                <w:color w:val="000000" w:themeColor="text1"/>
                <w:sz w:val="20"/>
                <w:szCs w:val="20"/>
              </w:rPr>
              <w:t xml:space="preserve"> plus </w:t>
            </w:r>
            <w:proofErr w:type="spellStart"/>
            <w:r w:rsidRPr="00937EEC">
              <w:rPr>
                <w:rFonts w:ascii="Arial Narrow" w:hAnsi="Arial Narrow"/>
                <w:snapToGrid w:val="0"/>
                <w:color w:val="000000" w:themeColor="text1"/>
                <w:sz w:val="20"/>
                <w:szCs w:val="20"/>
              </w:rPr>
              <w:t>fulvestrant</w:t>
            </w:r>
            <w:proofErr w:type="spellEnd"/>
            <w:r w:rsidRPr="00937EEC">
              <w:rPr>
                <w:rFonts w:ascii="Arial Narrow" w:hAnsi="Arial Narrow"/>
                <w:snapToGrid w:val="0"/>
                <w:color w:val="000000" w:themeColor="text1"/>
                <w:sz w:val="20"/>
                <w:szCs w:val="20"/>
              </w:rPr>
              <w:t>.</w:t>
            </w:r>
          </w:p>
        </w:tc>
      </w:tr>
    </w:tbl>
    <w:p w14:paraId="6B9A99B8" w14:textId="77777777" w:rsidR="00937EEC" w:rsidRPr="00937EEC" w:rsidRDefault="00937EEC" w:rsidP="00937EEC">
      <w:pPr>
        <w:spacing w:before="20" w:after="120"/>
        <w:contextualSpacing/>
        <w:rPr>
          <w:rFonts w:ascii="Arial Narrow" w:hAnsi="Arial Narrow"/>
          <w:snapToGrid w:val="0"/>
          <w:sz w:val="18"/>
          <w:szCs w:val="22"/>
        </w:rPr>
      </w:pPr>
      <w:r w:rsidRPr="00937EEC">
        <w:rPr>
          <w:rFonts w:ascii="Arial Narrow" w:hAnsi="Arial Narrow"/>
          <w:snapToGrid w:val="0"/>
          <w:sz w:val="18"/>
          <w:szCs w:val="22"/>
        </w:rPr>
        <w:t>Source: Table 1.1.1, pp6-7 of the submission.</w:t>
      </w:r>
    </w:p>
    <w:p w14:paraId="25082547" w14:textId="77777777" w:rsidR="00937EEC" w:rsidRPr="00937EEC" w:rsidRDefault="00937EEC" w:rsidP="00937EEC">
      <w:pPr>
        <w:spacing w:before="20" w:after="120"/>
        <w:contextualSpacing/>
        <w:rPr>
          <w:rFonts w:ascii="Arial Narrow" w:hAnsi="Arial Narrow"/>
          <w:snapToGrid w:val="0"/>
          <w:sz w:val="18"/>
          <w:szCs w:val="22"/>
        </w:rPr>
      </w:pPr>
      <w:r w:rsidRPr="00937EEC">
        <w:rPr>
          <w:rFonts w:ascii="Arial Narrow" w:hAnsi="Arial Narrow"/>
          <w:snapToGrid w:val="0"/>
          <w:sz w:val="18"/>
          <w:szCs w:val="22"/>
        </w:rPr>
        <w:t xml:space="preserve">CDK 4&amp;6 = cyclin dependent kinase 4&amp;6 inhibitor; </w:t>
      </w:r>
      <w:proofErr w:type="spellStart"/>
      <w:r w:rsidRPr="00937EEC">
        <w:rPr>
          <w:rFonts w:ascii="Arial Narrow" w:hAnsi="Arial Narrow"/>
          <w:snapToGrid w:val="0"/>
          <w:sz w:val="18"/>
          <w:szCs w:val="22"/>
        </w:rPr>
        <w:t>DoR</w:t>
      </w:r>
      <w:proofErr w:type="spellEnd"/>
      <w:r w:rsidRPr="00937EEC">
        <w:rPr>
          <w:rFonts w:ascii="Arial Narrow" w:hAnsi="Arial Narrow"/>
          <w:snapToGrid w:val="0"/>
          <w:sz w:val="18"/>
          <w:szCs w:val="22"/>
        </w:rPr>
        <w:t xml:space="preserve"> = duration of response; ECOG = Eastern Cooperative Oncology Group performance status score; HER2− = human epidermal growth factor receptor 2 negative; HR+ = hormone receptor positive; IM = intramuscular injection; PO = per oral; QD = once daily; TEAEs = treatment-emergent adverse events; WHO = World Health Organisation.</w:t>
      </w:r>
    </w:p>
    <w:p w14:paraId="448ACAF7" w14:textId="77777777" w:rsidR="00937EEC" w:rsidRPr="00937EEC" w:rsidRDefault="00937EEC" w:rsidP="006834DA">
      <w:pPr>
        <w:pStyle w:val="2-SectionHeading"/>
      </w:pPr>
      <w:bookmarkStart w:id="7" w:name="_Toc93397658"/>
      <w:r w:rsidRPr="00937EEC">
        <w:lastRenderedPageBreak/>
        <w:t>Background</w:t>
      </w:r>
      <w:bookmarkEnd w:id="7"/>
    </w:p>
    <w:p w14:paraId="1B994C16" w14:textId="77777777" w:rsidR="00937EEC" w:rsidRPr="00937EEC" w:rsidRDefault="00937EEC" w:rsidP="006834DA">
      <w:pPr>
        <w:pStyle w:val="4-SubsectionHeading"/>
      </w:pPr>
      <w:bookmarkStart w:id="8" w:name="_Toc22897638"/>
      <w:bookmarkStart w:id="9" w:name="_Toc93397659"/>
      <w:r w:rsidRPr="00937EEC">
        <w:t>Registration status</w:t>
      </w:r>
      <w:bookmarkEnd w:id="8"/>
      <w:bookmarkEnd w:id="9"/>
    </w:p>
    <w:p w14:paraId="6C72DFB7" w14:textId="77777777" w:rsidR="00BA2CAD" w:rsidRDefault="00937EEC" w:rsidP="00DE4EDC">
      <w:pPr>
        <w:pStyle w:val="3-BodyText"/>
      </w:pPr>
      <w:r w:rsidRPr="00081A39">
        <w:t xml:space="preserve">Palbociclib </w:t>
      </w:r>
      <w:r w:rsidR="000D7E65" w:rsidRPr="00081A39">
        <w:t xml:space="preserve">is </w:t>
      </w:r>
      <w:r w:rsidRPr="00081A39">
        <w:t>TGA-registered for the treatment of HR+, HER2</w:t>
      </w:r>
      <w:r w:rsidRPr="00081A39">
        <w:rPr>
          <w:rFonts w:cstheme="minorHAnsi"/>
        </w:rPr>
        <w:t>−</w:t>
      </w:r>
      <w:r w:rsidRPr="00081A39">
        <w:t xml:space="preserve"> advanced or metastatic breast cancer in combination with an aromatase inhibitor (AI) as initial endocrine-based therapy or </w:t>
      </w:r>
      <w:proofErr w:type="spellStart"/>
      <w:r w:rsidRPr="00081A39">
        <w:t>fulvestrant</w:t>
      </w:r>
      <w:proofErr w:type="spellEnd"/>
      <w:r w:rsidRPr="00081A39">
        <w:t xml:space="preserve"> in patients who have received prior therapy. </w:t>
      </w:r>
    </w:p>
    <w:p w14:paraId="5CF3543F" w14:textId="24AD8CC1" w:rsidR="00937EEC" w:rsidRPr="00081A39" w:rsidRDefault="00937EEC" w:rsidP="00AA077D">
      <w:pPr>
        <w:pStyle w:val="3-BodyText"/>
      </w:pPr>
      <w:r w:rsidRPr="00081A39">
        <w:t xml:space="preserve">Palbociclib 75 mg, 100 mg and 125 mg capsules were TGA registered on 3 May 2017 while </w:t>
      </w:r>
      <w:proofErr w:type="spellStart"/>
      <w:r w:rsidRPr="00081A39">
        <w:t>palbociclib</w:t>
      </w:r>
      <w:proofErr w:type="spellEnd"/>
      <w:r w:rsidRPr="00081A39">
        <w:t xml:space="preserve"> 75 mg, 100 mg and 125 mg tablets were registered on 3 June 2020.</w:t>
      </w:r>
      <w:r w:rsidR="00BA2CAD">
        <w:t xml:space="preserve"> </w:t>
      </w:r>
      <w:bookmarkStart w:id="10" w:name="_Hlk90019152"/>
      <w:r w:rsidR="00D529BA">
        <w:t>P</w:t>
      </w:r>
      <w:r w:rsidRPr="00081A39">
        <w:t>albociclib capsules w</w:t>
      </w:r>
      <w:r w:rsidR="00D529BA">
        <w:t>ere</w:t>
      </w:r>
      <w:r w:rsidRPr="00081A39">
        <w:t xml:space="preserve"> delisted and replaced with </w:t>
      </w:r>
      <w:proofErr w:type="spellStart"/>
      <w:r w:rsidRPr="00081A39">
        <w:t>palbociclib</w:t>
      </w:r>
      <w:proofErr w:type="spellEnd"/>
      <w:r w:rsidRPr="00081A39">
        <w:t xml:space="preserve"> tablets on 1 January 2022. </w:t>
      </w:r>
      <w:bookmarkEnd w:id="10"/>
      <w:r w:rsidRPr="00081A39">
        <w:t xml:space="preserve">The proposed listing in the current submission is for </w:t>
      </w:r>
      <w:proofErr w:type="spellStart"/>
      <w:r w:rsidRPr="00081A39">
        <w:t>palbociclib</w:t>
      </w:r>
      <w:proofErr w:type="spellEnd"/>
      <w:r w:rsidRPr="00081A39">
        <w:t xml:space="preserve"> 75 mg, 100 </w:t>
      </w:r>
      <w:proofErr w:type="gramStart"/>
      <w:r w:rsidRPr="00081A39">
        <w:t>mg</w:t>
      </w:r>
      <w:proofErr w:type="gramEnd"/>
      <w:r w:rsidRPr="00081A39">
        <w:t xml:space="preserve"> and 125 mg tablets.</w:t>
      </w:r>
    </w:p>
    <w:p w14:paraId="7DF3DB4F" w14:textId="0EE93BF3" w:rsidR="00937EEC" w:rsidRPr="00081A39" w:rsidRDefault="00937EEC" w:rsidP="00DE4EDC">
      <w:pPr>
        <w:pStyle w:val="3-BodyText"/>
      </w:pPr>
      <w:bookmarkStart w:id="11" w:name="_Hlk90052653"/>
      <w:r w:rsidRPr="00081A39">
        <w:t xml:space="preserve">The U.S. Food &amp; Drug Administration granted regular approval to </w:t>
      </w:r>
      <w:proofErr w:type="spellStart"/>
      <w:r w:rsidRPr="00081A39">
        <w:t>palbociclib</w:t>
      </w:r>
      <w:proofErr w:type="spellEnd"/>
      <w:r w:rsidRPr="00081A39">
        <w:t xml:space="preserve"> in combination with </w:t>
      </w:r>
      <w:proofErr w:type="spellStart"/>
      <w:r w:rsidRPr="00081A39">
        <w:t>fulvestrant</w:t>
      </w:r>
      <w:proofErr w:type="spellEnd"/>
      <w:r w:rsidRPr="00081A39">
        <w:t xml:space="preserve"> for the treatment of HR+, HER2- advanced or metastatic breast cancer in women with disease progression following endocrine therapy in February 2016.</w:t>
      </w:r>
      <w:r w:rsidRPr="00081A39">
        <w:rPr>
          <w:vertAlign w:val="superscript"/>
        </w:rPr>
        <w:footnoteReference w:id="1"/>
      </w:r>
      <w:r w:rsidRPr="00081A39">
        <w:t xml:space="preserve"> The approved indication was expanded to men in April 2019.</w:t>
      </w:r>
      <w:r w:rsidRPr="00081A39">
        <w:rPr>
          <w:vertAlign w:val="superscript"/>
        </w:rPr>
        <w:footnoteReference w:id="2"/>
      </w:r>
      <w:r w:rsidRPr="00081A39">
        <w:t xml:space="preserve"> The European Medicines Agency granted its authorisation in November 2016.</w:t>
      </w:r>
      <w:r w:rsidRPr="00081A39">
        <w:rPr>
          <w:vertAlign w:val="superscript"/>
        </w:rPr>
        <w:footnoteReference w:id="3"/>
      </w:r>
    </w:p>
    <w:p w14:paraId="76DCACB1" w14:textId="77777777" w:rsidR="00937EEC" w:rsidRPr="00937EEC" w:rsidRDefault="00937EEC" w:rsidP="006834DA">
      <w:pPr>
        <w:pStyle w:val="4-SubsectionHeading"/>
      </w:pPr>
      <w:bookmarkStart w:id="12" w:name="_Toc22897639"/>
      <w:bookmarkStart w:id="13" w:name="_Toc93397660"/>
      <w:bookmarkStart w:id="14" w:name="_Hlk24117209"/>
      <w:bookmarkEnd w:id="11"/>
      <w:r w:rsidRPr="00937EEC">
        <w:t>Previous PBAC consideration</w:t>
      </w:r>
      <w:bookmarkEnd w:id="12"/>
      <w:bookmarkEnd w:id="13"/>
    </w:p>
    <w:bookmarkEnd w:id="14"/>
    <w:p w14:paraId="0AD9F70B" w14:textId="41DCDF11" w:rsidR="00937EEC" w:rsidRDefault="00937EEC" w:rsidP="00DE4EDC">
      <w:pPr>
        <w:pStyle w:val="3-BodyText"/>
      </w:pPr>
      <w:r w:rsidRPr="00937EEC">
        <w:t xml:space="preserve">The PBAC recommended the listing of </w:t>
      </w:r>
      <w:proofErr w:type="spellStart"/>
      <w:r w:rsidRPr="00937EEC">
        <w:t>palbociclib</w:t>
      </w:r>
      <w:proofErr w:type="spellEnd"/>
      <w:r w:rsidRPr="00937EEC">
        <w:t xml:space="preserve"> in combination with a non-steroidal aromatase inhibitor (NSAI) (anastrozole or letrozole) as initial endocrine-based therapy in patients with HR+, HER2- locally advanced inoperable or metastatic breast cancer at the March 2018 PBAC </w:t>
      </w:r>
      <w:r w:rsidR="007F1F8F">
        <w:t>m</w:t>
      </w:r>
      <w:r w:rsidRPr="00937EEC">
        <w:t>eeting (para</w:t>
      </w:r>
      <w:r w:rsidR="00C81453">
        <w:t>graph</w:t>
      </w:r>
      <w:r w:rsidRPr="00937EEC">
        <w:t xml:space="preserve"> 6.1, </w:t>
      </w:r>
      <w:proofErr w:type="spellStart"/>
      <w:r w:rsidR="00C81453">
        <w:t>p</w:t>
      </w:r>
      <w:r w:rsidRPr="00937EEC">
        <w:t>albociclib</w:t>
      </w:r>
      <w:proofErr w:type="spellEnd"/>
      <w:r w:rsidRPr="00937EEC">
        <w:t xml:space="preserve"> </w:t>
      </w:r>
      <w:r w:rsidR="006E5BC9">
        <w:t>p</w:t>
      </w:r>
      <w:r w:rsidR="00973EB3">
        <w:t>ublic summary document (PS</w:t>
      </w:r>
      <w:r w:rsidRPr="00937EEC">
        <w:t>D</w:t>
      </w:r>
      <w:r w:rsidR="00973EB3">
        <w:t>)</w:t>
      </w:r>
      <w:r w:rsidRPr="00937EEC">
        <w:t>, March 2018).</w:t>
      </w:r>
    </w:p>
    <w:p w14:paraId="09917C2E" w14:textId="0C018D6A" w:rsidR="00A72CA3" w:rsidRDefault="00A72CA3" w:rsidP="00343246">
      <w:pPr>
        <w:pStyle w:val="3-BodyText"/>
      </w:pPr>
      <w:r>
        <w:t xml:space="preserve">The PBAC recommended the listing of </w:t>
      </w:r>
      <w:proofErr w:type="spellStart"/>
      <w:r>
        <w:t>ribociclib</w:t>
      </w:r>
      <w:proofErr w:type="spellEnd"/>
      <w:r>
        <w:t xml:space="preserve"> in combination with </w:t>
      </w:r>
      <w:proofErr w:type="spellStart"/>
      <w:r>
        <w:t>fulvestrant</w:t>
      </w:r>
      <w:proofErr w:type="spellEnd"/>
      <w:r>
        <w:t xml:space="preserve"> for the treatment of patients with HR+, HER2- unresectable advanced or metastatic breast cancer </w:t>
      </w:r>
      <w:r w:rsidR="00AA077D">
        <w:t>at the</w:t>
      </w:r>
      <w:r>
        <w:t xml:space="preserve"> November 2020</w:t>
      </w:r>
      <w:r w:rsidR="00AA077D">
        <w:t xml:space="preserve"> meeting</w:t>
      </w:r>
      <w:r>
        <w:t xml:space="preserve"> (para</w:t>
      </w:r>
      <w:r w:rsidR="00C81453">
        <w:t>graph</w:t>
      </w:r>
      <w:r>
        <w:t xml:space="preserve"> 5.1, </w:t>
      </w:r>
      <w:proofErr w:type="spellStart"/>
      <w:r w:rsidR="00C81453">
        <w:t>r</w:t>
      </w:r>
      <w:r>
        <w:t>ibociclib</w:t>
      </w:r>
      <w:proofErr w:type="spellEnd"/>
      <w:r>
        <w:t xml:space="preserve"> PSD, November 2020). </w:t>
      </w:r>
    </w:p>
    <w:p w14:paraId="3612EBDF" w14:textId="329AC35F" w:rsidR="00343246" w:rsidRDefault="00343246" w:rsidP="00343246">
      <w:pPr>
        <w:pStyle w:val="3-BodyText"/>
      </w:pPr>
      <w:r>
        <w:t xml:space="preserve">The PBAC recommended the listing of </w:t>
      </w:r>
      <w:proofErr w:type="spellStart"/>
      <w:r>
        <w:t>abemaciclib</w:t>
      </w:r>
      <w:proofErr w:type="spellEnd"/>
      <w:r>
        <w:t xml:space="preserve"> in combination with </w:t>
      </w:r>
      <w:proofErr w:type="spellStart"/>
      <w:r>
        <w:t>fulvestrant</w:t>
      </w:r>
      <w:proofErr w:type="spellEnd"/>
      <w:r>
        <w:t xml:space="preserve"> for the treatment of non-premenopausal patients with HR+, HER2− inoperable locally advanced or metastatic breast cancer, on a cost-minimisation basis with </w:t>
      </w:r>
      <w:proofErr w:type="spellStart"/>
      <w:r>
        <w:t>ribociclib</w:t>
      </w:r>
      <w:proofErr w:type="spellEnd"/>
      <w:r>
        <w:t xml:space="preserve"> </w:t>
      </w:r>
      <w:r w:rsidR="00E46A5B">
        <w:t>plus</w:t>
      </w:r>
      <w:r>
        <w:t xml:space="preserve"> </w:t>
      </w:r>
      <w:proofErr w:type="spellStart"/>
      <w:r>
        <w:t>fulvestrant</w:t>
      </w:r>
      <w:proofErr w:type="spellEnd"/>
      <w:r>
        <w:t xml:space="preserve"> at </w:t>
      </w:r>
      <w:r w:rsidR="00AA077D">
        <w:t>the</w:t>
      </w:r>
      <w:r>
        <w:t xml:space="preserve"> March 2021 meeting (para</w:t>
      </w:r>
      <w:r w:rsidR="00C81453">
        <w:t>graph</w:t>
      </w:r>
      <w:r>
        <w:t xml:space="preserve"> 7.1, </w:t>
      </w:r>
      <w:proofErr w:type="spellStart"/>
      <w:r w:rsidR="00C81453">
        <w:t>a</w:t>
      </w:r>
      <w:r>
        <w:t>bemaciclib</w:t>
      </w:r>
      <w:proofErr w:type="spellEnd"/>
      <w:r>
        <w:t xml:space="preserve"> PSD, March 2021).</w:t>
      </w:r>
    </w:p>
    <w:p w14:paraId="75234D93" w14:textId="3A6EB260" w:rsidR="00E74253" w:rsidRPr="00E74253" w:rsidRDefault="00E74253" w:rsidP="00E74253">
      <w:pPr>
        <w:pStyle w:val="3-BodyText"/>
        <w:numPr>
          <w:ilvl w:val="0"/>
          <w:numId w:val="0"/>
        </w:numPr>
        <w:ind w:left="720"/>
        <w:rPr>
          <w:i/>
          <w:iCs/>
        </w:rPr>
      </w:pPr>
      <w:r w:rsidRPr="00E74253">
        <w:rPr>
          <w:i/>
          <w:iCs/>
        </w:rPr>
        <w:t>For more detail on PBAC’s view, see section 7 PBAC outcome.</w:t>
      </w:r>
    </w:p>
    <w:p w14:paraId="66E71478" w14:textId="4BA4ED9F" w:rsidR="00937EEC" w:rsidRPr="00937EEC" w:rsidRDefault="00937EEC" w:rsidP="006834DA">
      <w:pPr>
        <w:pStyle w:val="2-SectionHeading"/>
      </w:pPr>
      <w:bookmarkStart w:id="15" w:name="_Toc93397661"/>
      <w:r w:rsidRPr="00937EEC">
        <w:lastRenderedPageBreak/>
        <w:t>Requested listing</w:t>
      </w:r>
      <w:bookmarkEnd w:id="15"/>
    </w:p>
    <w:tbl>
      <w:tblPr>
        <w:tblW w:w="4977" w:type="pct"/>
        <w:tblInd w:w="28" w:type="dxa"/>
        <w:tblCellMar>
          <w:left w:w="28" w:type="dxa"/>
          <w:right w:w="28" w:type="dxa"/>
        </w:tblCellMar>
        <w:tblLook w:val="0000" w:firstRow="0" w:lastRow="0" w:firstColumn="0" w:lastColumn="0" w:noHBand="0" w:noVBand="0"/>
      </w:tblPr>
      <w:tblGrid>
        <w:gridCol w:w="1532"/>
        <w:gridCol w:w="1420"/>
        <w:gridCol w:w="848"/>
        <w:gridCol w:w="708"/>
        <w:gridCol w:w="2410"/>
        <w:gridCol w:w="2067"/>
      </w:tblGrid>
      <w:tr w:rsidR="00937EEC" w:rsidRPr="00937EEC" w14:paraId="5FB06EC7" w14:textId="77777777" w:rsidTr="000E484F">
        <w:trPr>
          <w:cantSplit/>
          <w:trHeight w:val="463"/>
        </w:trPr>
        <w:tc>
          <w:tcPr>
            <w:tcW w:w="1643" w:type="pct"/>
            <w:gridSpan w:val="2"/>
            <w:tcBorders>
              <w:top w:val="single" w:sz="4" w:space="0" w:color="auto"/>
              <w:bottom w:val="single" w:sz="4" w:space="0" w:color="auto"/>
            </w:tcBorders>
            <w:vAlign w:val="center"/>
          </w:tcPr>
          <w:p w14:paraId="5EA7F4E0" w14:textId="77777777" w:rsidR="00937EEC" w:rsidRPr="00937EEC" w:rsidRDefault="00937EEC" w:rsidP="00937EEC">
            <w:pPr>
              <w:keepNext/>
              <w:jc w:val="left"/>
              <w:rPr>
                <w:rFonts w:ascii="Arial Narrow" w:hAnsi="Arial Narrow"/>
                <w:b/>
                <w:sz w:val="20"/>
              </w:rPr>
            </w:pPr>
            <w:r w:rsidRPr="00937EEC">
              <w:rPr>
                <w:rFonts w:ascii="Arial Narrow" w:hAnsi="Arial Narrow"/>
                <w:b/>
                <w:sz w:val="20"/>
              </w:rPr>
              <w:t>Name, Restriction,</w:t>
            </w:r>
          </w:p>
          <w:p w14:paraId="6C6A29F6" w14:textId="77777777" w:rsidR="00937EEC" w:rsidRPr="00937EEC" w:rsidRDefault="00937EEC" w:rsidP="00937EEC">
            <w:pPr>
              <w:keepNext/>
              <w:jc w:val="left"/>
              <w:rPr>
                <w:rFonts w:ascii="Arial Narrow" w:hAnsi="Arial Narrow"/>
                <w:b/>
                <w:sz w:val="20"/>
              </w:rPr>
            </w:pPr>
            <w:r w:rsidRPr="00937EEC">
              <w:rPr>
                <w:rFonts w:ascii="Arial Narrow" w:hAnsi="Arial Narrow"/>
                <w:b/>
                <w:sz w:val="20"/>
              </w:rPr>
              <w:t>Manner of administration and form</w:t>
            </w:r>
          </w:p>
        </w:tc>
        <w:tc>
          <w:tcPr>
            <w:tcW w:w="472" w:type="pct"/>
            <w:tcBorders>
              <w:top w:val="single" w:sz="4" w:space="0" w:color="auto"/>
              <w:bottom w:val="single" w:sz="4" w:space="0" w:color="auto"/>
            </w:tcBorders>
            <w:vAlign w:val="center"/>
          </w:tcPr>
          <w:p w14:paraId="3FD8B47C" w14:textId="77777777" w:rsidR="00937EEC" w:rsidRPr="00937EEC" w:rsidRDefault="00937EEC" w:rsidP="00937EEC">
            <w:pPr>
              <w:keepNext/>
              <w:jc w:val="center"/>
              <w:rPr>
                <w:rFonts w:ascii="Arial Narrow" w:hAnsi="Arial Narrow"/>
                <w:b/>
                <w:sz w:val="20"/>
              </w:rPr>
            </w:pPr>
            <w:r w:rsidRPr="00937EEC">
              <w:rPr>
                <w:rFonts w:ascii="Arial Narrow" w:hAnsi="Arial Narrow"/>
                <w:b/>
                <w:sz w:val="20"/>
              </w:rPr>
              <w:t>Max.</w:t>
            </w:r>
          </w:p>
          <w:p w14:paraId="7790C519" w14:textId="77777777" w:rsidR="00937EEC" w:rsidRPr="00937EEC" w:rsidRDefault="00937EEC" w:rsidP="00937EEC">
            <w:pPr>
              <w:keepNext/>
              <w:jc w:val="center"/>
              <w:rPr>
                <w:rFonts w:ascii="Arial Narrow" w:hAnsi="Arial Narrow"/>
                <w:b/>
                <w:sz w:val="20"/>
              </w:rPr>
            </w:pPr>
            <w:r w:rsidRPr="00937EEC">
              <w:rPr>
                <w:rFonts w:ascii="Arial Narrow" w:hAnsi="Arial Narrow"/>
                <w:b/>
                <w:sz w:val="20"/>
              </w:rPr>
              <w:t>Qty</w:t>
            </w:r>
          </w:p>
        </w:tc>
        <w:tc>
          <w:tcPr>
            <w:tcW w:w="394" w:type="pct"/>
            <w:tcBorders>
              <w:top w:val="single" w:sz="4" w:space="0" w:color="auto"/>
              <w:bottom w:val="single" w:sz="4" w:space="0" w:color="auto"/>
            </w:tcBorders>
            <w:vAlign w:val="center"/>
          </w:tcPr>
          <w:p w14:paraId="07E637F0" w14:textId="77777777" w:rsidR="00937EEC" w:rsidRPr="00937EEC" w:rsidRDefault="00937EEC" w:rsidP="00937EEC">
            <w:pPr>
              <w:keepNext/>
              <w:jc w:val="center"/>
              <w:rPr>
                <w:rFonts w:ascii="Arial Narrow" w:hAnsi="Arial Narrow"/>
                <w:b/>
                <w:sz w:val="20"/>
              </w:rPr>
            </w:pPr>
            <w:proofErr w:type="gramStart"/>
            <w:r w:rsidRPr="00937EEC">
              <w:rPr>
                <w:rFonts w:ascii="Arial Narrow" w:hAnsi="Arial Narrow" w:cs="Times New Roman"/>
                <w:b/>
                <w:sz w:val="20"/>
              </w:rPr>
              <w:t>№</w:t>
            </w:r>
            <w:r w:rsidRPr="00937EEC">
              <w:rPr>
                <w:rFonts w:ascii="Arial Narrow" w:hAnsi="Arial Narrow"/>
                <w:b/>
                <w:sz w:val="20"/>
              </w:rPr>
              <w:t>.of</w:t>
            </w:r>
            <w:proofErr w:type="gramEnd"/>
          </w:p>
          <w:p w14:paraId="25FC9C60" w14:textId="77777777" w:rsidR="00937EEC" w:rsidRPr="00937EEC" w:rsidRDefault="00937EEC" w:rsidP="00937EEC">
            <w:pPr>
              <w:keepNext/>
              <w:jc w:val="center"/>
              <w:rPr>
                <w:rFonts w:ascii="Arial Narrow" w:hAnsi="Arial Narrow"/>
                <w:b/>
                <w:sz w:val="20"/>
              </w:rPr>
            </w:pPr>
            <w:proofErr w:type="spellStart"/>
            <w:r w:rsidRPr="00937EEC">
              <w:rPr>
                <w:rFonts w:ascii="Arial Narrow" w:hAnsi="Arial Narrow"/>
                <w:b/>
                <w:sz w:val="20"/>
              </w:rPr>
              <w:t>Rpts</w:t>
            </w:r>
            <w:proofErr w:type="spellEnd"/>
          </w:p>
        </w:tc>
        <w:tc>
          <w:tcPr>
            <w:tcW w:w="1341" w:type="pct"/>
            <w:tcBorders>
              <w:top w:val="single" w:sz="4" w:space="0" w:color="auto"/>
              <w:bottom w:val="single" w:sz="4" w:space="0" w:color="auto"/>
            </w:tcBorders>
            <w:vAlign w:val="center"/>
          </w:tcPr>
          <w:p w14:paraId="6707CC77" w14:textId="77777777" w:rsidR="00937EEC" w:rsidRPr="00937EEC" w:rsidRDefault="00937EEC" w:rsidP="00937EEC">
            <w:pPr>
              <w:keepNext/>
              <w:jc w:val="center"/>
              <w:rPr>
                <w:rFonts w:ascii="Arial Narrow" w:hAnsi="Arial Narrow"/>
                <w:b/>
                <w:sz w:val="20"/>
              </w:rPr>
            </w:pPr>
            <w:r w:rsidRPr="00937EEC">
              <w:rPr>
                <w:rFonts w:ascii="Arial Narrow" w:hAnsi="Arial Narrow"/>
                <w:b/>
                <w:sz w:val="20"/>
              </w:rPr>
              <w:t xml:space="preserve">Dispensed Price for Max. Qty </w:t>
            </w:r>
          </w:p>
        </w:tc>
        <w:tc>
          <w:tcPr>
            <w:tcW w:w="1150" w:type="pct"/>
            <w:tcBorders>
              <w:top w:val="single" w:sz="4" w:space="0" w:color="auto"/>
              <w:bottom w:val="single" w:sz="4" w:space="0" w:color="auto"/>
            </w:tcBorders>
            <w:vAlign w:val="center"/>
          </w:tcPr>
          <w:p w14:paraId="313BD6E9" w14:textId="77777777" w:rsidR="00937EEC" w:rsidRPr="00937EEC" w:rsidRDefault="00937EEC" w:rsidP="00937EEC">
            <w:pPr>
              <w:keepNext/>
              <w:jc w:val="center"/>
              <w:rPr>
                <w:rFonts w:ascii="Arial Narrow" w:hAnsi="Arial Narrow"/>
                <w:b/>
                <w:sz w:val="20"/>
                <w:lang w:val="fr-FR"/>
              </w:rPr>
            </w:pPr>
            <w:r w:rsidRPr="00937EEC">
              <w:rPr>
                <w:rFonts w:ascii="Arial Narrow" w:hAnsi="Arial Narrow"/>
                <w:b/>
                <w:sz w:val="20"/>
              </w:rPr>
              <w:t>Proprietary Name and Manufacturer</w:t>
            </w:r>
          </w:p>
        </w:tc>
      </w:tr>
      <w:tr w:rsidR="00B2222E" w:rsidRPr="00937EEC" w14:paraId="63D15F94" w14:textId="77777777" w:rsidTr="00B2222E">
        <w:trPr>
          <w:cantSplit/>
          <w:trHeight w:val="567"/>
        </w:trPr>
        <w:tc>
          <w:tcPr>
            <w:tcW w:w="1643" w:type="pct"/>
            <w:gridSpan w:val="2"/>
          </w:tcPr>
          <w:p w14:paraId="0E96A2BC" w14:textId="77777777" w:rsidR="00B2222E" w:rsidRPr="00937EEC" w:rsidRDefault="00B2222E" w:rsidP="00E46A5B">
            <w:pPr>
              <w:keepNext/>
              <w:jc w:val="left"/>
              <w:rPr>
                <w:rFonts w:ascii="Arial Narrow" w:hAnsi="Arial Narrow"/>
                <w:sz w:val="20"/>
              </w:rPr>
            </w:pPr>
            <w:r w:rsidRPr="00937EEC">
              <w:rPr>
                <w:rFonts w:ascii="Arial Narrow" w:hAnsi="Arial Narrow"/>
                <w:smallCaps/>
                <w:sz w:val="20"/>
              </w:rPr>
              <w:t>Palbociclib</w:t>
            </w:r>
          </w:p>
          <w:p w14:paraId="43EDC2FD" w14:textId="77777777" w:rsidR="00B2222E" w:rsidRPr="00937EEC" w:rsidRDefault="00B2222E" w:rsidP="00E46A5B">
            <w:pPr>
              <w:keepNext/>
              <w:jc w:val="left"/>
              <w:rPr>
                <w:rFonts w:ascii="Arial Narrow" w:hAnsi="Arial Narrow"/>
                <w:sz w:val="20"/>
              </w:rPr>
            </w:pPr>
            <w:r w:rsidRPr="00937EEC">
              <w:rPr>
                <w:rFonts w:ascii="Arial Narrow" w:hAnsi="Arial Narrow"/>
                <w:sz w:val="20"/>
              </w:rPr>
              <w:t>Tablets 75 mg, 100 mg, 125 mg, 21</w:t>
            </w:r>
          </w:p>
        </w:tc>
        <w:tc>
          <w:tcPr>
            <w:tcW w:w="472" w:type="pct"/>
            <w:vAlign w:val="center"/>
          </w:tcPr>
          <w:p w14:paraId="135E42B3" w14:textId="77777777" w:rsidR="00B2222E" w:rsidRPr="00937EEC" w:rsidRDefault="00B2222E" w:rsidP="00B2222E">
            <w:pPr>
              <w:keepNext/>
              <w:jc w:val="center"/>
              <w:rPr>
                <w:rFonts w:ascii="Arial Narrow" w:hAnsi="Arial Narrow"/>
                <w:sz w:val="20"/>
              </w:rPr>
            </w:pPr>
            <w:r w:rsidRPr="00937EEC">
              <w:rPr>
                <w:rFonts w:ascii="Arial Narrow" w:hAnsi="Arial Narrow"/>
                <w:sz w:val="20"/>
              </w:rPr>
              <w:t>21</w:t>
            </w:r>
          </w:p>
        </w:tc>
        <w:tc>
          <w:tcPr>
            <w:tcW w:w="394" w:type="pct"/>
            <w:vAlign w:val="center"/>
          </w:tcPr>
          <w:p w14:paraId="223177E3" w14:textId="77777777" w:rsidR="00B2222E" w:rsidRPr="00937EEC" w:rsidRDefault="00B2222E" w:rsidP="00B2222E">
            <w:pPr>
              <w:keepNext/>
              <w:jc w:val="center"/>
              <w:rPr>
                <w:rFonts w:ascii="Arial Narrow" w:hAnsi="Arial Narrow"/>
                <w:sz w:val="20"/>
              </w:rPr>
            </w:pPr>
            <w:r w:rsidRPr="00937EEC">
              <w:rPr>
                <w:rFonts w:ascii="Arial Narrow" w:hAnsi="Arial Narrow"/>
                <w:sz w:val="20"/>
              </w:rPr>
              <w:t>5</w:t>
            </w:r>
          </w:p>
        </w:tc>
        <w:tc>
          <w:tcPr>
            <w:tcW w:w="1341" w:type="pct"/>
          </w:tcPr>
          <w:p w14:paraId="60BA0FBD" w14:textId="6A77BD79" w:rsidR="00B2222E" w:rsidRPr="001236FA" w:rsidRDefault="00B2222E" w:rsidP="00B2222E">
            <w:pPr>
              <w:keepNext/>
              <w:jc w:val="center"/>
              <w:rPr>
                <w:rFonts w:ascii="Arial Narrow" w:hAnsi="Arial Narrow"/>
                <w:sz w:val="20"/>
              </w:rPr>
            </w:pPr>
            <w:r>
              <w:rPr>
                <w:rFonts w:ascii="Arial Narrow" w:hAnsi="Arial Narrow"/>
                <w:sz w:val="20"/>
              </w:rPr>
              <w:t xml:space="preserve">Published: </w:t>
            </w:r>
            <w:r w:rsidRPr="00937EEC">
              <w:rPr>
                <w:rFonts w:ascii="Arial Narrow" w:hAnsi="Arial Narrow"/>
                <w:sz w:val="20"/>
              </w:rPr>
              <w:t>$4,249.07</w:t>
            </w:r>
          </w:p>
          <w:p w14:paraId="5ED11568" w14:textId="5DDE794C" w:rsidR="00B2222E" w:rsidRPr="00937EEC" w:rsidRDefault="00B2222E" w:rsidP="00B2222E">
            <w:pPr>
              <w:keepNext/>
              <w:jc w:val="center"/>
              <w:rPr>
                <w:rFonts w:ascii="Arial Narrow" w:hAnsi="Arial Narrow"/>
                <w:sz w:val="20"/>
              </w:rPr>
            </w:pPr>
            <w:r>
              <w:rPr>
                <w:rFonts w:ascii="Arial Narrow" w:hAnsi="Arial Narrow"/>
                <w:sz w:val="20"/>
              </w:rPr>
              <w:t xml:space="preserve">Effective: </w:t>
            </w:r>
            <w:r w:rsidRPr="001236FA">
              <w:rPr>
                <w:rFonts w:ascii="Arial Narrow" w:hAnsi="Arial Narrow"/>
                <w:sz w:val="20"/>
              </w:rPr>
              <w:t>$</w:t>
            </w:r>
            <w:r w:rsidR="007B7D69" w:rsidRPr="007B7D69">
              <w:rPr>
                <w:rFonts w:ascii="Arial Narrow" w:hAnsi="Arial Narrow"/>
                <w:color w:val="000000"/>
                <w:sz w:val="20"/>
                <w:shd w:val="solid" w:color="000000" w:fill="000000"/>
                <w14:textFill>
                  <w14:solidFill>
                    <w14:srgbClr w14:val="000000">
                      <w14:alpha w14:val="100000"/>
                    </w14:srgbClr>
                  </w14:solidFill>
                </w14:textFill>
              </w:rPr>
              <w:t>|</w:t>
            </w:r>
          </w:p>
        </w:tc>
        <w:tc>
          <w:tcPr>
            <w:tcW w:w="1150" w:type="pct"/>
          </w:tcPr>
          <w:p w14:paraId="215CAD54" w14:textId="77777777" w:rsidR="00B2222E" w:rsidRPr="00937EEC" w:rsidRDefault="00B2222E" w:rsidP="00E46A5B">
            <w:pPr>
              <w:keepNext/>
              <w:jc w:val="center"/>
              <w:rPr>
                <w:rFonts w:ascii="Arial Narrow" w:hAnsi="Arial Narrow"/>
                <w:sz w:val="20"/>
              </w:rPr>
            </w:pPr>
            <w:proofErr w:type="spellStart"/>
            <w:r w:rsidRPr="00937EEC">
              <w:rPr>
                <w:rFonts w:ascii="Arial Narrow" w:hAnsi="Arial Narrow"/>
                <w:sz w:val="20"/>
              </w:rPr>
              <w:t>Ibrance</w:t>
            </w:r>
            <w:proofErr w:type="spellEnd"/>
            <w:r w:rsidRPr="00937EEC">
              <w:rPr>
                <w:rFonts w:ascii="Arial Narrow" w:hAnsi="Arial Narrow"/>
                <w:sz w:val="20"/>
                <w:vertAlign w:val="superscript"/>
              </w:rPr>
              <w:t>®</w:t>
            </w:r>
          </w:p>
          <w:p w14:paraId="28947ECE" w14:textId="3E8E0C39" w:rsidR="00B2222E" w:rsidRPr="00937EEC" w:rsidRDefault="00B2222E" w:rsidP="00E46A5B">
            <w:pPr>
              <w:keepNext/>
              <w:jc w:val="center"/>
              <w:rPr>
                <w:rFonts w:ascii="Arial Narrow" w:hAnsi="Arial Narrow"/>
                <w:sz w:val="20"/>
              </w:rPr>
            </w:pPr>
            <w:r w:rsidRPr="00937EEC">
              <w:rPr>
                <w:rFonts w:ascii="Arial Narrow" w:hAnsi="Arial Narrow"/>
                <w:sz w:val="20"/>
              </w:rPr>
              <w:t>Pfizer Australia Pty Ltd</w:t>
            </w:r>
          </w:p>
        </w:tc>
      </w:tr>
      <w:tr w:rsidR="00937EEC" w:rsidRPr="00937EEC" w14:paraId="201CD8FC" w14:textId="77777777" w:rsidTr="00B5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3" w:type="pct"/>
            <w:tcBorders>
              <w:top w:val="single" w:sz="4" w:space="0" w:color="auto"/>
              <w:left w:val="single" w:sz="4" w:space="0" w:color="auto"/>
              <w:bottom w:val="single" w:sz="4" w:space="0" w:color="auto"/>
              <w:right w:val="single" w:sz="4" w:space="0" w:color="auto"/>
            </w:tcBorders>
            <w:hideMark/>
          </w:tcPr>
          <w:p w14:paraId="724C9A30" w14:textId="77777777" w:rsidR="00937EEC" w:rsidRPr="00937EEC" w:rsidRDefault="00937EEC" w:rsidP="00937EEC">
            <w:pPr>
              <w:jc w:val="left"/>
              <w:rPr>
                <w:rFonts w:ascii="Arial Narrow" w:hAnsi="Arial Narrow" w:cs="Times New Roman"/>
                <w:snapToGrid w:val="0"/>
                <w:sz w:val="20"/>
              </w:rPr>
            </w:pPr>
            <w:r w:rsidRPr="00937EEC">
              <w:rPr>
                <w:rFonts w:ascii="Arial Narrow" w:hAnsi="Arial Narrow" w:cs="Times New Roman"/>
                <w:snapToGrid w:val="0"/>
                <w:sz w:val="20"/>
              </w:rPr>
              <w:t>Category/Program:</w:t>
            </w:r>
          </w:p>
        </w:tc>
        <w:tc>
          <w:tcPr>
            <w:tcW w:w="4147" w:type="pct"/>
            <w:gridSpan w:val="5"/>
            <w:tcBorders>
              <w:top w:val="single" w:sz="4" w:space="0" w:color="auto"/>
              <w:left w:val="single" w:sz="4" w:space="0" w:color="auto"/>
              <w:bottom w:val="single" w:sz="4" w:space="0" w:color="auto"/>
              <w:right w:val="single" w:sz="4" w:space="0" w:color="auto"/>
            </w:tcBorders>
          </w:tcPr>
          <w:p w14:paraId="7FC41314" w14:textId="77777777" w:rsidR="00937EEC" w:rsidRPr="00937EEC" w:rsidRDefault="00937EEC" w:rsidP="00937EEC">
            <w:pPr>
              <w:jc w:val="left"/>
              <w:rPr>
                <w:rFonts w:ascii="Arial Narrow" w:hAnsi="Arial Narrow" w:cs="Times New Roman"/>
                <w:snapToGrid w:val="0"/>
                <w:sz w:val="20"/>
              </w:rPr>
            </w:pPr>
            <w:r w:rsidRPr="00937EEC">
              <w:rPr>
                <w:rFonts w:ascii="Arial Narrow" w:hAnsi="Arial Narrow" w:cs="Times New Roman"/>
                <w:snapToGrid w:val="0"/>
                <w:sz w:val="20"/>
              </w:rPr>
              <w:t>GENERAL – General Schedule (Code GE)</w:t>
            </w:r>
          </w:p>
        </w:tc>
      </w:tr>
      <w:tr w:rsidR="00937EEC" w:rsidRPr="00937EEC" w14:paraId="3C518156" w14:textId="77777777" w:rsidTr="00B5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3" w:type="pct"/>
            <w:tcBorders>
              <w:top w:val="single" w:sz="4" w:space="0" w:color="auto"/>
              <w:left w:val="single" w:sz="4" w:space="0" w:color="auto"/>
              <w:bottom w:val="single" w:sz="4" w:space="0" w:color="auto"/>
              <w:right w:val="single" w:sz="4" w:space="0" w:color="auto"/>
            </w:tcBorders>
            <w:hideMark/>
          </w:tcPr>
          <w:p w14:paraId="0DBCF29F" w14:textId="77777777" w:rsidR="00937EEC" w:rsidRPr="00937EEC" w:rsidRDefault="00937EEC" w:rsidP="00937EEC">
            <w:pPr>
              <w:jc w:val="left"/>
              <w:rPr>
                <w:rFonts w:ascii="Arial Narrow" w:hAnsi="Arial Narrow" w:cs="Times New Roman"/>
                <w:snapToGrid w:val="0"/>
                <w:sz w:val="20"/>
              </w:rPr>
            </w:pPr>
            <w:r w:rsidRPr="00937EEC">
              <w:rPr>
                <w:rFonts w:ascii="Arial Narrow" w:hAnsi="Arial Narrow" w:cs="Times New Roman"/>
                <w:snapToGrid w:val="0"/>
                <w:sz w:val="20"/>
              </w:rPr>
              <w:t>PBS indication:</w:t>
            </w:r>
          </w:p>
        </w:tc>
        <w:tc>
          <w:tcPr>
            <w:tcW w:w="4147" w:type="pct"/>
            <w:gridSpan w:val="5"/>
            <w:tcBorders>
              <w:top w:val="single" w:sz="4" w:space="0" w:color="auto"/>
              <w:left w:val="single" w:sz="4" w:space="0" w:color="auto"/>
              <w:bottom w:val="single" w:sz="4" w:space="0" w:color="auto"/>
              <w:right w:val="single" w:sz="4" w:space="0" w:color="auto"/>
            </w:tcBorders>
          </w:tcPr>
          <w:p w14:paraId="24B484A5" w14:textId="77777777" w:rsidR="00937EEC" w:rsidRPr="00937EEC" w:rsidRDefault="00937EEC" w:rsidP="00937EEC">
            <w:pPr>
              <w:jc w:val="left"/>
              <w:rPr>
                <w:rFonts w:ascii="Arial Narrow" w:hAnsi="Arial Narrow" w:cs="Times New Roman"/>
                <w:snapToGrid w:val="0"/>
                <w:sz w:val="20"/>
              </w:rPr>
            </w:pPr>
            <w:r w:rsidRPr="00937EEC">
              <w:rPr>
                <w:rFonts w:ascii="Arial Narrow" w:hAnsi="Arial Narrow" w:cs="Times New Roman"/>
                <w:snapToGrid w:val="0"/>
                <w:sz w:val="20"/>
              </w:rPr>
              <w:t>Locally advanced or metastatic breast cancer</w:t>
            </w:r>
          </w:p>
        </w:tc>
      </w:tr>
      <w:tr w:rsidR="00937EEC" w:rsidRPr="00937EEC" w14:paraId="640E3111" w14:textId="77777777" w:rsidTr="00B5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3" w:type="pct"/>
            <w:tcBorders>
              <w:top w:val="single" w:sz="4" w:space="0" w:color="auto"/>
              <w:left w:val="single" w:sz="4" w:space="0" w:color="auto"/>
              <w:bottom w:val="single" w:sz="4" w:space="0" w:color="auto"/>
              <w:right w:val="single" w:sz="4" w:space="0" w:color="auto"/>
            </w:tcBorders>
            <w:hideMark/>
          </w:tcPr>
          <w:p w14:paraId="1DDBA074" w14:textId="77777777" w:rsidR="00937EEC" w:rsidRPr="00937EEC" w:rsidRDefault="00937EEC" w:rsidP="00937EEC">
            <w:pPr>
              <w:jc w:val="left"/>
              <w:rPr>
                <w:rFonts w:ascii="Arial Narrow" w:hAnsi="Arial Narrow" w:cs="Times New Roman"/>
                <w:b/>
                <w:bCs/>
                <w:snapToGrid w:val="0"/>
                <w:sz w:val="20"/>
              </w:rPr>
            </w:pPr>
            <w:r w:rsidRPr="00937EEC">
              <w:rPr>
                <w:rFonts w:ascii="Arial Narrow" w:hAnsi="Arial Narrow" w:cs="Times New Roman"/>
                <w:b/>
                <w:bCs/>
                <w:snapToGrid w:val="0"/>
                <w:sz w:val="20"/>
              </w:rPr>
              <w:t>Treatment phase:</w:t>
            </w:r>
          </w:p>
        </w:tc>
        <w:tc>
          <w:tcPr>
            <w:tcW w:w="4147" w:type="pct"/>
            <w:gridSpan w:val="5"/>
            <w:tcBorders>
              <w:top w:val="single" w:sz="4" w:space="0" w:color="auto"/>
              <w:left w:val="single" w:sz="4" w:space="0" w:color="auto"/>
              <w:bottom w:val="single" w:sz="4" w:space="0" w:color="auto"/>
              <w:right w:val="single" w:sz="4" w:space="0" w:color="auto"/>
            </w:tcBorders>
          </w:tcPr>
          <w:p w14:paraId="0DA73E50" w14:textId="77777777" w:rsidR="00937EEC" w:rsidRPr="00937EEC" w:rsidRDefault="00937EEC" w:rsidP="00937EEC">
            <w:pPr>
              <w:jc w:val="left"/>
              <w:rPr>
                <w:rFonts w:ascii="Arial Narrow" w:hAnsi="Arial Narrow" w:cs="Times New Roman"/>
                <w:b/>
                <w:bCs/>
                <w:snapToGrid w:val="0"/>
                <w:sz w:val="20"/>
              </w:rPr>
            </w:pPr>
            <w:r w:rsidRPr="00937EEC">
              <w:rPr>
                <w:rFonts w:ascii="Arial Narrow" w:hAnsi="Arial Narrow" w:cs="Times New Roman"/>
                <w:b/>
                <w:bCs/>
                <w:snapToGrid w:val="0"/>
                <w:sz w:val="20"/>
              </w:rPr>
              <w:t>Initial treatment</w:t>
            </w:r>
          </w:p>
        </w:tc>
      </w:tr>
      <w:tr w:rsidR="00937EEC" w:rsidRPr="00937EEC" w14:paraId="600B3D7E" w14:textId="77777777" w:rsidTr="00B5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3" w:type="pct"/>
            <w:tcBorders>
              <w:top w:val="single" w:sz="4" w:space="0" w:color="auto"/>
              <w:left w:val="single" w:sz="4" w:space="0" w:color="auto"/>
              <w:bottom w:val="single" w:sz="4" w:space="0" w:color="auto"/>
              <w:right w:val="single" w:sz="4" w:space="0" w:color="auto"/>
            </w:tcBorders>
            <w:hideMark/>
          </w:tcPr>
          <w:p w14:paraId="0F7D4740" w14:textId="77777777" w:rsidR="00937EEC" w:rsidRPr="00937EEC" w:rsidRDefault="00937EEC" w:rsidP="00937EEC">
            <w:pPr>
              <w:jc w:val="left"/>
              <w:rPr>
                <w:rFonts w:ascii="Arial Narrow" w:hAnsi="Arial Narrow" w:cs="Times New Roman"/>
                <w:snapToGrid w:val="0"/>
                <w:sz w:val="20"/>
              </w:rPr>
            </w:pPr>
            <w:r w:rsidRPr="00937EEC">
              <w:rPr>
                <w:rFonts w:ascii="Arial Narrow" w:hAnsi="Arial Narrow" w:cs="Times New Roman"/>
                <w:snapToGrid w:val="0"/>
                <w:sz w:val="20"/>
              </w:rPr>
              <w:t>Restriction:</w:t>
            </w:r>
          </w:p>
        </w:tc>
        <w:tc>
          <w:tcPr>
            <w:tcW w:w="4147" w:type="pct"/>
            <w:gridSpan w:val="5"/>
            <w:tcBorders>
              <w:top w:val="single" w:sz="4" w:space="0" w:color="auto"/>
              <w:left w:val="single" w:sz="4" w:space="0" w:color="auto"/>
              <w:bottom w:val="single" w:sz="4" w:space="0" w:color="auto"/>
              <w:right w:val="single" w:sz="4" w:space="0" w:color="auto"/>
            </w:tcBorders>
          </w:tcPr>
          <w:p w14:paraId="54230F35" w14:textId="77777777" w:rsidR="00937EEC" w:rsidRPr="00937EEC" w:rsidRDefault="00937EEC" w:rsidP="00937EEC">
            <w:pPr>
              <w:jc w:val="left"/>
              <w:rPr>
                <w:rFonts w:ascii="Arial Narrow" w:hAnsi="Arial Narrow" w:cs="Times New Roman"/>
                <w:snapToGrid w:val="0"/>
                <w:sz w:val="20"/>
              </w:rPr>
            </w:pPr>
            <w:r w:rsidRPr="00937EEC">
              <w:rPr>
                <w:rFonts w:ascii="Arial Narrow" w:hAnsi="Arial Narrow" w:cs="Times New Roman"/>
                <w:snapToGrid w:val="0"/>
                <w:sz w:val="20"/>
              </w:rPr>
              <w:t>Authority Required – Telephone, Electronic</w:t>
            </w:r>
          </w:p>
        </w:tc>
      </w:tr>
      <w:tr w:rsidR="00937EEC" w:rsidRPr="00937EEC" w14:paraId="3E8D1D73" w14:textId="77777777" w:rsidTr="00B5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3" w:type="pct"/>
            <w:tcBorders>
              <w:top w:val="single" w:sz="4" w:space="0" w:color="auto"/>
              <w:left w:val="single" w:sz="4" w:space="0" w:color="auto"/>
              <w:bottom w:val="single" w:sz="4" w:space="0" w:color="auto"/>
              <w:right w:val="single" w:sz="4" w:space="0" w:color="auto"/>
            </w:tcBorders>
            <w:hideMark/>
          </w:tcPr>
          <w:p w14:paraId="2A42F16D" w14:textId="77777777" w:rsidR="00937EEC" w:rsidRPr="00937EEC" w:rsidRDefault="00937EEC" w:rsidP="00937EEC">
            <w:pPr>
              <w:jc w:val="left"/>
              <w:rPr>
                <w:rFonts w:ascii="Arial Narrow" w:hAnsi="Arial Narrow" w:cs="Times New Roman"/>
                <w:snapToGrid w:val="0"/>
                <w:sz w:val="20"/>
              </w:rPr>
            </w:pPr>
            <w:r w:rsidRPr="00937EEC">
              <w:rPr>
                <w:rFonts w:ascii="Arial Narrow" w:hAnsi="Arial Narrow" w:cs="Times New Roman"/>
                <w:snapToGrid w:val="0"/>
                <w:sz w:val="20"/>
              </w:rPr>
              <w:t>Clinical criteria:</w:t>
            </w:r>
          </w:p>
        </w:tc>
        <w:tc>
          <w:tcPr>
            <w:tcW w:w="4147" w:type="pct"/>
            <w:gridSpan w:val="5"/>
            <w:tcBorders>
              <w:top w:val="single" w:sz="4" w:space="0" w:color="auto"/>
              <w:left w:val="single" w:sz="4" w:space="0" w:color="auto"/>
              <w:bottom w:val="single" w:sz="4" w:space="0" w:color="auto"/>
              <w:right w:val="single" w:sz="4" w:space="0" w:color="auto"/>
            </w:tcBorders>
          </w:tcPr>
          <w:p w14:paraId="6534B697" w14:textId="77777777" w:rsidR="00937EEC" w:rsidRPr="00937EEC" w:rsidRDefault="00937EEC" w:rsidP="00937EEC">
            <w:pPr>
              <w:jc w:val="left"/>
              <w:rPr>
                <w:rFonts w:ascii="Arial Narrow" w:hAnsi="Arial Narrow" w:cs="Times New Roman"/>
                <w:bCs/>
                <w:snapToGrid w:val="0"/>
                <w:sz w:val="20"/>
              </w:rPr>
            </w:pPr>
            <w:r w:rsidRPr="00937EEC">
              <w:rPr>
                <w:rFonts w:ascii="Arial Narrow" w:hAnsi="Arial Narrow" w:cs="Times New Roman"/>
                <w:bCs/>
                <w:snapToGrid w:val="0"/>
                <w:sz w:val="20"/>
              </w:rPr>
              <w:t>Patient must be untreated with each of: (</w:t>
            </w:r>
            <w:proofErr w:type="spellStart"/>
            <w:r w:rsidRPr="00937EEC">
              <w:rPr>
                <w:rFonts w:ascii="Arial Narrow" w:hAnsi="Arial Narrow" w:cs="Times New Roman"/>
                <w:bCs/>
                <w:snapToGrid w:val="0"/>
                <w:sz w:val="20"/>
              </w:rPr>
              <w:t>i</w:t>
            </w:r>
            <w:proofErr w:type="spellEnd"/>
            <w:r w:rsidRPr="00937EEC">
              <w:rPr>
                <w:rFonts w:ascii="Arial Narrow" w:hAnsi="Arial Narrow" w:cs="Times New Roman"/>
                <w:bCs/>
                <w:snapToGrid w:val="0"/>
                <w:sz w:val="20"/>
              </w:rPr>
              <w:t xml:space="preserve">) </w:t>
            </w:r>
            <w:proofErr w:type="spellStart"/>
            <w:r w:rsidRPr="00937EEC">
              <w:rPr>
                <w:rFonts w:ascii="Arial Narrow" w:hAnsi="Arial Narrow" w:cs="Times New Roman"/>
                <w:bCs/>
                <w:snapToGrid w:val="0"/>
                <w:sz w:val="20"/>
              </w:rPr>
              <w:t>abemaciclib</w:t>
            </w:r>
            <w:proofErr w:type="spellEnd"/>
            <w:r w:rsidRPr="00937EEC">
              <w:rPr>
                <w:rFonts w:ascii="Arial Narrow" w:hAnsi="Arial Narrow" w:cs="Times New Roman"/>
                <w:bCs/>
                <w:snapToGrid w:val="0"/>
                <w:sz w:val="20"/>
              </w:rPr>
              <w:t xml:space="preserve">, (ii) </w:t>
            </w:r>
            <w:proofErr w:type="spellStart"/>
            <w:r w:rsidRPr="00937EEC">
              <w:rPr>
                <w:rFonts w:ascii="Arial Narrow" w:hAnsi="Arial Narrow" w:cs="Times New Roman"/>
                <w:bCs/>
                <w:snapToGrid w:val="0"/>
                <w:sz w:val="20"/>
              </w:rPr>
              <w:t>palbociclib</w:t>
            </w:r>
            <w:proofErr w:type="spellEnd"/>
            <w:r w:rsidRPr="00937EEC">
              <w:rPr>
                <w:rFonts w:ascii="Arial Narrow" w:hAnsi="Arial Narrow" w:cs="Times New Roman"/>
                <w:bCs/>
                <w:snapToGrid w:val="0"/>
                <w:sz w:val="20"/>
              </w:rPr>
              <w:t xml:space="preserve">, (iii) </w:t>
            </w:r>
            <w:proofErr w:type="spellStart"/>
            <w:r w:rsidRPr="00937EEC">
              <w:rPr>
                <w:rFonts w:ascii="Arial Narrow" w:hAnsi="Arial Narrow" w:cs="Times New Roman"/>
                <w:bCs/>
                <w:snapToGrid w:val="0"/>
                <w:sz w:val="20"/>
              </w:rPr>
              <w:t>ribociclib</w:t>
            </w:r>
            <w:proofErr w:type="spellEnd"/>
            <w:r w:rsidRPr="00937EEC">
              <w:rPr>
                <w:rFonts w:ascii="Arial Narrow" w:hAnsi="Arial Narrow" w:cs="Times New Roman"/>
                <w:bCs/>
                <w:snapToGrid w:val="0"/>
                <w:sz w:val="20"/>
              </w:rPr>
              <w:t xml:space="preserve">; or </w:t>
            </w:r>
          </w:p>
          <w:p w14:paraId="324DB073" w14:textId="77777777" w:rsidR="00937EEC" w:rsidRPr="00937EEC" w:rsidRDefault="00937EEC" w:rsidP="00937EEC">
            <w:pPr>
              <w:jc w:val="left"/>
              <w:rPr>
                <w:rFonts w:ascii="Arial Narrow" w:hAnsi="Arial Narrow" w:cs="Times New Roman"/>
                <w:bCs/>
                <w:snapToGrid w:val="0"/>
                <w:sz w:val="20"/>
              </w:rPr>
            </w:pPr>
            <w:r w:rsidRPr="00937EEC">
              <w:rPr>
                <w:rFonts w:ascii="Arial Narrow" w:hAnsi="Arial Narrow" w:cs="Times New Roman"/>
                <w:bCs/>
                <w:snapToGrid w:val="0"/>
                <w:sz w:val="20"/>
              </w:rPr>
              <w:t xml:space="preserve">Patient must have developed an intolerance to at least one of the above drugs (other than this drug) of a severity necessitating permanent treatment withdrawal </w:t>
            </w:r>
          </w:p>
          <w:p w14:paraId="6976ED56" w14:textId="77777777" w:rsidR="00937EEC" w:rsidRPr="00937EEC" w:rsidRDefault="00937EEC" w:rsidP="00937EEC">
            <w:pPr>
              <w:jc w:val="left"/>
              <w:rPr>
                <w:rFonts w:ascii="Arial Narrow" w:hAnsi="Arial Narrow" w:cs="Times New Roman"/>
                <w:bCs/>
                <w:snapToGrid w:val="0"/>
                <w:sz w:val="20"/>
              </w:rPr>
            </w:pPr>
            <w:r w:rsidRPr="00937EEC">
              <w:rPr>
                <w:rFonts w:ascii="Arial Narrow" w:hAnsi="Arial Narrow" w:cs="Times New Roman"/>
                <w:bCs/>
                <w:snapToGrid w:val="0"/>
                <w:sz w:val="20"/>
              </w:rPr>
              <w:t xml:space="preserve">AND </w:t>
            </w:r>
          </w:p>
          <w:p w14:paraId="127BF9FA" w14:textId="77777777" w:rsidR="00937EEC" w:rsidRPr="00937EEC" w:rsidRDefault="00937EEC" w:rsidP="00937EEC">
            <w:pPr>
              <w:jc w:val="left"/>
              <w:rPr>
                <w:rFonts w:ascii="Arial Narrow" w:hAnsi="Arial Narrow" w:cs="Times New Roman"/>
                <w:bCs/>
                <w:snapToGrid w:val="0"/>
                <w:sz w:val="20"/>
              </w:rPr>
            </w:pPr>
            <w:r w:rsidRPr="00937EEC">
              <w:rPr>
                <w:rFonts w:ascii="Arial Narrow" w:hAnsi="Arial Narrow" w:cs="Times New Roman"/>
                <w:bCs/>
                <w:snapToGrid w:val="0"/>
                <w:sz w:val="20"/>
              </w:rPr>
              <w:t xml:space="preserve">The condition must be hormone receptor positive </w:t>
            </w:r>
          </w:p>
          <w:p w14:paraId="3931975B" w14:textId="77777777" w:rsidR="00937EEC" w:rsidRPr="00937EEC" w:rsidRDefault="00937EEC" w:rsidP="00937EEC">
            <w:pPr>
              <w:jc w:val="left"/>
              <w:rPr>
                <w:rFonts w:ascii="Arial Narrow" w:hAnsi="Arial Narrow" w:cs="Times New Roman"/>
                <w:bCs/>
                <w:snapToGrid w:val="0"/>
                <w:sz w:val="20"/>
              </w:rPr>
            </w:pPr>
            <w:r w:rsidRPr="00937EEC">
              <w:rPr>
                <w:rFonts w:ascii="Arial Narrow" w:hAnsi="Arial Narrow" w:cs="Times New Roman"/>
                <w:bCs/>
                <w:snapToGrid w:val="0"/>
                <w:sz w:val="20"/>
              </w:rPr>
              <w:t xml:space="preserve">AND </w:t>
            </w:r>
          </w:p>
          <w:p w14:paraId="3E8845FD" w14:textId="77777777" w:rsidR="00937EEC" w:rsidRPr="00937EEC" w:rsidRDefault="00937EEC" w:rsidP="00937EEC">
            <w:pPr>
              <w:jc w:val="left"/>
              <w:rPr>
                <w:rFonts w:ascii="Arial Narrow" w:hAnsi="Arial Narrow" w:cs="Times New Roman"/>
                <w:bCs/>
                <w:snapToGrid w:val="0"/>
                <w:sz w:val="20"/>
              </w:rPr>
            </w:pPr>
            <w:r w:rsidRPr="00937EEC">
              <w:rPr>
                <w:rFonts w:ascii="Arial Narrow" w:hAnsi="Arial Narrow" w:cs="Times New Roman"/>
                <w:bCs/>
                <w:snapToGrid w:val="0"/>
                <w:sz w:val="20"/>
              </w:rPr>
              <w:t xml:space="preserve">The condition must be human epidermal growth factor receptor 2 (HER2) negative </w:t>
            </w:r>
          </w:p>
          <w:p w14:paraId="0CF1E324" w14:textId="77777777" w:rsidR="00937EEC" w:rsidRPr="00937EEC" w:rsidRDefault="00937EEC" w:rsidP="00937EEC">
            <w:pPr>
              <w:jc w:val="left"/>
              <w:rPr>
                <w:rFonts w:ascii="Arial Narrow" w:hAnsi="Arial Narrow" w:cs="Times New Roman"/>
                <w:bCs/>
                <w:snapToGrid w:val="0"/>
                <w:sz w:val="20"/>
              </w:rPr>
            </w:pPr>
            <w:r w:rsidRPr="00937EEC">
              <w:rPr>
                <w:rFonts w:ascii="Arial Narrow" w:hAnsi="Arial Narrow" w:cs="Times New Roman"/>
                <w:bCs/>
                <w:snapToGrid w:val="0"/>
                <w:sz w:val="20"/>
              </w:rPr>
              <w:t xml:space="preserve">AND </w:t>
            </w:r>
          </w:p>
          <w:p w14:paraId="36A38298" w14:textId="77777777" w:rsidR="00937EEC" w:rsidRPr="00937EEC" w:rsidRDefault="00937EEC" w:rsidP="00937EEC">
            <w:pPr>
              <w:jc w:val="left"/>
              <w:rPr>
                <w:rFonts w:ascii="Arial Narrow" w:hAnsi="Arial Narrow" w:cs="Times New Roman"/>
                <w:bCs/>
                <w:snapToGrid w:val="0"/>
                <w:sz w:val="20"/>
              </w:rPr>
            </w:pPr>
            <w:r w:rsidRPr="00937EEC">
              <w:rPr>
                <w:rFonts w:ascii="Arial Narrow" w:hAnsi="Arial Narrow" w:cs="Times New Roman"/>
                <w:bCs/>
                <w:snapToGrid w:val="0"/>
                <w:sz w:val="20"/>
              </w:rPr>
              <w:t xml:space="preserve">The condition must be inoperable </w:t>
            </w:r>
          </w:p>
          <w:p w14:paraId="39D5C2A2" w14:textId="77777777" w:rsidR="00937EEC" w:rsidRPr="00937EEC" w:rsidRDefault="00937EEC" w:rsidP="00937EEC">
            <w:pPr>
              <w:jc w:val="left"/>
              <w:rPr>
                <w:rFonts w:ascii="Arial Narrow" w:hAnsi="Arial Narrow" w:cs="Times New Roman"/>
                <w:bCs/>
                <w:snapToGrid w:val="0"/>
                <w:sz w:val="20"/>
              </w:rPr>
            </w:pPr>
            <w:r w:rsidRPr="00937EEC">
              <w:rPr>
                <w:rFonts w:ascii="Arial Narrow" w:hAnsi="Arial Narrow" w:cs="Times New Roman"/>
                <w:bCs/>
                <w:snapToGrid w:val="0"/>
                <w:sz w:val="20"/>
              </w:rPr>
              <w:t xml:space="preserve">AND </w:t>
            </w:r>
          </w:p>
          <w:p w14:paraId="58988A48" w14:textId="77777777" w:rsidR="00937EEC" w:rsidRPr="00937EEC" w:rsidRDefault="00937EEC" w:rsidP="00937EEC">
            <w:pPr>
              <w:jc w:val="left"/>
              <w:rPr>
                <w:rFonts w:ascii="Arial Narrow" w:hAnsi="Arial Narrow" w:cs="Times New Roman"/>
                <w:bCs/>
                <w:snapToGrid w:val="0"/>
                <w:sz w:val="20"/>
              </w:rPr>
            </w:pPr>
            <w:r w:rsidRPr="00937EEC">
              <w:rPr>
                <w:rFonts w:ascii="Arial Narrow" w:hAnsi="Arial Narrow" w:cs="Times New Roman"/>
                <w:bCs/>
                <w:snapToGrid w:val="0"/>
                <w:sz w:val="20"/>
              </w:rPr>
              <w:t xml:space="preserve">Patient must have a World Health Organisation (WHO) Eastern Cooperative Oncology Group (ECOG) performance status score of 2 or less </w:t>
            </w:r>
          </w:p>
          <w:p w14:paraId="6EFDC64B" w14:textId="77777777" w:rsidR="00937EEC" w:rsidRPr="00937EEC" w:rsidRDefault="00937EEC" w:rsidP="00937EEC">
            <w:pPr>
              <w:jc w:val="left"/>
              <w:rPr>
                <w:rFonts w:ascii="Arial Narrow" w:hAnsi="Arial Narrow" w:cs="Times New Roman"/>
                <w:bCs/>
                <w:snapToGrid w:val="0"/>
                <w:sz w:val="20"/>
              </w:rPr>
            </w:pPr>
            <w:r w:rsidRPr="00937EEC">
              <w:rPr>
                <w:rFonts w:ascii="Arial Narrow" w:hAnsi="Arial Narrow" w:cs="Times New Roman"/>
                <w:bCs/>
                <w:snapToGrid w:val="0"/>
                <w:sz w:val="20"/>
              </w:rPr>
              <w:t xml:space="preserve">AND </w:t>
            </w:r>
          </w:p>
          <w:p w14:paraId="18AD18CB" w14:textId="77777777" w:rsidR="00937EEC" w:rsidRPr="00937EEC" w:rsidRDefault="00937EEC" w:rsidP="00937EEC">
            <w:pPr>
              <w:jc w:val="left"/>
              <w:rPr>
                <w:rFonts w:ascii="Arial Narrow" w:hAnsi="Arial Narrow" w:cs="Times New Roman"/>
                <w:bCs/>
                <w:snapToGrid w:val="0"/>
                <w:sz w:val="20"/>
              </w:rPr>
            </w:pPr>
            <w:r w:rsidRPr="00937EEC">
              <w:rPr>
                <w:rFonts w:ascii="Arial Narrow" w:hAnsi="Arial Narrow" w:cs="Times New Roman"/>
                <w:bCs/>
                <w:snapToGrid w:val="0"/>
                <w:sz w:val="20"/>
              </w:rPr>
              <w:t>The treatment must be in combination, where the patient has never been treated with endocrine therapy for advanced/metastatic disease, with one of: (</w:t>
            </w:r>
            <w:proofErr w:type="spellStart"/>
            <w:r w:rsidRPr="00937EEC">
              <w:rPr>
                <w:rFonts w:ascii="Arial Narrow" w:hAnsi="Arial Narrow" w:cs="Times New Roman"/>
                <w:bCs/>
                <w:snapToGrid w:val="0"/>
                <w:sz w:val="20"/>
              </w:rPr>
              <w:t>i</w:t>
            </w:r>
            <w:proofErr w:type="spellEnd"/>
            <w:r w:rsidRPr="00937EEC">
              <w:rPr>
                <w:rFonts w:ascii="Arial Narrow" w:hAnsi="Arial Narrow" w:cs="Times New Roman"/>
                <w:bCs/>
                <w:snapToGrid w:val="0"/>
                <w:sz w:val="20"/>
              </w:rPr>
              <w:t>) anastrozole or (ii) letrozole</w:t>
            </w:r>
          </w:p>
          <w:p w14:paraId="439CECCD" w14:textId="77777777" w:rsidR="00937EEC" w:rsidRPr="00937EEC" w:rsidRDefault="00937EEC" w:rsidP="00937EEC">
            <w:pPr>
              <w:jc w:val="left"/>
              <w:rPr>
                <w:rFonts w:ascii="Arial Narrow" w:hAnsi="Arial Narrow" w:cs="Times New Roman"/>
                <w:bCs/>
                <w:snapToGrid w:val="0"/>
                <w:sz w:val="20"/>
              </w:rPr>
            </w:pPr>
            <w:r w:rsidRPr="00937EEC">
              <w:rPr>
                <w:rFonts w:ascii="Arial Narrow" w:hAnsi="Arial Narrow" w:cs="Times New Roman"/>
                <w:bCs/>
                <w:snapToGrid w:val="0"/>
                <w:sz w:val="20"/>
              </w:rPr>
              <w:t xml:space="preserve">OR </w:t>
            </w:r>
          </w:p>
          <w:p w14:paraId="76355221" w14:textId="77777777" w:rsidR="00937EEC" w:rsidRPr="00937EEC" w:rsidRDefault="00937EEC" w:rsidP="00937EEC">
            <w:pPr>
              <w:jc w:val="left"/>
              <w:rPr>
                <w:rFonts w:ascii="Arial Narrow" w:hAnsi="Arial Narrow" w:cs="Times New Roman"/>
                <w:bCs/>
                <w:snapToGrid w:val="0"/>
                <w:sz w:val="20"/>
              </w:rPr>
            </w:pPr>
            <w:r w:rsidRPr="00937EEC">
              <w:rPr>
                <w:rFonts w:ascii="Arial Narrow" w:hAnsi="Arial Narrow" w:cs="Times New Roman"/>
                <w:bCs/>
                <w:snapToGrid w:val="0"/>
                <w:sz w:val="20"/>
              </w:rPr>
              <w:t xml:space="preserve">The treatment must be in combination, where the patient has recurrence/progressive disease despite being treated with endocrine therapy in the (neo)adjuvant setting or for advanced/metastatic disease, with </w:t>
            </w:r>
            <w:proofErr w:type="spellStart"/>
            <w:r w:rsidRPr="00937EEC">
              <w:rPr>
                <w:rFonts w:ascii="Arial Narrow" w:hAnsi="Arial Narrow" w:cs="Times New Roman"/>
                <w:bCs/>
                <w:snapToGrid w:val="0"/>
                <w:sz w:val="20"/>
              </w:rPr>
              <w:t>fulvestrant</w:t>
            </w:r>
            <w:proofErr w:type="spellEnd"/>
            <w:r w:rsidRPr="00937EEC">
              <w:rPr>
                <w:rFonts w:ascii="Arial Narrow" w:hAnsi="Arial Narrow" w:cs="Times New Roman"/>
                <w:bCs/>
                <w:snapToGrid w:val="0"/>
                <w:sz w:val="20"/>
              </w:rPr>
              <w:t xml:space="preserve"> only</w:t>
            </w:r>
          </w:p>
          <w:p w14:paraId="769CBE23" w14:textId="77777777" w:rsidR="00937EEC" w:rsidRPr="00937EEC" w:rsidRDefault="00937EEC" w:rsidP="00937EEC">
            <w:pPr>
              <w:jc w:val="left"/>
              <w:rPr>
                <w:rFonts w:ascii="Arial Narrow" w:hAnsi="Arial Narrow" w:cs="Times New Roman"/>
                <w:bCs/>
                <w:snapToGrid w:val="0"/>
                <w:sz w:val="20"/>
              </w:rPr>
            </w:pPr>
            <w:r w:rsidRPr="00937EEC">
              <w:rPr>
                <w:rFonts w:ascii="Arial Narrow" w:hAnsi="Arial Narrow" w:cs="Times New Roman"/>
                <w:bCs/>
                <w:snapToGrid w:val="0"/>
                <w:sz w:val="20"/>
              </w:rPr>
              <w:t xml:space="preserve">AND </w:t>
            </w:r>
          </w:p>
          <w:p w14:paraId="7637322F" w14:textId="77777777" w:rsidR="00937EEC" w:rsidRPr="00937EEC" w:rsidRDefault="00937EEC" w:rsidP="00937EEC">
            <w:pPr>
              <w:jc w:val="left"/>
              <w:rPr>
                <w:rFonts w:ascii="Arial Narrow" w:hAnsi="Arial Narrow" w:cs="Times New Roman"/>
                <w:snapToGrid w:val="0"/>
                <w:sz w:val="20"/>
              </w:rPr>
            </w:pPr>
            <w:r w:rsidRPr="00937EEC">
              <w:rPr>
                <w:rFonts w:ascii="Arial Narrow" w:hAnsi="Arial Narrow" w:cs="Times New Roman"/>
                <w:snapToGrid w:val="0"/>
                <w:sz w:val="20"/>
              </w:rPr>
              <w:t>The treatment must not be in combination with another drug of the same pharmacological class as this drug</w:t>
            </w:r>
          </w:p>
        </w:tc>
      </w:tr>
      <w:tr w:rsidR="00937EEC" w:rsidRPr="00937EEC" w14:paraId="738E8765" w14:textId="77777777" w:rsidTr="00B5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3" w:type="pct"/>
            <w:tcBorders>
              <w:top w:val="single" w:sz="4" w:space="0" w:color="auto"/>
              <w:left w:val="single" w:sz="4" w:space="0" w:color="auto"/>
              <w:bottom w:val="single" w:sz="4" w:space="0" w:color="auto"/>
              <w:right w:val="single" w:sz="4" w:space="0" w:color="auto"/>
            </w:tcBorders>
          </w:tcPr>
          <w:p w14:paraId="46AF9FAA" w14:textId="77777777" w:rsidR="00937EEC" w:rsidRPr="00937EEC" w:rsidRDefault="00937EEC" w:rsidP="00937EEC">
            <w:pPr>
              <w:jc w:val="left"/>
              <w:rPr>
                <w:rFonts w:ascii="Arial Narrow" w:hAnsi="Arial Narrow" w:cs="Times New Roman"/>
                <w:snapToGrid w:val="0"/>
                <w:sz w:val="20"/>
              </w:rPr>
            </w:pPr>
            <w:r w:rsidRPr="00937EEC">
              <w:rPr>
                <w:rFonts w:ascii="Arial Narrow" w:hAnsi="Arial Narrow" w:cs="Times New Roman"/>
                <w:snapToGrid w:val="0"/>
                <w:sz w:val="20"/>
              </w:rPr>
              <w:t>Population criteria:</w:t>
            </w:r>
          </w:p>
        </w:tc>
        <w:tc>
          <w:tcPr>
            <w:tcW w:w="4147" w:type="pct"/>
            <w:gridSpan w:val="5"/>
            <w:tcBorders>
              <w:top w:val="single" w:sz="4" w:space="0" w:color="auto"/>
              <w:left w:val="single" w:sz="4" w:space="0" w:color="auto"/>
              <w:bottom w:val="single" w:sz="4" w:space="0" w:color="auto"/>
              <w:right w:val="single" w:sz="4" w:space="0" w:color="auto"/>
            </w:tcBorders>
          </w:tcPr>
          <w:p w14:paraId="5A8D2342" w14:textId="77777777" w:rsidR="00937EEC" w:rsidRPr="00937EEC" w:rsidRDefault="00937EEC" w:rsidP="00937EEC">
            <w:pPr>
              <w:jc w:val="left"/>
              <w:rPr>
                <w:rFonts w:ascii="Arial Narrow" w:hAnsi="Arial Narrow" w:cs="Times New Roman"/>
                <w:snapToGrid w:val="0"/>
                <w:color w:val="000000"/>
                <w:sz w:val="20"/>
              </w:rPr>
            </w:pPr>
            <w:r w:rsidRPr="00937EEC">
              <w:rPr>
                <w:rFonts w:ascii="Arial Narrow" w:hAnsi="Arial Narrow" w:cs="Times New Roman"/>
                <w:snapToGrid w:val="0"/>
                <w:color w:val="000000"/>
                <w:sz w:val="20"/>
              </w:rPr>
              <w:t>Patient must not be premenopausal.</w:t>
            </w:r>
          </w:p>
        </w:tc>
      </w:tr>
      <w:tr w:rsidR="00937EEC" w:rsidRPr="00937EEC" w14:paraId="296F3DB6" w14:textId="77777777" w:rsidTr="00B5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3" w:type="pct"/>
            <w:tcBorders>
              <w:top w:val="single" w:sz="4" w:space="0" w:color="auto"/>
              <w:left w:val="single" w:sz="4" w:space="0" w:color="auto"/>
              <w:bottom w:val="single" w:sz="4" w:space="0" w:color="auto"/>
              <w:right w:val="single" w:sz="4" w:space="0" w:color="auto"/>
            </w:tcBorders>
            <w:hideMark/>
          </w:tcPr>
          <w:p w14:paraId="3DED2786" w14:textId="77777777" w:rsidR="00937EEC" w:rsidRPr="00937EEC" w:rsidRDefault="00937EEC" w:rsidP="00937EEC">
            <w:pPr>
              <w:jc w:val="left"/>
              <w:rPr>
                <w:rFonts w:ascii="Arial Narrow" w:hAnsi="Arial Narrow" w:cs="Times New Roman"/>
                <w:b/>
                <w:bCs/>
                <w:snapToGrid w:val="0"/>
                <w:sz w:val="20"/>
              </w:rPr>
            </w:pPr>
            <w:r w:rsidRPr="00937EEC">
              <w:rPr>
                <w:rFonts w:ascii="Arial Narrow" w:hAnsi="Arial Narrow" w:cs="Times New Roman"/>
                <w:b/>
                <w:bCs/>
                <w:snapToGrid w:val="0"/>
                <w:sz w:val="20"/>
              </w:rPr>
              <w:t>Treatment phase:</w:t>
            </w:r>
          </w:p>
        </w:tc>
        <w:tc>
          <w:tcPr>
            <w:tcW w:w="4147" w:type="pct"/>
            <w:gridSpan w:val="5"/>
            <w:tcBorders>
              <w:top w:val="single" w:sz="4" w:space="0" w:color="auto"/>
              <w:left w:val="single" w:sz="4" w:space="0" w:color="auto"/>
              <w:bottom w:val="single" w:sz="4" w:space="0" w:color="auto"/>
              <w:right w:val="single" w:sz="4" w:space="0" w:color="auto"/>
            </w:tcBorders>
          </w:tcPr>
          <w:p w14:paraId="4E122701" w14:textId="77777777" w:rsidR="00937EEC" w:rsidRPr="00937EEC" w:rsidRDefault="00937EEC" w:rsidP="00937EEC">
            <w:pPr>
              <w:jc w:val="left"/>
              <w:rPr>
                <w:rFonts w:ascii="Arial Narrow" w:hAnsi="Arial Narrow" w:cs="Times New Roman"/>
                <w:b/>
                <w:bCs/>
                <w:snapToGrid w:val="0"/>
                <w:sz w:val="20"/>
              </w:rPr>
            </w:pPr>
            <w:r w:rsidRPr="00937EEC">
              <w:rPr>
                <w:rFonts w:ascii="Arial Narrow" w:hAnsi="Arial Narrow" w:cs="Times New Roman"/>
                <w:b/>
                <w:bCs/>
                <w:snapToGrid w:val="0"/>
                <w:sz w:val="20"/>
              </w:rPr>
              <w:t>Continuing treatment</w:t>
            </w:r>
          </w:p>
        </w:tc>
      </w:tr>
      <w:tr w:rsidR="00937EEC" w:rsidRPr="00937EEC" w14:paraId="5DA7E6B2" w14:textId="77777777" w:rsidTr="00B5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3" w:type="pct"/>
            <w:tcBorders>
              <w:top w:val="single" w:sz="4" w:space="0" w:color="auto"/>
              <w:left w:val="single" w:sz="4" w:space="0" w:color="auto"/>
              <w:bottom w:val="single" w:sz="4" w:space="0" w:color="auto"/>
              <w:right w:val="single" w:sz="4" w:space="0" w:color="auto"/>
            </w:tcBorders>
            <w:hideMark/>
          </w:tcPr>
          <w:p w14:paraId="2B9F3B9F" w14:textId="77777777" w:rsidR="00937EEC" w:rsidRPr="00937EEC" w:rsidRDefault="00937EEC" w:rsidP="00937EEC">
            <w:pPr>
              <w:jc w:val="left"/>
              <w:rPr>
                <w:rFonts w:ascii="Arial Narrow" w:hAnsi="Arial Narrow" w:cs="Times New Roman"/>
                <w:snapToGrid w:val="0"/>
                <w:sz w:val="20"/>
              </w:rPr>
            </w:pPr>
            <w:r w:rsidRPr="00937EEC">
              <w:rPr>
                <w:rFonts w:ascii="Arial Narrow" w:hAnsi="Arial Narrow" w:cs="Times New Roman"/>
                <w:snapToGrid w:val="0"/>
                <w:sz w:val="20"/>
              </w:rPr>
              <w:t>Clinical criteria:</w:t>
            </w:r>
          </w:p>
        </w:tc>
        <w:tc>
          <w:tcPr>
            <w:tcW w:w="4147" w:type="pct"/>
            <w:gridSpan w:val="5"/>
            <w:tcBorders>
              <w:top w:val="single" w:sz="4" w:space="0" w:color="auto"/>
              <w:left w:val="single" w:sz="4" w:space="0" w:color="auto"/>
              <w:bottom w:val="single" w:sz="4" w:space="0" w:color="auto"/>
              <w:right w:val="single" w:sz="4" w:space="0" w:color="auto"/>
            </w:tcBorders>
          </w:tcPr>
          <w:p w14:paraId="16BF07B3" w14:textId="77777777" w:rsidR="00937EEC" w:rsidRPr="00937EEC" w:rsidRDefault="00937EEC" w:rsidP="00937EEC">
            <w:pPr>
              <w:jc w:val="left"/>
              <w:rPr>
                <w:rFonts w:ascii="Arial Narrow" w:hAnsi="Arial Narrow" w:cs="Times New Roman"/>
                <w:bCs/>
                <w:snapToGrid w:val="0"/>
                <w:sz w:val="20"/>
              </w:rPr>
            </w:pPr>
            <w:r w:rsidRPr="00937EEC">
              <w:rPr>
                <w:rFonts w:ascii="Arial Narrow" w:hAnsi="Arial Narrow" w:cs="Times New Roman"/>
                <w:bCs/>
                <w:snapToGrid w:val="0"/>
                <w:sz w:val="20"/>
              </w:rPr>
              <w:t xml:space="preserve">Patient must have previously received PBS-subsidised treatment with this drug for this condition </w:t>
            </w:r>
          </w:p>
          <w:p w14:paraId="399715B3" w14:textId="77777777" w:rsidR="00937EEC" w:rsidRPr="00937EEC" w:rsidRDefault="00937EEC" w:rsidP="00937EEC">
            <w:pPr>
              <w:jc w:val="left"/>
              <w:rPr>
                <w:rFonts w:ascii="Arial Narrow" w:hAnsi="Arial Narrow" w:cs="Times New Roman"/>
                <w:bCs/>
                <w:snapToGrid w:val="0"/>
                <w:sz w:val="20"/>
              </w:rPr>
            </w:pPr>
            <w:r w:rsidRPr="00937EEC">
              <w:rPr>
                <w:rFonts w:ascii="Arial Narrow" w:hAnsi="Arial Narrow" w:cs="Times New Roman"/>
                <w:bCs/>
                <w:snapToGrid w:val="0"/>
                <w:sz w:val="20"/>
              </w:rPr>
              <w:t xml:space="preserve">AND </w:t>
            </w:r>
          </w:p>
          <w:p w14:paraId="74284C4A" w14:textId="77777777" w:rsidR="00937EEC" w:rsidRPr="00937EEC" w:rsidRDefault="00937EEC" w:rsidP="00937EEC">
            <w:pPr>
              <w:jc w:val="left"/>
              <w:rPr>
                <w:rFonts w:ascii="Arial Narrow" w:hAnsi="Arial Narrow" w:cs="Times New Roman"/>
                <w:bCs/>
                <w:snapToGrid w:val="0"/>
                <w:sz w:val="20"/>
              </w:rPr>
            </w:pPr>
            <w:r w:rsidRPr="00937EEC">
              <w:rPr>
                <w:rFonts w:ascii="Arial Narrow" w:hAnsi="Arial Narrow" w:cs="Times New Roman"/>
                <w:bCs/>
                <w:snapToGrid w:val="0"/>
                <w:sz w:val="20"/>
              </w:rPr>
              <w:t xml:space="preserve">Patient must not have developed disease progression while being treated with this drug for this condition </w:t>
            </w:r>
          </w:p>
          <w:p w14:paraId="4903B209" w14:textId="77777777" w:rsidR="00937EEC" w:rsidRPr="00937EEC" w:rsidRDefault="00937EEC" w:rsidP="00937EEC">
            <w:pPr>
              <w:jc w:val="left"/>
              <w:rPr>
                <w:rFonts w:ascii="Arial Narrow" w:hAnsi="Arial Narrow" w:cs="Times New Roman"/>
                <w:bCs/>
                <w:snapToGrid w:val="0"/>
                <w:sz w:val="20"/>
              </w:rPr>
            </w:pPr>
            <w:r w:rsidRPr="00937EEC">
              <w:rPr>
                <w:rFonts w:ascii="Arial Narrow" w:hAnsi="Arial Narrow" w:cs="Times New Roman"/>
                <w:bCs/>
                <w:snapToGrid w:val="0"/>
                <w:sz w:val="20"/>
              </w:rPr>
              <w:t xml:space="preserve">AND </w:t>
            </w:r>
          </w:p>
          <w:p w14:paraId="2DD1E68D" w14:textId="77777777" w:rsidR="00937EEC" w:rsidRPr="00937EEC" w:rsidRDefault="00937EEC" w:rsidP="00937EEC">
            <w:pPr>
              <w:jc w:val="left"/>
              <w:rPr>
                <w:rFonts w:ascii="Arial Narrow" w:hAnsi="Arial Narrow" w:cs="Times New Roman"/>
                <w:bCs/>
                <w:snapToGrid w:val="0"/>
                <w:sz w:val="20"/>
              </w:rPr>
            </w:pPr>
            <w:r w:rsidRPr="00937EEC">
              <w:rPr>
                <w:rFonts w:ascii="Arial Narrow" w:hAnsi="Arial Narrow" w:cs="Times New Roman"/>
                <w:bCs/>
                <w:snapToGrid w:val="0"/>
                <w:sz w:val="20"/>
              </w:rPr>
              <w:t>The treatment must be in combination with one of: (</w:t>
            </w:r>
            <w:proofErr w:type="spellStart"/>
            <w:r w:rsidRPr="00937EEC">
              <w:rPr>
                <w:rFonts w:ascii="Arial Narrow" w:hAnsi="Arial Narrow" w:cs="Times New Roman"/>
                <w:bCs/>
                <w:snapToGrid w:val="0"/>
                <w:sz w:val="20"/>
              </w:rPr>
              <w:t>i</w:t>
            </w:r>
            <w:proofErr w:type="spellEnd"/>
            <w:r w:rsidRPr="00937EEC">
              <w:rPr>
                <w:rFonts w:ascii="Arial Narrow" w:hAnsi="Arial Narrow" w:cs="Times New Roman"/>
                <w:bCs/>
                <w:snapToGrid w:val="0"/>
                <w:sz w:val="20"/>
              </w:rPr>
              <w:t xml:space="preserve">) anastrozole, (ii) letrozole, (iii) </w:t>
            </w:r>
            <w:proofErr w:type="spellStart"/>
            <w:r w:rsidRPr="00937EEC">
              <w:rPr>
                <w:rFonts w:ascii="Arial Narrow" w:hAnsi="Arial Narrow" w:cs="Times New Roman"/>
                <w:bCs/>
                <w:snapToGrid w:val="0"/>
                <w:sz w:val="20"/>
              </w:rPr>
              <w:t>fulvestrant</w:t>
            </w:r>
            <w:proofErr w:type="spellEnd"/>
            <w:r w:rsidRPr="00937EEC">
              <w:rPr>
                <w:rFonts w:ascii="Arial Narrow" w:hAnsi="Arial Narrow" w:cs="Times New Roman"/>
                <w:bCs/>
                <w:snapToGrid w:val="0"/>
                <w:sz w:val="20"/>
              </w:rPr>
              <w:t xml:space="preserve"> </w:t>
            </w:r>
          </w:p>
          <w:p w14:paraId="68867C8C" w14:textId="77777777" w:rsidR="00937EEC" w:rsidRPr="00937EEC" w:rsidRDefault="00937EEC" w:rsidP="00937EEC">
            <w:pPr>
              <w:jc w:val="left"/>
              <w:rPr>
                <w:rFonts w:ascii="Arial Narrow" w:hAnsi="Arial Narrow" w:cs="Times New Roman"/>
                <w:bCs/>
                <w:snapToGrid w:val="0"/>
                <w:sz w:val="20"/>
              </w:rPr>
            </w:pPr>
            <w:r w:rsidRPr="00937EEC">
              <w:rPr>
                <w:rFonts w:ascii="Arial Narrow" w:hAnsi="Arial Narrow" w:cs="Times New Roman"/>
                <w:bCs/>
                <w:snapToGrid w:val="0"/>
                <w:sz w:val="20"/>
              </w:rPr>
              <w:t xml:space="preserve">AND </w:t>
            </w:r>
          </w:p>
          <w:p w14:paraId="0A64F216" w14:textId="77777777" w:rsidR="00937EEC" w:rsidRPr="00937EEC" w:rsidRDefault="00937EEC" w:rsidP="00937EEC">
            <w:pPr>
              <w:jc w:val="left"/>
              <w:rPr>
                <w:rFonts w:ascii="Arial Narrow" w:hAnsi="Arial Narrow" w:cs="Times New Roman"/>
                <w:snapToGrid w:val="0"/>
                <w:sz w:val="20"/>
              </w:rPr>
            </w:pPr>
            <w:r w:rsidRPr="00937EEC">
              <w:rPr>
                <w:rFonts w:ascii="Arial Narrow" w:hAnsi="Arial Narrow" w:cs="Times New Roman"/>
                <w:snapToGrid w:val="0"/>
                <w:sz w:val="20"/>
              </w:rPr>
              <w:t>The treatment must not be in combination with another drug of the same pharmacological class as this drug</w:t>
            </w:r>
          </w:p>
        </w:tc>
      </w:tr>
      <w:tr w:rsidR="00937EEC" w:rsidRPr="00937EEC" w14:paraId="6CBAF370" w14:textId="77777777" w:rsidTr="00B5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3" w:type="pct"/>
            <w:tcBorders>
              <w:top w:val="single" w:sz="4" w:space="0" w:color="auto"/>
              <w:left w:val="single" w:sz="4" w:space="0" w:color="auto"/>
              <w:bottom w:val="single" w:sz="4" w:space="0" w:color="auto"/>
              <w:right w:val="single" w:sz="4" w:space="0" w:color="auto"/>
            </w:tcBorders>
            <w:hideMark/>
          </w:tcPr>
          <w:p w14:paraId="0D4A170E" w14:textId="77777777" w:rsidR="00937EEC" w:rsidRPr="00937EEC" w:rsidRDefault="00937EEC" w:rsidP="00937EEC">
            <w:pPr>
              <w:jc w:val="left"/>
              <w:rPr>
                <w:rFonts w:ascii="Arial Narrow" w:hAnsi="Arial Narrow" w:cs="Times New Roman"/>
                <w:snapToGrid w:val="0"/>
                <w:sz w:val="20"/>
              </w:rPr>
            </w:pPr>
            <w:r w:rsidRPr="00937EEC">
              <w:rPr>
                <w:rFonts w:ascii="Arial Narrow" w:hAnsi="Arial Narrow" w:cs="Times New Roman"/>
                <w:snapToGrid w:val="0"/>
                <w:sz w:val="20"/>
              </w:rPr>
              <w:t>Population criteria:</w:t>
            </w:r>
          </w:p>
        </w:tc>
        <w:tc>
          <w:tcPr>
            <w:tcW w:w="4147" w:type="pct"/>
            <w:gridSpan w:val="5"/>
            <w:tcBorders>
              <w:top w:val="single" w:sz="4" w:space="0" w:color="auto"/>
              <w:left w:val="single" w:sz="4" w:space="0" w:color="auto"/>
              <w:bottom w:val="single" w:sz="4" w:space="0" w:color="auto"/>
              <w:right w:val="single" w:sz="4" w:space="0" w:color="auto"/>
            </w:tcBorders>
          </w:tcPr>
          <w:p w14:paraId="6E632623" w14:textId="77777777" w:rsidR="00937EEC" w:rsidRPr="00937EEC" w:rsidRDefault="00937EEC" w:rsidP="00937EEC">
            <w:pPr>
              <w:jc w:val="left"/>
              <w:rPr>
                <w:rFonts w:ascii="Arial Narrow" w:hAnsi="Arial Narrow" w:cs="Times New Roman"/>
                <w:bCs/>
                <w:snapToGrid w:val="0"/>
                <w:sz w:val="20"/>
              </w:rPr>
            </w:pPr>
            <w:r w:rsidRPr="00937EEC">
              <w:rPr>
                <w:rFonts w:ascii="Arial Narrow" w:hAnsi="Arial Narrow" w:cs="Times New Roman"/>
                <w:bCs/>
                <w:snapToGrid w:val="0"/>
                <w:sz w:val="20"/>
              </w:rPr>
              <w:t>Patient must not be premenopausal.</w:t>
            </w:r>
          </w:p>
        </w:tc>
      </w:tr>
    </w:tbl>
    <w:p w14:paraId="5B1A1116" w14:textId="447C502E" w:rsidR="00937EEC" w:rsidRDefault="00937EEC" w:rsidP="00F7258F">
      <w:pPr>
        <w:pStyle w:val="TableFigureFooter"/>
      </w:pPr>
      <w:r w:rsidRPr="00937EEC">
        <w:t>Source: Tables 1.4.1-1.4.3, pp21-24 of the submission</w:t>
      </w:r>
    </w:p>
    <w:p w14:paraId="701CBF56" w14:textId="0559A907" w:rsidR="00F7258F" w:rsidRPr="00937EEC" w:rsidRDefault="00F7258F" w:rsidP="00F7258F">
      <w:pPr>
        <w:pStyle w:val="TableFigureFooter"/>
      </w:pPr>
      <w:r>
        <w:t>AEMP = Approved ex</w:t>
      </w:r>
      <w:r w:rsidRPr="00F7258F">
        <w:t>-manufacturer price</w:t>
      </w:r>
      <w:r>
        <w:t xml:space="preserve">; </w:t>
      </w:r>
      <w:r w:rsidR="00BF554B">
        <w:t xml:space="preserve">DPMQ = Dispensed price for maximum quantity; </w:t>
      </w:r>
      <w:r>
        <w:t>PBS = Pharmaceutical Benefits Scheme</w:t>
      </w:r>
    </w:p>
    <w:p w14:paraId="66111830" w14:textId="654BC225" w:rsidR="00937EEC" w:rsidRPr="00081A39" w:rsidRDefault="00937EEC" w:rsidP="00F577A8">
      <w:pPr>
        <w:pStyle w:val="3-BodyText"/>
        <w:rPr>
          <w:color w:val="0066FF"/>
        </w:rPr>
      </w:pPr>
      <w:r w:rsidRPr="00081A39">
        <w:t xml:space="preserve">The requested </w:t>
      </w:r>
      <w:r w:rsidR="00E46A5B" w:rsidRPr="00081A39">
        <w:t xml:space="preserve">effective approved ex-manufacturer </w:t>
      </w:r>
      <w:r w:rsidRPr="00081A39">
        <w:t xml:space="preserve">price </w:t>
      </w:r>
      <w:r w:rsidR="00E46A5B" w:rsidRPr="00081A39">
        <w:t xml:space="preserve">(AEMP) </w:t>
      </w:r>
      <w:r w:rsidRPr="00081A39">
        <w:t xml:space="preserve">for </w:t>
      </w:r>
      <w:proofErr w:type="spellStart"/>
      <w:r w:rsidRPr="00081A39">
        <w:t>palbociclib</w:t>
      </w:r>
      <w:proofErr w:type="spellEnd"/>
      <w:r w:rsidR="00852696" w:rsidRPr="00081A39">
        <w:t xml:space="preserve"> ($</w:t>
      </w:r>
      <w:proofErr w:type="gramStart"/>
      <w:r w:rsidR="007B7D69" w:rsidRPr="009728EB">
        <w:rPr>
          <w:color w:val="000000"/>
          <w:w w:val="15"/>
          <w:shd w:val="solid" w:color="000000" w:fill="000000"/>
          <w:fitText w:val="-20" w:id="-1500865024"/>
          <w14:textFill>
            <w14:solidFill>
              <w14:srgbClr w14:val="000000">
                <w14:alpha w14:val="100000"/>
              </w14:srgbClr>
            </w14:solidFill>
          </w14:textFill>
        </w:rPr>
        <w:t xml:space="preserve">|  </w:t>
      </w:r>
      <w:r w:rsidR="007B7D69" w:rsidRPr="009728EB">
        <w:rPr>
          <w:color w:val="000000"/>
          <w:spacing w:val="-69"/>
          <w:w w:val="15"/>
          <w:shd w:val="solid" w:color="000000" w:fill="000000"/>
          <w:fitText w:val="-20" w:id="-1500865024"/>
          <w14:textFill>
            <w14:solidFill>
              <w14:srgbClr w14:val="000000">
                <w14:alpha w14:val="100000"/>
              </w14:srgbClr>
            </w14:solidFill>
          </w14:textFill>
        </w:rPr>
        <w:t>|</w:t>
      </w:r>
      <w:proofErr w:type="gramEnd"/>
      <w:r w:rsidR="00852696" w:rsidRPr="00081A39">
        <w:t>)</w:t>
      </w:r>
      <w:r w:rsidRPr="00081A39">
        <w:t xml:space="preserve">, when used in combination with </w:t>
      </w:r>
      <w:proofErr w:type="spellStart"/>
      <w:r w:rsidRPr="00081A39">
        <w:t>fulvestrant</w:t>
      </w:r>
      <w:proofErr w:type="spellEnd"/>
      <w:r w:rsidRPr="00081A39">
        <w:t xml:space="preserve">, was the same </w:t>
      </w:r>
      <w:r w:rsidR="00E46A5B" w:rsidRPr="00081A39">
        <w:t xml:space="preserve">that </w:t>
      </w:r>
      <w:r w:rsidRPr="00081A39">
        <w:t xml:space="preserve">for the current listing of </w:t>
      </w:r>
      <w:proofErr w:type="spellStart"/>
      <w:r w:rsidRPr="00081A39">
        <w:t>palbociclib</w:t>
      </w:r>
      <w:proofErr w:type="spellEnd"/>
      <w:r w:rsidR="00E46A5B" w:rsidRPr="00081A39">
        <w:t xml:space="preserve">, </w:t>
      </w:r>
      <w:r w:rsidRPr="00081A39">
        <w:t xml:space="preserve">when used in combination with an NSAI. The submission requested that the Special Pricing Arrangement (SPA) pertaining to the current </w:t>
      </w:r>
      <w:proofErr w:type="spellStart"/>
      <w:r w:rsidRPr="00081A39">
        <w:t>palbociclib</w:t>
      </w:r>
      <w:proofErr w:type="spellEnd"/>
      <w:r w:rsidRPr="00081A39">
        <w:t xml:space="preserve"> listing be applied to the extended listing. Also, the submission suggested that </w:t>
      </w:r>
      <w:proofErr w:type="spellStart"/>
      <w:r w:rsidRPr="00081A39">
        <w:t>palbociclib’s</w:t>
      </w:r>
      <w:proofErr w:type="spellEnd"/>
      <w:r w:rsidRPr="00081A39">
        <w:t xml:space="preserve"> </w:t>
      </w:r>
      <w:r w:rsidRPr="00081A39">
        <w:lastRenderedPageBreak/>
        <w:t xml:space="preserve">extended listing would be included within the existing Risk Sharing Agreement </w:t>
      </w:r>
      <w:r w:rsidR="00E46A5B" w:rsidRPr="00081A39">
        <w:t xml:space="preserve">(RSA) </w:t>
      </w:r>
      <w:r w:rsidRPr="00081A39">
        <w:t xml:space="preserve">that </w:t>
      </w:r>
      <w:proofErr w:type="spellStart"/>
      <w:r w:rsidRPr="00081A39">
        <w:t>palbociclib</w:t>
      </w:r>
      <w:proofErr w:type="spellEnd"/>
      <w:r w:rsidRPr="00081A39">
        <w:t xml:space="preserve"> currently shares with </w:t>
      </w:r>
      <w:proofErr w:type="spellStart"/>
      <w:r w:rsidRPr="00081A39">
        <w:t>ribociclib</w:t>
      </w:r>
      <w:proofErr w:type="spellEnd"/>
      <w:r w:rsidRPr="00081A39">
        <w:t xml:space="preserve"> and </w:t>
      </w:r>
      <w:proofErr w:type="spellStart"/>
      <w:r w:rsidRPr="00081A39">
        <w:t>abemaciclib</w:t>
      </w:r>
      <w:proofErr w:type="spellEnd"/>
      <w:r w:rsidRPr="00081A39">
        <w:t xml:space="preserve">. </w:t>
      </w:r>
    </w:p>
    <w:p w14:paraId="637B9BE1" w14:textId="189BD575" w:rsidR="00A72CA3" w:rsidRPr="00081A39" w:rsidRDefault="00937EEC" w:rsidP="00A72CA3">
      <w:pPr>
        <w:pStyle w:val="3-BodyText"/>
        <w:rPr>
          <w:color w:val="0066FF"/>
        </w:rPr>
      </w:pPr>
      <w:r w:rsidRPr="00081A39">
        <w:t xml:space="preserve">The </w:t>
      </w:r>
      <w:r w:rsidR="00A72CA3" w:rsidRPr="00081A39">
        <w:t xml:space="preserve">proposed </w:t>
      </w:r>
      <w:r w:rsidRPr="00081A39">
        <w:t xml:space="preserve">restriction </w:t>
      </w:r>
      <w:r w:rsidR="00A72CA3" w:rsidRPr="00081A39">
        <w:t>wa</w:t>
      </w:r>
      <w:r w:rsidRPr="00081A39">
        <w:t>s largely consistent with the trial</w:t>
      </w:r>
      <w:r w:rsidR="00AA077D">
        <w:t>,</w:t>
      </w:r>
      <w:r w:rsidR="00F90B8E">
        <w:t xml:space="preserve"> </w:t>
      </w:r>
      <w:r w:rsidRPr="00081A39">
        <w:t xml:space="preserve">TGA </w:t>
      </w:r>
      <w:r w:rsidR="00D529BA">
        <w:t>product information</w:t>
      </w:r>
      <w:r w:rsidR="00AA077D">
        <w:t xml:space="preserve"> and</w:t>
      </w:r>
      <w:r w:rsidR="00F90B8E">
        <w:t xml:space="preserve"> </w:t>
      </w:r>
      <w:r w:rsidRPr="00081A39">
        <w:t>clinical guidelines</w:t>
      </w:r>
      <w:r w:rsidR="008854F3" w:rsidRPr="00081A39">
        <w:t xml:space="preserve">. </w:t>
      </w:r>
      <w:r w:rsidR="00B96C06" w:rsidRPr="00081A39">
        <w:t>The proposed PBS population includes patients</w:t>
      </w:r>
      <w:r w:rsidRPr="00081A39">
        <w:t xml:space="preserve"> who develop an intolerance to a cyclin D-dependent kinase 4/6 (CDK4/6) inhibitor of a severity necessitating permanent treatment withdrawal. However, patients who received prior treatment with any CDK4/6 inhibitors were excluded from the PALOMA-3 trial. No evidence on the clinical effectiveness and safety for patients who switched between CDK4/6 inhibitors was presented, although both the key comparator trials, MONALEESA-3 </w:t>
      </w:r>
      <w:r w:rsidR="00E95C55" w:rsidRPr="00081A39">
        <w:t>(</w:t>
      </w:r>
      <w:proofErr w:type="spellStart"/>
      <w:r w:rsidR="00E95C55" w:rsidRPr="00081A39">
        <w:t>ribociclib</w:t>
      </w:r>
      <w:proofErr w:type="spellEnd"/>
      <w:r w:rsidR="00E95C55" w:rsidRPr="00081A39">
        <w:t xml:space="preserve">) </w:t>
      </w:r>
      <w:r w:rsidRPr="00081A39">
        <w:t>and MONARCH 2</w:t>
      </w:r>
      <w:r w:rsidR="000E484F" w:rsidRPr="00081A39">
        <w:t xml:space="preserve"> (</w:t>
      </w:r>
      <w:proofErr w:type="spellStart"/>
      <w:r w:rsidR="000E484F" w:rsidRPr="00081A39">
        <w:t>abemaciclib</w:t>
      </w:r>
      <w:proofErr w:type="spellEnd"/>
      <w:r w:rsidR="000E484F" w:rsidRPr="00081A39">
        <w:t>)</w:t>
      </w:r>
      <w:r w:rsidRPr="00081A39">
        <w:t>, also excluded this group of patients.</w:t>
      </w:r>
    </w:p>
    <w:p w14:paraId="1CA222B4" w14:textId="4B00D812" w:rsidR="00B96C06" w:rsidRPr="00081A39" w:rsidRDefault="00B96C06" w:rsidP="00A72CA3">
      <w:pPr>
        <w:pStyle w:val="3-BodyText"/>
        <w:rPr>
          <w:color w:val="0066FF"/>
        </w:rPr>
      </w:pPr>
      <w:r w:rsidRPr="00081A39">
        <w:t>In addition, although the submission described the proposed population as “pre-/peri or postmenopausal” patients (</w:t>
      </w:r>
      <w:r w:rsidRPr="00081A39">
        <w:fldChar w:fldCharType="begin"/>
      </w:r>
      <w:r w:rsidRPr="00081A39">
        <w:instrText xml:space="preserve"> REF _Ref90032874 \h  \* MERGEFORMAT </w:instrText>
      </w:r>
      <w:r w:rsidRPr="00081A39">
        <w:fldChar w:fldCharType="separate"/>
      </w:r>
      <w:r w:rsidR="009728EB" w:rsidRPr="00937EEC">
        <w:t xml:space="preserve">Table </w:t>
      </w:r>
      <w:r w:rsidR="009728EB">
        <w:rPr>
          <w:noProof/>
        </w:rPr>
        <w:t>1</w:t>
      </w:r>
      <w:r w:rsidRPr="00081A39">
        <w:fldChar w:fldCharType="end"/>
      </w:r>
      <w:r w:rsidRPr="00081A39">
        <w:t xml:space="preserve">), this was inconsistent with the proposed wording of restriction, which stated that the “patient must not be premenopausal.” As such the requested population was more restricted than the PALOMA-3 </w:t>
      </w:r>
      <w:proofErr w:type="spellStart"/>
      <w:r w:rsidRPr="00081A39">
        <w:t>palbociclib</w:t>
      </w:r>
      <w:proofErr w:type="spellEnd"/>
      <w:r w:rsidRPr="00081A39">
        <w:t xml:space="preserve"> trial population, in which 20.3% of patients were pre/perimenopausal. This is appropriate as </w:t>
      </w:r>
      <w:proofErr w:type="spellStart"/>
      <w:r w:rsidRPr="00081A39">
        <w:t>fulvestrant</w:t>
      </w:r>
      <w:proofErr w:type="spellEnd"/>
      <w:r w:rsidRPr="00081A39">
        <w:t xml:space="preserve"> is TGA-indicated for the treatment of postmenopausal women only. The current PBS-listings for </w:t>
      </w:r>
      <w:proofErr w:type="spellStart"/>
      <w:r w:rsidRPr="00081A39">
        <w:t>ribociclib</w:t>
      </w:r>
      <w:proofErr w:type="spellEnd"/>
      <w:r w:rsidRPr="00081A39">
        <w:t xml:space="preserve"> and </w:t>
      </w:r>
      <w:proofErr w:type="spellStart"/>
      <w:r w:rsidRPr="00081A39">
        <w:t>abemaciclib</w:t>
      </w:r>
      <w:proofErr w:type="spellEnd"/>
      <w:r w:rsidRPr="00081A39">
        <w:t xml:space="preserve"> also require patients to not be premenopausal.</w:t>
      </w:r>
    </w:p>
    <w:p w14:paraId="0D58358E" w14:textId="47C00E9F" w:rsidR="00A72CA3" w:rsidRPr="00081A39" w:rsidRDefault="008D7A4F" w:rsidP="00A72CA3">
      <w:pPr>
        <w:pStyle w:val="3-BodyText"/>
        <w:rPr>
          <w:color w:val="0066FF"/>
        </w:rPr>
      </w:pPr>
      <w:r w:rsidRPr="00081A39">
        <w:t xml:space="preserve">The proposed PBS population for </w:t>
      </w:r>
      <w:proofErr w:type="spellStart"/>
      <w:r w:rsidR="00A06A2F" w:rsidRPr="00081A39">
        <w:t>palbociclib</w:t>
      </w:r>
      <w:proofErr w:type="spellEnd"/>
      <w:r w:rsidR="00A06A2F" w:rsidRPr="00081A39">
        <w:t xml:space="preserve"> </w:t>
      </w:r>
      <w:r w:rsidR="004A4836" w:rsidRPr="00081A39">
        <w:t>plus</w:t>
      </w:r>
      <w:r w:rsidR="00A06A2F" w:rsidRPr="00081A39">
        <w:t xml:space="preserve"> </w:t>
      </w:r>
      <w:proofErr w:type="spellStart"/>
      <w:r w:rsidR="00A06A2F" w:rsidRPr="00081A39">
        <w:t>fulvestrant</w:t>
      </w:r>
      <w:proofErr w:type="spellEnd"/>
      <w:r w:rsidRPr="00081A39">
        <w:t xml:space="preserve"> was "narrower" than the current PBS-listed population</w:t>
      </w:r>
      <w:r w:rsidR="00E46A5B" w:rsidRPr="00081A39">
        <w:t>s</w:t>
      </w:r>
      <w:r w:rsidRPr="00081A39">
        <w:t xml:space="preserve"> for </w:t>
      </w:r>
      <w:proofErr w:type="spellStart"/>
      <w:r w:rsidR="00A06A2F" w:rsidRPr="00081A39">
        <w:t>ribociclib</w:t>
      </w:r>
      <w:proofErr w:type="spellEnd"/>
      <w:r w:rsidR="00A06A2F" w:rsidRPr="00081A39">
        <w:t xml:space="preserve"> </w:t>
      </w:r>
      <w:r w:rsidR="00E46A5B" w:rsidRPr="00081A39">
        <w:t xml:space="preserve">plus </w:t>
      </w:r>
      <w:proofErr w:type="spellStart"/>
      <w:r w:rsidR="00E46A5B" w:rsidRPr="00081A39">
        <w:t>fulvestrant</w:t>
      </w:r>
      <w:proofErr w:type="spellEnd"/>
      <w:r w:rsidR="00E46A5B" w:rsidRPr="00081A39">
        <w:t xml:space="preserve"> and </w:t>
      </w:r>
      <w:proofErr w:type="spellStart"/>
      <w:r w:rsidR="00A06A2F" w:rsidRPr="00081A39">
        <w:t>abemaciclib</w:t>
      </w:r>
      <w:proofErr w:type="spellEnd"/>
      <w:r w:rsidRPr="00081A39">
        <w:t xml:space="preserve"> </w:t>
      </w:r>
      <w:r w:rsidR="004A4836" w:rsidRPr="00081A39">
        <w:t xml:space="preserve">plus </w:t>
      </w:r>
      <w:proofErr w:type="spellStart"/>
      <w:r w:rsidR="00A06A2F" w:rsidRPr="00081A39">
        <w:t>fulvestrant</w:t>
      </w:r>
      <w:proofErr w:type="spellEnd"/>
      <w:r w:rsidR="00E46A5B" w:rsidRPr="00081A39">
        <w:t xml:space="preserve">. </w:t>
      </w:r>
      <w:proofErr w:type="spellStart"/>
      <w:r w:rsidR="00E46A5B" w:rsidRPr="00081A39">
        <w:t>R</w:t>
      </w:r>
      <w:r w:rsidR="00A06A2F" w:rsidRPr="00081A39">
        <w:t>ibociclib</w:t>
      </w:r>
      <w:proofErr w:type="spellEnd"/>
      <w:r w:rsidR="00F74EBC">
        <w:t xml:space="preserve"> or </w:t>
      </w:r>
      <w:proofErr w:type="spellStart"/>
      <w:r w:rsidR="00A06A2F" w:rsidRPr="00081A39">
        <w:t>abemaciclib</w:t>
      </w:r>
      <w:proofErr w:type="spellEnd"/>
      <w:r w:rsidR="00A06A2F" w:rsidRPr="00081A39">
        <w:t xml:space="preserve"> </w:t>
      </w:r>
      <w:r w:rsidR="004A4836" w:rsidRPr="00081A39">
        <w:t xml:space="preserve">plus </w:t>
      </w:r>
      <w:proofErr w:type="spellStart"/>
      <w:r w:rsidR="004A4836" w:rsidRPr="00081A39">
        <w:t>fulvestrant</w:t>
      </w:r>
      <w:proofErr w:type="spellEnd"/>
      <w:r w:rsidR="004A4836" w:rsidRPr="00081A39">
        <w:t xml:space="preserve"> </w:t>
      </w:r>
      <w:r w:rsidRPr="00081A39">
        <w:t xml:space="preserve">may be used in patients </w:t>
      </w:r>
      <w:r w:rsidR="00B96C06" w:rsidRPr="00081A39">
        <w:t xml:space="preserve">who have not been </w:t>
      </w:r>
      <w:r w:rsidRPr="00081A39">
        <w:t xml:space="preserve">treated with endocrine therapy for advanced/metastatic </w:t>
      </w:r>
      <w:proofErr w:type="gramStart"/>
      <w:r w:rsidRPr="00081A39">
        <w:t>disease</w:t>
      </w:r>
      <w:r w:rsidR="00E46A5B" w:rsidRPr="00081A39">
        <w:t>;</w:t>
      </w:r>
      <w:proofErr w:type="gramEnd"/>
      <w:r w:rsidR="00E46A5B" w:rsidRPr="00081A39">
        <w:t xml:space="preserve"> whereas, the proposed restriction for </w:t>
      </w:r>
      <w:proofErr w:type="spellStart"/>
      <w:r w:rsidR="00E46A5B" w:rsidRPr="00081A39">
        <w:t>p</w:t>
      </w:r>
      <w:r w:rsidR="00A06A2F" w:rsidRPr="00081A39">
        <w:t>albociclib</w:t>
      </w:r>
      <w:proofErr w:type="spellEnd"/>
      <w:r w:rsidR="00A06A2F" w:rsidRPr="00081A39">
        <w:t xml:space="preserve"> plus </w:t>
      </w:r>
      <w:proofErr w:type="spellStart"/>
      <w:r w:rsidR="00A06A2F" w:rsidRPr="00081A39">
        <w:t>fulvestrant</w:t>
      </w:r>
      <w:proofErr w:type="spellEnd"/>
      <w:r w:rsidRPr="00081A39">
        <w:t xml:space="preserve"> </w:t>
      </w:r>
      <w:r w:rsidR="00E46A5B" w:rsidRPr="00081A39">
        <w:t xml:space="preserve">does not allow use </w:t>
      </w:r>
      <w:r w:rsidRPr="00081A39">
        <w:t xml:space="preserve">in </w:t>
      </w:r>
      <w:r w:rsidR="00B96C06" w:rsidRPr="00081A39">
        <w:t xml:space="preserve">these </w:t>
      </w:r>
      <w:r w:rsidRPr="00081A39">
        <w:t xml:space="preserve">patients. </w:t>
      </w:r>
      <w:r w:rsidR="00B96C06" w:rsidRPr="00081A39">
        <w:t>P</w:t>
      </w:r>
      <w:r w:rsidR="00A06A2F" w:rsidRPr="00081A39">
        <w:t>albociclib</w:t>
      </w:r>
      <w:r w:rsidRPr="00081A39">
        <w:t xml:space="preserve"> </w:t>
      </w:r>
      <w:r w:rsidR="004A4836" w:rsidRPr="00081A39">
        <w:t xml:space="preserve">plus </w:t>
      </w:r>
      <w:proofErr w:type="spellStart"/>
      <w:r w:rsidR="004A4836" w:rsidRPr="00081A39">
        <w:t>fulvestrant</w:t>
      </w:r>
      <w:proofErr w:type="spellEnd"/>
      <w:r w:rsidR="004A4836" w:rsidRPr="00081A39">
        <w:t xml:space="preserve">, unlike </w:t>
      </w:r>
      <w:proofErr w:type="spellStart"/>
      <w:r w:rsidR="004A4836" w:rsidRPr="00081A39">
        <w:t>ribociclib</w:t>
      </w:r>
      <w:proofErr w:type="spellEnd"/>
      <w:r w:rsidR="00F74EBC">
        <w:t xml:space="preserve"> or </w:t>
      </w:r>
      <w:proofErr w:type="spellStart"/>
      <w:r w:rsidR="004A4836" w:rsidRPr="00081A39">
        <w:t>abemaciclib</w:t>
      </w:r>
      <w:proofErr w:type="spellEnd"/>
      <w:r w:rsidR="004A4836" w:rsidRPr="00081A39">
        <w:t xml:space="preserve"> plus </w:t>
      </w:r>
      <w:proofErr w:type="spellStart"/>
      <w:r w:rsidR="004A4836" w:rsidRPr="00081A39">
        <w:t>fulvestrant</w:t>
      </w:r>
      <w:proofErr w:type="spellEnd"/>
      <w:r w:rsidR="004A4836" w:rsidRPr="00081A39">
        <w:t xml:space="preserve">, </w:t>
      </w:r>
      <w:r w:rsidRPr="00081A39">
        <w:t xml:space="preserve">is </w:t>
      </w:r>
      <w:r w:rsidR="004A4836" w:rsidRPr="00081A39">
        <w:t xml:space="preserve">not </w:t>
      </w:r>
      <w:r w:rsidRPr="00081A39">
        <w:t xml:space="preserve">TGA-approved </w:t>
      </w:r>
      <w:r w:rsidR="004A4836" w:rsidRPr="00081A39">
        <w:t>as initial endocrine-based therapy</w:t>
      </w:r>
      <w:r w:rsidRPr="00081A39">
        <w:t>.</w:t>
      </w:r>
      <w:r w:rsidR="001F2637" w:rsidRPr="00081A39">
        <w:t xml:space="preserve"> </w:t>
      </w:r>
    </w:p>
    <w:p w14:paraId="1AC98C5C" w14:textId="2853C5DC" w:rsidR="00A72CA3" w:rsidRPr="00081A39" w:rsidRDefault="00937EEC" w:rsidP="00264833">
      <w:pPr>
        <w:pStyle w:val="3-BodyText"/>
        <w:numPr>
          <w:ilvl w:val="1"/>
          <w:numId w:val="17"/>
        </w:numPr>
        <w:ind w:left="1077" w:hanging="357"/>
        <w:rPr>
          <w:color w:val="0066FF"/>
        </w:rPr>
      </w:pPr>
      <w:r w:rsidRPr="00081A39">
        <w:t xml:space="preserve">The MONARCH 2 </w:t>
      </w:r>
      <w:r w:rsidR="00B96C06" w:rsidRPr="00081A39">
        <w:t>trial (</w:t>
      </w:r>
      <w:proofErr w:type="spellStart"/>
      <w:r w:rsidR="00B96C06" w:rsidRPr="00081A39">
        <w:t>abemaciclib</w:t>
      </w:r>
      <w:proofErr w:type="spellEnd"/>
      <w:r w:rsidR="00B96C06" w:rsidRPr="00081A39">
        <w:t xml:space="preserve"> plus </w:t>
      </w:r>
      <w:proofErr w:type="spellStart"/>
      <w:r w:rsidR="00353741" w:rsidRPr="00081A39">
        <w:t>fulvestrant</w:t>
      </w:r>
      <w:proofErr w:type="spellEnd"/>
      <w:r w:rsidR="00B96C06" w:rsidRPr="00081A39">
        <w:t xml:space="preserve">) </w:t>
      </w:r>
      <w:r w:rsidRPr="00081A39">
        <w:t xml:space="preserve">included only limited evidence for the de novo locally advanced/metastatic disease subgroup. Only a post hoc exploratory analysis of 44 patients was available to inform the clinical effectiveness and safety of </w:t>
      </w:r>
      <w:proofErr w:type="spellStart"/>
      <w:r w:rsidRPr="00081A39">
        <w:t>abemaciclib</w:t>
      </w:r>
      <w:proofErr w:type="spellEnd"/>
      <w:r w:rsidRPr="00081A39">
        <w:t xml:space="preserve"> in this group (para</w:t>
      </w:r>
      <w:r w:rsidR="00F74EBC">
        <w:t>graph</w:t>
      </w:r>
      <w:r w:rsidRPr="00081A39">
        <w:t xml:space="preserve"> 3.2, </w:t>
      </w:r>
      <w:proofErr w:type="spellStart"/>
      <w:r w:rsidR="00F74EBC">
        <w:t>a</w:t>
      </w:r>
      <w:r w:rsidRPr="00081A39">
        <w:t>bemaciclib</w:t>
      </w:r>
      <w:proofErr w:type="spellEnd"/>
      <w:r w:rsidRPr="00081A39">
        <w:t xml:space="preserve"> PSD, March 2021). </w:t>
      </w:r>
    </w:p>
    <w:p w14:paraId="19E6B247" w14:textId="4F12AAD6" w:rsidR="00A72CA3" w:rsidRPr="00081A39" w:rsidRDefault="00937EEC" w:rsidP="00264833">
      <w:pPr>
        <w:pStyle w:val="3-BodyText"/>
        <w:numPr>
          <w:ilvl w:val="1"/>
          <w:numId w:val="17"/>
        </w:numPr>
        <w:ind w:left="1077" w:hanging="357"/>
        <w:rPr>
          <w:color w:val="0066FF"/>
        </w:rPr>
      </w:pPr>
      <w:r w:rsidRPr="00081A39">
        <w:t xml:space="preserve">The PBAC </w:t>
      </w:r>
      <w:r w:rsidR="000E484F" w:rsidRPr="00081A39">
        <w:t xml:space="preserve">has previously </w:t>
      </w:r>
      <w:r w:rsidRPr="00081A39">
        <w:t xml:space="preserve">noted the use of CDK inhibitors plus </w:t>
      </w:r>
      <w:proofErr w:type="spellStart"/>
      <w:r w:rsidRPr="00081A39">
        <w:t>fulvestrant</w:t>
      </w:r>
      <w:proofErr w:type="spellEnd"/>
      <w:r w:rsidRPr="00081A39">
        <w:t xml:space="preserve"> is “likely to be minimal in de novo patients as these patients would likely prefer an oral NSAI than intramuscular injections of </w:t>
      </w:r>
      <w:proofErr w:type="spellStart"/>
      <w:r w:rsidRPr="00081A39">
        <w:t>fulvestrant</w:t>
      </w:r>
      <w:proofErr w:type="spellEnd"/>
      <w:r w:rsidRPr="00081A39">
        <w:t xml:space="preserve">” and therefore, the PBAC considered that “a listing, including de novo metastatic patients, would be appropriate for </w:t>
      </w:r>
      <w:proofErr w:type="spellStart"/>
      <w:r w:rsidRPr="00081A39">
        <w:t>abemaciclib</w:t>
      </w:r>
      <w:proofErr w:type="spellEnd"/>
      <w:r w:rsidRPr="00081A39">
        <w:t xml:space="preserve"> and consistent with both the TGA registered indication for </w:t>
      </w:r>
      <w:proofErr w:type="spellStart"/>
      <w:r w:rsidRPr="00081A39">
        <w:t>abemaciclib</w:t>
      </w:r>
      <w:proofErr w:type="spellEnd"/>
      <w:r w:rsidRPr="00081A39">
        <w:t xml:space="preserve"> and the listing recommended for </w:t>
      </w:r>
      <w:proofErr w:type="spellStart"/>
      <w:r w:rsidRPr="00081A39">
        <w:t>ribociclib</w:t>
      </w:r>
      <w:proofErr w:type="spellEnd"/>
      <w:r w:rsidRPr="00081A39">
        <w:t xml:space="preserve"> at the November 2020 PBAC meeting” (para</w:t>
      </w:r>
      <w:r w:rsidR="00F74EBC">
        <w:t>graph</w:t>
      </w:r>
      <w:r w:rsidRPr="00081A39">
        <w:t xml:space="preserve"> 7.3, </w:t>
      </w:r>
      <w:proofErr w:type="spellStart"/>
      <w:r w:rsidR="00F74EBC">
        <w:t>a</w:t>
      </w:r>
      <w:r w:rsidRPr="00081A39">
        <w:t>bemaciclib</w:t>
      </w:r>
      <w:proofErr w:type="spellEnd"/>
      <w:r w:rsidRPr="00081A39">
        <w:t xml:space="preserve"> PSD, March 2021).</w:t>
      </w:r>
    </w:p>
    <w:p w14:paraId="345FD16E" w14:textId="3C908F9B" w:rsidR="00937EEC" w:rsidRPr="00081A39" w:rsidRDefault="00937EEC" w:rsidP="00DE4EDC">
      <w:pPr>
        <w:pStyle w:val="3-BodyText"/>
      </w:pPr>
      <w:r w:rsidRPr="00081A39">
        <w:t xml:space="preserve">The submission requested a grandfathering provision for </w:t>
      </w:r>
      <w:proofErr w:type="spellStart"/>
      <w:r w:rsidRPr="00081A39">
        <w:t>palbociclib’s</w:t>
      </w:r>
      <w:proofErr w:type="spellEnd"/>
      <w:r w:rsidRPr="00081A39">
        <w:t xml:space="preserve"> extended listing in combination with </w:t>
      </w:r>
      <w:proofErr w:type="spellStart"/>
      <w:r w:rsidRPr="00081A39">
        <w:t>fulvestrant</w:t>
      </w:r>
      <w:proofErr w:type="spellEnd"/>
      <w:r w:rsidRPr="00081A39">
        <w:t xml:space="preserve">. </w:t>
      </w:r>
    </w:p>
    <w:p w14:paraId="1AA34807" w14:textId="2C912138" w:rsidR="00937EEC" w:rsidRPr="00081A39" w:rsidRDefault="00937EEC" w:rsidP="00264833">
      <w:pPr>
        <w:numPr>
          <w:ilvl w:val="0"/>
          <w:numId w:val="9"/>
        </w:numPr>
        <w:spacing w:after="120"/>
        <w:rPr>
          <w:rFonts w:asciiTheme="minorHAnsi" w:hAnsiTheme="minorHAnsi"/>
          <w:snapToGrid w:val="0"/>
        </w:rPr>
      </w:pPr>
      <w:r w:rsidRPr="00081A39">
        <w:rPr>
          <w:rFonts w:asciiTheme="minorHAnsi" w:hAnsiTheme="minorHAnsi"/>
          <w:snapToGrid w:val="0"/>
        </w:rPr>
        <w:lastRenderedPageBreak/>
        <w:t xml:space="preserve">The submission anticipated that </w:t>
      </w:r>
      <w:r w:rsidR="00A55437">
        <w:t>&lt; 500</w:t>
      </w:r>
      <w:r w:rsidR="00A55437" w:rsidRPr="00E74253">
        <w:t xml:space="preserve"> </w:t>
      </w:r>
      <w:r w:rsidRPr="00081A39">
        <w:rPr>
          <w:rFonts w:asciiTheme="minorHAnsi" w:hAnsiTheme="minorHAnsi"/>
          <w:snapToGrid w:val="0"/>
        </w:rPr>
        <w:t xml:space="preserve">patients enrolled in a compassionate access program would require grandfathering onto PBS-reimbursed </w:t>
      </w:r>
      <w:proofErr w:type="spellStart"/>
      <w:r w:rsidRPr="00081A39">
        <w:rPr>
          <w:rFonts w:asciiTheme="minorHAnsi" w:hAnsiTheme="minorHAnsi"/>
          <w:snapToGrid w:val="0"/>
        </w:rPr>
        <w:t>palbociclib</w:t>
      </w:r>
      <w:proofErr w:type="spellEnd"/>
      <w:r w:rsidRPr="00081A39">
        <w:rPr>
          <w:rFonts w:asciiTheme="minorHAnsi" w:hAnsiTheme="minorHAnsi"/>
          <w:snapToGrid w:val="0"/>
        </w:rPr>
        <w:t xml:space="preserve"> treatment. The submission included these </w:t>
      </w:r>
      <w:r w:rsidR="00A55437">
        <w:t>&lt; 500</w:t>
      </w:r>
      <w:r w:rsidR="00A55437" w:rsidRPr="00E74253">
        <w:t xml:space="preserve"> </w:t>
      </w:r>
      <w:r w:rsidRPr="00081A39">
        <w:rPr>
          <w:rFonts w:asciiTheme="minorHAnsi" w:hAnsiTheme="minorHAnsi"/>
          <w:snapToGrid w:val="0"/>
        </w:rPr>
        <w:t>patients in the estimated number of treated patients in Year 1 of listing in its financial estimates.</w:t>
      </w:r>
    </w:p>
    <w:p w14:paraId="050EF01D" w14:textId="648E4B94" w:rsidR="00937EEC" w:rsidRDefault="00937EEC" w:rsidP="00264833">
      <w:pPr>
        <w:numPr>
          <w:ilvl w:val="0"/>
          <w:numId w:val="9"/>
        </w:numPr>
        <w:spacing w:after="120"/>
        <w:rPr>
          <w:rFonts w:asciiTheme="minorHAnsi" w:hAnsiTheme="minorHAnsi"/>
          <w:snapToGrid w:val="0"/>
        </w:rPr>
      </w:pPr>
      <w:r w:rsidRPr="00081A39">
        <w:rPr>
          <w:rFonts w:asciiTheme="minorHAnsi" w:hAnsiTheme="minorHAnsi"/>
          <w:snapToGrid w:val="0"/>
        </w:rPr>
        <w:t xml:space="preserve">The proposed wording of restriction for patients transitioning from non-PBS to PBS-subsidised supply was broadly </w:t>
      </w:r>
      <w:proofErr w:type="gramStart"/>
      <w:r w:rsidRPr="00081A39">
        <w:rPr>
          <w:rFonts w:asciiTheme="minorHAnsi" w:hAnsiTheme="minorHAnsi"/>
          <w:snapToGrid w:val="0"/>
        </w:rPr>
        <w:t>similar to</w:t>
      </w:r>
      <w:proofErr w:type="gramEnd"/>
      <w:r w:rsidRPr="00081A39">
        <w:rPr>
          <w:rFonts w:asciiTheme="minorHAnsi" w:hAnsiTheme="minorHAnsi"/>
          <w:snapToGrid w:val="0"/>
        </w:rPr>
        <w:t xml:space="preserve"> the current wording for grandfather arrangements with </w:t>
      </w:r>
      <w:proofErr w:type="spellStart"/>
      <w:r w:rsidRPr="00081A39">
        <w:rPr>
          <w:rFonts w:asciiTheme="minorHAnsi" w:hAnsiTheme="minorHAnsi"/>
          <w:snapToGrid w:val="0"/>
        </w:rPr>
        <w:t>abemaciclib</w:t>
      </w:r>
      <w:proofErr w:type="spellEnd"/>
      <w:r w:rsidRPr="00081A39">
        <w:rPr>
          <w:rFonts w:asciiTheme="minorHAnsi" w:hAnsiTheme="minorHAnsi"/>
          <w:snapToGrid w:val="0"/>
        </w:rPr>
        <w:t xml:space="preserve"> (listed since 1 November 2021). </w:t>
      </w:r>
    </w:p>
    <w:p w14:paraId="17E96E29" w14:textId="77777777" w:rsidR="00E74253" w:rsidRPr="00E74253" w:rsidRDefault="00E74253" w:rsidP="00E74253">
      <w:pPr>
        <w:pStyle w:val="3-BodyText"/>
        <w:numPr>
          <w:ilvl w:val="0"/>
          <w:numId w:val="0"/>
        </w:numPr>
        <w:ind w:left="720"/>
        <w:rPr>
          <w:i/>
          <w:iCs/>
        </w:rPr>
      </w:pPr>
      <w:r w:rsidRPr="00E74253">
        <w:rPr>
          <w:i/>
          <w:iCs/>
        </w:rPr>
        <w:t>For more detail on PBAC’s view, see section 7 PBAC outcome.</w:t>
      </w:r>
    </w:p>
    <w:p w14:paraId="291E4B86" w14:textId="77777777" w:rsidR="00937EEC" w:rsidRPr="00937EEC" w:rsidRDefault="00937EEC" w:rsidP="00B27893">
      <w:pPr>
        <w:pStyle w:val="2-SectionHeading"/>
      </w:pPr>
      <w:bookmarkStart w:id="16" w:name="_Toc93397662"/>
      <w:r w:rsidRPr="00937EEC">
        <w:t>Population and disease</w:t>
      </w:r>
      <w:bookmarkEnd w:id="16"/>
    </w:p>
    <w:p w14:paraId="0A4415FF" w14:textId="52944B2D" w:rsidR="00937EEC" w:rsidRPr="00937EEC" w:rsidRDefault="00937EEC" w:rsidP="00DE4EDC">
      <w:pPr>
        <w:pStyle w:val="3-BodyText"/>
        <w:rPr>
          <w:color w:val="0066FF"/>
        </w:rPr>
      </w:pPr>
      <w:r w:rsidRPr="00937EEC">
        <w:t>Breast cancer is estimated to be the most commonly diagnosed cancer and second most common cause of death from cancer in females in 2021</w:t>
      </w:r>
      <w:r w:rsidR="00852BA1">
        <w:t>.</w:t>
      </w:r>
      <w:r w:rsidRPr="00937EEC">
        <w:rPr>
          <w:vertAlign w:val="superscript"/>
        </w:rPr>
        <w:footnoteReference w:id="4"/>
      </w:r>
      <w:r w:rsidRPr="00937EEC">
        <w:t xml:space="preserve"> Despite improvement in overall survival with systemic therapies, metastatic breast cancer is still considered incurable, with a median survival of approximately 18-24 months after diagnosis.</w:t>
      </w:r>
      <w:r w:rsidRPr="00937EEC">
        <w:rPr>
          <w:vertAlign w:val="superscript"/>
        </w:rPr>
        <w:footnoteReference w:id="5"/>
      </w:r>
      <w:r w:rsidRPr="00937EEC">
        <w:t xml:space="preserve"> The goals of treatment are to improve </w:t>
      </w:r>
      <w:proofErr w:type="gramStart"/>
      <w:r w:rsidRPr="00937EEC">
        <w:t>survival, and</w:t>
      </w:r>
      <w:proofErr w:type="gramEnd"/>
      <w:r w:rsidRPr="00937EEC">
        <w:t xml:space="preserve"> improve or maintain quality of life</w:t>
      </w:r>
      <w:r w:rsidR="00E50EFF">
        <w:t>.</w:t>
      </w:r>
    </w:p>
    <w:p w14:paraId="710C8198" w14:textId="758B56D2" w:rsidR="00937EEC" w:rsidRPr="00937EEC" w:rsidRDefault="00937EEC" w:rsidP="00DE4EDC">
      <w:pPr>
        <w:pStyle w:val="3-BodyText"/>
        <w:rPr>
          <w:color w:val="0066FF"/>
        </w:rPr>
      </w:pPr>
      <w:r w:rsidRPr="00937EEC">
        <w:t>The target population are patients with HR+ and HER2- locally advanced or metastatic breast cancer who have received previous endocrine therapy. This includes patients who have “recently become resistant to (</w:t>
      </w:r>
      <w:proofErr w:type="gramStart"/>
      <w:r w:rsidRPr="00937EEC">
        <w:t>i.e.</w:t>
      </w:r>
      <w:proofErr w:type="gramEnd"/>
      <w:r w:rsidRPr="00937EEC">
        <w:t xml:space="preserve"> experienced disease progression) endocrine therapy either whilst on, or within 12 months of completing, (neo)adjuvant treatment. It also includes patients already with advanced disease that have become resistant to endocrine therapy in the advanced setting</w:t>
      </w:r>
      <w:r w:rsidR="00540D85">
        <w:t>.</w:t>
      </w:r>
      <w:r w:rsidRPr="00937EEC">
        <w:t xml:space="preserve">” The clinical algorithm presented in the submission reflected Australian clinical practice and was broadly </w:t>
      </w:r>
      <w:proofErr w:type="gramStart"/>
      <w:r w:rsidRPr="00937EEC">
        <w:t>similar to</w:t>
      </w:r>
      <w:proofErr w:type="gramEnd"/>
      <w:r w:rsidRPr="00937EEC">
        <w:t xml:space="preserve"> the algorithm seen by the PBAC during its consideration of </w:t>
      </w:r>
      <w:proofErr w:type="spellStart"/>
      <w:r w:rsidRPr="00937EEC">
        <w:t>abemaciclib</w:t>
      </w:r>
      <w:proofErr w:type="spellEnd"/>
      <w:r w:rsidRPr="00937EEC">
        <w:t xml:space="preserve"> in March 2021 (Figure 1, p8, </w:t>
      </w:r>
      <w:proofErr w:type="spellStart"/>
      <w:r w:rsidRPr="00937EEC">
        <w:t>Abemaciclib</w:t>
      </w:r>
      <w:proofErr w:type="spellEnd"/>
      <w:r w:rsidRPr="00937EEC">
        <w:t xml:space="preserve"> PSD, March 2021 PBAC Meeting). </w:t>
      </w:r>
    </w:p>
    <w:p w14:paraId="07D499A3" w14:textId="77777777" w:rsidR="00937EEC" w:rsidRPr="00937EEC" w:rsidRDefault="00937EEC" w:rsidP="00DE4EDC">
      <w:pPr>
        <w:pStyle w:val="3-BodyText"/>
      </w:pPr>
      <w:r w:rsidRPr="00937EEC">
        <w:t xml:space="preserve">Palbociclib is a cyclin D-dependent kinases (CDK) 4 and 6 inhibitor. </w:t>
      </w:r>
    </w:p>
    <w:p w14:paraId="06A4B51B" w14:textId="77777777" w:rsidR="00E74253" w:rsidRDefault="00937EEC" w:rsidP="00E74253">
      <w:pPr>
        <w:pStyle w:val="3-BodyText"/>
      </w:pPr>
      <w:r w:rsidRPr="00937EEC">
        <w:t xml:space="preserve">If approved, </w:t>
      </w:r>
      <w:proofErr w:type="spellStart"/>
      <w:r w:rsidRPr="00937EEC">
        <w:t>palbociclib</w:t>
      </w:r>
      <w:proofErr w:type="spellEnd"/>
      <w:r w:rsidRPr="00937EEC">
        <w:t xml:space="preserve"> would be the third CDK4/6 inhibitor available on the PBS for the target population. </w:t>
      </w:r>
    </w:p>
    <w:p w14:paraId="1F202118" w14:textId="52364292" w:rsidR="00E74253" w:rsidRPr="00E74253" w:rsidRDefault="00E74253" w:rsidP="00E74253">
      <w:pPr>
        <w:pStyle w:val="3-BodyText"/>
        <w:numPr>
          <w:ilvl w:val="0"/>
          <w:numId w:val="0"/>
        </w:numPr>
        <w:ind w:left="720"/>
        <w:rPr>
          <w:i/>
          <w:iCs/>
        </w:rPr>
      </w:pPr>
      <w:r w:rsidRPr="00E74253">
        <w:rPr>
          <w:i/>
          <w:iCs/>
        </w:rPr>
        <w:t>For more detail on PBAC’s view, see section 7 PBAC outcome.</w:t>
      </w:r>
    </w:p>
    <w:p w14:paraId="3A28B149" w14:textId="77777777" w:rsidR="00937EEC" w:rsidRPr="00937EEC" w:rsidRDefault="00937EEC" w:rsidP="00B27893">
      <w:pPr>
        <w:pStyle w:val="2-SectionHeading"/>
      </w:pPr>
      <w:bookmarkStart w:id="17" w:name="_Toc93397663"/>
      <w:r w:rsidRPr="00937EEC">
        <w:t>Comparator</w:t>
      </w:r>
      <w:bookmarkEnd w:id="17"/>
    </w:p>
    <w:p w14:paraId="46261E67" w14:textId="1D83580C" w:rsidR="00937EEC" w:rsidRPr="00E74253" w:rsidRDefault="00937EEC" w:rsidP="00DE4EDC">
      <w:pPr>
        <w:pStyle w:val="3-BodyText"/>
        <w:rPr>
          <w:lang w:val="en-US"/>
        </w:rPr>
      </w:pPr>
      <w:r w:rsidRPr="00E74253">
        <w:t xml:space="preserve">The submission nominated </w:t>
      </w:r>
      <w:proofErr w:type="spellStart"/>
      <w:r w:rsidRPr="00E74253">
        <w:t>ribociclib</w:t>
      </w:r>
      <w:proofErr w:type="spellEnd"/>
      <w:r w:rsidRPr="00E74253">
        <w:t xml:space="preserve"> plus </w:t>
      </w:r>
      <w:proofErr w:type="spellStart"/>
      <w:r w:rsidRPr="00E74253">
        <w:t>fulvestrant</w:t>
      </w:r>
      <w:proofErr w:type="spellEnd"/>
      <w:r w:rsidRPr="00E74253">
        <w:t xml:space="preserve"> as the main comparator because </w:t>
      </w:r>
      <w:proofErr w:type="spellStart"/>
      <w:r w:rsidRPr="00E74253">
        <w:t>ribociclib</w:t>
      </w:r>
      <w:proofErr w:type="spellEnd"/>
      <w:r w:rsidRPr="00E74253">
        <w:t xml:space="preserve"> is a close pharmacological analogue to </w:t>
      </w:r>
      <w:proofErr w:type="spellStart"/>
      <w:r w:rsidRPr="00E74253">
        <w:t>palbociclib</w:t>
      </w:r>
      <w:proofErr w:type="spellEnd"/>
      <w:r w:rsidRPr="00E74253">
        <w:t xml:space="preserve"> and because </w:t>
      </w:r>
      <w:proofErr w:type="spellStart"/>
      <w:r w:rsidRPr="00E74253">
        <w:t>ribociclib</w:t>
      </w:r>
      <w:proofErr w:type="spellEnd"/>
      <w:r w:rsidRPr="00E74253">
        <w:t xml:space="preserve"> plus </w:t>
      </w:r>
      <w:proofErr w:type="spellStart"/>
      <w:r w:rsidRPr="00E74253">
        <w:t>fulvestrant</w:t>
      </w:r>
      <w:proofErr w:type="spellEnd"/>
      <w:r w:rsidRPr="00E74253">
        <w:t xml:space="preserve"> is the treatment likely to be substituted the most by the proposed listing of </w:t>
      </w:r>
      <w:proofErr w:type="spellStart"/>
      <w:r w:rsidRPr="00E74253">
        <w:t>palbociclib</w:t>
      </w:r>
      <w:proofErr w:type="spellEnd"/>
      <w:r w:rsidRPr="00E74253">
        <w:t xml:space="preserve"> plus </w:t>
      </w:r>
      <w:proofErr w:type="spellStart"/>
      <w:r w:rsidRPr="00E74253">
        <w:t>fulvestrant</w:t>
      </w:r>
      <w:proofErr w:type="spellEnd"/>
      <w:r w:rsidRPr="00E74253">
        <w:t>. Th</w:t>
      </w:r>
      <w:r w:rsidR="000A637C" w:rsidRPr="00E74253">
        <w:t>e ESC considered that th</w:t>
      </w:r>
      <w:r w:rsidRPr="00E74253">
        <w:t xml:space="preserve">is </w:t>
      </w:r>
      <w:r w:rsidR="00B96C06" w:rsidRPr="00E74253">
        <w:t>wa</w:t>
      </w:r>
      <w:r w:rsidRPr="00E74253">
        <w:t xml:space="preserve">s appropriate. </w:t>
      </w:r>
    </w:p>
    <w:p w14:paraId="3F6940F1" w14:textId="086A1A3B" w:rsidR="00937EEC" w:rsidRPr="00E74253" w:rsidRDefault="00937EEC" w:rsidP="00DE4EDC">
      <w:pPr>
        <w:pStyle w:val="3-BodyText"/>
        <w:rPr>
          <w:lang w:val="en-US"/>
        </w:rPr>
      </w:pPr>
      <w:r w:rsidRPr="00E74253">
        <w:lastRenderedPageBreak/>
        <w:t xml:space="preserve">The PBAC </w:t>
      </w:r>
      <w:r w:rsidR="00E86B45" w:rsidRPr="00E74253">
        <w:t xml:space="preserve">has previously </w:t>
      </w:r>
      <w:r w:rsidRPr="00E74253">
        <w:t xml:space="preserve">accepted </w:t>
      </w:r>
      <w:proofErr w:type="spellStart"/>
      <w:r w:rsidRPr="00E74253">
        <w:t>ribociclib</w:t>
      </w:r>
      <w:proofErr w:type="spellEnd"/>
      <w:r w:rsidRPr="00E74253">
        <w:t xml:space="preserve"> in combination with </w:t>
      </w:r>
      <w:proofErr w:type="spellStart"/>
      <w:r w:rsidRPr="00E74253">
        <w:t>fulvestrant</w:t>
      </w:r>
      <w:proofErr w:type="spellEnd"/>
      <w:r w:rsidRPr="00E74253">
        <w:t xml:space="preserve"> as the main comparator for </w:t>
      </w:r>
      <w:proofErr w:type="spellStart"/>
      <w:r w:rsidRPr="00E74253">
        <w:t>abemaciclib</w:t>
      </w:r>
      <w:proofErr w:type="spellEnd"/>
      <w:r w:rsidRPr="00E74253">
        <w:t xml:space="preserve"> in combination with </w:t>
      </w:r>
      <w:proofErr w:type="spellStart"/>
      <w:r w:rsidRPr="00E74253">
        <w:t>fulvestrant</w:t>
      </w:r>
      <w:proofErr w:type="spellEnd"/>
      <w:r w:rsidRPr="00E74253">
        <w:t xml:space="preserve"> at its March 2021 </w:t>
      </w:r>
      <w:r w:rsidR="00B96C06" w:rsidRPr="00E74253">
        <w:t>m</w:t>
      </w:r>
      <w:r w:rsidRPr="00E74253">
        <w:t xml:space="preserve">eeting, noting that </w:t>
      </w:r>
      <w:proofErr w:type="spellStart"/>
      <w:r w:rsidRPr="00E74253">
        <w:t>ribociclib</w:t>
      </w:r>
      <w:proofErr w:type="spellEnd"/>
      <w:r w:rsidRPr="00E74253">
        <w:t xml:space="preserve"> is a close pharmacological analogue to </w:t>
      </w:r>
      <w:proofErr w:type="spellStart"/>
      <w:r w:rsidRPr="00E74253">
        <w:t>abemaciclib</w:t>
      </w:r>
      <w:proofErr w:type="spellEnd"/>
      <w:r w:rsidRPr="00E74253">
        <w:t xml:space="preserve">. </w:t>
      </w:r>
      <w:r w:rsidR="00E86B45" w:rsidRPr="00E74253">
        <w:t>T</w:t>
      </w:r>
      <w:r w:rsidRPr="00E74253">
        <w:t xml:space="preserve">he current submission has a similar target population to that proposed for </w:t>
      </w:r>
      <w:proofErr w:type="spellStart"/>
      <w:r w:rsidRPr="00E74253">
        <w:t>abemaciclib</w:t>
      </w:r>
      <w:proofErr w:type="spellEnd"/>
      <w:r w:rsidRPr="00E74253">
        <w:t xml:space="preserve"> in combination with </w:t>
      </w:r>
      <w:proofErr w:type="spellStart"/>
      <w:r w:rsidRPr="00E74253">
        <w:t>fulvestrant</w:t>
      </w:r>
      <w:proofErr w:type="spellEnd"/>
      <w:r w:rsidRPr="00E74253">
        <w:t xml:space="preserve"> (para. 5.1, </w:t>
      </w:r>
      <w:proofErr w:type="spellStart"/>
      <w:r w:rsidRPr="00E74253">
        <w:t>Abemaciclib</w:t>
      </w:r>
      <w:proofErr w:type="spellEnd"/>
      <w:r w:rsidRPr="00E74253">
        <w:t xml:space="preserve"> PSD, March 2021 PBAC Meeting). Th</w:t>
      </w:r>
      <w:r w:rsidR="000A637C" w:rsidRPr="00E74253">
        <w:t>e ESC noted that th</w:t>
      </w:r>
      <w:r w:rsidRPr="00E74253">
        <w:t xml:space="preserve">is further </w:t>
      </w:r>
      <w:r w:rsidR="00D237E0" w:rsidRPr="00E74253">
        <w:t>support</w:t>
      </w:r>
      <w:r w:rsidR="00B96C06" w:rsidRPr="00E74253">
        <w:t>ed</w:t>
      </w:r>
      <w:r w:rsidRPr="00E74253">
        <w:t xml:space="preserve"> </w:t>
      </w:r>
      <w:proofErr w:type="spellStart"/>
      <w:r w:rsidRPr="00E74253">
        <w:t>ribociclib</w:t>
      </w:r>
      <w:proofErr w:type="spellEnd"/>
      <w:r w:rsidRPr="00E74253">
        <w:t xml:space="preserve"> plus </w:t>
      </w:r>
      <w:proofErr w:type="spellStart"/>
      <w:r w:rsidRPr="00E74253">
        <w:t>fulvestrant</w:t>
      </w:r>
      <w:proofErr w:type="spellEnd"/>
      <w:r w:rsidRPr="00E74253">
        <w:t xml:space="preserve"> for the main comparator in the current assessment.</w:t>
      </w:r>
    </w:p>
    <w:p w14:paraId="43ED2A21" w14:textId="5811185F" w:rsidR="00937EEC" w:rsidRPr="00E74253" w:rsidRDefault="00937EEC" w:rsidP="00DE4EDC">
      <w:pPr>
        <w:pStyle w:val="3-BodyText"/>
        <w:rPr>
          <w:lang w:val="en-US"/>
        </w:rPr>
      </w:pPr>
      <w:proofErr w:type="spellStart"/>
      <w:r w:rsidRPr="00E74253">
        <w:t>Abemaciclib</w:t>
      </w:r>
      <w:proofErr w:type="spellEnd"/>
      <w:r w:rsidRPr="00E74253">
        <w:t xml:space="preserve"> plus </w:t>
      </w:r>
      <w:proofErr w:type="spellStart"/>
      <w:r w:rsidRPr="00E74253">
        <w:t>fulvestrant</w:t>
      </w:r>
      <w:proofErr w:type="spellEnd"/>
      <w:r w:rsidRPr="00E74253">
        <w:t xml:space="preserve"> was nominated as a near market comparator as </w:t>
      </w:r>
      <w:proofErr w:type="spellStart"/>
      <w:r w:rsidRPr="00E74253">
        <w:t>abemaciclib</w:t>
      </w:r>
      <w:proofErr w:type="spellEnd"/>
      <w:r w:rsidRPr="00E74253">
        <w:t xml:space="preserve"> is a listed pharmacological analogue to </w:t>
      </w:r>
      <w:proofErr w:type="spellStart"/>
      <w:r w:rsidRPr="00E74253">
        <w:t>palbociclib</w:t>
      </w:r>
      <w:proofErr w:type="spellEnd"/>
      <w:r w:rsidRPr="00E74253">
        <w:t xml:space="preserve"> for the same requested indication. Th</w:t>
      </w:r>
      <w:r w:rsidR="000A637C" w:rsidRPr="00E74253">
        <w:t xml:space="preserve">e ESC </w:t>
      </w:r>
      <w:r w:rsidR="00B5753A" w:rsidRPr="00E74253">
        <w:t>noted</w:t>
      </w:r>
      <w:r w:rsidR="000A637C" w:rsidRPr="00E74253">
        <w:t xml:space="preserve"> that </w:t>
      </w:r>
      <w:proofErr w:type="spellStart"/>
      <w:r w:rsidR="00B5753A" w:rsidRPr="00E74253">
        <w:t>abemaciclib</w:t>
      </w:r>
      <w:proofErr w:type="spellEnd"/>
      <w:r w:rsidR="00B5753A" w:rsidRPr="00E74253">
        <w:t xml:space="preserve"> plus </w:t>
      </w:r>
      <w:proofErr w:type="spellStart"/>
      <w:r w:rsidR="00B5753A" w:rsidRPr="00E74253">
        <w:t>fulvestrant</w:t>
      </w:r>
      <w:proofErr w:type="spellEnd"/>
      <w:r w:rsidR="00B5753A" w:rsidRPr="00E74253">
        <w:t xml:space="preserve"> was listed on the PBS on 1 November 2021 and could be considered a secondary comparator</w:t>
      </w:r>
      <w:r w:rsidRPr="00E74253">
        <w:t xml:space="preserve">. </w:t>
      </w:r>
    </w:p>
    <w:p w14:paraId="13F56655" w14:textId="77777777" w:rsidR="00E74253" w:rsidRDefault="00937EEC" w:rsidP="00E74253">
      <w:pPr>
        <w:pStyle w:val="3-BodyText"/>
        <w:rPr>
          <w:color w:val="000000" w:themeColor="text1"/>
          <w:lang w:val="en-US"/>
        </w:rPr>
      </w:pPr>
      <w:r w:rsidRPr="00E74253">
        <w:rPr>
          <w:lang w:val="en-US"/>
        </w:rPr>
        <w:t>In the context of the cost-</w:t>
      </w:r>
      <w:proofErr w:type="spellStart"/>
      <w:r w:rsidRPr="00E74253">
        <w:rPr>
          <w:lang w:val="en-US"/>
        </w:rPr>
        <w:t>minimisation</w:t>
      </w:r>
      <w:proofErr w:type="spellEnd"/>
      <w:r w:rsidRPr="00E74253">
        <w:rPr>
          <w:lang w:val="en-US"/>
        </w:rPr>
        <w:t xml:space="preserve"> approach taken by the submission</w:t>
      </w:r>
      <w:r w:rsidRPr="00081A39">
        <w:rPr>
          <w:lang w:val="en-US"/>
        </w:rPr>
        <w:t xml:space="preserve">, a further consideration for PBAC is that, under Section 101(3B) of the National Health Act 1953, when the proposed medicine is substantially more costly than an alternative therapy, the committee cannot make a positive recommendation unless it is satisfied that, for some patients, the proposed medicine provides a significant improvement in efficacy and/or reduction of toxicity over the alternative therapy. If the committee is so </w:t>
      </w:r>
      <w:r w:rsidRPr="00081A39">
        <w:rPr>
          <w:color w:val="000000" w:themeColor="text1"/>
          <w:lang w:val="en-US"/>
        </w:rPr>
        <w:t>satisfied, it must make a statement to this effect.</w:t>
      </w:r>
      <w:r w:rsidR="00B5753A">
        <w:rPr>
          <w:color w:val="000000" w:themeColor="text1"/>
          <w:lang w:val="en-US"/>
        </w:rPr>
        <w:t xml:space="preserve"> </w:t>
      </w:r>
      <w:proofErr w:type="spellStart"/>
      <w:r w:rsidR="00B5753A">
        <w:rPr>
          <w:color w:val="000000" w:themeColor="text1"/>
          <w:lang w:val="en-US"/>
        </w:rPr>
        <w:t>Ribociclib</w:t>
      </w:r>
      <w:proofErr w:type="spellEnd"/>
      <w:r w:rsidR="00B5753A">
        <w:rPr>
          <w:color w:val="000000" w:themeColor="text1"/>
          <w:lang w:val="en-US"/>
        </w:rPr>
        <w:t xml:space="preserve"> and </w:t>
      </w:r>
      <w:proofErr w:type="spellStart"/>
      <w:r w:rsidR="00B5753A">
        <w:rPr>
          <w:color w:val="000000" w:themeColor="text1"/>
          <w:lang w:val="en-US"/>
        </w:rPr>
        <w:t>abemaciclib</w:t>
      </w:r>
      <w:proofErr w:type="spellEnd"/>
      <w:r w:rsidR="00B5753A">
        <w:rPr>
          <w:color w:val="000000" w:themeColor="text1"/>
          <w:lang w:val="en-US"/>
        </w:rPr>
        <w:t xml:space="preserve"> are alternate therapies to </w:t>
      </w:r>
      <w:proofErr w:type="spellStart"/>
      <w:r w:rsidR="00B5753A">
        <w:rPr>
          <w:color w:val="000000" w:themeColor="text1"/>
          <w:lang w:val="en-US"/>
        </w:rPr>
        <w:t>palbociclib</w:t>
      </w:r>
      <w:proofErr w:type="spellEnd"/>
      <w:r w:rsidR="00B5753A">
        <w:rPr>
          <w:color w:val="000000" w:themeColor="text1"/>
          <w:lang w:val="en-US"/>
        </w:rPr>
        <w:t>.</w:t>
      </w:r>
    </w:p>
    <w:p w14:paraId="4A62EC35" w14:textId="6BAE2CB1" w:rsidR="00E74253" w:rsidRPr="00E74253" w:rsidRDefault="00E74253" w:rsidP="00E74253">
      <w:pPr>
        <w:pStyle w:val="3-BodyText"/>
        <w:numPr>
          <w:ilvl w:val="0"/>
          <w:numId w:val="0"/>
        </w:numPr>
        <w:ind w:left="720"/>
        <w:rPr>
          <w:i/>
          <w:iCs/>
          <w:color w:val="000000" w:themeColor="text1"/>
          <w:lang w:val="en-US"/>
        </w:rPr>
      </w:pPr>
      <w:r w:rsidRPr="00E74253">
        <w:rPr>
          <w:i/>
          <w:iCs/>
        </w:rPr>
        <w:t>For more detail on PBAC’s view, see section 7 PBAC outcome.</w:t>
      </w:r>
    </w:p>
    <w:p w14:paraId="0CBDFCAB" w14:textId="77777777" w:rsidR="00937EEC" w:rsidRPr="00937EEC" w:rsidRDefault="00937EEC" w:rsidP="00B27893">
      <w:pPr>
        <w:pStyle w:val="2-SectionHeading"/>
      </w:pPr>
      <w:bookmarkStart w:id="18" w:name="_Toc93397664"/>
      <w:r w:rsidRPr="00937EEC">
        <w:t>Consideration of the evidence</w:t>
      </w:r>
      <w:bookmarkEnd w:id="18"/>
    </w:p>
    <w:p w14:paraId="17C58DE8" w14:textId="77777777" w:rsidR="00E74253" w:rsidRPr="006E1229" w:rsidRDefault="00E74253" w:rsidP="00E74253">
      <w:pPr>
        <w:pStyle w:val="4-SubsectionHeading"/>
      </w:pPr>
      <w:bookmarkStart w:id="19" w:name="_Hlk76375935"/>
      <w:bookmarkStart w:id="20" w:name="_Toc93397665"/>
      <w:r w:rsidRPr="006E1229">
        <w:t>Sponsor hearing</w:t>
      </w:r>
    </w:p>
    <w:p w14:paraId="2C37E9F9" w14:textId="2735F3A7" w:rsidR="00E74253" w:rsidRPr="00F91542" w:rsidRDefault="00E74253" w:rsidP="00E74253">
      <w:pPr>
        <w:widowControl w:val="0"/>
        <w:numPr>
          <w:ilvl w:val="1"/>
          <w:numId w:val="1"/>
        </w:numPr>
        <w:spacing w:after="120"/>
        <w:rPr>
          <w:rFonts w:cs="Calibri"/>
          <w:bCs/>
          <w:snapToGrid w:val="0"/>
        </w:rPr>
      </w:pPr>
      <w:r w:rsidRPr="00F91542">
        <w:rPr>
          <w:rFonts w:cs="Calibri"/>
          <w:bCs/>
          <w:snapToGrid w:val="0"/>
        </w:rPr>
        <w:t>There was no hearing for this item.</w:t>
      </w:r>
    </w:p>
    <w:p w14:paraId="7817D2D1" w14:textId="77777777" w:rsidR="00E74253" w:rsidRPr="006E1229" w:rsidRDefault="00E74253" w:rsidP="00E74253">
      <w:pPr>
        <w:pStyle w:val="4-SubsectionHeading"/>
      </w:pPr>
      <w:r w:rsidRPr="006E1229">
        <w:t>Consumer comments</w:t>
      </w:r>
    </w:p>
    <w:bookmarkEnd w:id="19"/>
    <w:p w14:paraId="6C1991F7" w14:textId="68B130A5" w:rsidR="00E74253" w:rsidRPr="00664A54" w:rsidRDefault="00E74253" w:rsidP="00664A54">
      <w:pPr>
        <w:widowControl w:val="0"/>
        <w:numPr>
          <w:ilvl w:val="1"/>
          <w:numId w:val="1"/>
        </w:numPr>
        <w:spacing w:after="120"/>
        <w:rPr>
          <w:rFonts w:asciiTheme="minorHAnsi" w:hAnsiTheme="minorHAnsi"/>
          <w:bCs/>
          <w:snapToGrid w:val="0"/>
        </w:rPr>
      </w:pPr>
      <w:r w:rsidRPr="00664A54">
        <w:rPr>
          <w:rFonts w:asciiTheme="minorHAnsi" w:hAnsiTheme="minorHAnsi"/>
          <w:bCs/>
          <w:snapToGrid w:val="0"/>
        </w:rPr>
        <w:t xml:space="preserve">The Medical Oncology Group of Australia (MOGA) expressed its support for </w:t>
      </w:r>
      <w:proofErr w:type="spellStart"/>
      <w:r w:rsidR="00664A54">
        <w:rPr>
          <w:rFonts w:asciiTheme="minorHAnsi" w:hAnsiTheme="minorHAnsi"/>
          <w:bCs/>
          <w:snapToGrid w:val="0"/>
        </w:rPr>
        <w:t>palbociclib</w:t>
      </w:r>
      <w:proofErr w:type="spellEnd"/>
      <w:r w:rsidR="00664A54">
        <w:rPr>
          <w:rFonts w:asciiTheme="minorHAnsi" w:hAnsiTheme="minorHAnsi"/>
          <w:bCs/>
          <w:snapToGrid w:val="0"/>
        </w:rPr>
        <w:t xml:space="preserve"> for use in combination with </w:t>
      </w:r>
      <w:proofErr w:type="spellStart"/>
      <w:r w:rsidR="00664A54">
        <w:rPr>
          <w:rFonts w:asciiTheme="minorHAnsi" w:hAnsiTheme="minorHAnsi"/>
          <w:bCs/>
          <w:snapToGrid w:val="0"/>
        </w:rPr>
        <w:t>fulvestrant</w:t>
      </w:r>
      <w:proofErr w:type="spellEnd"/>
      <w:r w:rsidRPr="00664A54">
        <w:rPr>
          <w:rFonts w:asciiTheme="minorHAnsi" w:hAnsiTheme="minorHAnsi"/>
          <w:bCs/>
          <w:snapToGrid w:val="0"/>
        </w:rPr>
        <w:t xml:space="preserve">. The PBAC noted that the MOGA presented a European Society for Medical Oncology Magnitude of Clinical Benefit Scale (ESMO-MCBS) for </w:t>
      </w:r>
      <w:proofErr w:type="spellStart"/>
      <w:r w:rsidR="00664A54">
        <w:rPr>
          <w:rFonts w:asciiTheme="minorHAnsi" w:hAnsiTheme="minorHAnsi"/>
          <w:bCs/>
          <w:snapToGrid w:val="0"/>
        </w:rPr>
        <w:t>palbociclib</w:t>
      </w:r>
      <w:proofErr w:type="spellEnd"/>
      <w:r w:rsidRPr="00664A54">
        <w:rPr>
          <w:rFonts w:asciiTheme="minorHAnsi" w:hAnsiTheme="minorHAnsi"/>
          <w:bCs/>
          <w:snapToGrid w:val="0"/>
        </w:rPr>
        <w:t xml:space="preserve">, which was limited to </w:t>
      </w:r>
      <w:r w:rsidR="00664A54">
        <w:rPr>
          <w:rFonts w:asciiTheme="minorHAnsi" w:hAnsiTheme="minorHAnsi"/>
          <w:bCs/>
          <w:snapToGrid w:val="0"/>
        </w:rPr>
        <w:t>4</w:t>
      </w:r>
      <w:r w:rsidRPr="00664A54">
        <w:rPr>
          <w:rFonts w:asciiTheme="minorHAnsi" w:hAnsiTheme="minorHAnsi"/>
          <w:bCs/>
          <w:snapToGrid w:val="0"/>
        </w:rPr>
        <w:t xml:space="preserve"> (out of a maximum of 5, where 5 and 4 represent the grades with substantial improvement)</w:t>
      </w:r>
      <w:r w:rsidR="00664A54">
        <w:rPr>
          <w:rStyle w:val="FootnoteReference"/>
          <w:rFonts w:asciiTheme="minorHAnsi" w:hAnsiTheme="minorHAnsi"/>
          <w:bCs/>
          <w:snapToGrid w:val="0"/>
        </w:rPr>
        <w:footnoteReference w:id="6"/>
      </w:r>
      <w:r w:rsidRPr="00664A54">
        <w:rPr>
          <w:rFonts w:asciiTheme="minorHAnsi" w:hAnsiTheme="minorHAnsi"/>
          <w:bCs/>
          <w:snapToGrid w:val="0"/>
        </w:rPr>
        <w:t xml:space="preserve">, based on a comparison with </w:t>
      </w:r>
      <w:proofErr w:type="spellStart"/>
      <w:r w:rsidR="00664A54">
        <w:rPr>
          <w:rFonts w:asciiTheme="minorHAnsi" w:hAnsiTheme="minorHAnsi"/>
          <w:bCs/>
          <w:snapToGrid w:val="0"/>
        </w:rPr>
        <w:t>fulvestrant</w:t>
      </w:r>
      <w:proofErr w:type="spellEnd"/>
      <w:r w:rsidR="00664A54">
        <w:rPr>
          <w:rFonts w:asciiTheme="minorHAnsi" w:hAnsiTheme="minorHAnsi"/>
          <w:bCs/>
          <w:snapToGrid w:val="0"/>
        </w:rPr>
        <w:t xml:space="preserve"> in the PAL</w:t>
      </w:r>
      <w:r w:rsidR="00705DCA">
        <w:rPr>
          <w:rFonts w:asciiTheme="minorHAnsi" w:hAnsiTheme="minorHAnsi"/>
          <w:bCs/>
          <w:snapToGrid w:val="0"/>
        </w:rPr>
        <w:t>O</w:t>
      </w:r>
      <w:r w:rsidR="00664A54">
        <w:rPr>
          <w:rFonts w:asciiTheme="minorHAnsi" w:hAnsiTheme="minorHAnsi"/>
          <w:bCs/>
          <w:snapToGrid w:val="0"/>
        </w:rPr>
        <w:t>MA-3 trial</w:t>
      </w:r>
      <w:r w:rsidRPr="00664A54">
        <w:rPr>
          <w:rFonts w:asciiTheme="minorHAnsi" w:hAnsiTheme="minorHAnsi"/>
          <w:bCs/>
          <w:snapToGrid w:val="0"/>
        </w:rPr>
        <w:t xml:space="preserve">. </w:t>
      </w:r>
    </w:p>
    <w:p w14:paraId="6F92DB06" w14:textId="3FBC5443" w:rsidR="00937EEC" w:rsidRPr="00937EEC" w:rsidRDefault="00937EEC" w:rsidP="00B27893">
      <w:pPr>
        <w:pStyle w:val="4-SubsectionHeading"/>
      </w:pPr>
      <w:r w:rsidRPr="00937EEC">
        <w:t>Clinical trials</w:t>
      </w:r>
      <w:bookmarkEnd w:id="1"/>
      <w:bookmarkEnd w:id="20"/>
    </w:p>
    <w:p w14:paraId="6FE96A24" w14:textId="183CAC6D" w:rsidR="00937EEC" w:rsidRPr="00937EEC" w:rsidRDefault="00937EEC" w:rsidP="00DE4EDC">
      <w:pPr>
        <w:pStyle w:val="3-BodyText"/>
        <w:rPr>
          <w:color w:val="0066FF"/>
        </w:rPr>
      </w:pPr>
      <w:bookmarkStart w:id="21" w:name="_Hlk87947469"/>
      <w:r w:rsidRPr="00937EEC">
        <w:rPr>
          <w:lang w:val="en-US"/>
        </w:rPr>
        <w:t xml:space="preserve">No direct </w:t>
      </w:r>
      <w:proofErr w:type="spellStart"/>
      <w:r w:rsidRPr="00937EEC">
        <w:rPr>
          <w:lang w:val="en-US"/>
        </w:rPr>
        <w:t>randomised</w:t>
      </w:r>
      <w:proofErr w:type="spellEnd"/>
      <w:r w:rsidRPr="00937EEC">
        <w:rPr>
          <w:lang w:val="en-US"/>
        </w:rPr>
        <w:t xml:space="preserve"> trials were available to inform the comparison of </w:t>
      </w:r>
      <w:proofErr w:type="spellStart"/>
      <w:r w:rsidRPr="00937EEC">
        <w:rPr>
          <w:lang w:val="en-US"/>
        </w:rPr>
        <w:t>palbociclib</w:t>
      </w:r>
      <w:proofErr w:type="spellEnd"/>
      <w:r w:rsidRPr="00937EEC">
        <w:rPr>
          <w:lang w:val="en-US"/>
        </w:rPr>
        <w:t xml:space="preserve"> plus </w:t>
      </w:r>
      <w:proofErr w:type="spellStart"/>
      <w:r w:rsidRPr="00937EEC">
        <w:rPr>
          <w:lang w:val="en-US"/>
        </w:rPr>
        <w:t>fulvestrant</w:t>
      </w:r>
      <w:proofErr w:type="spellEnd"/>
      <w:r w:rsidRPr="00937EEC">
        <w:rPr>
          <w:lang w:val="en-US"/>
        </w:rPr>
        <w:t xml:space="preserve"> versus </w:t>
      </w:r>
      <w:proofErr w:type="spellStart"/>
      <w:r w:rsidRPr="00937EEC">
        <w:rPr>
          <w:lang w:val="en-US"/>
        </w:rPr>
        <w:t>ribociclib</w:t>
      </w:r>
      <w:proofErr w:type="spellEnd"/>
      <w:r w:rsidRPr="00937EEC">
        <w:rPr>
          <w:lang w:val="en-US"/>
        </w:rPr>
        <w:t xml:space="preserve"> plus </w:t>
      </w:r>
      <w:proofErr w:type="spellStart"/>
      <w:r w:rsidRPr="00937EEC">
        <w:rPr>
          <w:lang w:val="en-US"/>
        </w:rPr>
        <w:t>fulvestrant</w:t>
      </w:r>
      <w:proofErr w:type="spellEnd"/>
      <w:r w:rsidRPr="00937EEC">
        <w:rPr>
          <w:lang w:val="en-US"/>
        </w:rPr>
        <w:t xml:space="preserve"> or </w:t>
      </w:r>
      <w:proofErr w:type="spellStart"/>
      <w:r w:rsidRPr="00937EEC">
        <w:rPr>
          <w:lang w:val="en-US"/>
        </w:rPr>
        <w:t>abemaciclib</w:t>
      </w:r>
      <w:proofErr w:type="spellEnd"/>
      <w:r w:rsidRPr="00937EEC">
        <w:rPr>
          <w:lang w:val="en-US"/>
        </w:rPr>
        <w:t xml:space="preserve"> plus </w:t>
      </w:r>
      <w:proofErr w:type="spellStart"/>
      <w:r w:rsidRPr="00937EEC">
        <w:rPr>
          <w:lang w:val="en-US"/>
        </w:rPr>
        <w:t>fulvestrant</w:t>
      </w:r>
      <w:proofErr w:type="spellEnd"/>
      <w:r w:rsidRPr="00937EEC">
        <w:rPr>
          <w:lang w:val="en-US"/>
        </w:rPr>
        <w:t xml:space="preserve">. </w:t>
      </w:r>
      <w:r w:rsidRPr="00937EEC">
        <w:rPr>
          <w:lang w:val="en-US"/>
        </w:rPr>
        <w:lastRenderedPageBreak/>
        <w:t xml:space="preserve">Instead, the comparative clinical effectiveness and safety data were based on anchored indirect comparisons. </w:t>
      </w:r>
    </w:p>
    <w:p w14:paraId="6899D5BF" w14:textId="77777777" w:rsidR="00937EEC" w:rsidRPr="00937EEC" w:rsidRDefault="00937EEC" w:rsidP="00DE4EDC">
      <w:pPr>
        <w:pStyle w:val="3-BodyText"/>
        <w:rPr>
          <w:lang w:val="en-US"/>
        </w:rPr>
      </w:pPr>
      <w:bookmarkStart w:id="22" w:name="_Hlk89868864"/>
      <w:r w:rsidRPr="00937EEC">
        <w:rPr>
          <w:lang w:val="en-US"/>
        </w:rPr>
        <w:t xml:space="preserve">The submission was based on the following trial of </w:t>
      </w:r>
      <w:proofErr w:type="spellStart"/>
      <w:r w:rsidRPr="00937EEC">
        <w:rPr>
          <w:lang w:val="en-US"/>
        </w:rPr>
        <w:t>palbociclib</w:t>
      </w:r>
      <w:proofErr w:type="spellEnd"/>
      <w:r w:rsidRPr="00937EEC">
        <w:rPr>
          <w:lang w:val="en-US"/>
        </w:rPr>
        <w:t>:</w:t>
      </w:r>
    </w:p>
    <w:p w14:paraId="70A9E52A" w14:textId="2B267BF1" w:rsidR="00937EEC" w:rsidRPr="00081A39" w:rsidRDefault="00E86B45" w:rsidP="0089270C">
      <w:pPr>
        <w:numPr>
          <w:ilvl w:val="1"/>
          <w:numId w:val="7"/>
        </w:numPr>
        <w:spacing w:after="120"/>
        <w:ind w:left="1077" w:hanging="357"/>
        <w:rPr>
          <w:rFonts w:asciiTheme="minorHAnsi" w:hAnsiTheme="minorHAnsi"/>
          <w:color w:val="000000" w:themeColor="text1"/>
          <w:lang w:val="en-US"/>
        </w:rPr>
      </w:pPr>
      <w:r>
        <w:rPr>
          <w:rFonts w:asciiTheme="minorHAnsi" w:hAnsiTheme="minorHAnsi"/>
          <w:color w:val="000000" w:themeColor="text1"/>
          <w:lang w:val="en-US"/>
        </w:rPr>
        <w:t>PALO</w:t>
      </w:r>
      <w:r w:rsidR="006C30A6">
        <w:rPr>
          <w:rFonts w:asciiTheme="minorHAnsi" w:hAnsiTheme="minorHAnsi"/>
          <w:color w:val="000000" w:themeColor="text1"/>
          <w:lang w:val="en-US"/>
        </w:rPr>
        <w:t>M</w:t>
      </w:r>
      <w:r>
        <w:rPr>
          <w:rFonts w:asciiTheme="minorHAnsi" w:hAnsiTheme="minorHAnsi"/>
          <w:color w:val="000000" w:themeColor="text1"/>
          <w:lang w:val="en-US"/>
        </w:rPr>
        <w:t>A-3 (N=521): a</w:t>
      </w:r>
      <w:r w:rsidR="00937EEC" w:rsidRPr="00937EEC">
        <w:rPr>
          <w:rFonts w:asciiTheme="minorHAnsi" w:hAnsiTheme="minorHAnsi"/>
          <w:color w:val="000000" w:themeColor="text1"/>
          <w:lang w:val="en-US"/>
        </w:rPr>
        <w:t xml:space="preserve"> </w:t>
      </w:r>
      <w:proofErr w:type="spellStart"/>
      <w:r w:rsidR="00937EEC" w:rsidRPr="00937EEC">
        <w:rPr>
          <w:rFonts w:asciiTheme="minorHAnsi" w:hAnsiTheme="minorHAnsi"/>
          <w:color w:val="000000" w:themeColor="text1"/>
          <w:lang w:val="en-US"/>
        </w:rPr>
        <w:t>randomised</w:t>
      </w:r>
      <w:proofErr w:type="spellEnd"/>
      <w:r w:rsidR="00937EEC" w:rsidRPr="00937EEC">
        <w:rPr>
          <w:rFonts w:asciiTheme="minorHAnsi" w:hAnsiTheme="minorHAnsi"/>
          <w:color w:val="000000" w:themeColor="text1"/>
          <w:lang w:val="en-US"/>
        </w:rPr>
        <w:t xml:space="preserve"> controlled trial </w:t>
      </w:r>
      <w:r>
        <w:rPr>
          <w:rFonts w:asciiTheme="minorHAnsi" w:hAnsiTheme="minorHAnsi"/>
          <w:color w:val="000000" w:themeColor="text1"/>
          <w:lang w:val="en-US"/>
        </w:rPr>
        <w:t xml:space="preserve">(RCT) </w:t>
      </w:r>
      <w:r w:rsidR="00937EEC" w:rsidRPr="00937EEC">
        <w:rPr>
          <w:rFonts w:asciiTheme="minorHAnsi" w:hAnsiTheme="minorHAnsi"/>
          <w:color w:val="000000" w:themeColor="text1"/>
          <w:lang w:val="en-US"/>
        </w:rPr>
        <w:t xml:space="preserve">comparing </w:t>
      </w:r>
      <w:proofErr w:type="spellStart"/>
      <w:r w:rsidR="00937EEC" w:rsidRPr="00937EEC">
        <w:rPr>
          <w:rFonts w:asciiTheme="minorHAnsi" w:hAnsiTheme="minorHAnsi"/>
          <w:color w:val="000000" w:themeColor="text1"/>
          <w:lang w:val="en-US"/>
        </w:rPr>
        <w:t>palbociclib</w:t>
      </w:r>
      <w:proofErr w:type="spellEnd"/>
      <w:r w:rsidR="00937EEC" w:rsidRPr="00937EEC">
        <w:rPr>
          <w:rFonts w:asciiTheme="minorHAnsi" w:hAnsiTheme="minorHAnsi"/>
          <w:color w:val="000000" w:themeColor="text1"/>
          <w:lang w:val="en-US"/>
        </w:rPr>
        <w:t xml:space="preserve"> plus </w:t>
      </w:r>
      <w:proofErr w:type="spellStart"/>
      <w:r w:rsidR="00937EEC" w:rsidRPr="00937EEC">
        <w:rPr>
          <w:rFonts w:asciiTheme="minorHAnsi" w:hAnsiTheme="minorHAnsi"/>
          <w:color w:val="000000" w:themeColor="text1"/>
          <w:lang w:val="en-US"/>
        </w:rPr>
        <w:t>fulvestrant</w:t>
      </w:r>
      <w:proofErr w:type="spellEnd"/>
      <w:r w:rsidR="00937EEC" w:rsidRPr="00937EEC">
        <w:rPr>
          <w:rFonts w:asciiTheme="minorHAnsi" w:hAnsiTheme="minorHAnsi"/>
          <w:color w:val="000000" w:themeColor="text1"/>
          <w:lang w:val="en-US"/>
        </w:rPr>
        <w:t xml:space="preserve"> </w:t>
      </w:r>
      <w:r w:rsidR="00BC7689">
        <w:rPr>
          <w:rFonts w:asciiTheme="minorHAnsi" w:hAnsiTheme="minorHAnsi"/>
          <w:color w:val="000000" w:themeColor="text1"/>
          <w:lang w:val="en-US"/>
        </w:rPr>
        <w:t xml:space="preserve">to </w:t>
      </w:r>
      <w:r w:rsidR="00937EEC" w:rsidRPr="00937EEC">
        <w:rPr>
          <w:rFonts w:asciiTheme="minorHAnsi" w:hAnsiTheme="minorHAnsi"/>
          <w:color w:val="000000" w:themeColor="text1"/>
          <w:lang w:val="en-US"/>
        </w:rPr>
        <w:t xml:space="preserve">placebo plus </w:t>
      </w:r>
      <w:proofErr w:type="spellStart"/>
      <w:r w:rsidR="00937EEC" w:rsidRPr="00937EEC">
        <w:rPr>
          <w:rFonts w:asciiTheme="minorHAnsi" w:hAnsiTheme="minorHAnsi"/>
          <w:color w:val="000000" w:themeColor="text1"/>
          <w:lang w:val="en-US"/>
        </w:rPr>
        <w:t>fulvestrant</w:t>
      </w:r>
      <w:proofErr w:type="spellEnd"/>
      <w:r w:rsidR="00937EEC" w:rsidRPr="00937EEC">
        <w:rPr>
          <w:rFonts w:asciiTheme="minorHAnsi" w:hAnsiTheme="minorHAnsi"/>
          <w:color w:val="000000" w:themeColor="text1"/>
          <w:lang w:val="en-US"/>
        </w:rPr>
        <w:t xml:space="preserve"> in women (any menopausal status) with HR+, HER2- advanced breast cancer whose disease relapsed or progressed during/after prior endocrine </w:t>
      </w:r>
      <w:r w:rsidR="00937EEC" w:rsidRPr="00081A39">
        <w:rPr>
          <w:rFonts w:asciiTheme="minorHAnsi" w:hAnsiTheme="minorHAnsi"/>
          <w:color w:val="000000" w:themeColor="text1"/>
          <w:lang w:val="en-US"/>
        </w:rPr>
        <w:t>therapy (expected completion in May 2022</w:t>
      </w:r>
      <w:r w:rsidR="00540D85" w:rsidRPr="00081A39">
        <w:rPr>
          <w:rFonts w:asciiTheme="minorHAnsi" w:hAnsiTheme="minorHAnsi"/>
          <w:color w:val="000000" w:themeColor="text1"/>
          <w:lang w:val="en-US"/>
        </w:rPr>
        <w:t>)</w:t>
      </w:r>
      <w:r w:rsidRPr="00081A39">
        <w:rPr>
          <w:rFonts w:asciiTheme="minorHAnsi" w:hAnsiTheme="minorHAnsi"/>
          <w:color w:val="000000" w:themeColor="text1"/>
          <w:lang w:val="en-US"/>
        </w:rPr>
        <w:t>.</w:t>
      </w:r>
    </w:p>
    <w:p w14:paraId="40C961DC" w14:textId="77777777" w:rsidR="00937EEC" w:rsidRPr="00081A39" w:rsidRDefault="00937EEC" w:rsidP="00DE4EDC">
      <w:pPr>
        <w:pStyle w:val="3-BodyText"/>
        <w:rPr>
          <w:lang w:val="en-US"/>
        </w:rPr>
      </w:pPr>
      <w:r w:rsidRPr="00081A39">
        <w:rPr>
          <w:lang w:val="en-US"/>
        </w:rPr>
        <w:t>The submission also presented the following trials involving other CDK4/6 inhibitors:</w:t>
      </w:r>
    </w:p>
    <w:p w14:paraId="08BC1A74" w14:textId="12DD66E0" w:rsidR="00937EEC" w:rsidRPr="00081A39" w:rsidRDefault="00E86B45" w:rsidP="0089270C">
      <w:pPr>
        <w:numPr>
          <w:ilvl w:val="1"/>
          <w:numId w:val="7"/>
        </w:numPr>
        <w:spacing w:after="120"/>
        <w:ind w:left="1077" w:hanging="357"/>
        <w:rPr>
          <w:rFonts w:asciiTheme="minorHAnsi" w:hAnsiTheme="minorHAnsi"/>
          <w:color w:val="000000" w:themeColor="text1"/>
          <w:lang w:val="en-US"/>
        </w:rPr>
      </w:pPr>
      <w:r w:rsidRPr="00081A39">
        <w:rPr>
          <w:rFonts w:asciiTheme="minorHAnsi" w:hAnsiTheme="minorHAnsi"/>
          <w:color w:val="000000" w:themeColor="text1"/>
          <w:lang w:val="en-US"/>
        </w:rPr>
        <w:t>MONALEESA-3 (N=726): a</w:t>
      </w:r>
      <w:r w:rsidR="00937EEC" w:rsidRPr="00081A39">
        <w:rPr>
          <w:rFonts w:asciiTheme="minorHAnsi" w:hAnsiTheme="minorHAnsi"/>
          <w:color w:val="000000" w:themeColor="text1"/>
          <w:lang w:val="en-US"/>
        </w:rPr>
        <w:t xml:space="preserve"> </w:t>
      </w:r>
      <w:r w:rsidRPr="00081A39">
        <w:rPr>
          <w:rFonts w:asciiTheme="minorHAnsi" w:hAnsiTheme="minorHAnsi"/>
          <w:color w:val="000000" w:themeColor="text1"/>
          <w:lang w:val="en-US"/>
        </w:rPr>
        <w:t>RCT</w:t>
      </w:r>
      <w:r w:rsidR="00937EEC" w:rsidRPr="00081A39">
        <w:rPr>
          <w:rFonts w:asciiTheme="minorHAnsi" w:hAnsiTheme="minorHAnsi"/>
          <w:color w:val="000000" w:themeColor="text1"/>
          <w:lang w:val="en-US"/>
        </w:rPr>
        <w:t xml:space="preserve"> comparing </w:t>
      </w:r>
      <w:proofErr w:type="spellStart"/>
      <w:r w:rsidR="00937EEC" w:rsidRPr="00081A39">
        <w:rPr>
          <w:rFonts w:asciiTheme="minorHAnsi" w:hAnsiTheme="minorHAnsi"/>
          <w:color w:val="000000" w:themeColor="text1"/>
          <w:lang w:val="en-US"/>
        </w:rPr>
        <w:t>ribociclib</w:t>
      </w:r>
      <w:proofErr w:type="spellEnd"/>
      <w:r w:rsidR="00937EEC" w:rsidRPr="00081A39">
        <w:rPr>
          <w:rFonts w:asciiTheme="minorHAnsi" w:hAnsiTheme="minorHAnsi"/>
          <w:color w:val="000000" w:themeColor="text1"/>
          <w:lang w:val="en-US"/>
        </w:rPr>
        <w:t xml:space="preserve"> plus </w:t>
      </w:r>
      <w:proofErr w:type="spellStart"/>
      <w:r w:rsidR="00937EEC" w:rsidRPr="00081A39">
        <w:rPr>
          <w:rFonts w:asciiTheme="minorHAnsi" w:hAnsiTheme="minorHAnsi"/>
          <w:color w:val="000000" w:themeColor="text1"/>
          <w:lang w:val="en-US"/>
        </w:rPr>
        <w:t>fulvestrant</w:t>
      </w:r>
      <w:proofErr w:type="spellEnd"/>
      <w:r w:rsidR="00937EEC" w:rsidRPr="00081A39">
        <w:rPr>
          <w:rFonts w:asciiTheme="minorHAnsi" w:hAnsiTheme="minorHAnsi"/>
          <w:color w:val="000000" w:themeColor="text1"/>
          <w:lang w:val="en-US"/>
        </w:rPr>
        <w:t xml:space="preserve"> </w:t>
      </w:r>
      <w:r w:rsidR="00BC7689" w:rsidRPr="00081A39">
        <w:rPr>
          <w:rFonts w:asciiTheme="minorHAnsi" w:hAnsiTheme="minorHAnsi"/>
          <w:color w:val="000000" w:themeColor="text1"/>
          <w:lang w:val="en-US"/>
        </w:rPr>
        <w:t>to</w:t>
      </w:r>
      <w:r w:rsidR="00937EEC" w:rsidRPr="00081A39">
        <w:rPr>
          <w:rFonts w:asciiTheme="minorHAnsi" w:hAnsiTheme="minorHAnsi"/>
          <w:color w:val="000000" w:themeColor="text1"/>
          <w:lang w:val="en-US"/>
        </w:rPr>
        <w:t xml:space="preserve"> placebo plus </w:t>
      </w:r>
      <w:proofErr w:type="spellStart"/>
      <w:r w:rsidR="00937EEC" w:rsidRPr="00081A39">
        <w:rPr>
          <w:rFonts w:asciiTheme="minorHAnsi" w:hAnsiTheme="minorHAnsi"/>
          <w:color w:val="000000" w:themeColor="text1"/>
          <w:lang w:val="en-US"/>
        </w:rPr>
        <w:t>fulvestrant</w:t>
      </w:r>
      <w:proofErr w:type="spellEnd"/>
      <w:r w:rsidR="00937EEC" w:rsidRPr="00081A39">
        <w:rPr>
          <w:rFonts w:asciiTheme="minorHAnsi" w:hAnsiTheme="minorHAnsi"/>
          <w:color w:val="000000" w:themeColor="text1"/>
          <w:lang w:val="en-US"/>
        </w:rPr>
        <w:t xml:space="preserve"> in postmenopausal women with HR+/HER2- advanced breast cancer (expected completion in September 2022)</w:t>
      </w:r>
      <w:r w:rsidRPr="00081A39">
        <w:rPr>
          <w:rFonts w:asciiTheme="minorHAnsi" w:hAnsiTheme="minorHAnsi"/>
          <w:color w:val="000000" w:themeColor="text1"/>
          <w:lang w:val="en-US"/>
        </w:rPr>
        <w:t>.</w:t>
      </w:r>
      <w:r w:rsidR="00937EEC" w:rsidRPr="00081A39">
        <w:rPr>
          <w:rFonts w:asciiTheme="minorHAnsi" w:hAnsiTheme="minorHAnsi"/>
          <w:color w:val="000000" w:themeColor="text1"/>
          <w:lang w:val="en-US"/>
        </w:rPr>
        <w:t xml:space="preserve"> The PBAC previously considered the MONALEESA-3 trial during its evaluation of </w:t>
      </w:r>
      <w:proofErr w:type="spellStart"/>
      <w:r w:rsidR="00937EEC" w:rsidRPr="00081A39">
        <w:rPr>
          <w:rFonts w:asciiTheme="minorHAnsi" w:hAnsiTheme="minorHAnsi"/>
          <w:color w:val="000000" w:themeColor="text1"/>
          <w:lang w:val="en-US"/>
        </w:rPr>
        <w:t>ribociclib</w:t>
      </w:r>
      <w:proofErr w:type="spellEnd"/>
      <w:r w:rsidR="00937EEC" w:rsidRPr="00081A39">
        <w:rPr>
          <w:rFonts w:asciiTheme="minorHAnsi" w:hAnsiTheme="minorHAnsi"/>
          <w:color w:val="000000" w:themeColor="text1"/>
          <w:lang w:val="en-US"/>
        </w:rPr>
        <w:t xml:space="preserve"> at its July 2020 Meeting and </w:t>
      </w:r>
      <w:proofErr w:type="spellStart"/>
      <w:r w:rsidR="00937EEC" w:rsidRPr="00081A39">
        <w:rPr>
          <w:rFonts w:asciiTheme="minorHAnsi" w:hAnsiTheme="minorHAnsi"/>
          <w:color w:val="000000" w:themeColor="text1"/>
          <w:lang w:val="en-US"/>
        </w:rPr>
        <w:t>abemaciclib</w:t>
      </w:r>
      <w:proofErr w:type="spellEnd"/>
      <w:r w:rsidR="00937EEC" w:rsidRPr="00081A39">
        <w:rPr>
          <w:rFonts w:asciiTheme="minorHAnsi" w:hAnsiTheme="minorHAnsi"/>
          <w:color w:val="000000" w:themeColor="text1"/>
          <w:lang w:val="en-US"/>
        </w:rPr>
        <w:t xml:space="preserve"> at its March 2021 Meeting. The PBAC has not seen the most recent exploratory survival data for the MONALEESA-3 trial (longer follow-up of median 56.3 months,</w:t>
      </w:r>
      <w:r w:rsidR="00BC7689" w:rsidRPr="00081A39">
        <w:rPr>
          <w:rFonts w:asciiTheme="minorHAnsi" w:hAnsiTheme="minorHAnsi"/>
          <w:color w:val="000000" w:themeColor="text1"/>
          <w:lang w:val="en-US"/>
        </w:rPr>
        <w:t xml:space="preserve"> see</w:t>
      </w:r>
      <w:r w:rsidR="00937EEC" w:rsidRPr="00081A39">
        <w:rPr>
          <w:rFonts w:asciiTheme="minorHAnsi" w:hAnsiTheme="minorHAnsi"/>
          <w:color w:val="000000" w:themeColor="text1"/>
          <w:lang w:val="en-US"/>
        </w:rPr>
        <w:t xml:space="preserve"> </w:t>
      </w:r>
      <w:r w:rsidR="00937EEC" w:rsidRPr="00081A39">
        <w:rPr>
          <w:rFonts w:asciiTheme="minorHAnsi" w:hAnsiTheme="minorHAnsi"/>
          <w:color w:val="000000" w:themeColor="text1"/>
          <w:lang w:val="en-US"/>
        </w:rPr>
        <w:fldChar w:fldCharType="begin"/>
      </w:r>
      <w:r w:rsidR="00937EEC" w:rsidRPr="00081A39">
        <w:rPr>
          <w:rFonts w:asciiTheme="minorHAnsi" w:hAnsiTheme="minorHAnsi"/>
          <w:color w:val="000000" w:themeColor="text1"/>
          <w:lang w:val="en-US"/>
        </w:rPr>
        <w:instrText xml:space="preserve"> REF _Ref89949415 \h  \* MERGEFORMAT </w:instrText>
      </w:r>
      <w:r w:rsidR="00937EEC" w:rsidRPr="00081A39">
        <w:rPr>
          <w:rFonts w:asciiTheme="minorHAnsi" w:hAnsiTheme="minorHAnsi"/>
          <w:color w:val="000000" w:themeColor="text1"/>
          <w:lang w:val="en-US"/>
        </w:rPr>
        <w:fldChar w:fldCharType="separate"/>
      </w:r>
      <w:r w:rsidR="009728EB">
        <w:rPr>
          <w:rFonts w:asciiTheme="minorHAnsi" w:hAnsiTheme="minorHAnsi"/>
          <w:b/>
          <w:bCs/>
          <w:color w:val="000000" w:themeColor="text1"/>
          <w:lang w:val="en-US"/>
        </w:rPr>
        <w:t>Error! Reference source not found.</w:t>
      </w:r>
      <w:r w:rsidR="00937EEC" w:rsidRPr="00081A39">
        <w:rPr>
          <w:rFonts w:asciiTheme="minorHAnsi" w:hAnsiTheme="minorHAnsi"/>
          <w:color w:val="000000" w:themeColor="text1"/>
          <w:lang w:val="en-US"/>
        </w:rPr>
        <w:fldChar w:fldCharType="end"/>
      </w:r>
      <w:r w:rsidR="00937EEC" w:rsidRPr="00081A39">
        <w:rPr>
          <w:rFonts w:asciiTheme="minorHAnsi" w:hAnsiTheme="minorHAnsi"/>
          <w:color w:val="000000" w:themeColor="text1"/>
          <w:lang w:val="en-US"/>
        </w:rPr>
        <w:t xml:space="preserve"> and </w:t>
      </w:r>
      <w:r w:rsidR="00937EEC" w:rsidRPr="00081A39">
        <w:rPr>
          <w:rFonts w:asciiTheme="minorHAnsi" w:hAnsiTheme="minorHAnsi"/>
          <w:color w:val="000000" w:themeColor="text1"/>
          <w:lang w:val="en-US"/>
        </w:rPr>
        <w:fldChar w:fldCharType="begin"/>
      </w:r>
      <w:r w:rsidR="00937EEC" w:rsidRPr="00081A39">
        <w:rPr>
          <w:rFonts w:asciiTheme="minorHAnsi" w:hAnsiTheme="minorHAnsi"/>
          <w:color w:val="000000" w:themeColor="text1"/>
          <w:lang w:val="en-US"/>
        </w:rPr>
        <w:instrText xml:space="preserve"> REF _Ref89949616 \h  \* MERGEFORMAT </w:instrText>
      </w:r>
      <w:r w:rsidR="00937EEC" w:rsidRPr="00081A39">
        <w:rPr>
          <w:rFonts w:asciiTheme="minorHAnsi" w:hAnsiTheme="minorHAnsi"/>
          <w:color w:val="000000" w:themeColor="text1"/>
          <w:lang w:val="en-US"/>
        </w:rPr>
        <w:fldChar w:fldCharType="separate"/>
      </w:r>
      <w:r w:rsidR="009728EB">
        <w:rPr>
          <w:rFonts w:asciiTheme="minorHAnsi" w:hAnsiTheme="minorHAnsi"/>
          <w:b/>
          <w:bCs/>
          <w:color w:val="000000" w:themeColor="text1"/>
          <w:lang w:val="en-US"/>
        </w:rPr>
        <w:t>Error! Reference source not found.</w:t>
      </w:r>
      <w:r w:rsidR="00937EEC" w:rsidRPr="00081A39">
        <w:rPr>
          <w:rFonts w:asciiTheme="minorHAnsi" w:hAnsiTheme="minorHAnsi"/>
          <w:color w:val="000000" w:themeColor="text1"/>
          <w:lang w:val="en-US"/>
        </w:rPr>
        <w:fldChar w:fldCharType="end"/>
      </w:r>
      <w:r w:rsidR="00937EEC" w:rsidRPr="00081A39">
        <w:rPr>
          <w:rFonts w:asciiTheme="minorHAnsi" w:hAnsiTheme="minorHAnsi"/>
          <w:color w:val="000000" w:themeColor="text1"/>
          <w:lang w:val="en-US"/>
        </w:rPr>
        <w:t>).</w:t>
      </w:r>
    </w:p>
    <w:p w14:paraId="334F8C57" w14:textId="251B576E" w:rsidR="00937EEC" w:rsidRPr="00081A39" w:rsidRDefault="00E86B45" w:rsidP="0089270C">
      <w:pPr>
        <w:numPr>
          <w:ilvl w:val="1"/>
          <w:numId w:val="7"/>
        </w:numPr>
        <w:spacing w:after="120"/>
        <w:ind w:left="1077" w:hanging="357"/>
        <w:rPr>
          <w:rFonts w:asciiTheme="minorHAnsi" w:hAnsiTheme="minorHAnsi"/>
          <w:color w:val="000000" w:themeColor="text1"/>
          <w:lang w:val="en-US"/>
        </w:rPr>
      </w:pPr>
      <w:r w:rsidRPr="00081A39">
        <w:rPr>
          <w:rFonts w:asciiTheme="minorHAnsi" w:hAnsiTheme="minorHAnsi"/>
          <w:color w:val="000000" w:themeColor="text1"/>
          <w:lang w:val="en-US"/>
        </w:rPr>
        <w:t>MONARCH 2 (N=669): a RCT</w:t>
      </w:r>
      <w:r w:rsidR="00937EEC" w:rsidRPr="00081A39">
        <w:rPr>
          <w:rFonts w:asciiTheme="minorHAnsi" w:hAnsiTheme="minorHAnsi"/>
          <w:color w:val="000000" w:themeColor="text1"/>
          <w:lang w:val="en-US"/>
        </w:rPr>
        <w:t xml:space="preserve"> comparing </w:t>
      </w:r>
      <w:proofErr w:type="spellStart"/>
      <w:r w:rsidR="00937EEC" w:rsidRPr="00081A39">
        <w:rPr>
          <w:rFonts w:asciiTheme="minorHAnsi" w:hAnsiTheme="minorHAnsi"/>
          <w:color w:val="000000" w:themeColor="text1"/>
          <w:lang w:val="en-US"/>
        </w:rPr>
        <w:t>abemaciclib</w:t>
      </w:r>
      <w:proofErr w:type="spellEnd"/>
      <w:r w:rsidR="00937EEC" w:rsidRPr="00081A39">
        <w:rPr>
          <w:rFonts w:asciiTheme="minorHAnsi" w:hAnsiTheme="minorHAnsi"/>
          <w:color w:val="000000" w:themeColor="text1"/>
          <w:lang w:val="en-US"/>
        </w:rPr>
        <w:t xml:space="preserve"> plus </w:t>
      </w:r>
      <w:proofErr w:type="spellStart"/>
      <w:r w:rsidR="00937EEC" w:rsidRPr="00081A39">
        <w:rPr>
          <w:rFonts w:asciiTheme="minorHAnsi" w:hAnsiTheme="minorHAnsi"/>
          <w:color w:val="000000" w:themeColor="text1"/>
          <w:lang w:val="en-US"/>
        </w:rPr>
        <w:t>fulvestrant</w:t>
      </w:r>
      <w:proofErr w:type="spellEnd"/>
      <w:r w:rsidR="00937EEC" w:rsidRPr="00081A39">
        <w:rPr>
          <w:rFonts w:asciiTheme="minorHAnsi" w:hAnsiTheme="minorHAnsi"/>
          <w:color w:val="000000" w:themeColor="text1"/>
          <w:lang w:val="en-US"/>
        </w:rPr>
        <w:t xml:space="preserve"> </w:t>
      </w:r>
      <w:r w:rsidR="00BC7689" w:rsidRPr="00081A39">
        <w:rPr>
          <w:rFonts w:asciiTheme="minorHAnsi" w:hAnsiTheme="minorHAnsi"/>
          <w:color w:val="000000" w:themeColor="text1"/>
          <w:lang w:val="en-US"/>
        </w:rPr>
        <w:t>to</w:t>
      </w:r>
      <w:r w:rsidR="00937EEC" w:rsidRPr="00081A39">
        <w:rPr>
          <w:rFonts w:asciiTheme="minorHAnsi" w:hAnsiTheme="minorHAnsi"/>
          <w:color w:val="000000" w:themeColor="text1"/>
          <w:lang w:val="en-US"/>
        </w:rPr>
        <w:t xml:space="preserve"> placebo plus </w:t>
      </w:r>
      <w:proofErr w:type="spellStart"/>
      <w:r w:rsidR="00937EEC" w:rsidRPr="00081A39">
        <w:rPr>
          <w:rFonts w:asciiTheme="minorHAnsi" w:hAnsiTheme="minorHAnsi"/>
          <w:color w:val="000000" w:themeColor="text1"/>
          <w:lang w:val="en-US"/>
        </w:rPr>
        <w:t>fulvestrant</w:t>
      </w:r>
      <w:proofErr w:type="spellEnd"/>
      <w:r w:rsidR="00937EEC" w:rsidRPr="00081A39">
        <w:rPr>
          <w:rFonts w:asciiTheme="minorHAnsi" w:hAnsiTheme="minorHAnsi"/>
          <w:color w:val="000000" w:themeColor="text1"/>
          <w:lang w:val="en-US"/>
        </w:rPr>
        <w:t xml:space="preserve"> in patients with premenopausal or perimenopausal women (with ovarian suppression) and postmenopausal women with HR+, HER2- advanced breast cancer that progressed during endocrine therapy (expected completion in January 2024). The PBAC previously evaluated the MONARCH 2 trial during its consideration of </w:t>
      </w:r>
      <w:proofErr w:type="spellStart"/>
      <w:r w:rsidR="00937EEC" w:rsidRPr="00081A39">
        <w:rPr>
          <w:rFonts w:asciiTheme="minorHAnsi" w:hAnsiTheme="minorHAnsi"/>
          <w:color w:val="000000" w:themeColor="text1"/>
          <w:lang w:val="en-US"/>
        </w:rPr>
        <w:t>abemaciclib</w:t>
      </w:r>
      <w:proofErr w:type="spellEnd"/>
      <w:r w:rsidR="00937EEC" w:rsidRPr="00081A39">
        <w:rPr>
          <w:rFonts w:asciiTheme="minorHAnsi" w:hAnsiTheme="minorHAnsi"/>
          <w:color w:val="000000" w:themeColor="text1"/>
          <w:lang w:val="en-US"/>
        </w:rPr>
        <w:t xml:space="preserve"> at its March 2021 Meeting.</w:t>
      </w:r>
    </w:p>
    <w:p w14:paraId="0DC7A1ED" w14:textId="43F5B117" w:rsidR="00937EEC" w:rsidRPr="00081A39" w:rsidRDefault="00937EEC" w:rsidP="00DE4EDC">
      <w:pPr>
        <w:pStyle w:val="3-BodyText"/>
        <w:rPr>
          <w:lang w:val="en-US"/>
        </w:rPr>
      </w:pPr>
      <w:r w:rsidRPr="00081A39">
        <w:rPr>
          <w:lang w:val="en-US"/>
        </w:rPr>
        <w:t xml:space="preserve">The submission presented two indirect comparisons </w:t>
      </w:r>
      <w:r w:rsidR="00DB3EC9" w:rsidRPr="00081A39">
        <w:rPr>
          <w:lang w:val="en-US"/>
        </w:rPr>
        <w:t xml:space="preserve">(Bucher method) </w:t>
      </w:r>
      <w:r w:rsidRPr="00081A39">
        <w:rPr>
          <w:lang w:val="en-US"/>
        </w:rPr>
        <w:t xml:space="preserve">using placebo </w:t>
      </w:r>
      <w:r w:rsidR="00DE4EDC" w:rsidRPr="00081A39">
        <w:rPr>
          <w:lang w:val="en-US"/>
        </w:rPr>
        <w:t>plus</w:t>
      </w:r>
      <w:r w:rsidRPr="00081A39">
        <w:rPr>
          <w:lang w:val="en-US"/>
        </w:rPr>
        <w:t xml:space="preserve"> </w:t>
      </w:r>
      <w:proofErr w:type="spellStart"/>
      <w:r w:rsidRPr="00081A39">
        <w:rPr>
          <w:lang w:val="en-US"/>
        </w:rPr>
        <w:t>fulvestrant</w:t>
      </w:r>
      <w:proofErr w:type="spellEnd"/>
      <w:r w:rsidRPr="00081A39">
        <w:rPr>
          <w:lang w:val="en-US"/>
        </w:rPr>
        <w:t xml:space="preserve"> as the common comparator: </w:t>
      </w:r>
    </w:p>
    <w:p w14:paraId="3E9BBD0A" w14:textId="77777777" w:rsidR="00937EEC" w:rsidRPr="00937EEC" w:rsidRDefault="00937EEC" w:rsidP="0089270C">
      <w:pPr>
        <w:numPr>
          <w:ilvl w:val="1"/>
          <w:numId w:val="7"/>
        </w:numPr>
        <w:spacing w:after="120"/>
        <w:ind w:left="1077" w:hanging="357"/>
        <w:rPr>
          <w:rFonts w:asciiTheme="minorHAnsi" w:hAnsiTheme="minorHAnsi"/>
          <w:color w:val="000000" w:themeColor="text1"/>
          <w:lang w:val="en-US"/>
        </w:rPr>
      </w:pPr>
      <w:r w:rsidRPr="00937EEC">
        <w:rPr>
          <w:rFonts w:asciiTheme="minorHAnsi" w:hAnsiTheme="minorHAnsi"/>
          <w:color w:val="000000" w:themeColor="text1"/>
          <w:lang w:val="en-US"/>
        </w:rPr>
        <w:t xml:space="preserve">Palbociclib vs. </w:t>
      </w:r>
      <w:proofErr w:type="spellStart"/>
      <w:r w:rsidRPr="00937EEC">
        <w:rPr>
          <w:rFonts w:asciiTheme="minorHAnsi" w:hAnsiTheme="minorHAnsi"/>
          <w:color w:val="000000" w:themeColor="text1"/>
          <w:lang w:val="en-US"/>
        </w:rPr>
        <w:t>ribociclib</w:t>
      </w:r>
      <w:proofErr w:type="spellEnd"/>
      <w:r w:rsidRPr="00937EEC">
        <w:rPr>
          <w:rFonts w:asciiTheme="minorHAnsi" w:hAnsiTheme="minorHAnsi"/>
          <w:color w:val="000000" w:themeColor="text1"/>
          <w:lang w:val="en-US"/>
        </w:rPr>
        <w:t>: PALOMA-3 and MONALEESA-3; and</w:t>
      </w:r>
    </w:p>
    <w:p w14:paraId="77B00E75" w14:textId="77777777" w:rsidR="00937EEC" w:rsidRPr="00937EEC" w:rsidRDefault="00937EEC" w:rsidP="0089270C">
      <w:pPr>
        <w:numPr>
          <w:ilvl w:val="1"/>
          <w:numId w:val="7"/>
        </w:numPr>
        <w:spacing w:after="120"/>
        <w:ind w:left="1077" w:hanging="357"/>
        <w:rPr>
          <w:rFonts w:asciiTheme="minorHAnsi" w:hAnsiTheme="minorHAnsi"/>
          <w:color w:val="000000" w:themeColor="text1"/>
          <w:lang w:val="en-US"/>
        </w:rPr>
      </w:pPr>
      <w:r w:rsidRPr="00937EEC">
        <w:rPr>
          <w:rFonts w:asciiTheme="minorHAnsi" w:hAnsiTheme="minorHAnsi"/>
          <w:color w:val="000000" w:themeColor="text1"/>
          <w:lang w:val="en-US"/>
        </w:rPr>
        <w:t xml:space="preserve">Palbociclib vs. </w:t>
      </w:r>
      <w:proofErr w:type="spellStart"/>
      <w:r w:rsidRPr="00937EEC">
        <w:rPr>
          <w:rFonts w:asciiTheme="minorHAnsi" w:hAnsiTheme="minorHAnsi"/>
          <w:color w:val="000000" w:themeColor="text1"/>
          <w:lang w:val="en-US"/>
        </w:rPr>
        <w:t>abemaciclib</w:t>
      </w:r>
      <w:proofErr w:type="spellEnd"/>
      <w:r w:rsidRPr="00937EEC">
        <w:rPr>
          <w:rFonts w:asciiTheme="minorHAnsi" w:hAnsiTheme="minorHAnsi"/>
          <w:color w:val="000000" w:themeColor="text1"/>
          <w:lang w:val="en-US"/>
        </w:rPr>
        <w:t xml:space="preserve">: PALOMA-3 and MONARCH 2. </w:t>
      </w:r>
    </w:p>
    <w:bookmarkEnd w:id="21"/>
    <w:bookmarkEnd w:id="22"/>
    <w:p w14:paraId="382798F0" w14:textId="5ABEB8F2" w:rsidR="00937EEC" w:rsidRPr="00937EEC" w:rsidRDefault="00937EEC" w:rsidP="00DE4EDC">
      <w:pPr>
        <w:pStyle w:val="3-BodyText"/>
      </w:pPr>
      <w:r w:rsidRPr="00937EEC">
        <w:rPr>
          <w:lang w:val="en-US"/>
        </w:rPr>
        <w:t xml:space="preserve">Details of the key trials are provided in </w:t>
      </w:r>
      <w:r w:rsidRPr="00937EEC">
        <w:rPr>
          <w:lang w:val="en-US"/>
        </w:rPr>
        <w:fldChar w:fldCharType="begin"/>
      </w:r>
      <w:r w:rsidRPr="00937EEC">
        <w:rPr>
          <w:lang w:val="en-US"/>
        </w:rPr>
        <w:instrText xml:space="preserve"> REF _Ref89949247 \h </w:instrText>
      </w:r>
      <w:r w:rsidRPr="00937EEC">
        <w:rPr>
          <w:lang w:val="en-US"/>
        </w:rPr>
      </w:r>
      <w:r w:rsidRPr="00937EEC">
        <w:rPr>
          <w:lang w:val="en-US"/>
        </w:rPr>
        <w:fldChar w:fldCharType="separate"/>
      </w:r>
      <w:r w:rsidR="009728EB" w:rsidRPr="00937EEC">
        <w:rPr>
          <w:rFonts w:ascii="Arial Narrow" w:eastAsiaTheme="majorEastAsia" w:hAnsi="Arial Narrow" w:cstheme="majorBidi"/>
          <w:b/>
          <w:bCs/>
          <w:sz w:val="20"/>
        </w:rPr>
        <w:t xml:space="preserve">Table </w:t>
      </w:r>
      <w:r w:rsidR="009728EB">
        <w:rPr>
          <w:rFonts w:ascii="Arial Narrow" w:eastAsiaTheme="majorEastAsia" w:hAnsi="Arial Narrow" w:cstheme="majorBidi"/>
          <w:b/>
          <w:bCs/>
          <w:sz w:val="20"/>
        </w:rPr>
        <w:t>2</w:t>
      </w:r>
      <w:r w:rsidRPr="00937EEC">
        <w:rPr>
          <w:lang w:val="en-US"/>
        </w:rPr>
        <w:fldChar w:fldCharType="end"/>
      </w:r>
      <w:r w:rsidR="00246AFC">
        <w:rPr>
          <w:lang w:val="en-US"/>
        </w:rPr>
        <w:t>2</w:t>
      </w:r>
      <w:r w:rsidRPr="00937EEC">
        <w:rPr>
          <w:lang w:val="en-US"/>
        </w:rPr>
        <w:t xml:space="preserve">. </w:t>
      </w:r>
    </w:p>
    <w:p w14:paraId="62230188" w14:textId="0D8A99E0" w:rsidR="00937EEC" w:rsidRPr="00937EEC" w:rsidRDefault="00937EEC" w:rsidP="00C7217B">
      <w:pPr>
        <w:keepNext/>
        <w:spacing w:before="20" w:after="20"/>
        <w:jc w:val="left"/>
        <w:rPr>
          <w:rFonts w:ascii="Arial Narrow" w:eastAsiaTheme="majorEastAsia" w:hAnsi="Arial Narrow" w:cstheme="majorBidi"/>
          <w:b/>
          <w:bCs/>
          <w:sz w:val="20"/>
        </w:rPr>
      </w:pPr>
      <w:bookmarkStart w:id="23" w:name="_Ref89949247"/>
      <w:r w:rsidRPr="00937EEC">
        <w:rPr>
          <w:rFonts w:ascii="Arial Narrow" w:eastAsiaTheme="majorEastAsia" w:hAnsi="Arial Narrow" w:cstheme="majorBidi"/>
          <w:b/>
          <w:bCs/>
          <w:sz w:val="20"/>
        </w:rPr>
        <w:lastRenderedPageBreak/>
        <w:t xml:space="preserve">Table </w:t>
      </w:r>
      <w:r w:rsidR="00246AFC">
        <w:rPr>
          <w:rFonts w:ascii="Arial Narrow" w:eastAsiaTheme="majorEastAsia" w:hAnsi="Arial Narrow" w:cstheme="majorBidi"/>
          <w:b/>
          <w:bCs/>
          <w:sz w:val="20"/>
        </w:rPr>
        <w:t>2</w:t>
      </w:r>
      <w:bookmarkEnd w:id="23"/>
      <w:r w:rsidRPr="00937EEC">
        <w:rPr>
          <w:rFonts w:ascii="Arial Narrow" w:eastAsiaTheme="majorEastAsia" w:hAnsi="Arial Narrow" w:cstheme="majorBidi"/>
          <w:b/>
          <w:bCs/>
          <w:sz w:val="20"/>
        </w:rPr>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2: Trials and associated reports presented in the submission"/>
      </w:tblPr>
      <w:tblGrid>
        <w:gridCol w:w="1414"/>
        <w:gridCol w:w="5244"/>
        <w:gridCol w:w="2359"/>
      </w:tblGrid>
      <w:tr w:rsidR="00937EEC" w:rsidRPr="00937EEC" w14:paraId="0D1F3D63" w14:textId="77777777" w:rsidTr="000E484F">
        <w:trPr>
          <w:tblHeader/>
        </w:trPr>
        <w:tc>
          <w:tcPr>
            <w:tcW w:w="784" w:type="pct"/>
            <w:tcBorders>
              <w:bottom w:val="single" w:sz="4" w:space="0" w:color="auto"/>
            </w:tcBorders>
            <w:vAlign w:val="center"/>
          </w:tcPr>
          <w:p w14:paraId="73FEB025" w14:textId="77777777" w:rsidR="00937EEC" w:rsidRPr="00937EEC" w:rsidRDefault="00937EEC" w:rsidP="00C7217B">
            <w:pPr>
              <w:keepNext/>
              <w:spacing w:after="20"/>
              <w:jc w:val="left"/>
              <w:rPr>
                <w:rFonts w:ascii="Arial Narrow" w:eastAsiaTheme="majorEastAsia" w:hAnsi="Arial Narrow" w:cs="Times New Roman"/>
                <w:b/>
                <w:sz w:val="20"/>
                <w:lang w:val="en-US"/>
              </w:rPr>
            </w:pPr>
            <w:r w:rsidRPr="00937EEC">
              <w:rPr>
                <w:rFonts w:ascii="Arial Narrow" w:eastAsiaTheme="majorEastAsia" w:hAnsi="Arial Narrow" w:cs="Times New Roman"/>
                <w:b/>
                <w:sz w:val="20"/>
                <w:lang w:val="en-US"/>
              </w:rPr>
              <w:t>Trial ID</w:t>
            </w:r>
          </w:p>
        </w:tc>
        <w:tc>
          <w:tcPr>
            <w:tcW w:w="2908" w:type="pct"/>
            <w:tcBorders>
              <w:bottom w:val="single" w:sz="4" w:space="0" w:color="auto"/>
            </w:tcBorders>
            <w:vAlign w:val="center"/>
          </w:tcPr>
          <w:p w14:paraId="0CB8714F" w14:textId="77777777" w:rsidR="00937EEC" w:rsidRPr="00937EEC" w:rsidRDefault="00937EEC" w:rsidP="00C7217B">
            <w:pPr>
              <w:keepNext/>
              <w:spacing w:after="20"/>
              <w:jc w:val="left"/>
              <w:rPr>
                <w:rFonts w:ascii="Arial Narrow" w:eastAsiaTheme="majorEastAsia" w:hAnsi="Arial Narrow" w:cs="Times New Roman"/>
                <w:b/>
                <w:sz w:val="20"/>
                <w:lang w:val="en-US"/>
              </w:rPr>
            </w:pPr>
            <w:r w:rsidRPr="00937EEC">
              <w:rPr>
                <w:rFonts w:ascii="Arial Narrow" w:eastAsiaTheme="majorEastAsia" w:hAnsi="Arial Narrow" w:cs="Times New Roman"/>
                <w:b/>
                <w:sz w:val="20"/>
                <w:lang w:val="en-US"/>
              </w:rPr>
              <w:t>Protocol title/ Publication title</w:t>
            </w:r>
          </w:p>
        </w:tc>
        <w:tc>
          <w:tcPr>
            <w:tcW w:w="1308" w:type="pct"/>
            <w:tcBorders>
              <w:bottom w:val="single" w:sz="4" w:space="0" w:color="auto"/>
            </w:tcBorders>
            <w:vAlign w:val="center"/>
          </w:tcPr>
          <w:p w14:paraId="1ADF8C8A" w14:textId="77777777" w:rsidR="00937EEC" w:rsidRPr="00937EEC" w:rsidRDefault="00937EEC" w:rsidP="00C7217B">
            <w:pPr>
              <w:keepNext/>
              <w:spacing w:after="20"/>
              <w:jc w:val="left"/>
              <w:rPr>
                <w:rFonts w:ascii="Arial Narrow" w:eastAsiaTheme="majorEastAsia" w:hAnsi="Arial Narrow" w:cs="Times New Roman"/>
                <w:b/>
                <w:sz w:val="20"/>
                <w:lang w:val="en-US"/>
              </w:rPr>
            </w:pPr>
            <w:r w:rsidRPr="00937EEC">
              <w:rPr>
                <w:rFonts w:ascii="Arial Narrow" w:eastAsiaTheme="majorEastAsia" w:hAnsi="Arial Narrow" w:cs="Times New Roman"/>
                <w:b/>
                <w:sz w:val="20"/>
                <w:lang w:val="en-US"/>
              </w:rPr>
              <w:t>Publication citation</w:t>
            </w:r>
          </w:p>
        </w:tc>
      </w:tr>
      <w:tr w:rsidR="00937EEC" w:rsidRPr="00937EEC" w14:paraId="1ACE3E02" w14:textId="77777777" w:rsidTr="000E484F">
        <w:tc>
          <w:tcPr>
            <w:tcW w:w="784" w:type="pct"/>
            <w:vMerge w:val="restart"/>
            <w:vAlign w:val="center"/>
          </w:tcPr>
          <w:p w14:paraId="0282BBBC" w14:textId="77777777" w:rsidR="00937EEC" w:rsidRPr="00937EEC" w:rsidRDefault="00937EEC" w:rsidP="00C7217B">
            <w:pPr>
              <w:keepNext/>
              <w:spacing w:before="20" w:after="20"/>
              <w:jc w:val="left"/>
              <w:rPr>
                <w:rFonts w:ascii="Arial Narrow" w:eastAsiaTheme="majorEastAsia" w:hAnsi="Arial Narrow" w:cstheme="majorBidi"/>
                <w:bCs/>
                <w:sz w:val="20"/>
              </w:rPr>
            </w:pPr>
            <w:r w:rsidRPr="00937EEC">
              <w:rPr>
                <w:rFonts w:ascii="Arial Narrow" w:eastAsiaTheme="majorEastAsia" w:hAnsi="Arial Narrow" w:cstheme="majorBidi"/>
                <w:bCs/>
                <w:sz w:val="20"/>
              </w:rPr>
              <w:t>PALOMA-3</w:t>
            </w:r>
          </w:p>
          <w:p w14:paraId="6C68DAAF" w14:textId="77777777" w:rsidR="00937EEC" w:rsidRPr="00937EEC" w:rsidRDefault="00937EEC" w:rsidP="00C7217B">
            <w:pPr>
              <w:keepNext/>
              <w:spacing w:before="20" w:after="20"/>
              <w:jc w:val="left"/>
              <w:rPr>
                <w:rFonts w:ascii="Arial Narrow" w:eastAsiaTheme="majorEastAsia" w:hAnsi="Arial Narrow" w:cstheme="majorBidi"/>
                <w:bCs/>
                <w:sz w:val="20"/>
              </w:rPr>
            </w:pPr>
            <w:r w:rsidRPr="00937EEC">
              <w:rPr>
                <w:rFonts w:ascii="Arial Narrow" w:eastAsiaTheme="majorEastAsia" w:hAnsi="Arial Narrow" w:cstheme="majorBidi"/>
                <w:bCs/>
                <w:sz w:val="20"/>
              </w:rPr>
              <w:t>(Study A5481023; NCT01942135)</w:t>
            </w:r>
          </w:p>
        </w:tc>
        <w:tc>
          <w:tcPr>
            <w:tcW w:w="2908" w:type="pct"/>
            <w:tcBorders>
              <w:bottom w:val="nil"/>
            </w:tcBorders>
            <w:vAlign w:val="center"/>
          </w:tcPr>
          <w:p w14:paraId="0D9A5F0B" w14:textId="77777777" w:rsidR="00937EEC" w:rsidRPr="00937EEC" w:rsidRDefault="00937EEC" w:rsidP="00C7217B">
            <w:pPr>
              <w:keepNext/>
              <w:spacing w:before="20" w:after="20"/>
              <w:jc w:val="left"/>
              <w:rPr>
                <w:rFonts w:ascii="Arial Narrow" w:eastAsiaTheme="majorEastAsia" w:hAnsi="Arial Narrow" w:cstheme="majorBidi"/>
                <w:bCs/>
                <w:sz w:val="20"/>
                <w:szCs w:val="18"/>
              </w:rPr>
            </w:pPr>
            <w:r w:rsidRPr="00937EEC">
              <w:rPr>
                <w:rFonts w:ascii="Arial Narrow" w:eastAsiaTheme="majorEastAsia" w:hAnsi="Arial Narrow" w:cstheme="majorBidi"/>
                <w:bCs/>
                <w:sz w:val="20"/>
                <w:szCs w:val="18"/>
              </w:rPr>
              <w:t xml:space="preserve">Protocol &amp; Statistical Analysis Plan (SAP) </w:t>
            </w:r>
          </w:p>
        </w:tc>
        <w:tc>
          <w:tcPr>
            <w:tcW w:w="1308" w:type="pct"/>
            <w:tcBorders>
              <w:bottom w:val="nil"/>
            </w:tcBorders>
            <w:vAlign w:val="center"/>
          </w:tcPr>
          <w:p w14:paraId="763CEFF3" w14:textId="77777777" w:rsidR="00937EEC" w:rsidRPr="00937EEC" w:rsidRDefault="00937EEC" w:rsidP="00C7217B">
            <w:pPr>
              <w:keepNext/>
              <w:spacing w:before="20" w:after="20"/>
              <w:jc w:val="left"/>
              <w:rPr>
                <w:rFonts w:ascii="Arial Narrow" w:eastAsiaTheme="majorEastAsia" w:hAnsi="Arial Narrow" w:cstheme="majorBidi"/>
                <w:bCs/>
                <w:sz w:val="20"/>
                <w:szCs w:val="18"/>
              </w:rPr>
            </w:pPr>
            <w:r w:rsidRPr="00937EEC">
              <w:rPr>
                <w:rFonts w:ascii="Arial Narrow" w:eastAsiaTheme="majorEastAsia" w:hAnsi="Arial Narrow" w:cstheme="majorBidi"/>
                <w:bCs/>
                <w:sz w:val="20"/>
                <w:szCs w:val="18"/>
              </w:rPr>
              <w:t>10 Jan 2018</w:t>
            </w:r>
          </w:p>
        </w:tc>
      </w:tr>
      <w:tr w:rsidR="00937EEC" w:rsidRPr="00937EEC" w14:paraId="275540EC" w14:textId="77777777" w:rsidTr="000E484F">
        <w:tc>
          <w:tcPr>
            <w:tcW w:w="784" w:type="pct"/>
            <w:vMerge/>
            <w:vAlign w:val="center"/>
          </w:tcPr>
          <w:p w14:paraId="752D8899" w14:textId="77777777" w:rsidR="00937EEC" w:rsidRPr="00937EEC" w:rsidRDefault="00937EEC" w:rsidP="00C7217B">
            <w:pPr>
              <w:keepNext/>
              <w:spacing w:before="20" w:after="20"/>
              <w:jc w:val="left"/>
              <w:rPr>
                <w:rFonts w:ascii="Arial Narrow" w:eastAsiaTheme="majorEastAsia" w:hAnsi="Arial Narrow" w:cstheme="majorBidi"/>
                <w:bCs/>
                <w:sz w:val="20"/>
              </w:rPr>
            </w:pPr>
          </w:p>
        </w:tc>
        <w:tc>
          <w:tcPr>
            <w:tcW w:w="2908" w:type="pct"/>
            <w:tcBorders>
              <w:top w:val="nil"/>
              <w:bottom w:val="nil"/>
            </w:tcBorders>
            <w:vAlign w:val="center"/>
          </w:tcPr>
          <w:p w14:paraId="6EDE466C" w14:textId="77777777" w:rsidR="00937EEC" w:rsidRPr="00937EEC" w:rsidRDefault="00937EEC" w:rsidP="00C7217B">
            <w:pPr>
              <w:keepNext/>
              <w:spacing w:before="20" w:after="20"/>
              <w:jc w:val="left"/>
              <w:rPr>
                <w:rFonts w:ascii="Arial Narrow" w:eastAsiaTheme="majorEastAsia" w:hAnsi="Arial Narrow" w:cstheme="majorBidi"/>
                <w:bCs/>
                <w:sz w:val="20"/>
                <w:szCs w:val="18"/>
              </w:rPr>
            </w:pPr>
            <w:r w:rsidRPr="00937EEC">
              <w:rPr>
                <w:rFonts w:ascii="Arial Narrow" w:eastAsiaTheme="majorEastAsia" w:hAnsi="Arial Narrow" w:cstheme="majorBidi"/>
                <w:bCs/>
                <w:sz w:val="20"/>
                <w:szCs w:val="18"/>
              </w:rPr>
              <w:t xml:space="preserve">1. </w:t>
            </w:r>
            <w:proofErr w:type="spellStart"/>
            <w:r w:rsidRPr="00937EEC">
              <w:rPr>
                <w:rFonts w:ascii="Arial Narrow" w:eastAsiaTheme="majorEastAsia" w:hAnsi="Arial Narrow" w:cstheme="majorBidi"/>
                <w:bCs/>
                <w:sz w:val="20"/>
                <w:szCs w:val="18"/>
              </w:rPr>
              <w:t>Multicenter</w:t>
            </w:r>
            <w:proofErr w:type="spellEnd"/>
            <w:r w:rsidRPr="00937EEC">
              <w:rPr>
                <w:rFonts w:ascii="Arial Narrow" w:eastAsiaTheme="majorEastAsia" w:hAnsi="Arial Narrow" w:cstheme="majorBidi"/>
                <w:bCs/>
                <w:sz w:val="20"/>
                <w:szCs w:val="18"/>
              </w:rPr>
              <w:t xml:space="preserve">, Randomized, Double-Blind, Placebo-Controlled, Phase III Trial </w:t>
            </w:r>
            <w:proofErr w:type="gramStart"/>
            <w:r w:rsidRPr="00937EEC">
              <w:rPr>
                <w:rFonts w:ascii="Arial Narrow" w:eastAsiaTheme="majorEastAsia" w:hAnsi="Arial Narrow" w:cstheme="majorBidi"/>
                <w:bCs/>
                <w:sz w:val="20"/>
                <w:szCs w:val="18"/>
              </w:rPr>
              <w:t>Of</w:t>
            </w:r>
            <w:proofErr w:type="gramEnd"/>
            <w:r w:rsidRPr="00937EEC">
              <w:rPr>
                <w:rFonts w:ascii="Arial Narrow" w:eastAsiaTheme="majorEastAsia" w:hAnsi="Arial Narrow" w:cstheme="majorBidi"/>
                <w:bCs/>
                <w:sz w:val="20"/>
                <w:szCs w:val="18"/>
              </w:rPr>
              <w:t xml:space="preserve"> </w:t>
            </w:r>
            <w:proofErr w:type="spellStart"/>
            <w:r w:rsidRPr="00937EEC">
              <w:rPr>
                <w:rFonts w:ascii="Arial Narrow" w:eastAsiaTheme="majorEastAsia" w:hAnsi="Arial Narrow" w:cstheme="majorBidi"/>
                <w:bCs/>
                <w:sz w:val="20"/>
                <w:szCs w:val="18"/>
              </w:rPr>
              <w:t>Fulvestrant</w:t>
            </w:r>
            <w:proofErr w:type="spellEnd"/>
            <w:r w:rsidRPr="00937EEC">
              <w:rPr>
                <w:rFonts w:ascii="Arial Narrow" w:eastAsiaTheme="majorEastAsia" w:hAnsi="Arial Narrow" w:cstheme="majorBidi"/>
                <w:bCs/>
                <w:sz w:val="20"/>
                <w:szCs w:val="18"/>
              </w:rPr>
              <w:t xml:space="preserve"> (</w:t>
            </w:r>
            <w:proofErr w:type="spellStart"/>
            <w:r w:rsidRPr="00937EEC">
              <w:rPr>
                <w:rFonts w:ascii="Arial Narrow" w:eastAsiaTheme="majorEastAsia" w:hAnsi="Arial Narrow" w:cstheme="majorBidi"/>
                <w:bCs/>
                <w:sz w:val="20"/>
                <w:szCs w:val="18"/>
              </w:rPr>
              <w:t>Faslodex</w:t>
            </w:r>
            <w:proofErr w:type="spellEnd"/>
            <w:r w:rsidRPr="00937EEC">
              <w:rPr>
                <w:rFonts w:ascii="Arial Narrow" w:eastAsiaTheme="majorEastAsia" w:hAnsi="Arial Narrow" w:cstheme="majorBidi"/>
                <w:bCs/>
                <w:sz w:val="20"/>
                <w:szCs w:val="18"/>
              </w:rPr>
              <w:t>) With Or Without PD-0332991 (</w:t>
            </w:r>
            <w:proofErr w:type="spellStart"/>
            <w:r w:rsidRPr="00937EEC">
              <w:rPr>
                <w:rFonts w:ascii="Arial Narrow" w:eastAsiaTheme="majorEastAsia" w:hAnsi="Arial Narrow" w:cstheme="majorBidi"/>
                <w:bCs/>
                <w:sz w:val="20"/>
                <w:szCs w:val="18"/>
              </w:rPr>
              <w:t>palbociclib</w:t>
            </w:r>
            <w:proofErr w:type="spellEnd"/>
            <w:r w:rsidRPr="00937EEC">
              <w:rPr>
                <w:rFonts w:ascii="Arial Narrow" w:eastAsiaTheme="majorEastAsia" w:hAnsi="Arial Narrow" w:cstheme="majorBidi"/>
                <w:bCs/>
                <w:sz w:val="20"/>
                <w:szCs w:val="18"/>
              </w:rPr>
              <w:t xml:space="preserve">) ± </w:t>
            </w:r>
            <w:proofErr w:type="spellStart"/>
            <w:r w:rsidRPr="00937EEC">
              <w:rPr>
                <w:rFonts w:ascii="Arial Narrow" w:eastAsiaTheme="majorEastAsia" w:hAnsi="Arial Narrow" w:cstheme="majorBidi"/>
                <w:bCs/>
                <w:sz w:val="20"/>
                <w:szCs w:val="18"/>
              </w:rPr>
              <w:t>Goserelin</w:t>
            </w:r>
            <w:proofErr w:type="spellEnd"/>
            <w:r w:rsidRPr="00937EEC">
              <w:rPr>
                <w:rFonts w:ascii="Arial Narrow" w:eastAsiaTheme="majorEastAsia" w:hAnsi="Arial Narrow" w:cstheme="majorBidi"/>
                <w:bCs/>
                <w:sz w:val="20"/>
                <w:szCs w:val="18"/>
              </w:rPr>
              <w:t xml:space="preserve"> In Women With Hormone Receptor-Positive, HER2-Negative Metastatic Breast Cancer Whose Disease Progressed After Prior Endocrine Therapy. </w:t>
            </w:r>
          </w:p>
        </w:tc>
        <w:tc>
          <w:tcPr>
            <w:tcW w:w="1308" w:type="pct"/>
            <w:tcBorders>
              <w:top w:val="nil"/>
              <w:bottom w:val="nil"/>
            </w:tcBorders>
            <w:vAlign w:val="center"/>
          </w:tcPr>
          <w:p w14:paraId="60408C5A" w14:textId="77777777" w:rsidR="00937EEC" w:rsidRPr="00937EEC" w:rsidRDefault="00937EEC" w:rsidP="00C7217B">
            <w:pPr>
              <w:keepNext/>
              <w:spacing w:before="20" w:after="20"/>
              <w:jc w:val="left"/>
              <w:rPr>
                <w:rFonts w:ascii="Arial Narrow" w:eastAsiaTheme="majorEastAsia" w:hAnsi="Arial Narrow" w:cstheme="majorBidi"/>
                <w:bCs/>
                <w:sz w:val="20"/>
              </w:rPr>
            </w:pPr>
            <w:r w:rsidRPr="00937EEC">
              <w:rPr>
                <w:rFonts w:ascii="Arial Narrow" w:eastAsiaTheme="majorEastAsia" w:hAnsi="Arial Narrow" w:cstheme="majorBidi"/>
                <w:bCs/>
                <w:i/>
                <w:iCs/>
                <w:sz w:val="20"/>
                <w:szCs w:val="18"/>
              </w:rPr>
              <w:t>Clinical Study Report</w:t>
            </w:r>
            <w:r w:rsidRPr="00937EEC">
              <w:rPr>
                <w:rFonts w:ascii="Arial Narrow" w:eastAsiaTheme="majorEastAsia" w:hAnsi="Arial Narrow" w:cstheme="majorBidi"/>
                <w:bCs/>
                <w:sz w:val="20"/>
                <w:szCs w:val="18"/>
              </w:rPr>
              <w:t>, 5 Dec 2014</w:t>
            </w:r>
          </w:p>
        </w:tc>
      </w:tr>
      <w:tr w:rsidR="00937EEC" w:rsidRPr="00937EEC" w14:paraId="6A793664" w14:textId="77777777" w:rsidTr="000E484F">
        <w:tc>
          <w:tcPr>
            <w:tcW w:w="784" w:type="pct"/>
            <w:vMerge/>
            <w:vAlign w:val="center"/>
          </w:tcPr>
          <w:p w14:paraId="0CA86A9D" w14:textId="77777777" w:rsidR="00937EEC" w:rsidRPr="00937EEC" w:rsidRDefault="00937EEC" w:rsidP="00C7217B">
            <w:pPr>
              <w:keepNext/>
              <w:spacing w:before="20" w:after="20"/>
              <w:jc w:val="left"/>
              <w:rPr>
                <w:rFonts w:ascii="Arial Narrow" w:eastAsiaTheme="majorEastAsia" w:hAnsi="Arial Narrow" w:cstheme="majorBidi"/>
                <w:bCs/>
                <w:sz w:val="20"/>
              </w:rPr>
            </w:pPr>
          </w:p>
        </w:tc>
        <w:tc>
          <w:tcPr>
            <w:tcW w:w="2908" w:type="pct"/>
            <w:tcBorders>
              <w:top w:val="nil"/>
              <w:bottom w:val="nil"/>
            </w:tcBorders>
            <w:vAlign w:val="center"/>
          </w:tcPr>
          <w:p w14:paraId="340ECA73" w14:textId="77777777" w:rsidR="00937EEC" w:rsidRPr="00937EEC" w:rsidRDefault="00937EEC" w:rsidP="00C7217B">
            <w:pPr>
              <w:keepNext/>
              <w:spacing w:before="20" w:after="20"/>
              <w:jc w:val="left"/>
              <w:rPr>
                <w:rFonts w:ascii="Arial Narrow" w:eastAsiaTheme="majorEastAsia" w:hAnsi="Arial Narrow" w:cstheme="majorBidi"/>
                <w:bCs/>
                <w:sz w:val="20"/>
                <w:szCs w:val="18"/>
              </w:rPr>
            </w:pPr>
            <w:r w:rsidRPr="00937EEC">
              <w:rPr>
                <w:rFonts w:ascii="Arial Narrow" w:eastAsiaTheme="majorEastAsia" w:hAnsi="Arial Narrow" w:cstheme="majorBidi"/>
                <w:bCs/>
                <w:sz w:val="20"/>
                <w:szCs w:val="18"/>
              </w:rPr>
              <w:t xml:space="preserve">2. Palbociclib (Pd-0332991; CDK 4/6 Inhibitor) HR-Positive, HER2-Negative Advanced Breast Cancer A5481023 (Paloma-3) Progression-Free Survival Update. </w:t>
            </w:r>
          </w:p>
        </w:tc>
        <w:tc>
          <w:tcPr>
            <w:tcW w:w="1308" w:type="pct"/>
            <w:tcBorders>
              <w:top w:val="nil"/>
              <w:bottom w:val="nil"/>
            </w:tcBorders>
            <w:vAlign w:val="center"/>
          </w:tcPr>
          <w:p w14:paraId="36796735" w14:textId="77777777" w:rsidR="00937EEC" w:rsidRPr="00937EEC" w:rsidRDefault="00937EEC" w:rsidP="00C7217B">
            <w:pPr>
              <w:keepNext/>
              <w:spacing w:before="20" w:after="20"/>
              <w:jc w:val="left"/>
              <w:rPr>
                <w:rFonts w:ascii="Arial Narrow" w:eastAsiaTheme="majorEastAsia" w:hAnsi="Arial Narrow" w:cstheme="majorBidi"/>
                <w:bCs/>
                <w:sz w:val="20"/>
              </w:rPr>
            </w:pPr>
            <w:r w:rsidRPr="00937EEC">
              <w:rPr>
                <w:rFonts w:ascii="Arial Narrow" w:eastAsiaTheme="majorEastAsia" w:hAnsi="Arial Narrow" w:cstheme="majorBidi"/>
                <w:bCs/>
                <w:i/>
                <w:iCs/>
                <w:sz w:val="20"/>
              </w:rPr>
              <w:t>Clinical Study Report,</w:t>
            </w:r>
            <w:r w:rsidRPr="00937EEC">
              <w:rPr>
                <w:rFonts w:ascii="Arial Narrow" w:eastAsiaTheme="majorEastAsia" w:hAnsi="Arial Narrow" w:cstheme="majorBidi"/>
                <w:bCs/>
                <w:sz w:val="20"/>
              </w:rPr>
              <w:t xml:space="preserve"> </w:t>
            </w:r>
            <w:r w:rsidRPr="00937EEC">
              <w:rPr>
                <w:rFonts w:ascii="Arial Narrow" w:eastAsiaTheme="majorEastAsia" w:hAnsi="Arial Narrow" w:cstheme="majorBidi"/>
                <w:bCs/>
                <w:sz w:val="20"/>
                <w:szCs w:val="18"/>
              </w:rPr>
              <w:t>16 March 2015</w:t>
            </w:r>
          </w:p>
        </w:tc>
      </w:tr>
      <w:tr w:rsidR="00937EEC" w:rsidRPr="00937EEC" w14:paraId="7B907DC4" w14:textId="77777777" w:rsidTr="000E484F">
        <w:tc>
          <w:tcPr>
            <w:tcW w:w="784" w:type="pct"/>
            <w:vMerge/>
            <w:vAlign w:val="center"/>
          </w:tcPr>
          <w:p w14:paraId="472887E0" w14:textId="77777777" w:rsidR="00937EEC" w:rsidRPr="00937EEC" w:rsidRDefault="00937EEC" w:rsidP="00C7217B">
            <w:pPr>
              <w:keepNext/>
              <w:spacing w:before="20" w:after="20"/>
              <w:jc w:val="left"/>
              <w:rPr>
                <w:rFonts w:ascii="Arial Narrow" w:eastAsiaTheme="majorEastAsia" w:hAnsi="Arial Narrow" w:cstheme="majorBidi"/>
                <w:bCs/>
                <w:sz w:val="20"/>
              </w:rPr>
            </w:pPr>
          </w:p>
        </w:tc>
        <w:tc>
          <w:tcPr>
            <w:tcW w:w="2908" w:type="pct"/>
            <w:tcBorders>
              <w:top w:val="nil"/>
              <w:bottom w:val="nil"/>
            </w:tcBorders>
            <w:vAlign w:val="center"/>
          </w:tcPr>
          <w:p w14:paraId="78F16547" w14:textId="046AA5C7" w:rsidR="00937EEC" w:rsidRPr="00937EEC" w:rsidRDefault="00937EEC" w:rsidP="00C7217B">
            <w:pPr>
              <w:keepNext/>
              <w:spacing w:before="20" w:after="20"/>
              <w:jc w:val="left"/>
              <w:rPr>
                <w:rFonts w:ascii="Arial Narrow" w:eastAsiaTheme="majorEastAsia" w:hAnsi="Arial Narrow" w:cstheme="majorBidi"/>
                <w:bCs/>
                <w:sz w:val="20"/>
                <w:szCs w:val="18"/>
              </w:rPr>
            </w:pPr>
            <w:r w:rsidRPr="00937EEC">
              <w:rPr>
                <w:rFonts w:ascii="Arial Narrow" w:eastAsiaTheme="majorEastAsia" w:hAnsi="Arial Narrow" w:cstheme="majorBidi"/>
                <w:bCs/>
                <w:sz w:val="20"/>
                <w:szCs w:val="18"/>
              </w:rPr>
              <w:t xml:space="preserve">3. A5481023 – Updated Progression-Free Survival Report (data only). </w:t>
            </w:r>
          </w:p>
        </w:tc>
        <w:tc>
          <w:tcPr>
            <w:tcW w:w="1308" w:type="pct"/>
            <w:tcBorders>
              <w:top w:val="nil"/>
              <w:bottom w:val="nil"/>
            </w:tcBorders>
            <w:vAlign w:val="center"/>
          </w:tcPr>
          <w:p w14:paraId="5FC74AE1" w14:textId="77777777" w:rsidR="00937EEC" w:rsidRPr="00937EEC" w:rsidRDefault="00937EEC" w:rsidP="00C7217B">
            <w:pPr>
              <w:keepNext/>
              <w:spacing w:before="20" w:after="20"/>
              <w:jc w:val="left"/>
              <w:rPr>
                <w:rFonts w:ascii="Arial Narrow" w:eastAsiaTheme="majorEastAsia" w:hAnsi="Arial Narrow" w:cstheme="majorBidi"/>
                <w:bCs/>
                <w:sz w:val="20"/>
              </w:rPr>
            </w:pPr>
            <w:r w:rsidRPr="00937EEC">
              <w:rPr>
                <w:rFonts w:ascii="Arial Narrow" w:eastAsiaTheme="majorEastAsia" w:hAnsi="Arial Narrow" w:cstheme="majorBidi"/>
                <w:bCs/>
                <w:sz w:val="20"/>
                <w:szCs w:val="18"/>
              </w:rPr>
              <w:t>23 Oct 2015</w:t>
            </w:r>
          </w:p>
        </w:tc>
      </w:tr>
      <w:tr w:rsidR="00937EEC" w:rsidRPr="00937EEC" w14:paraId="1E45545D" w14:textId="77777777" w:rsidTr="000E484F">
        <w:tc>
          <w:tcPr>
            <w:tcW w:w="784" w:type="pct"/>
            <w:vMerge/>
            <w:vAlign w:val="center"/>
          </w:tcPr>
          <w:p w14:paraId="7135B4D9" w14:textId="77777777" w:rsidR="00937EEC" w:rsidRPr="00937EEC" w:rsidRDefault="00937EEC" w:rsidP="00C7217B">
            <w:pPr>
              <w:keepNext/>
              <w:spacing w:before="20" w:after="20"/>
              <w:jc w:val="left"/>
              <w:rPr>
                <w:rFonts w:ascii="Arial Narrow" w:eastAsiaTheme="majorEastAsia" w:hAnsi="Arial Narrow" w:cstheme="majorBidi"/>
                <w:bCs/>
                <w:sz w:val="20"/>
              </w:rPr>
            </w:pPr>
          </w:p>
        </w:tc>
        <w:tc>
          <w:tcPr>
            <w:tcW w:w="2908" w:type="pct"/>
            <w:tcBorders>
              <w:top w:val="nil"/>
              <w:bottom w:val="nil"/>
            </w:tcBorders>
            <w:vAlign w:val="center"/>
          </w:tcPr>
          <w:p w14:paraId="3467D15C" w14:textId="77777777" w:rsidR="00937EEC" w:rsidRPr="00937EEC" w:rsidRDefault="00937EEC" w:rsidP="00C7217B">
            <w:pPr>
              <w:keepNext/>
              <w:spacing w:before="20" w:after="20"/>
              <w:jc w:val="left"/>
              <w:rPr>
                <w:rFonts w:ascii="Arial Narrow" w:eastAsiaTheme="majorEastAsia" w:hAnsi="Arial Narrow" w:cstheme="majorBidi"/>
                <w:bCs/>
                <w:sz w:val="20"/>
                <w:szCs w:val="18"/>
              </w:rPr>
            </w:pPr>
            <w:r w:rsidRPr="00937EEC">
              <w:rPr>
                <w:rFonts w:ascii="Arial Narrow" w:eastAsiaTheme="majorEastAsia" w:hAnsi="Arial Narrow" w:cstheme="majorBidi"/>
                <w:bCs/>
                <w:sz w:val="20"/>
                <w:szCs w:val="18"/>
              </w:rPr>
              <w:t>4. A5481023 Progression Free Survival (PFS) Update Tables only</w:t>
            </w:r>
          </w:p>
        </w:tc>
        <w:tc>
          <w:tcPr>
            <w:tcW w:w="1308" w:type="pct"/>
            <w:tcBorders>
              <w:top w:val="nil"/>
              <w:bottom w:val="nil"/>
            </w:tcBorders>
            <w:vAlign w:val="center"/>
          </w:tcPr>
          <w:p w14:paraId="0DD778E3" w14:textId="77777777" w:rsidR="00937EEC" w:rsidRPr="00937EEC" w:rsidRDefault="00937EEC" w:rsidP="00C7217B">
            <w:pPr>
              <w:keepNext/>
              <w:spacing w:before="20" w:after="20"/>
              <w:jc w:val="left"/>
              <w:rPr>
                <w:rFonts w:ascii="Arial Narrow" w:eastAsiaTheme="majorEastAsia" w:hAnsi="Arial Narrow" w:cstheme="majorBidi"/>
                <w:bCs/>
                <w:sz w:val="20"/>
              </w:rPr>
            </w:pPr>
          </w:p>
        </w:tc>
      </w:tr>
      <w:tr w:rsidR="00937EEC" w:rsidRPr="00937EEC" w14:paraId="4FC62C39" w14:textId="77777777" w:rsidTr="000E484F">
        <w:tc>
          <w:tcPr>
            <w:tcW w:w="784" w:type="pct"/>
            <w:vMerge/>
            <w:vAlign w:val="center"/>
          </w:tcPr>
          <w:p w14:paraId="64C23A97" w14:textId="77777777" w:rsidR="00937EEC" w:rsidRPr="00937EEC" w:rsidRDefault="00937EEC" w:rsidP="00C7217B">
            <w:pPr>
              <w:keepNext/>
              <w:spacing w:before="20" w:after="20"/>
              <w:jc w:val="left"/>
              <w:rPr>
                <w:rFonts w:ascii="Arial Narrow" w:eastAsiaTheme="majorEastAsia" w:hAnsi="Arial Narrow" w:cstheme="majorBidi"/>
                <w:bCs/>
                <w:sz w:val="20"/>
              </w:rPr>
            </w:pPr>
          </w:p>
        </w:tc>
        <w:tc>
          <w:tcPr>
            <w:tcW w:w="2908" w:type="pct"/>
            <w:tcBorders>
              <w:top w:val="nil"/>
              <w:bottom w:val="nil"/>
            </w:tcBorders>
            <w:vAlign w:val="center"/>
          </w:tcPr>
          <w:p w14:paraId="0A4EA5A6" w14:textId="77777777" w:rsidR="00937EEC" w:rsidRPr="00937EEC" w:rsidRDefault="00937EEC" w:rsidP="00C7217B">
            <w:pPr>
              <w:keepNext/>
              <w:spacing w:before="20" w:after="20"/>
              <w:jc w:val="left"/>
              <w:rPr>
                <w:rFonts w:ascii="Arial Narrow" w:eastAsiaTheme="majorEastAsia" w:hAnsi="Arial Narrow" w:cstheme="majorBidi"/>
                <w:bCs/>
                <w:sz w:val="20"/>
                <w:szCs w:val="18"/>
              </w:rPr>
            </w:pPr>
            <w:r w:rsidRPr="00937EEC">
              <w:rPr>
                <w:rFonts w:ascii="Arial Narrow" w:eastAsiaTheme="majorEastAsia" w:hAnsi="Arial Narrow" w:cstheme="majorBidi"/>
                <w:bCs/>
                <w:sz w:val="20"/>
                <w:szCs w:val="18"/>
              </w:rPr>
              <w:t xml:space="preserve">5. </w:t>
            </w:r>
            <w:proofErr w:type="spellStart"/>
            <w:r w:rsidRPr="00937EEC">
              <w:rPr>
                <w:rFonts w:ascii="Arial Narrow" w:eastAsiaTheme="majorEastAsia" w:hAnsi="Arial Narrow" w:cstheme="majorBidi"/>
                <w:bCs/>
                <w:sz w:val="20"/>
                <w:szCs w:val="18"/>
              </w:rPr>
              <w:t>Multicenter</w:t>
            </w:r>
            <w:proofErr w:type="spellEnd"/>
            <w:r w:rsidRPr="00937EEC">
              <w:rPr>
                <w:rFonts w:ascii="Arial Narrow" w:eastAsiaTheme="majorEastAsia" w:hAnsi="Arial Narrow" w:cstheme="majorBidi"/>
                <w:bCs/>
                <w:sz w:val="20"/>
                <w:szCs w:val="18"/>
              </w:rPr>
              <w:t xml:space="preserve">, Randomized, Double-Blind, Placebo-Controlled, Phase III Trial </w:t>
            </w:r>
            <w:proofErr w:type="gramStart"/>
            <w:r w:rsidRPr="00937EEC">
              <w:rPr>
                <w:rFonts w:ascii="Arial Narrow" w:eastAsiaTheme="majorEastAsia" w:hAnsi="Arial Narrow" w:cstheme="majorBidi"/>
                <w:bCs/>
                <w:sz w:val="20"/>
                <w:szCs w:val="18"/>
              </w:rPr>
              <w:t>Of</w:t>
            </w:r>
            <w:proofErr w:type="gramEnd"/>
            <w:r w:rsidRPr="00937EEC">
              <w:rPr>
                <w:rFonts w:ascii="Arial Narrow" w:eastAsiaTheme="majorEastAsia" w:hAnsi="Arial Narrow" w:cstheme="majorBidi"/>
                <w:bCs/>
                <w:sz w:val="20"/>
                <w:szCs w:val="18"/>
              </w:rPr>
              <w:t xml:space="preserve"> </w:t>
            </w:r>
            <w:proofErr w:type="spellStart"/>
            <w:r w:rsidRPr="00937EEC">
              <w:rPr>
                <w:rFonts w:ascii="Arial Narrow" w:eastAsiaTheme="majorEastAsia" w:hAnsi="Arial Narrow" w:cstheme="majorBidi"/>
                <w:bCs/>
                <w:sz w:val="20"/>
                <w:szCs w:val="18"/>
              </w:rPr>
              <w:t>Fulvestrant</w:t>
            </w:r>
            <w:proofErr w:type="spellEnd"/>
            <w:r w:rsidRPr="00937EEC">
              <w:rPr>
                <w:rFonts w:ascii="Arial Narrow" w:eastAsiaTheme="majorEastAsia" w:hAnsi="Arial Narrow" w:cstheme="majorBidi"/>
                <w:bCs/>
                <w:sz w:val="20"/>
                <w:szCs w:val="18"/>
              </w:rPr>
              <w:t xml:space="preserve"> (</w:t>
            </w:r>
            <w:proofErr w:type="spellStart"/>
            <w:r w:rsidRPr="00937EEC">
              <w:rPr>
                <w:rFonts w:ascii="Arial Narrow" w:eastAsiaTheme="majorEastAsia" w:hAnsi="Arial Narrow" w:cstheme="majorBidi"/>
                <w:bCs/>
                <w:sz w:val="20"/>
                <w:szCs w:val="18"/>
              </w:rPr>
              <w:t>Faslodex</w:t>
            </w:r>
            <w:proofErr w:type="spellEnd"/>
            <w:r w:rsidRPr="00937EEC">
              <w:rPr>
                <w:rFonts w:ascii="Arial Narrow" w:eastAsiaTheme="majorEastAsia" w:hAnsi="Arial Narrow" w:cstheme="majorBidi"/>
                <w:bCs/>
                <w:sz w:val="20"/>
                <w:szCs w:val="18"/>
              </w:rPr>
              <w:t>) With Or Without PD-0332991 (</w:t>
            </w:r>
            <w:proofErr w:type="spellStart"/>
            <w:r w:rsidRPr="00937EEC">
              <w:rPr>
                <w:rFonts w:ascii="Arial Narrow" w:eastAsiaTheme="majorEastAsia" w:hAnsi="Arial Narrow" w:cstheme="majorBidi"/>
                <w:bCs/>
                <w:sz w:val="20"/>
                <w:szCs w:val="18"/>
              </w:rPr>
              <w:t>palbociclib</w:t>
            </w:r>
            <w:proofErr w:type="spellEnd"/>
            <w:r w:rsidRPr="00937EEC">
              <w:rPr>
                <w:rFonts w:ascii="Arial Narrow" w:eastAsiaTheme="majorEastAsia" w:hAnsi="Arial Narrow" w:cstheme="majorBidi"/>
                <w:bCs/>
                <w:sz w:val="20"/>
                <w:szCs w:val="18"/>
              </w:rPr>
              <w:t xml:space="preserve">) ± </w:t>
            </w:r>
            <w:proofErr w:type="spellStart"/>
            <w:r w:rsidRPr="00937EEC">
              <w:rPr>
                <w:rFonts w:ascii="Arial Narrow" w:eastAsiaTheme="majorEastAsia" w:hAnsi="Arial Narrow" w:cstheme="majorBidi"/>
                <w:bCs/>
                <w:sz w:val="20"/>
                <w:szCs w:val="18"/>
              </w:rPr>
              <w:t>Goserelin</w:t>
            </w:r>
            <w:proofErr w:type="spellEnd"/>
            <w:r w:rsidRPr="00937EEC">
              <w:rPr>
                <w:rFonts w:ascii="Arial Narrow" w:eastAsiaTheme="majorEastAsia" w:hAnsi="Arial Narrow" w:cstheme="majorBidi"/>
                <w:bCs/>
                <w:sz w:val="20"/>
                <w:szCs w:val="18"/>
              </w:rPr>
              <w:t xml:space="preserve"> In Women With Hormone Receptor-Positive, HER2-Negative Metastatic Breast Cancer Whose Disease Progressed After Prior Endocrine Therapy. </w:t>
            </w:r>
          </w:p>
        </w:tc>
        <w:tc>
          <w:tcPr>
            <w:tcW w:w="1308" w:type="pct"/>
            <w:tcBorders>
              <w:top w:val="nil"/>
              <w:bottom w:val="nil"/>
            </w:tcBorders>
            <w:vAlign w:val="center"/>
          </w:tcPr>
          <w:p w14:paraId="06358F46" w14:textId="77777777" w:rsidR="00937EEC" w:rsidRPr="00937EEC" w:rsidRDefault="00937EEC" w:rsidP="00C7217B">
            <w:pPr>
              <w:keepNext/>
              <w:spacing w:before="20" w:after="20"/>
              <w:jc w:val="left"/>
              <w:rPr>
                <w:rFonts w:ascii="Arial Narrow" w:eastAsiaTheme="majorEastAsia" w:hAnsi="Arial Narrow" w:cstheme="majorBidi"/>
                <w:bCs/>
                <w:sz w:val="20"/>
              </w:rPr>
            </w:pPr>
            <w:r w:rsidRPr="00937EEC">
              <w:rPr>
                <w:rFonts w:ascii="Arial Narrow" w:eastAsiaTheme="majorEastAsia" w:hAnsi="Arial Narrow" w:cstheme="majorBidi"/>
                <w:bCs/>
                <w:i/>
                <w:iCs/>
                <w:sz w:val="20"/>
                <w:szCs w:val="18"/>
              </w:rPr>
              <w:t>Clinical Study Report</w:t>
            </w:r>
            <w:r w:rsidRPr="00937EEC">
              <w:rPr>
                <w:rFonts w:ascii="Arial Narrow" w:eastAsiaTheme="majorEastAsia" w:hAnsi="Arial Narrow" w:cstheme="majorBidi"/>
                <w:bCs/>
                <w:sz w:val="20"/>
                <w:szCs w:val="18"/>
              </w:rPr>
              <w:t>, 13 April 2018</w:t>
            </w:r>
          </w:p>
        </w:tc>
      </w:tr>
      <w:tr w:rsidR="00937EEC" w:rsidRPr="00937EEC" w14:paraId="0A476488" w14:textId="77777777" w:rsidTr="000E484F">
        <w:tc>
          <w:tcPr>
            <w:tcW w:w="784" w:type="pct"/>
            <w:vMerge/>
            <w:vAlign w:val="center"/>
          </w:tcPr>
          <w:p w14:paraId="009B5E9A" w14:textId="77777777" w:rsidR="00937EEC" w:rsidRPr="00937EEC" w:rsidRDefault="00937EEC" w:rsidP="00C7217B">
            <w:pPr>
              <w:keepNext/>
              <w:spacing w:before="20" w:after="20"/>
              <w:jc w:val="left"/>
              <w:rPr>
                <w:rFonts w:ascii="Arial Narrow" w:eastAsiaTheme="majorEastAsia" w:hAnsi="Arial Narrow" w:cstheme="majorBidi"/>
                <w:bCs/>
                <w:sz w:val="20"/>
              </w:rPr>
            </w:pPr>
          </w:p>
        </w:tc>
        <w:tc>
          <w:tcPr>
            <w:tcW w:w="2908" w:type="pct"/>
            <w:tcBorders>
              <w:top w:val="nil"/>
              <w:bottom w:val="nil"/>
            </w:tcBorders>
            <w:vAlign w:val="center"/>
          </w:tcPr>
          <w:p w14:paraId="6388EFE4" w14:textId="77777777" w:rsidR="00937EEC" w:rsidRPr="00937EEC" w:rsidRDefault="00937EEC" w:rsidP="00C7217B">
            <w:pPr>
              <w:keepNext/>
              <w:spacing w:before="20" w:after="20"/>
              <w:jc w:val="left"/>
              <w:rPr>
                <w:rFonts w:ascii="Arial Narrow" w:eastAsiaTheme="majorEastAsia" w:hAnsi="Arial Narrow" w:cstheme="majorBidi"/>
                <w:bCs/>
                <w:sz w:val="20"/>
                <w:szCs w:val="18"/>
              </w:rPr>
            </w:pPr>
            <w:r w:rsidRPr="00937EEC">
              <w:rPr>
                <w:rFonts w:ascii="Arial Narrow" w:eastAsiaTheme="majorEastAsia" w:hAnsi="Arial Narrow" w:cstheme="majorBidi"/>
                <w:bCs/>
                <w:sz w:val="20"/>
                <w:szCs w:val="18"/>
              </w:rPr>
              <w:t>Turner NC, Ro J, André F, et al. Palbociclib in Hormone-Receptor-Positive Advanced Breast Cancer</w:t>
            </w:r>
          </w:p>
        </w:tc>
        <w:tc>
          <w:tcPr>
            <w:tcW w:w="1308" w:type="pct"/>
            <w:tcBorders>
              <w:top w:val="nil"/>
              <w:bottom w:val="nil"/>
            </w:tcBorders>
            <w:vAlign w:val="center"/>
          </w:tcPr>
          <w:p w14:paraId="1767F5A4" w14:textId="77777777" w:rsidR="00937EEC" w:rsidRPr="00937EEC" w:rsidRDefault="00937EEC" w:rsidP="00C7217B">
            <w:pPr>
              <w:keepNext/>
              <w:spacing w:before="20" w:after="20"/>
              <w:jc w:val="left"/>
              <w:rPr>
                <w:rFonts w:ascii="Arial Narrow" w:eastAsiaTheme="majorEastAsia" w:hAnsi="Arial Narrow" w:cstheme="majorBidi"/>
                <w:bCs/>
                <w:sz w:val="20"/>
                <w:szCs w:val="18"/>
              </w:rPr>
            </w:pPr>
            <w:r w:rsidRPr="00937EEC">
              <w:rPr>
                <w:rFonts w:ascii="Arial Narrow" w:eastAsiaTheme="majorEastAsia" w:hAnsi="Arial Narrow" w:cstheme="majorBidi"/>
                <w:bCs/>
                <w:i/>
                <w:iCs/>
                <w:sz w:val="20"/>
                <w:szCs w:val="18"/>
              </w:rPr>
              <w:t>NEJM</w:t>
            </w:r>
            <w:r w:rsidRPr="00937EEC">
              <w:rPr>
                <w:rFonts w:ascii="Arial Narrow" w:eastAsiaTheme="majorEastAsia" w:hAnsi="Arial Narrow" w:cstheme="majorBidi"/>
                <w:bCs/>
                <w:sz w:val="20"/>
                <w:szCs w:val="18"/>
              </w:rPr>
              <w:t xml:space="preserve"> 2015; 373(3):209-219.</w:t>
            </w:r>
          </w:p>
        </w:tc>
      </w:tr>
      <w:tr w:rsidR="00937EEC" w:rsidRPr="00937EEC" w14:paraId="62065437" w14:textId="77777777" w:rsidTr="000E484F">
        <w:tc>
          <w:tcPr>
            <w:tcW w:w="784" w:type="pct"/>
            <w:vMerge/>
            <w:vAlign w:val="center"/>
          </w:tcPr>
          <w:p w14:paraId="6FE8619D" w14:textId="77777777" w:rsidR="00937EEC" w:rsidRPr="00937EEC" w:rsidRDefault="00937EEC" w:rsidP="00C7217B">
            <w:pPr>
              <w:keepNext/>
              <w:spacing w:before="20" w:after="20"/>
              <w:jc w:val="left"/>
              <w:rPr>
                <w:rFonts w:ascii="Arial Narrow" w:eastAsiaTheme="majorEastAsia" w:hAnsi="Arial Narrow" w:cstheme="majorBidi"/>
                <w:bCs/>
                <w:sz w:val="20"/>
              </w:rPr>
            </w:pPr>
          </w:p>
        </w:tc>
        <w:tc>
          <w:tcPr>
            <w:tcW w:w="2908" w:type="pct"/>
            <w:tcBorders>
              <w:top w:val="nil"/>
              <w:bottom w:val="nil"/>
            </w:tcBorders>
            <w:vAlign w:val="center"/>
          </w:tcPr>
          <w:p w14:paraId="40F5A451" w14:textId="77777777" w:rsidR="00937EEC" w:rsidRPr="00937EEC" w:rsidRDefault="00937EEC" w:rsidP="00C7217B">
            <w:pPr>
              <w:keepNext/>
              <w:spacing w:before="20" w:after="20"/>
              <w:jc w:val="left"/>
              <w:rPr>
                <w:rFonts w:ascii="Arial Narrow" w:eastAsiaTheme="majorEastAsia" w:hAnsi="Arial Narrow" w:cstheme="majorBidi"/>
                <w:bCs/>
                <w:sz w:val="20"/>
                <w:szCs w:val="18"/>
              </w:rPr>
            </w:pPr>
            <w:proofErr w:type="spellStart"/>
            <w:r w:rsidRPr="00937EEC">
              <w:rPr>
                <w:rFonts w:ascii="Arial Narrow" w:eastAsiaTheme="majorEastAsia" w:hAnsi="Arial Narrow" w:cstheme="majorBidi"/>
                <w:bCs/>
                <w:sz w:val="20"/>
                <w:szCs w:val="18"/>
              </w:rPr>
              <w:t>Cristofanilli</w:t>
            </w:r>
            <w:proofErr w:type="spellEnd"/>
            <w:r w:rsidRPr="00937EEC">
              <w:rPr>
                <w:rFonts w:ascii="Arial Narrow" w:eastAsiaTheme="majorEastAsia" w:hAnsi="Arial Narrow" w:cstheme="majorBidi"/>
                <w:bCs/>
                <w:sz w:val="20"/>
                <w:szCs w:val="18"/>
              </w:rPr>
              <w:t xml:space="preserve"> M, Turner NC, </w:t>
            </w:r>
            <w:proofErr w:type="spellStart"/>
            <w:r w:rsidRPr="00937EEC">
              <w:rPr>
                <w:rFonts w:ascii="Arial Narrow" w:eastAsiaTheme="majorEastAsia" w:hAnsi="Arial Narrow" w:cstheme="majorBidi"/>
                <w:bCs/>
                <w:sz w:val="20"/>
                <w:szCs w:val="18"/>
              </w:rPr>
              <w:t>Bondarenko</w:t>
            </w:r>
            <w:proofErr w:type="spellEnd"/>
            <w:r w:rsidRPr="00937EEC">
              <w:rPr>
                <w:rFonts w:ascii="Arial Narrow" w:eastAsiaTheme="majorEastAsia" w:hAnsi="Arial Narrow" w:cstheme="majorBidi"/>
                <w:bCs/>
                <w:sz w:val="20"/>
                <w:szCs w:val="18"/>
              </w:rPr>
              <w:t xml:space="preserve"> I, et al. </w:t>
            </w:r>
            <w:proofErr w:type="spellStart"/>
            <w:r w:rsidRPr="00937EEC">
              <w:rPr>
                <w:rFonts w:ascii="Arial Narrow" w:eastAsiaTheme="majorEastAsia" w:hAnsi="Arial Narrow" w:cstheme="majorBidi"/>
                <w:bCs/>
                <w:sz w:val="20"/>
                <w:szCs w:val="18"/>
              </w:rPr>
              <w:t>Fulvestrant</w:t>
            </w:r>
            <w:proofErr w:type="spellEnd"/>
            <w:r w:rsidRPr="00937EEC">
              <w:rPr>
                <w:rFonts w:ascii="Arial Narrow" w:eastAsiaTheme="majorEastAsia" w:hAnsi="Arial Narrow" w:cstheme="majorBidi"/>
                <w:bCs/>
                <w:sz w:val="20"/>
                <w:szCs w:val="18"/>
              </w:rPr>
              <w:t xml:space="preserve"> plus </w:t>
            </w:r>
            <w:proofErr w:type="spellStart"/>
            <w:r w:rsidRPr="00937EEC">
              <w:rPr>
                <w:rFonts w:ascii="Arial Narrow" w:eastAsiaTheme="majorEastAsia" w:hAnsi="Arial Narrow" w:cstheme="majorBidi"/>
                <w:bCs/>
                <w:sz w:val="20"/>
                <w:szCs w:val="18"/>
              </w:rPr>
              <w:t>palbociclib</w:t>
            </w:r>
            <w:proofErr w:type="spellEnd"/>
            <w:r w:rsidRPr="00937EEC">
              <w:rPr>
                <w:rFonts w:ascii="Arial Narrow" w:eastAsiaTheme="majorEastAsia" w:hAnsi="Arial Narrow" w:cstheme="majorBidi"/>
                <w:bCs/>
                <w:sz w:val="20"/>
                <w:szCs w:val="18"/>
              </w:rPr>
              <w:t xml:space="preserve"> versus </w:t>
            </w:r>
            <w:proofErr w:type="spellStart"/>
            <w:r w:rsidRPr="00937EEC">
              <w:rPr>
                <w:rFonts w:ascii="Arial Narrow" w:eastAsiaTheme="majorEastAsia" w:hAnsi="Arial Narrow" w:cstheme="majorBidi"/>
                <w:bCs/>
                <w:sz w:val="20"/>
                <w:szCs w:val="18"/>
              </w:rPr>
              <w:t>fulvestrant</w:t>
            </w:r>
            <w:proofErr w:type="spellEnd"/>
            <w:r w:rsidRPr="00937EEC">
              <w:rPr>
                <w:rFonts w:ascii="Arial Narrow" w:eastAsiaTheme="majorEastAsia" w:hAnsi="Arial Narrow" w:cstheme="majorBidi"/>
                <w:bCs/>
                <w:sz w:val="20"/>
                <w:szCs w:val="18"/>
              </w:rPr>
              <w:t xml:space="preserve"> plus placebo for treatment of hormone-receptor-positive, HER2-negative metastatic breast cancer that progressed on previous endocrine therapy (PALOMA-3): final analysis of the multicentre, double-blind, phase 3 randomised controlled trial. </w:t>
            </w:r>
          </w:p>
        </w:tc>
        <w:tc>
          <w:tcPr>
            <w:tcW w:w="1308" w:type="pct"/>
            <w:tcBorders>
              <w:top w:val="nil"/>
              <w:bottom w:val="nil"/>
            </w:tcBorders>
            <w:vAlign w:val="center"/>
          </w:tcPr>
          <w:p w14:paraId="2AADA100" w14:textId="77777777" w:rsidR="00937EEC" w:rsidRPr="00937EEC" w:rsidRDefault="00937EEC" w:rsidP="00C7217B">
            <w:pPr>
              <w:keepNext/>
              <w:spacing w:before="20" w:after="20"/>
              <w:jc w:val="left"/>
              <w:rPr>
                <w:rFonts w:ascii="Arial Narrow" w:eastAsiaTheme="majorEastAsia" w:hAnsi="Arial Narrow" w:cstheme="majorBidi"/>
                <w:bCs/>
                <w:sz w:val="20"/>
                <w:szCs w:val="18"/>
              </w:rPr>
            </w:pPr>
            <w:r w:rsidRPr="00937EEC">
              <w:rPr>
                <w:rFonts w:ascii="Arial Narrow" w:eastAsiaTheme="majorEastAsia" w:hAnsi="Arial Narrow" w:cstheme="majorBidi"/>
                <w:bCs/>
                <w:i/>
                <w:iCs/>
                <w:sz w:val="20"/>
                <w:szCs w:val="18"/>
              </w:rPr>
              <w:t>Lancet Oncology</w:t>
            </w:r>
            <w:r w:rsidRPr="00937EEC">
              <w:rPr>
                <w:rFonts w:ascii="Arial Narrow" w:eastAsiaTheme="majorEastAsia" w:hAnsi="Arial Narrow" w:cstheme="majorBidi"/>
                <w:bCs/>
                <w:sz w:val="20"/>
                <w:szCs w:val="18"/>
              </w:rPr>
              <w:t xml:space="preserve"> 2016;</w:t>
            </w:r>
            <w:r w:rsidRPr="00937EEC">
              <w:rPr>
                <w:rFonts w:ascii="Arial Narrow" w:eastAsiaTheme="majorEastAsia" w:hAnsi="Arial Narrow" w:cstheme="majorBidi"/>
                <w:bCs/>
                <w:sz w:val="20"/>
              </w:rPr>
              <w:t xml:space="preserve"> </w:t>
            </w:r>
            <w:r w:rsidRPr="00937EEC">
              <w:rPr>
                <w:rFonts w:ascii="Arial Narrow" w:eastAsiaTheme="majorEastAsia" w:hAnsi="Arial Narrow" w:cstheme="majorBidi"/>
                <w:bCs/>
                <w:sz w:val="20"/>
                <w:szCs w:val="18"/>
              </w:rPr>
              <w:t>17(4):425-439.</w:t>
            </w:r>
          </w:p>
        </w:tc>
      </w:tr>
      <w:tr w:rsidR="00937EEC" w:rsidRPr="00937EEC" w14:paraId="3AD44350" w14:textId="77777777" w:rsidTr="000E484F">
        <w:tc>
          <w:tcPr>
            <w:tcW w:w="784" w:type="pct"/>
            <w:vMerge/>
            <w:vAlign w:val="center"/>
          </w:tcPr>
          <w:p w14:paraId="27D9AC4E" w14:textId="77777777" w:rsidR="00937EEC" w:rsidRPr="00937EEC" w:rsidRDefault="00937EEC" w:rsidP="00C7217B">
            <w:pPr>
              <w:keepNext/>
              <w:spacing w:before="20" w:after="20"/>
              <w:jc w:val="left"/>
              <w:rPr>
                <w:rFonts w:ascii="Arial Narrow" w:eastAsiaTheme="majorEastAsia" w:hAnsi="Arial Narrow" w:cstheme="majorBidi"/>
                <w:bCs/>
                <w:sz w:val="20"/>
              </w:rPr>
            </w:pPr>
          </w:p>
        </w:tc>
        <w:tc>
          <w:tcPr>
            <w:tcW w:w="2908" w:type="pct"/>
            <w:tcBorders>
              <w:top w:val="nil"/>
              <w:bottom w:val="nil"/>
            </w:tcBorders>
            <w:vAlign w:val="center"/>
          </w:tcPr>
          <w:p w14:paraId="64B3FC82" w14:textId="77777777" w:rsidR="00937EEC" w:rsidRPr="00937EEC" w:rsidRDefault="00937EEC" w:rsidP="00C7217B">
            <w:pPr>
              <w:keepNext/>
              <w:spacing w:before="20" w:after="20"/>
              <w:jc w:val="left"/>
              <w:rPr>
                <w:rFonts w:ascii="Arial Narrow" w:eastAsiaTheme="majorEastAsia" w:hAnsi="Arial Narrow" w:cstheme="majorBidi"/>
                <w:bCs/>
                <w:sz w:val="20"/>
                <w:szCs w:val="18"/>
              </w:rPr>
            </w:pPr>
            <w:proofErr w:type="spellStart"/>
            <w:r w:rsidRPr="00937EEC">
              <w:rPr>
                <w:rFonts w:ascii="Arial Narrow" w:eastAsiaTheme="majorEastAsia" w:hAnsi="Arial Narrow" w:cstheme="majorBidi"/>
                <w:bCs/>
                <w:sz w:val="20"/>
                <w:szCs w:val="18"/>
              </w:rPr>
              <w:t>Harbeck</w:t>
            </w:r>
            <w:proofErr w:type="spellEnd"/>
            <w:r w:rsidRPr="00937EEC">
              <w:rPr>
                <w:rFonts w:ascii="Arial Narrow" w:eastAsiaTheme="majorEastAsia" w:hAnsi="Arial Narrow" w:cstheme="majorBidi"/>
                <w:bCs/>
                <w:sz w:val="20"/>
                <w:szCs w:val="18"/>
              </w:rPr>
              <w:t xml:space="preserve"> N, </w:t>
            </w:r>
            <w:proofErr w:type="spellStart"/>
            <w:r w:rsidRPr="00937EEC">
              <w:rPr>
                <w:rFonts w:ascii="Arial Narrow" w:eastAsiaTheme="majorEastAsia" w:hAnsi="Arial Narrow" w:cstheme="majorBidi"/>
                <w:bCs/>
                <w:sz w:val="20"/>
                <w:szCs w:val="18"/>
              </w:rPr>
              <w:t>Iyer</w:t>
            </w:r>
            <w:proofErr w:type="spellEnd"/>
            <w:r w:rsidRPr="00937EEC">
              <w:rPr>
                <w:rFonts w:ascii="Arial Narrow" w:eastAsiaTheme="majorEastAsia" w:hAnsi="Arial Narrow" w:cstheme="majorBidi"/>
                <w:bCs/>
                <w:sz w:val="20"/>
                <w:szCs w:val="18"/>
              </w:rPr>
              <w:t xml:space="preserve"> S, Turner N, et al. Quality of life with </w:t>
            </w:r>
            <w:proofErr w:type="spellStart"/>
            <w:r w:rsidRPr="00937EEC">
              <w:rPr>
                <w:rFonts w:ascii="Arial Narrow" w:eastAsiaTheme="majorEastAsia" w:hAnsi="Arial Narrow" w:cstheme="majorBidi"/>
                <w:bCs/>
                <w:sz w:val="20"/>
                <w:szCs w:val="18"/>
              </w:rPr>
              <w:t>palbociclib</w:t>
            </w:r>
            <w:proofErr w:type="spellEnd"/>
            <w:r w:rsidRPr="00937EEC">
              <w:rPr>
                <w:rFonts w:ascii="Arial Narrow" w:eastAsiaTheme="majorEastAsia" w:hAnsi="Arial Narrow" w:cstheme="majorBidi"/>
                <w:bCs/>
                <w:sz w:val="20"/>
                <w:szCs w:val="18"/>
              </w:rPr>
              <w:t xml:space="preserve"> plus </w:t>
            </w:r>
            <w:proofErr w:type="spellStart"/>
            <w:r w:rsidRPr="00937EEC">
              <w:rPr>
                <w:rFonts w:ascii="Arial Narrow" w:eastAsiaTheme="majorEastAsia" w:hAnsi="Arial Narrow" w:cstheme="majorBidi"/>
                <w:bCs/>
                <w:sz w:val="20"/>
                <w:szCs w:val="18"/>
              </w:rPr>
              <w:t>fulvestrant</w:t>
            </w:r>
            <w:proofErr w:type="spellEnd"/>
            <w:r w:rsidRPr="00937EEC">
              <w:rPr>
                <w:rFonts w:ascii="Arial Narrow" w:eastAsiaTheme="majorEastAsia" w:hAnsi="Arial Narrow" w:cstheme="majorBidi"/>
                <w:bCs/>
                <w:sz w:val="20"/>
                <w:szCs w:val="18"/>
              </w:rPr>
              <w:t xml:space="preserve"> in previously treated hormone receptor-positive, HER2-negative metastatic breast cancer: patient-reported outcomes from the PALOMA-3 trial. </w:t>
            </w:r>
          </w:p>
        </w:tc>
        <w:tc>
          <w:tcPr>
            <w:tcW w:w="1308" w:type="pct"/>
            <w:tcBorders>
              <w:top w:val="nil"/>
              <w:bottom w:val="nil"/>
            </w:tcBorders>
            <w:vAlign w:val="center"/>
          </w:tcPr>
          <w:p w14:paraId="67EAEEB3" w14:textId="77777777" w:rsidR="00937EEC" w:rsidRPr="00937EEC" w:rsidRDefault="00937EEC" w:rsidP="00C7217B">
            <w:pPr>
              <w:keepNext/>
              <w:spacing w:before="20" w:after="20"/>
              <w:jc w:val="left"/>
              <w:rPr>
                <w:rFonts w:ascii="Arial Narrow" w:eastAsiaTheme="majorEastAsia" w:hAnsi="Arial Narrow" w:cstheme="majorBidi"/>
                <w:bCs/>
                <w:sz w:val="20"/>
                <w:szCs w:val="18"/>
              </w:rPr>
            </w:pPr>
            <w:r w:rsidRPr="00937EEC">
              <w:rPr>
                <w:rFonts w:ascii="Arial Narrow" w:eastAsiaTheme="majorEastAsia" w:hAnsi="Arial Narrow" w:cstheme="majorBidi"/>
                <w:bCs/>
                <w:i/>
                <w:iCs/>
                <w:sz w:val="20"/>
                <w:szCs w:val="18"/>
              </w:rPr>
              <w:t xml:space="preserve">Ann Oncol. </w:t>
            </w:r>
            <w:r w:rsidRPr="00937EEC">
              <w:rPr>
                <w:rFonts w:ascii="Arial Narrow" w:eastAsiaTheme="majorEastAsia" w:hAnsi="Arial Narrow" w:cstheme="majorBidi"/>
                <w:bCs/>
                <w:sz w:val="20"/>
                <w:szCs w:val="18"/>
              </w:rPr>
              <w:t>2016; 27(6):1047-1054.</w:t>
            </w:r>
          </w:p>
        </w:tc>
      </w:tr>
      <w:tr w:rsidR="00937EEC" w:rsidRPr="00937EEC" w14:paraId="525E1E75" w14:textId="77777777" w:rsidTr="000E484F">
        <w:tc>
          <w:tcPr>
            <w:tcW w:w="784" w:type="pct"/>
            <w:vMerge/>
            <w:vAlign w:val="center"/>
          </w:tcPr>
          <w:p w14:paraId="7C271852" w14:textId="77777777" w:rsidR="00937EEC" w:rsidRPr="00937EEC" w:rsidRDefault="00937EEC" w:rsidP="00C7217B">
            <w:pPr>
              <w:keepNext/>
              <w:spacing w:before="20" w:after="20"/>
              <w:jc w:val="left"/>
              <w:rPr>
                <w:rFonts w:ascii="Arial Narrow" w:eastAsiaTheme="majorEastAsia" w:hAnsi="Arial Narrow" w:cstheme="majorBidi"/>
                <w:bCs/>
                <w:sz w:val="20"/>
              </w:rPr>
            </w:pPr>
          </w:p>
        </w:tc>
        <w:tc>
          <w:tcPr>
            <w:tcW w:w="2908" w:type="pct"/>
            <w:tcBorders>
              <w:top w:val="nil"/>
              <w:bottom w:val="nil"/>
            </w:tcBorders>
            <w:vAlign w:val="center"/>
          </w:tcPr>
          <w:p w14:paraId="02DCEDD7" w14:textId="77777777" w:rsidR="00937EEC" w:rsidRPr="00937EEC" w:rsidRDefault="00937EEC" w:rsidP="00C7217B">
            <w:pPr>
              <w:keepNext/>
              <w:spacing w:before="20" w:after="20"/>
              <w:jc w:val="left"/>
              <w:rPr>
                <w:rFonts w:ascii="Arial Narrow" w:eastAsiaTheme="majorEastAsia" w:hAnsi="Arial Narrow" w:cstheme="majorBidi"/>
                <w:bCs/>
                <w:sz w:val="20"/>
                <w:szCs w:val="18"/>
              </w:rPr>
            </w:pPr>
            <w:r w:rsidRPr="00937EEC">
              <w:rPr>
                <w:rFonts w:ascii="Arial Narrow" w:eastAsiaTheme="majorEastAsia" w:hAnsi="Arial Narrow" w:cstheme="majorBidi"/>
                <w:bCs/>
                <w:sz w:val="20"/>
                <w:szCs w:val="18"/>
              </w:rPr>
              <w:t xml:space="preserve">Verma S, Bartlett CH, Schnell P, et al. Palbociclib in Combination </w:t>
            </w:r>
            <w:proofErr w:type="gramStart"/>
            <w:r w:rsidRPr="00937EEC">
              <w:rPr>
                <w:rFonts w:ascii="Arial Narrow" w:eastAsiaTheme="majorEastAsia" w:hAnsi="Arial Narrow" w:cstheme="majorBidi"/>
                <w:bCs/>
                <w:sz w:val="20"/>
                <w:szCs w:val="18"/>
              </w:rPr>
              <w:t>With</w:t>
            </w:r>
            <w:proofErr w:type="gramEnd"/>
            <w:r w:rsidRPr="00937EEC">
              <w:rPr>
                <w:rFonts w:ascii="Arial Narrow" w:eastAsiaTheme="majorEastAsia" w:hAnsi="Arial Narrow" w:cstheme="majorBidi"/>
                <w:bCs/>
                <w:sz w:val="20"/>
                <w:szCs w:val="18"/>
              </w:rPr>
              <w:t xml:space="preserve"> </w:t>
            </w:r>
            <w:proofErr w:type="spellStart"/>
            <w:r w:rsidRPr="00937EEC">
              <w:rPr>
                <w:rFonts w:ascii="Arial Narrow" w:eastAsiaTheme="majorEastAsia" w:hAnsi="Arial Narrow" w:cstheme="majorBidi"/>
                <w:bCs/>
                <w:sz w:val="20"/>
                <w:szCs w:val="18"/>
              </w:rPr>
              <w:t>Fulvestrant</w:t>
            </w:r>
            <w:proofErr w:type="spellEnd"/>
            <w:r w:rsidRPr="00937EEC">
              <w:rPr>
                <w:rFonts w:ascii="Arial Narrow" w:eastAsiaTheme="majorEastAsia" w:hAnsi="Arial Narrow" w:cstheme="majorBidi"/>
                <w:bCs/>
                <w:sz w:val="20"/>
                <w:szCs w:val="18"/>
              </w:rPr>
              <w:t xml:space="preserve"> in Women With Hormone Receptor-Positive/HER2-Negative Advanced Metastatic Breast Cancer: detailed Safety Analysis From a </w:t>
            </w:r>
            <w:proofErr w:type="spellStart"/>
            <w:r w:rsidRPr="00937EEC">
              <w:rPr>
                <w:rFonts w:ascii="Arial Narrow" w:eastAsiaTheme="majorEastAsia" w:hAnsi="Arial Narrow" w:cstheme="majorBidi"/>
                <w:bCs/>
                <w:sz w:val="20"/>
                <w:szCs w:val="18"/>
              </w:rPr>
              <w:t>Multicenter</w:t>
            </w:r>
            <w:proofErr w:type="spellEnd"/>
            <w:r w:rsidRPr="00937EEC">
              <w:rPr>
                <w:rFonts w:ascii="Arial Narrow" w:eastAsiaTheme="majorEastAsia" w:hAnsi="Arial Narrow" w:cstheme="majorBidi"/>
                <w:bCs/>
                <w:sz w:val="20"/>
                <w:szCs w:val="18"/>
              </w:rPr>
              <w:t xml:space="preserve">, Randomized, Placebo-Controlled, Phase III Study (PALOMA-3). </w:t>
            </w:r>
          </w:p>
        </w:tc>
        <w:tc>
          <w:tcPr>
            <w:tcW w:w="1308" w:type="pct"/>
            <w:tcBorders>
              <w:top w:val="nil"/>
              <w:bottom w:val="nil"/>
            </w:tcBorders>
            <w:vAlign w:val="center"/>
          </w:tcPr>
          <w:p w14:paraId="709D01E2" w14:textId="77777777" w:rsidR="00937EEC" w:rsidRPr="00937EEC" w:rsidRDefault="00937EEC" w:rsidP="00C7217B">
            <w:pPr>
              <w:keepNext/>
              <w:spacing w:before="20" w:after="20"/>
              <w:jc w:val="left"/>
              <w:rPr>
                <w:rFonts w:ascii="Arial Narrow" w:eastAsiaTheme="majorEastAsia" w:hAnsi="Arial Narrow" w:cstheme="majorBidi"/>
                <w:bCs/>
                <w:sz w:val="20"/>
                <w:szCs w:val="18"/>
              </w:rPr>
            </w:pPr>
            <w:r w:rsidRPr="00937EEC">
              <w:rPr>
                <w:rFonts w:ascii="Arial Narrow" w:eastAsiaTheme="majorEastAsia" w:hAnsi="Arial Narrow" w:cstheme="majorBidi"/>
                <w:bCs/>
                <w:i/>
                <w:iCs/>
                <w:sz w:val="20"/>
                <w:szCs w:val="18"/>
              </w:rPr>
              <w:t>Oncologist</w:t>
            </w:r>
            <w:r w:rsidRPr="00937EEC">
              <w:rPr>
                <w:rFonts w:ascii="Arial Narrow" w:eastAsiaTheme="majorEastAsia" w:hAnsi="Arial Narrow" w:cstheme="majorBidi"/>
                <w:bCs/>
                <w:sz w:val="20"/>
                <w:szCs w:val="18"/>
              </w:rPr>
              <w:t xml:space="preserve"> 2016; 21(10):1165-1175.</w:t>
            </w:r>
          </w:p>
        </w:tc>
      </w:tr>
      <w:tr w:rsidR="00937EEC" w:rsidRPr="00937EEC" w14:paraId="29CBB4C5" w14:textId="77777777" w:rsidTr="000E484F">
        <w:tc>
          <w:tcPr>
            <w:tcW w:w="784" w:type="pct"/>
            <w:vMerge/>
            <w:vAlign w:val="center"/>
          </w:tcPr>
          <w:p w14:paraId="7FC359DF" w14:textId="77777777" w:rsidR="00937EEC" w:rsidRPr="00937EEC" w:rsidRDefault="00937EEC" w:rsidP="00937EEC">
            <w:pPr>
              <w:spacing w:before="20" w:after="20"/>
              <w:jc w:val="left"/>
              <w:rPr>
                <w:rFonts w:ascii="Arial Narrow" w:eastAsiaTheme="majorEastAsia" w:hAnsi="Arial Narrow" w:cstheme="majorBidi"/>
                <w:bCs/>
                <w:sz w:val="20"/>
              </w:rPr>
            </w:pPr>
          </w:p>
        </w:tc>
        <w:tc>
          <w:tcPr>
            <w:tcW w:w="2908" w:type="pct"/>
            <w:tcBorders>
              <w:top w:val="nil"/>
              <w:bottom w:val="nil"/>
            </w:tcBorders>
            <w:vAlign w:val="center"/>
          </w:tcPr>
          <w:p w14:paraId="045BCB62" w14:textId="77777777" w:rsidR="00937EEC" w:rsidRPr="00937EEC" w:rsidRDefault="00937EEC" w:rsidP="00937EEC">
            <w:pPr>
              <w:spacing w:before="20" w:after="20"/>
              <w:jc w:val="left"/>
              <w:rPr>
                <w:rFonts w:ascii="Arial Narrow" w:eastAsiaTheme="majorEastAsia" w:hAnsi="Arial Narrow" w:cstheme="majorBidi"/>
                <w:bCs/>
                <w:sz w:val="20"/>
                <w:szCs w:val="18"/>
              </w:rPr>
            </w:pPr>
            <w:r w:rsidRPr="00937EEC">
              <w:rPr>
                <w:rFonts w:ascii="Arial Narrow" w:eastAsiaTheme="majorEastAsia" w:hAnsi="Arial Narrow" w:cstheme="majorBidi"/>
                <w:bCs/>
                <w:sz w:val="20"/>
                <w:szCs w:val="18"/>
              </w:rPr>
              <w:t xml:space="preserve">Iwata H, </w:t>
            </w:r>
            <w:proofErr w:type="spellStart"/>
            <w:r w:rsidRPr="00937EEC">
              <w:rPr>
                <w:rFonts w:ascii="Arial Narrow" w:eastAsiaTheme="majorEastAsia" w:hAnsi="Arial Narrow" w:cstheme="majorBidi"/>
                <w:bCs/>
                <w:sz w:val="20"/>
                <w:szCs w:val="18"/>
              </w:rPr>
              <w:t>Im</w:t>
            </w:r>
            <w:proofErr w:type="spellEnd"/>
            <w:r w:rsidRPr="00937EEC">
              <w:rPr>
                <w:rFonts w:ascii="Arial Narrow" w:eastAsiaTheme="majorEastAsia" w:hAnsi="Arial Narrow" w:cstheme="majorBidi"/>
                <w:bCs/>
                <w:sz w:val="20"/>
                <w:szCs w:val="18"/>
              </w:rPr>
              <w:t xml:space="preserve"> SA, Masuda N, et al. PALOMA-3: phase III trial of </w:t>
            </w:r>
            <w:proofErr w:type="spellStart"/>
            <w:r w:rsidRPr="00937EEC">
              <w:rPr>
                <w:rFonts w:ascii="Arial Narrow" w:eastAsiaTheme="majorEastAsia" w:hAnsi="Arial Narrow" w:cstheme="majorBidi"/>
                <w:bCs/>
                <w:sz w:val="20"/>
                <w:szCs w:val="18"/>
              </w:rPr>
              <w:t>fulvestrant</w:t>
            </w:r>
            <w:proofErr w:type="spellEnd"/>
            <w:r w:rsidRPr="00937EEC">
              <w:rPr>
                <w:rFonts w:ascii="Arial Narrow" w:eastAsiaTheme="majorEastAsia" w:hAnsi="Arial Narrow" w:cstheme="majorBidi"/>
                <w:bCs/>
                <w:sz w:val="20"/>
                <w:szCs w:val="18"/>
              </w:rPr>
              <w:t xml:space="preserve"> with or without </w:t>
            </w:r>
            <w:proofErr w:type="spellStart"/>
            <w:r w:rsidRPr="00937EEC">
              <w:rPr>
                <w:rFonts w:ascii="Arial Narrow" w:eastAsiaTheme="majorEastAsia" w:hAnsi="Arial Narrow" w:cstheme="majorBidi"/>
                <w:bCs/>
                <w:sz w:val="20"/>
                <w:szCs w:val="18"/>
              </w:rPr>
              <w:t>palbociclib</w:t>
            </w:r>
            <w:proofErr w:type="spellEnd"/>
            <w:r w:rsidRPr="00937EEC">
              <w:rPr>
                <w:rFonts w:ascii="Arial Narrow" w:eastAsiaTheme="majorEastAsia" w:hAnsi="Arial Narrow" w:cstheme="majorBidi"/>
                <w:bCs/>
                <w:sz w:val="20"/>
                <w:szCs w:val="18"/>
              </w:rPr>
              <w:t xml:space="preserve"> in premenopausal and postmenopausal women with hormone receptor positive, human epidermal growth factor receptor 2â</w:t>
            </w:r>
            <w:proofErr w:type="gramStart"/>
            <w:r w:rsidRPr="00937EEC">
              <w:rPr>
                <w:rFonts w:ascii="Arial Narrow" w:eastAsiaTheme="majorEastAsia" w:hAnsi="Arial Narrow" w:cstheme="majorBidi"/>
                <w:bCs/>
                <w:sz w:val="20"/>
                <w:szCs w:val="18"/>
              </w:rPr>
              <w:t>€“</w:t>
            </w:r>
            <w:proofErr w:type="gramEnd"/>
            <w:r w:rsidRPr="00937EEC">
              <w:rPr>
                <w:rFonts w:ascii="Arial Narrow" w:eastAsiaTheme="majorEastAsia" w:hAnsi="Arial Narrow" w:cstheme="majorBidi"/>
                <w:bCs/>
                <w:sz w:val="20"/>
                <w:szCs w:val="18"/>
              </w:rPr>
              <w:t xml:space="preserve">negative metastatic breast cancer that progressed on prior endocrine therapy safety and efficacy in Asian patients. </w:t>
            </w:r>
          </w:p>
        </w:tc>
        <w:tc>
          <w:tcPr>
            <w:tcW w:w="1308" w:type="pct"/>
            <w:tcBorders>
              <w:top w:val="nil"/>
              <w:bottom w:val="nil"/>
            </w:tcBorders>
            <w:vAlign w:val="center"/>
          </w:tcPr>
          <w:p w14:paraId="50961C62" w14:textId="0F209F71" w:rsidR="00937EEC" w:rsidRPr="00937EEC" w:rsidRDefault="00937EEC" w:rsidP="00937EEC">
            <w:pPr>
              <w:spacing w:before="20" w:after="20"/>
              <w:jc w:val="left"/>
              <w:rPr>
                <w:rFonts w:ascii="Arial Narrow" w:eastAsiaTheme="majorEastAsia" w:hAnsi="Arial Narrow" w:cstheme="majorBidi"/>
                <w:bCs/>
                <w:sz w:val="20"/>
                <w:szCs w:val="18"/>
              </w:rPr>
            </w:pPr>
            <w:r w:rsidRPr="00937EEC">
              <w:rPr>
                <w:rFonts w:ascii="Arial Narrow" w:eastAsiaTheme="majorEastAsia" w:hAnsi="Arial Narrow" w:cstheme="majorBidi"/>
                <w:bCs/>
                <w:i/>
                <w:iCs/>
                <w:sz w:val="20"/>
                <w:szCs w:val="18"/>
              </w:rPr>
              <w:t xml:space="preserve">Journal of </w:t>
            </w:r>
            <w:r w:rsidR="00BC7689">
              <w:rPr>
                <w:rFonts w:ascii="Arial Narrow" w:eastAsiaTheme="majorEastAsia" w:hAnsi="Arial Narrow" w:cstheme="majorBidi"/>
                <w:bCs/>
                <w:i/>
                <w:iCs/>
                <w:sz w:val="20"/>
                <w:szCs w:val="18"/>
              </w:rPr>
              <w:t>G</w:t>
            </w:r>
            <w:r w:rsidRPr="00937EEC">
              <w:rPr>
                <w:rFonts w:ascii="Arial Narrow" w:eastAsiaTheme="majorEastAsia" w:hAnsi="Arial Narrow" w:cstheme="majorBidi"/>
                <w:bCs/>
                <w:i/>
                <w:iCs/>
                <w:sz w:val="20"/>
                <w:szCs w:val="18"/>
              </w:rPr>
              <w:t xml:space="preserve">lobal </w:t>
            </w:r>
            <w:r w:rsidR="00BC7689">
              <w:rPr>
                <w:rFonts w:ascii="Arial Narrow" w:eastAsiaTheme="majorEastAsia" w:hAnsi="Arial Narrow" w:cstheme="majorBidi"/>
                <w:bCs/>
                <w:i/>
                <w:iCs/>
                <w:sz w:val="20"/>
                <w:szCs w:val="18"/>
              </w:rPr>
              <w:t>O</w:t>
            </w:r>
            <w:r w:rsidRPr="00937EEC">
              <w:rPr>
                <w:rFonts w:ascii="Arial Narrow" w:eastAsiaTheme="majorEastAsia" w:hAnsi="Arial Narrow" w:cstheme="majorBidi"/>
                <w:bCs/>
                <w:i/>
                <w:iCs/>
                <w:sz w:val="20"/>
                <w:szCs w:val="18"/>
              </w:rPr>
              <w:t>ncology</w:t>
            </w:r>
            <w:r w:rsidRPr="00937EEC">
              <w:rPr>
                <w:rFonts w:ascii="Arial Narrow" w:eastAsiaTheme="majorEastAsia" w:hAnsi="Arial Narrow" w:cstheme="majorBidi"/>
                <w:bCs/>
                <w:sz w:val="20"/>
                <w:szCs w:val="18"/>
              </w:rPr>
              <w:t xml:space="preserve"> 2017; 3(4):289-303.</w:t>
            </w:r>
          </w:p>
        </w:tc>
      </w:tr>
      <w:tr w:rsidR="00937EEC" w:rsidRPr="00937EEC" w14:paraId="789C54A1" w14:textId="77777777" w:rsidTr="000E484F">
        <w:tc>
          <w:tcPr>
            <w:tcW w:w="784" w:type="pct"/>
            <w:vMerge/>
            <w:vAlign w:val="center"/>
          </w:tcPr>
          <w:p w14:paraId="06E2A2E4" w14:textId="77777777" w:rsidR="00937EEC" w:rsidRPr="00937EEC" w:rsidRDefault="00937EEC" w:rsidP="00937EEC">
            <w:pPr>
              <w:spacing w:before="20" w:after="20"/>
              <w:jc w:val="left"/>
              <w:rPr>
                <w:rFonts w:ascii="Arial Narrow" w:eastAsiaTheme="majorEastAsia" w:hAnsi="Arial Narrow" w:cstheme="majorBidi"/>
                <w:bCs/>
                <w:sz w:val="20"/>
              </w:rPr>
            </w:pPr>
          </w:p>
        </w:tc>
        <w:tc>
          <w:tcPr>
            <w:tcW w:w="2908" w:type="pct"/>
            <w:tcBorders>
              <w:top w:val="nil"/>
              <w:bottom w:val="nil"/>
            </w:tcBorders>
            <w:vAlign w:val="center"/>
          </w:tcPr>
          <w:p w14:paraId="3F8FB695" w14:textId="77777777" w:rsidR="00937EEC" w:rsidRPr="00937EEC" w:rsidRDefault="00937EEC" w:rsidP="00937EEC">
            <w:pPr>
              <w:spacing w:before="20" w:after="20"/>
              <w:jc w:val="left"/>
              <w:rPr>
                <w:rFonts w:ascii="Arial Narrow" w:eastAsiaTheme="majorEastAsia" w:hAnsi="Arial Narrow" w:cstheme="majorBidi"/>
                <w:bCs/>
                <w:sz w:val="20"/>
                <w:szCs w:val="18"/>
              </w:rPr>
            </w:pPr>
            <w:proofErr w:type="spellStart"/>
            <w:r w:rsidRPr="00937EEC">
              <w:rPr>
                <w:rFonts w:ascii="Arial Narrow" w:eastAsiaTheme="majorEastAsia" w:hAnsi="Arial Narrow" w:cstheme="majorBidi"/>
                <w:bCs/>
                <w:sz w:val="20"/>
                <w:szCs w:val="18"/>
              </w:rPr>
              <w:t>Loibl</w:t>
            </w:r>
            <w:proofErr w:type="spellEnd"/>
            <w:r w:rsidRPr="00937EEC">
              <w:rPr>
                <w:rFonts w:ascii="Arial Narrow" w:eastAsiaTheme="majorEastAsia" w:hAnsi="Arial Narrow" w:cstheme="majorBidi"/>
                <w:bCs/>
                <w:sz w:val="20"/>
                <w:szCs w:val="18"/>
              </w:rPr>
              <w:t xml:space="preserve"> S, Turner NC, Ro J, et al. Palbociclib Combined with </w:t>
            </w:r>
            <w:proofErr w:type="spellStart"/>
            <w:r w:rsidRPr="00937EEC">
              <w:rPr>
                <w:rFonts w:ascii="Arial Narrow" w:eastAsiaTheme="majorEastAsia" w:hAnsi="Arial Narrow" w:cstheme="majorBidi"/>
                <w:bCs/>
                <w:sz w:val="20"/>
                <w:szCs w:val="18"/>
              </w:rPr>
              <w:t>Fulvestrant</w:t>
            </w:r>
            <w:proofErr w:type="spellEnd"/>
            <w:r w:rsidRPr="00937EEC">
              <w:rPr>
                <w:rFonts w:ascii="Arial Narrow" w:eastAsiaTheme="majorEastAsia" w:hAnsi="Arial Narrow" w:cstheme="majorBidi"/>
                <w:bCs/>
                <w:sz w:val="20"/>
                <w:szCs w:val="18"/>
              </w:rPr>
              <w:t xml:space="preserve"> in Premenopausal Women with Advanced Breast Cancer and Prior Progression on Endocrine Therapy PALOMA-3 Results.</w:t>
            </w:r>
          </w:p>
        </w:tc>
        <w:tc>
          <w:tcPr>
            <w:tcW w:w="1308" w:type="pct"/>
            <w:tcBorders>
              <w:top w:val="nil"/>
              <w:bottom w:val="nil"/>
            </w:tcBorders>
            <w:vAlign w:val="center"/>
          </w:tcPr>
          <w:p w14:paraId="075C3CFC" w14:textId="77777777" w:rsidR="00937EEC" w:rsidRPr="00937EEC" w:rsidRDefault="00937EEC" w:rsidP="00937EEC">
            <w:pPr>
              <w:spacing w:before="20" w:after="20"/>
              <w:jc w:val="left"/>
              <w:rPr>
                <w:rFonts w:ascii="Arial Narrow" w:eastAsiaTheme="majorEastAsia" w:hAnsi="Arial Narrow" w:cstheme="majorBidi"/>
                <w:bCs/>
                <w:sz w:val="20"/>
                <w:szCs w:val="18"/>
              </w:rPr>
            </w:pPr>
            <w:r w:rsidRPr="00937EEC">
              <w:rPr>
                <w:rFonts w:ascii="Arial Narrow" w:eastAsiaTheme="majorEastAsia" w:hAnsi="Arial Narrow" w:cstheme="majorBidi"/>
                <w:bCs/>
                <w:i/>
                <w:iCs/>
                <w:sz w:val="20"/>
                <w:szCs w:val="18"/>
              </w:rPr>
              <w:t>Oncologist</w:t>
            </w:r>
            <w:r w:rsidRPr="00937EEC">
              <w:rPr>
                <w:rFonts w:ascii="Arial Narrow" w:eastAsiaTheme="majorEastAsia" w:hAnsi="Arial Narrow" w:cstheme="majorBidi"/>
                <w:bCs/>
                <w:sz w:val="20"/>
                <w:szCs w:val="18"/>
              </w:rPr>
              <w:t xml:space="preserve"> 2017; 22(9):1028-1038.</w:t>
            </w:r>
          </w:p>
        </w:tc>
      </w:tr>
      <w:tr w:rsidR="00937EEC" w:rsidRPr="00937EEC" w14:paraId="6E8A8E33" w14:textId="77777777" w:rsidTr="000E484F">
        <w:tc>
          <w:tcPr>
            <w:tcW w:w="784" w:type="pct"/>
            <w:vMerge/>
            <w:vAlign w:val="center"/>
          </w:tcPr>
          <w:p w14:paraId="20679076" w14:textId="77777777" w:rsidR="00937EEC" w:rsidRPr="00937EEC" w:rsidRDefault="00937EEC" w:rsidP="00937EEC">
            <w:pPr>
              <w:spacing w:before="20" w:after="20"/>
              <w:jc w:val="left"/>
              <w:rPr>
                <w:rFonts w:ascii="Arial Narrow" w:eastAsiaTheme="majorEastAsia" w:hAnsi="Arial Narrow" w:cstheme="majorBidi"/>
                <w:bCs/>
                <w:sz w:val="20"/>
              </w:rPr>
            </w:pPr>
          </w:p>
        </w:tc>
        <w:tc>
          <w:tcPr>
            <w:tcW w:w="2908" w:type="pct"/>
            <w:tcBorders>
              <w:top w:val="nil"/>
              <w:bottom w:val="nil"/>
            </w:tcBorders>
            <w:vAlign w:val="center"/>
          </w:tcPr>
          <w:p w14:paraId="401DCEF7" w14:textId="77777777" w:rsidR="00937EEC" w:rsidRPr="00937EEC" w:rsidRDefault="00937EEC" w:rsidP="00937EEC">
            <w:pPr>
              <w:spacing w:before="20" w:after="20"/>
              <w:jc w:val="left"/>
              <w:rPr>
                <w:rFonts w:ascii="Arial Narrow" w:eastAsiaTheme="majorEastAsia" w:hAnsi="Arial Narrow" w:cstheme="majorBidi"/>
                <w:bCs/>
                <w:sz w:val="20"/>
                <w:szCs w:val="18"/>
              </w:rPr>
            </w:pPr>
            <w:proofErr w:type="spellStart"/>
            <w:r w:rsidRPr="00937EEC">
              <w:rPr>
                <w:rFonts w:ascii="Arial Narrow" w:eastAsiaTheme="majorEastAsia" w:hAnsi="Arial Narrow" w:cstheme="majorBidi"/>
                <w:bCs/>
                <w:sz w:val="20"/>
                <w:szCs w:val="18"/>
              </w:rPr>
              <w:t>Cristofanilli</w:t>
            </w:r>
            <w:proofErr w:type="spellEnd"/>
            <w:r w:rsidRPr="00937EEC">
              <w:rPr>
                <w:rFonts w:ascii="Arial Narrow" w:eastAsiaTheme="majorEastAsia" w:hAnsi="Arial Narrow" w:cstheme="majorBidi"/>
                <w:bCs/>
                <w:sz w:val="20"/>
                <w:szCs w:val="18"/>
              </w:rPr>
              <w:t xml:space="preserve"> M, </w:t>
            </w:r>
            <w:proofErr w:type="spellStart"/>
            <w:r w:rsidRPr="00937EEC">
              <w:rPr>
                <w:rFonts w:ascii="Arial Narrow" w:eastAsiaTheme="majorEastAsia" w:hAnsi="Arial Narrow" w:cstheme="majorBidi"/>
                <w:bCs/>
                <w:sz w:val="20"/>
                <w:szCs w:val="18"/>
              </w:rPr>
              <w:t>DeMichele</w:t>
            </w:r>
            <w:proofErr w:type="spellEnd"/>
            <w:r w:rsidRPr="00937EEC">
              <w:rPr>
                <w:rFonts w:ascii="Arial Narrow" w:eastAsiaTheme="majorEastAsia" w:hAnsi="Arial Narrow" w:cstheme="majorBidi"/>
                <w:bCs/>
                <w:sz w:val="20"/>
                <w:szCs w:val="18"/>
              </w:rPr>
              <w:t xml:space="preserve"> A, </w:t>
            </w:r>
            <w:proofErr w:type="spellStart"/>
            <w:r w:rsidRPr="00937EEC">
              <w:rPr>
                <w:rFonts w:ascii="Arial Narrow" w:eastAsiaTheme="majorEastAsia" w:hAnsi="Arial Narrow" w:cstheme="majorBidi"/>
                <w:bCs/>
                <w:sz w:val="20"/>
                <w:szCs w:val="18"/>
              </w:rPr>
              <w:t>Giorgetti</w:t>
            </w:r>
            <w:proofErr w:type="spellEnd"/>
            <w:r w:rsidRPr="00937EEC">
              <w:rPr>
                <w:rFonts w:ascii="Arial Narrow" w:eastAsiaTheme="majorEastAsia" w:hAnsi="Arial Narrow" w:cstheme="majorBidi"/>
                <w:bCs/>
                <w:sz w:val="20"/>
                <w:szCs w:val="18"/>
              </w:rPr>
              <w:t xml:space="preserve"> C, et al. Predictors of prolonged benefit from </w:t>
            </w:r>
            <w:proofErr w:type="spellStart"/>
            <w:r w:rsidRPr="00937EEC">
              <w:rPr>
                <w:rFonts w:ascii="Arial Narrow" w:eastAsiaTheme="majorEastAsia" w:hAnsi="Arial Narrow" w:cstheme="majorBidi"/>
                <w:bCs/>
                <w:sz w:val="20"/>
                <w:szCs w:val="18"/>
              </w:rPr>
              <w:t>palbociclib</w:t>
            </w:r>
            <w:proofErr w:type="spellEnd"/>
            <w:r w:rsidRPr="00937EEC">
              <w:rPr>
                <w:rFonts w:ascii="Arial Narrow" w:eastAsiaTheme="majorEastAsia" w:hAnsi="Arial Narrow" w:cstheme="majorBidi"/>
                <w:bCs/>
                <w:sz w:val="20"/>
                <w:szCs w:val="18"/>
              </w:rPr>
              <w:t xml:space="preserve"> plus </w:t>
            </w:r>
            <w:proofErr w:type="spellStart"/>
            <w:r w:rsidRPr="00937EEC">
              <w:rPr>
                <w:rFonts w:ascii="Arial Narrow" w:eastAsiaTheme="majorEastAsia" w:hAnsi="Arial Narrow" w:cstheme="majorBidi"/>
                <w:bCs/>
                <w:sz w:val="20"/>
                <w:szCs w:val="18"/>
              </w:rPr>
              <w:t>fulvestrant</w:t>
            </w:r>
            <w:proofErr w:type="spellEnd"/>
            <w:r w:rsidRPr="00937EEC">
              <w:rPr>
                <w:rFonts w:ascii="Arial Narrow" w:eastAsiaTheme="majorEastAsia" w:hAnsi="Arial Narrow" w:cstheme="majorBidi"/>
                <w:bCs/>
                <w:sz w:val="20"/>
                <w:szCs w:val="18"/>
              </w:rPr>
              <w:t xml:space="preserve"> in women with endocrine-resistant hormone receptor-positive/human epidermal growth factor receptor 2-negative metastatic breast cancer in PALOMA-3. </w:t>
            </w:r>
          </w:p>
        </w:tc>
        <w:tc>
          <w:tcPr>
            <w:tcW w:w="1308" w:type="pct"/>
            <w:tcBorders>
              <w:top w:val="nil"/>
              <w:bottom w:val="nil"/>
            </w:tcBorders>
            <w:vAlign w:val="center"/>
          </w:tcPr>
          <w:p w14:paraId="5299BA3D" w14:textId="1F96666E" w:rsidR="00937EEC" w:rsidRPr="00937EEC" w:rsidRDefault="00937EEC" w:rsidP="00937EEC">
            <w:pPr>
              <w:spacing w:before="20" w:after="20"/>
              <w:jc w:val="left"/>
              <w:rPr>
                <w:rFonts w:ascii="Arial Narrow" w:eastAsiaTheme="majorEastAsia" w:hAnsi="Arial Narrow" w:cstheme="majorBidi"/>
                <w:bCs/>
                <w:sz w:val="20"/>
                <w:szCs w:val="18"/>
              </w:rPr>
            </w:pPr>
            <w:r w:rsidRPr="00937EEC">
              <w:rPr>
                <w:rFonts w:ascii="Arial Narrow" w:eastAsiaTheme="majorEastAsia" w:hAnsi="Arial Narrow" w:cstheme="majorBidi"/>
                <w:bCs/>
                <w:i/>
                <w:iCs/>
                <w:sz w:val="20"/>
                <w:szCs w:val="18"/>
              </w:rPr>
              <w:t xml:space="preserve">European </w:t>
            </w:r>
            <w:r w:rsidR="00BC7689">
              <w:rPr>
                <w:rFonts w:ascii="Arial Narrow" w:eastAsiaTheme="majorEastAsia" w:hAnsi="Arial Narrow" w:cstheme="majorBidi"/>
                <w:bCs/>
                <w:i/>
                <w:iCs/>
                <w:sz w:val="20"/>
                <w:szCs w:val="18"/>
              </w:rPr>
              <w:t>J</w:t>
            </w:r>
            <w:r w:rsidRPr="00937EEC">
              <w:rPr>
                <w:rFonts w:ascii="Arial Narrow" w:eastAsiaTheme="majorEastAsia" w:hAnsi="Arial Narrow" w:cstheme="majorBidi"/>
                <w:bCs/>
                <w:i/>
                <w:iCs/>
                <w:sz w:val="20"/>
                <w:szCs w:val="18"/>
              </w:rPr>
              <w:t xml:space="preserve">ournal of </w:t>
            </w:r>
            <w:r w:rsidR="00BC7689">
              <w:rPr>
                <w:rFonts w:ascii="Arial Narrow" w:eastAsiaTheme="majorEastAsia" w:hAnsi="Arial Narrow" w:cstheme="majorBidi"/>
                <w:bCs/>
                <w:i/>
                <w:iCs/>
                <w:sz w:val="20"/>
                <w:szCs w:val="18"/>
              </w:rPr>
              <w:t>C</w:t>
            </w:r>
            <w:r w:rsidRPr="00937EEC">
              <w:rPr>
                <w:rFonts w:ascii="Arial Narrow" w:eastAsiaTheme="majorEastAsia" w:hAnsi="Arial Narrow" w:cstheme="majorBidi"/>
                <w:bCs/>
                <w:i/>
                <w:iCs/>
                <w:sz w:val="20"/>
                <w:szCs w:val="18"/>
              </w:rPr>
              <w:t>ancer</w:t>
            </w:r>
            <w:r w:rsidRPr="00937EEC">
              <w:rPr>
                <w:rFonts w:ascii="Arial Narrow" w:eastAsiaTheme="majorEastAsia" w:hAnsi="Arial Narrow" w:cstheme="majorBidi"/>
                <w:bCs/>
                <w:sz w:val="20"/>
                <w:szCs w:val="18"/>
              </w:rPr>
              <w:t xml:space="preserve"> 2018; 104:21-31.</w:t>
            </w:r>
          </w:p>
        </w:tc>
      </w:tr>
      <w:tr w:rsidR="00937EEC" w:rsidRPr="00937EEC" w14:paraId="5CDC819F" w14:textId="77777777" w:rsidTr="000E484F">
        <w:tc>
          <w:tcPr>
            <w:tcW w:w="784" w:type="pct"/>
            <w:vMerge/>
            <w:vAlign w:val="center"/>
          </w:tcPr>
          <w:p w14:paraId="547E24C6" w14:textId="77777777" w:rsidR="00937EEC" w:rsidRPr="00937EEC" w:rsidRDefault="00937EEC" w:rsidP="00937EEC">
            <w:pPr>
              <w:spacing w:before="20" w:after="20"/>
              <w:jc w:val="left"/>
              <w:rPr>
                <w:rFonts w:ascii="Arial Narrow" w:eastAsiaTheme="majorEastAsia" w:hAnsi="Arial Narrow" w:cstheme="majorBidi"/>
                <w:bCs/>
                <w:sz w:val="20"/>
              </w:rPr>
            </w:pPr>
          </w:p>
        </w:tc>
        <w:tc>
          <w:tcPr>
            <w:tcW w:w="2908" w:type="pct"/>
            <w:tcBorders>
              <w:top w:val="nil"/>
              <w:bottom w:val="nil"/>
            </w:tcBorders>
            <w:vAlign w:val="center"/>
          </w:tcPr>
          <w:p w14:paraId="0655AFA7" w14:textId="77777777" w:rsidR="00937EEC" w:rsidRPr="00937EEC" w:rsidRDefault="00937EEC" w:rsidP="00937EEC">
            <w:pPr>
              <w:spacing w:before="20" w:after="20"/>
              <w:jc w:val="left"/>
              <w:rPr>
                <w:rFonts w:ascii="Arial Narrow" w:eastAsiaTheme="majorEastAsia" w:hAnsi="Arial Narrow" w:cstheme="majorBidi"/>
                <w:bCs/>
                <w:sz w:val="20"/>
                <w:szCs w:val="18"/>
              </w:rPr>
            </w:pPr>
            <w:r w:rsidRPr="00937EEC">
              <w:rPr>
                <w:rFonts w:ascii="Arial Narrow" w:eastAsiaTheme="majorEastAsia" w:hAnsi="Arial Narrow" w:cstheme="majorBidi"/>
                <w:bCs/>
                <w:sz w:val="20"/>
                <w:szCs w:val="18"/>
              </w:rPr>
              <w:t xml:space="preserve">Turner NC, </w:t>
            </w:r>
            <w:proofErr w:type="spellStart"/>
            <w:r w:rsidRPr="00937EEC">
              <w:rPr>
                <w:rFonts w:ascii="Arial Narrow" w:eastAsiaTheme="majorEastAsia" w:hAnsi="Arial Narrow" w:cstheme="majorBidi"/>
                <w:bCs/>
                <w:sz w:val="20"/>
                <w:szCs w:val="18"/>
              </w:rPr>
              <w:t>Slamon</w:t>
            </w:r>
            <w:proofErr w:type="spellEnd"/>
            <w:r w:rsidRPr="00937EEC">
              <w:rPr>
                <w:rFonts w:ascii="Arial Narrow" w:eastAsiaTheme="majorEastAsia" w:hAnsi="Arial Narrow" w:cstheme="majorBidi"/>
                <w:bCs/>
                <w:sz w:val="20"/>
                <w:szCs w:val="18"/>
              </w:rPr>
              <w:t xml:space="preserve"> DJ, Ro J, et al. Overall Survival with Palbociclib and </w:t>
            </w:r>
            <w:proofErr w:type="spellStart"/>
            <w:r w:rsidRPr="00937EEC">
              <w:rPr>
                <w:rFonts w:ascii="Arial Narrow" w:eastAsiaTheme="majorEastAsia" w:hAnsi="Arial Narrow" w:cstheme="majorBidi"/>
                <w:bCs/>
                <w:sz w:val="20"/>
                <w:szCs w:val="18"/>
              </w:rPr>
              <w:t>Fulvestrant</w:t>
            </w:r>
            <w:proofErr w:type="spellEnd"/>
            <w:r w:rsidRPr="00937EEC">
              <w:rPr>
                <w:rFonts w:ascii="Arial Narrow" w:eastAsiaTheme="majorEastAsia" w:hAnsi="Arial Narrow" w:cstheme="majorBidi"/>
                <w:bCs/>
                <w:sz w:val="20"/>
                <w:szCs w:val="18"/>
              </w:rPr>
              <w:t xml:space="preserve"> in Advanced Breast Cancer. </w:t>
            </w:r>
          </w:p>
        </w:tc>
        <w:tc>
          <w:tcPr>
            <w:tcW w:w="1308" w:type="pct"/>
            <w:tcBorders>
              <w:top w:val="nil"/>
              <w:bottom w:val="nil"/>
            </w:tcBorders>
            <w:vAlign w:val="center"/>
          </w:tcPr>
          <w:p w14:paraId="2040467A" w14:textId="289B0742" w:rsidR="00937EEC" w:rsidRPr="00937EEC" w:rsidRDefault="00937EEC" w:rsidP="00937EEC">
            <w:pPr>
              <w:spacing w:before="20" w:after="20"/>
              <w:jc w:val="left"/>
              <w:rPr>
                <w:rFonts w:ascii="Arial Narrow" w:eastAsiaTheme="majorEastAsia" w:hAnsi="Arial Narrow" w:cstheme="majorBidi"/>
                <w:bCs/>
                <w:sz w:val="20"/>
                <w:szCs w:val="18"/>
              </w:rPr>
            </w:pPr>
            <w:r w:rsidRPr="00937EEC">
              <w:rPr>
                <w:rFonts w:ascii="Arial Narrow" w:eastAsiaTheme="majorEastAsia" w:hAnsi="Arial Narrow" w:cstheme="majorBidi"/>
                <w:bCs/>
                <w:i/>
                <w:iCs/>
                <w:sz w:val="20"/>
                <w:szCs w:val="18"/>
              </w:rPr>
              <w:t>N</w:t>
            </w:r>
            <w:r w:rsidR="00BC7689">
              <w:rPr>
                <w:rFonts w:ascii="Arial Narrow" w:eastAsiaTheme="majorEastAsia" w:hAnsi="Arial Narrow" w:cstheme="majorBidi"/>
                <w:bCs/>
                <w:i/>
                <w:iCs/>
                <w:sz w:val="20"/>
                <w:szCs w:val="18"/>
              </w:rPr>
              <w:t>EJM</w:t>
            </w:r>
            <w:r w:rsidRPr="00937EEC">
              <w:rPr>
                <w:rFonts w:ascii="Arial Narrow" w:eastAsiaTheme="majorEastAsia" w:hAnsi="Arial Narrow" w:cstheme="majorBidi"/>
                <w:bCs/>
                <w:sz w:val="20"/>
                <w:szCs w:val="18"/>
              </w:rPr>
              <w:t xml:space="preserve"> 2018; 379(20):1926-1936.</w:t>
            </w:r>
          </w:p>
        </w:tc>
      </w:tr>
      <w:tr w:rsidR="00937EEC" w:rsidRPr="00937EEC" w14:paraId="1A234997" w14:textId="77777777" w:rsidTr="000E484F">
        <w:tc>
          <w:tcPr>
            <w:tcW w:w="784" w:type="pct"/>
            <w:vMerge/>
            <w:vAlign w:val="center"/>
          </w:tcPr>
          <w:p w14:paraId="12659FA9" w14:textId="77777777" w:rsidR="00937EEC" w:rsidRPr="00937EEC" w:rsidRDefault="00937EEC" w:rsidP="00937EEC">
            <w:pPr>
              <w:spacing w:before="20" w:after="20"/>
              <w:jc w:val="left"/>
              <w:rPr>
                <w:rFonts w:ascii="Arial Narrow" w:eastAsiaTheme="majorEastAsia" w:hAnsi="Arial Narrow" w:cstheme="majorBidi"/>
                <w:bCs/>
                <w:sz w:val="20"/>
              </w:rPr>
            </w:pPr>
          </w:p>
        </w:tc>
        <w:tc>
          <w:tcPr>
            <w:tcW w:w="2908" w:type="pct"/>
            <w:tcBorders>
              <w:top w:val="nil"/>
              <w:bottom w:val="nil"/>
            </w:tcBorders>
            <w:vAlign w:val="center"/>
          </w:tcPr>
          <w:p w14:paraId="5FAAC346" w14:textId="77777777" w:rsidR="00937EEC" w:rsidRPr="00937EEC" w:rsidRDefault="00937EEC" w:rsidP="00937EEC">
            <w:pPr>
              <w:spacing w:before="20" w:after="20"/>
              <w:jc w:val="left"/>
              <w:rPr>
                <w:rFonts w:ascii="Arial Narrow" w:eastAsiaTheme="majorEastAsia" w:hAnsi="Arial Narrow" w:cstheme="majorBidi"/>
                <w:bCs/>
                <w:sz w:val="20"/>
                <w:szCs w:val="18"/>
                <w:lang w:val="en-US"/>
              </w:rPr>
            </w:pPr>
            <w:r w:rsidRPr="00937EEC">
              <w:rPr>
                <w:rFonts w:ascii="Arial Narrow" w:eastAsiaTheme="majorEastAsia" w:hAnsi="Arial Narrow" w:cstheme="majorBidi"/>
                <w:bCs/>
                <w:sz w:val="20"/>
                <w:szCs w:val="18"/>
              </w:rPr>
              <w:t xml:space="preserve">Masuda N, Inoue K, Nakamura R, et al. Palbociclib in combination with </w:t>
            </w:r>
            <w:proofErr w:type="spellStart"/>
            <w:r w:rsidRPr="00937EEC">
              <w:rPr>
                <w:rFonts w:ascii="Arial Narrow" w:eastAsiaTheme="majorEastAsia" w:hAnsi="Arial Narrow" w:cstheme="majorBidi"/>
                <w:bCs/>
                <w:sz w:val="20"/>
                <w:szCs w:val="18"/>
              </w:rPr>
              <w:t>fulvestrant</w:t>
            </w:r>
            <w:proofErr w:type="spellEnd"/>
            <w:r w:rsidRPr="00937EEC">
              <w:rPr>
                <w:rFonts w:ascii="Arial Narrow" w:eastAsiaTheme="majorEastAsia" w:hAnsi="Arial Narrow" w:cstheme="majorBidi"/>
                <w:bCs/>
                <w:sz w:val="20"/>
                <w:szCs w:val="18"/>
              </w:rPr>
              <w:t xml:space="preserve"> in patients with hormone receptor-positive, human epidermal growth factor receptor 2-negative advanced breast cancer: PALOMA-3 subgroup analysis of Japanese patients. </w:t>
            </w:r>
          </w:p>
        </w:tc>
        <w:tc>
          <w:tcPr>
            <w:tcW w:w="1308" w:type="pct"/>
            <w:tcBorders>
              <w:top w:val="nil"/>
              <w:bottom w:val="nil"/>
            </w:tcBorders>
            <w:vAlign w:val="center"/>
          </w:tcPr>
          <w:p w14:paraId="35124D11" w14:textId="0BB2EEE6" w:rsidR="00937EEC" w:rsidRPr="00937EEC" w:rsidRDefault="00937EEC" w:rsidP="00937EEC">
            <w:pPr>
              <w:spacing w:before="20" w:after="20"/>
              <w:jc w:val="left"/>
              <w:rPr>
                <w:rFonts w:ascii="Arial Narrow" w:eastAsiaTheme="majorEastAsia" w:hAnsi="Arial Narrow" w:cstheme="majorBidi"/>
                <w:bCs/>
                <w:i/>
                <w:sz w:val="20"/>
                <w:szCs w:val="18"/>
                <w:lang w:val="en-US"/>
              </w:rPr>
            </w:pPr>
            <w:r w:rsidRPr="00937EEC">
              <w:rPr>
                <w:rFonts w:ascii="Arial Narrow" w:eastAsiaTheme="majorEastAsia" w:hAnsi="Arial Narrow" w:cstheme="majorBidi"/>
                <w:bCs/>
                <w:i/>
                <w:iCs/>
                <w:sz w:val="20"/>
                <w:szCs w:val="18"/>
              </w:rPr>
              <w:t xml:space="preserve">International </w:t>
            </w:r>
            <w:r w:rsidR="00BC7689">
              <w:rPr>
                <w:rFonts w:ascii="Arial Narrow" w:eastAsiaTheme="majorEastAsia" w:hAnsi="Arial Narrow" w:cstheme="majorBidi"/>
                <w:bCs/>
                <w:i/>
                <w:iCs/>
                <w:sz w:val="20"/>
                <w:szCs w:val="18"/>
              </w:rPr>
              <w:t>J</w:t>
            </w:r>
            <w:r w:rsidRPr="00937EEC">
              <w:rPr>
                <w:rFonts w:ascii="Arial Narrow" w:eastAsiaTheme="majorEastAsia" w:hAnsi="Arial Narrow" w:cstheme="majorBidi"/>
                <w:bCs/>
                <w:i/>
                <w:iCs/>
                <w:sz w:val="20"/>
                <w:szCs w:val="18"/>
              </w:rPr>
              <w:t xml:space="preserve">ournal of </w:t>
            </w:r>
            <w:r w:rsidR="00BC7689">
              <w:rPr>
                <w:rFonts w:ascii="Arial Narrow" w:eastAsiaTheme="majorEastAsia" w:hAnsi="Arial Narrow" w:cstheme="majorBidi"/>
                <w:bCs/>
                <w:i/>
                <w:iCs/>
                <w:sz w:val="20"/>
                <w:szCs w:val="18"/>
              </w:rPr>
              <w:t>C</w:t>
            </w:r>
            <w:r w:rsidRPr="00937EEC">
              <w:rPr>
                <w:rFonts w:ascii="Arial Narrow" w:eastAsiaTheme="majorEastAsia" w:hAnsi="Arial Narrow" w:cstheme="majorBidi"/>
                <w:bCs/>
                <w:i/>
                <w:iCs/>
                <w:sz w:val="20"/>
                <w:szCs w:val="18"/>
              </w:rPr>
              <w:t xml:space="preserve">linical </w:t>
            </w:r>
            <w:r w:rsidR="00BC7689">
              <w:rPr>
                <w:rFonts w:ascii="Arial Narrow" w:eastAsiaTheme="majorEastAsia" w:hAnsi="Arial Narrow" w:cstheme="majorBidi"/>
                <w:bCs/>
                <w:i/>
                <w:iCs/>
                <w:sz w:val="20"/>
                <w:szCs w:val="18"/>
              </w:rPr>
              <w:t>O</w:t>
            </w:r>
            <w:r w:rsidRPr="00937EEC">
              <w:rPr>
                <w:rFonts w:ascii="Arial Narrow" w:eastAsiaTheme="majorEastAsia" w:hAnsi="Arial Narrow" w:cstheme="majorBidi"/>
                <w:bCs/>
                <w:i/>
                <w:iCs/>
                <w:sz w:val="20"/>
                <w:szCs w:val="18"/>
              </w:rPr>
              <w:t>ncology</w:t>
            </w:r>
            <w:r w:rsidRPr="00937EEC">
              <w:rPr>
                <w:rFonts w:ascii="Arial Narrow" w:eastAsiaTheme="majorEastAsia" w:hAnsi="Arial Narrow" w:cstheme="majorBidi"/>
                <w:bCs/>
                <w:sz w:val="20"/>
                <w:szCs w:val="18"/>
              </w:rPr>
              <w:t xml:space="preserve"> 2019; 24(3):262-273.</w:t>
            </w:r>
          </w:p>
        </w:tc>
      </w:tr>
      <w:tr w:rsidR="00937EEC" w:rsidRPr="00937EEC" w14:paraId="0D3EE16F" w14:textId="77777777" w:rsidTr="000E484F">
        <w:tc>
          <w:tcPr>
            <w:tcW w:w="784" w:type="pct"/>
            <w:vMerge/>
            <w:vAlign w:val="center"/>
          </w:tcPr>
          <w:p w14:paraId="56CAD31C" w14:textId="77777777" w:rsidR="00937EEC" w:rsidRPr="00937EEC" w:rsidRDefault="00937EEC" w:rsidP="00937EEC">
            <w:pPr>
              <w:spacing w:before="20" w:after="20"/>
              <w:jc w:val="left"/>
              <w:rPr>
                <w:rFonts w:ascii="Arial Narrow" w:eastAsiaTheme="majorEastAsia" w:hAnsi="Arial Narrow" w:cstheme="majorBidi"/>
                <w:bCs/>
                <w:sz w:val="20"/>
              </w:rPr>
            </w:pPr>
          </w:p>
        </w:tc>
        <w:tc>
          <w:tcPr>
            <w:tcW w:w="2908" w:type="pct"/>
            <w:tcBorders>
              <w:top w:val="nil"/>
              <w:bottom w:val="nil"/>
            </w:tcBorders>
            <w:vAlign w:val="center"/>
          </w:tcPr>
          <w:p w14:paraId="3E11CE49" w14:textId="77777777" w:rsidR="00937EEC" w:rsidRPr="00937EEC" w:rsidRDefault="00937EEC" w:rsidP="00937EEC">
            <w:pPr>
              <w:spacing w:before="20" w:after="20"/>
              <w:jc w:val="left"/>
              <w:rPr>
                <w:rFonts w:ascii="Arial Narrow" w:eastAsiaTheme="majorEastAsia" w:hAnsi="Arial Narrow" w:cstheme="majorBidi"/>
                <w:bCs/>
                <w:sz w:val="20"/>
                <w:szCs w:val="18"/>
              </w:rPr>
            </w:pPr>
            <w:proofErr w:type="spellStart"/>
            <w:r w:rsidRPr="00937EEC">
              <w:rPr>
                <w:rFonts w:ascii="Arial Narrow" w:eastAsiaTheme="majorEastAsia" w:hAnsi="Arial Narrow" w:cstheme="majorBidi"/>
                <w:bCs/>
                <w:sz w:val="20"/>
                <w:szCs w:val="18"/>
              </w:rPr>
              <w:t>Rugo</w:t>
            </w:r>
            <w:proofErr w:type="spellEnd"/>
            <w:r w:rsidRPr="00937EEC">
              <w:rPr>
                <w:rFonts w:ascii="Arial Narrow" w:eastAsiaTheme="majorEastAsia" w:hAnsi="Arial Narrow" w:cstheme="majorBidi"/>
                <w:bCs/>
                <w:sz w:val="20"/>
                <w:szCs w:val="18"/>
              </w:rPr>
              <w:t xml:space="preserve"> HS, </w:t>
            </w:r>
            <w:proofErr w:type="spellStart"/>
            <w:r w:rsidRPr="00937EEC">
              <w:rPr>
                <w:rFonts w:ascii="Arial Narrow" w:eastAsiaTheme="majorEastAsia" w:hAnsi="Arial Narrow" w:cstheme="majorBidi"/>
                <w:bCs/>
                <w:sz w:val="20"/>
                <w:szCs w:val="18"/>
              </w:rPr>
              <w:t>Cristofanilli</w:t>
            </w:r>
            <w:proofErr w:type="spellEnd"/>
            <w:r w:rsidRPr="00937EEC">
              <w:rPr>
                <w:rFonts w:ascii="Arial Narrow" w:eastAsiaTheme="majorEastAsia" w:hAnsi="Arial Narrow" w:cstheme="majorBidi"/>
                <w:bCs/>
                <w:sz w:val="20"/>
                <w:szCs w:val="18"/>
              </w:rPr>
              <w:t xml:space="preserve"> M, </w:t>
            </w:r>
            <w:proofErr w:type="spellStart"/>
            <w:r w:rsidRPr="00937EEC">
              <w:rPr>
                <w:rFonts w:ascii="Arial Narrow" w:eastAsiaTheme="majorEastAsia" w:hAnsi="Arial Narrow" w:cstheme="majorBidi"/>
                <w:bCs/>
                <w:sz w:val="20"/>
                <w:szCs w:val="18"/>
              </w:rPr>
              <w:t>Loibl</w:t>
            </w:r>
            <w:proofErr w:type="spellEnd"/>
            <w:r w:rsidRPr="00937EEC">
              <w:rPr>
                <w:rFonts w:ascii="Arial Narrow" w:eastAsiaTheme="majorEastAsia" w:hAnsi="Arial Narrow" w:cstheme="majorBidi"/>
                <w:bCs/>
                <w:sz w:val="20"/>
                <w:szCs w:val="18"/>
              </w:rPr>
              <w:t xml:space="preserve"> S, et al. Prognostic Factors for Overall Survival in Patients with Hormone Receptor-Positive Advanced Breast Cancer: Analyses From PALOMA-3. </w:t>
            </w:r>
          </w:p>
        </w:tc>
        <w:tc>
          <w:tcPr>
            <w:tcW w:w="1308" w:type="pct"/>
            <w:tcBorders>
              <w:top w:val="nil"/>
              <w:bottom w:val="nil"/>
            </w:tcBorders>
            <w:vAlign w:val="center"/>
          </w:tcPr>
          <w:p w14:paraId="4C239CB0" w14:textId="59606393" w:rsidR="00937EEC" w:rsidRPr="00937EEC" w:rsidRDefault="00937EEC" w:rsidP="00937EEC">
            <w:pPr>
              <w:spacing w:before="20" w:after="20"/>
              <w:jc w:val="left"/>
              <w:rPr>
                <w:rFonts w:ascii="Arial Narrow" w:eastAsiaTheme="majorEastAsia" w:hAnsi="Arial Narrow" w:cstheme="majorBidi"/>
                <w:bCs/>
                <w:i/>
                <w:sz w:val="20"/>
                <w:szCs w:val="18"/>
                <w:lang w:val="en-US"/>
              </w:rPr>
            </w:pPr>
            <w:r w:rsidRPr="00937EEC">
              <w:rPr>
                <w:rFonts w:ascii="Arial Narrow" w:eastAsiaTheme="majorEastAsia" w:hAnsi="Arial Narrow" w:cstheme="majorBidi"/>
                <w:bCs/>
                <w:i/>
                <w:iCs/>
                <w:sz w:val="20"/>
                <w:szCs w:val="18"/>
              </w:rPr>
              <w:t xml:space="preserve">Annals of </w:t>
            </w:r>
            <w:r w:rsidR="00BC7689">
              <w:rPr>
                <w:rFonts w:ascii="Arial Narrow" w:eastAsiaTheme="majorEastAsia" w:hAnsi="Arial Narrow" w:cstheme="majorBidi"/>
                <w:bCs/>
                <w:i/>
                <w:iCs/>
                <w:sz w:val="20"/>
                <w:szCs w:val="18"/>
              </w:rPr>
              <w:t>O</w:t>
            </w:r>
            <w:r w:rsidRPr="00937EEC">
              <w:rPr>
                <w:rFonts w:ascii="Arial Narrow" w:eastAsiaTheme="majorEastAsia" w:hAnsi="Arial Narrow" w:cstheme="majorBidi"/>
                <w:bCs/>
                <w:i/>
                <w:iCs/>
                <w:sz w:val="20"/>
                <w:szCs w:val="18"/>
              </w:rPr>
              <w:t>ncology</w:t>
            </w:r>
            <w:r w:rsidRPr="00937EEC">
              <w:rPr>
                <w:rFonts w:ascii="Arial Narrow" w:eastAsiaTheme="majorEastAsia" w:hAnsi="Arial Narrow" w:cstheme="majorBidi"/>
                <w:bCs/>
                <w:sz w:val="20"/>
                <w:szCs w:val="18"/>
              </w:rPr>
              <w:t xml:space="preserve"> 2021;</w:t>
            </w:r>
            <w:r w:rsidRPr="00937EEC">
              <w:rPr>
                <w:rFonts w:ascii="Arial Narrow" w:eastAsiaTheme="majorEastAsia" w:hAnsi="Arial Narrow" w:cstheme="majorBidi"/>
                <w:bCs/>
                <w:sz w:val="20"/>
              </w:rPr>
              <w:t xml:space="preserve"> </w:t>
            </w:r>
            <w:r w:rsidRPr="00937EEC">
              <w:rPr>
                <w:rFonts w:ascii="Arial Narrow" w:eastAsiaTheme="majorEastAsia" w:hAnsi="Arial Narrow" w:cstheme="majorBidi"/>
                <w:bCs/>
                <w:sz w:val="20"/>
                <w:szCs w:val="18"/>
              </w:rPr>
              <w:t>26(8</w:t>
            </w:r>
            <w:proofErr w:type="gramStart"/>
            <w:r w:rsidRPr="00937EEC">
              <w:rPr>
                <w:rFonts w:ascii="Arial Narrow" w:eastAsiaTheme="majorEastAsia" w:hAnsi="Arial Narrow" w:cstheme="majorBidi"/>
                <w:bCs/>
                <w:sz w:val="20"/>
                <w:szCs w:val="18"/>
              </w:rPr>
              <w:t>):e</w:t>
            </w:r>
            <w:proofErr w:type="gramEnd"/>
            <w:r w:rsidRPr="00937EEC">
              <w:rPr>
                <w:rFonts w:ascii="Arial Narrow" w:eastAsiaTheme="majorEastAsia" w:hAnsi="Arial Narrow" w:cstheme="majorBidi"/>
                <w:bCs/>
                <w:sz w:val="20"/>
                <w:szCs w:val="18"/>
              </w:rPr>
              <w:t>1339-e1346.</w:t>
            </w:r>
          </w:p>
        </w:tc>
      </w:tr>
      <w:tr w:rsidR="00937EEC" w:rsidRPr="00937EEC" w14:paraId="03102BC4" w14:textId="77777777" w:rsidTr="000E484F">
        <w:tc>
          <w:tcPr>
            <w:tcW w:w="784" w:type="pct"/>
            <w:vMerge/>
            <w:vAlign w:val="center"/>
          </w:tcPr>
          <w:p w14:paraId="405B1C77" w14:textId="77777777" w:rsidR="00937EEC" w:rsidRPr="00937EEC" w:rsidRDefault="00937EEC" w:rsidP="00937EEC">
            <w:pPr>
              <w:spacing w:before="20" w:after="20"/>
              <w:jc w:val="left"/>
              <w:rPr>
                <w:rFonts w:ascii="Arial Narrow" w:eastAsiaTheme="majorEastAsia" w:hAnsi="Arial Narrow" w:cstheme="majorBidi"/>
                <w:bCs/>
                <w:sz w:val="20"/>
              </w:rPr>
            </w:pPr>
          </w:p>
        </w:tc>
        <w:tc>
          <w:tcPr>
            <w:tcW w:w="2908" w:type="pct"/>
            <w:tcBorders>
              <w:top w:val="nil"/>
              <w:bottom w:val="nil"/>
            </w:tcBorders>
            <w:vAlign w:val="center"/>
          </w:tcPr>
          <w:p w14:paraId="025FE377" w14:textId="77777777" w:rsidR="00937EEC" w:rsidRPr="00937EEC" w:rsidRDefault="00937EEC" w:rsidP="00937EEC">
            <w:pPr>
              <w:spacing w:before="20" w:after="20"/>
              <w:jc w:val="left"/>
              <w:rPr>
                <w:rFonts w:ascii="Arial Narrow" w:eastAsiaTheme="majorEastAsia" w:hAnsi="Arial Narrow" w:cstheme="majorBidi"/>
                <w:bCs/>
                <w:sz w:val="20"/>
                <w:szCs w:val="18"/>
              </w:rPr>
            </w:pPr>
            <w:r w:rsidRPr="00937EEC">
              <w:rPr>
                <w:rFonts w:ascii="Arial Narrow" w:eastAsiaTheme="majorEastAsia" w:hAnsi="Arial Narrow" w:cstheme="majorBidi"/>
                <w:bCs/>
                <w:sz w:val="20"/>
                <w:szCs w:val="18"/>
              </w:rPr>
              <w:t>Kim</w:t>
            </w:r>
            <w:r w:rsidRPr="00937EEC">
              <w:rPr>
                <w:rFonts w:ascii="Arial Narrow" w:eastAsiaTheme="majorEastAsia" w:hAnsi="Arial Narrow" w:cstheme="majorBidi"/>
                <w:bCs/>
                <w:sz w:val="20"/>
              </w:rPr>
              <w:t xml:space="preserve"> </w:t>
            </w:r>
            <w:r w:rsidRPr="00937EEC">
              <w:rPr>
                <w:rFonts w:ascii="Arial Narrow" w:eastAsiaTheme="majorEastAsia" w:hAnsi="Arial Narrow" w:cstheme="majorBidi"/>
                <w:bCs/>
                <w:sz w:val="20"/>
                <w:szCs w:val="18"/>
              </w:rPr>
              <w:t xml:space="preserve">JH, </w:t>
            </w:r>
            <w:proofErr w:type="spellStart"/>
            <w:r w:rsidRPr="00937EEC">
              <w:rPr>
                <w:rFonts w:ascii="Arial Narrow" w:eastAsiaTheme="majorEastAsia" w:hAnsi="Arial Narrow" w:cstheme="majorBidi"/>
                <w:bCs/>
                <w:sz w:val="20"/>
                <w:szCs w:val="18"/>
              </w:rPr>
              <w:t>Im</w:t>
            </w:r>
            <w:proofErr w:type="spellEnd"/>
            <w:r w:rsidRPr="00937EEC">
              <w:rPr>
                <w:rFonts w:ascii="Arial Narrow" w:eastAsiaTheme="majorEastAsia" w:hAnsi="Arial Narrow" w:cstheme="majorBidi"/>
                <w:bCs/>
                <w:sz w:val="20"/>
                <w:szCs w:val="18"/>
              </w:rPr>
              <w:t xml:space="preserve"> SA, Sim SH, et al. Palbociclib plus </w:t>
            </w:r>
            <w:proofErr w:type="spellStart"/>
            <w:r w:rsidRPr="00937EEC">
              <w:rPr>
                <w:rFonts w:ascii="Arial Narrow" w:eastAsiaTheme="majorEastAsia" w:hAnsi="Arial Narrow" w:cstheme="majorBidi"/>
                <w:bCs/>
                <w:sz w:val="20"/>
                <w:szCs w:val="18"/>
              </w:rPr>
              <w:t>fulvestrant</w:t>
            </w:r>
            <w:proofErr w:type="spellEnd"/>
            <w:r w:rsidRPr="00937EEC">
              <w:rPr>
                <w:rFonts w:ascii="Arial Narrow" w:eastAsiaTheme="majorEastAsia" w:hAnsi="Arial Narrow" w:cstheme="majorBidi"/>
                <w:bCs/>
                <w:sz w:val="20"/>
                <w:szCs w:val="18"/>
              </w:rPr>
              <w:t xml:space="preserve"> in Korean patients from paloma-3 with hormone receptor-positive/human epidermal growth factor receptor 2 negative advanced breast cancer. </w:t>
            </w:r>
          </w:p>
        </w:tc>
        <w:tc>
          <w:tcPr>
            <w:tcW w:w="1308" w:type="pct"/>
            <w:tcBorders>
              <w:top w:val="nil"/>
              <w:bottom w:val="nil"/>
            </w:tcBorders>
            <w:vAlign w:val="center"/>
          </w:tcPr>
          <w:p w14:paraId="33A604BA" w14:textId="5722A448" w:rsidR="00937EEC" w:rsidRPr="00937EEC" w:rsidRDefault="00937EEC" w:rsidP="00937EEC">
            <w:pPr>
              <w:spacing w:before="20" w:after="20"/>
              <w:jc w:val="left"/>
              <w:rPr>
                <w:rFonts w:ascii="Arial Narrow" w:eastAsiaTheme="majorEastAsia" w:hAnsi="Arial Narrow" w:cstheme="majorBidi"/>
                <w:bCs/>
                <w:i/>
                <w:sz w:val="20"/>
                <w:szCs w:val="18"/>
                <w:lang w:val="en-US"/>
              </w:rPr>
            </w:pPr>
            <w:r w:rsidRPr="00937EEC">
              <w:rPr>
                <w:rFonts w:ascii="Arial Narrow" w:eastAsiaTheme="majorEastAsia" w:hAnsi="Arial Narrow" w:cstheme="majorBidi"/>
                <w:bCs/>
                <w:i/>
                <w:iCs/>
                <w:sz w:val="20"/>
                <w:szCs w:val="18"/>
              </w:rPr>
              <w:t xml:space="preserve">Journal of </w:t>
            </w:r>
            <w:r w:rsidR="00BC7689">
              <w:rPr>
                <w:rFonts w:ascii="Arial Narrow" w:eastAsiaTheme="majorEastAsia" w:hAnsi="Arial Narrow" w:cstheme="majorBidi"/>
                <w:bCs/>
                <w:i/>
                <w:iCs/>
                <w:sz w:val="20"/>
                <w:szCs w:val="18"/>
              </w:rPr>
              <w:t>B</w:t>
            </w:r>
            <w:r w:rsidRPr="00937EEC">
              <w:rPr>
                <w:rFonts w:ascii="Arial Narrow" w:eastAsiaTheme="majorEastAsia" w:hAnsi="Arial Narrow" w:cstheme="majorBidi"/>
                <w:bCs/>
                <w:i/>
                <w:iCs/>
                <w:sz w:val="20"/>
                <w:szCs w:val="18"/>
              </w:rPr>
              <w:t xml:space="preserve">reast </w:t>
            </w:r>
            <w:r w:rsidR="00BC7689">
              <w:rPr>
                <w:rFonts w:ascii="Arial Narrow" w:eastAsiaTheme="majorEastAsia" w:hAnsi="Arial Narrow" w:cstheme="majorBidi"/>
                <w:bCs/>
                <w:i/>
                <w:iCs/>
                <w:sz w:val="20"/>
                <w:szCs w:val="18"/>
              </w:rPr>
              <w:t>C</w:t>
            </w:r>
            <w:r w:rsidRPr="00937EEC">
              <w:rPr>
                <w:rFonts w:ascii="Arial Narrow" w:eastAsiaTheme="majorEastAsia" w:hAnsi="Arial Narrow" w:cstheme="majorBidi"/>
                <w:bCs/>
                <w:i/>
                <w:iCs/>
                <w:sz w:val="20"/>
                <w:szCs w:val="18"/>
              </w:rPr>
              <w:t>ancer</w:t>
            </w:r>
            <w:r w:rsidRPr="00937EEC">
              <w:rPr>
                <w:rFonts w:ascii="Arial Narrow" w:eastAsiaTheme="majorEastAsia" w:hAnsi="Arial Narrow" w:cstheme="majorBidi"/>
                <w:bCs/>
                <w:sz w:val="20"/>
                <w:szCs w:val="18"/>
              </w:rPr>
              <w:t>. 2021; 24(1):97-105.</w:t>
            </w:r>
          </w:p>
        </w:tc>
      </w:tr>
      <w:tr w:rsidR="00937EEC" w:rsidRPr="00937EEC" w14:paraId="24B1851D" w14:textId="77777777" w:rsidTr="000E484F">
        <w:tc>
          <w:tcPr>
            <w:tcW w:w="784" w:type="pct"/>
            <w:vMerge w:val="restart"/>
            <w:tcBorders>
              <w:top w:val="single" w:sz="4" w:space="0" w:color="auto"/>
            </w:tcBorders>
            <w:vAlign w:val="center"/>
          </w:tcPr>
          <w:p w14:paraId="1437AEA2" w14:textId="77777777" w:rsidR="00937EEC" w:rsidRPr="00937EEC" w:rsidRDefault="00937EEC" w:rsidP="00937EEC">
            <w:pPr>
              <w:spacing w:before="20" w:after="20"/>
              <w:jc w:val="left"/>
              <w:rPr>
                <w:rFonts w:ascii="Arial Narrow" w:eastAsiaTheme="majorEastAsia" w:hAnsi="Arial Narrow" w:cstheme="majorBidi"/>
                <w:bCs/>
                <w:sz w:val="20"/>
              </w:rPr>
            </w:pPr>
            <w:r w:rsidRPr="00937EEC">
              <w:rPr>
                <w:rFonts w:ascii="Arial Narrow" w:eastAsiaTheme="majorEastAsia" w:hAnsi="Arial Narrow" w:cstheme="majorBidi"/>
                <w:bCs/>
                <w:sz w:val="20"/>
              </w:rPr>
              <w:t>MONALEESA-3</w:t>
            </w:r>
          </w:p>
          <w:p w14:paraId="37332769" w14:textId="77777777" w:rsidR="00937EEC" w:rsidRPr="00937EEC" w:rsidRDefault="00937EEC" w:rsidP="00937EEC">
            <w:pPr>
              <w:spacing w:before="20" w:after="20"/>
              <w:jc w:val="left"/>
              <w:rPr>
                <w:rFonts w:ascii="Arial Narrow" w:eastAsiaTheme="majorEastAsia" w:hAnsi="Arial Narrow" w:cstheme="majorBidi"/>
                <w:bCs/>
                <w:sz w:val="20"/>
              </w:rPr>
            </w:pPr>
            <w:r w:rsidRPr="00937EEC">
              <w:rPr>
                <w:rFonts w:ascii="Arial Narrow" w:eastAsiaTheme="majorEastAsia" w:hAnsi="Arial Narrow" w:cstheme="majorBidi"/>
                <w:bCs/>
                <w:sz w:val="20"/>
              </w:rPr>
              <w:t>NCT02422615</w:t>
            </w:r>
          </w:p>
        </w:tc>
        <w:tc>
          <w:tcPr>
            <w:tcW w:w="2908" w:type="pct"/>
            <w:tcBorders>
              <w:top w:val="single" w:sz="4" w:space="0" w:color="auto"/>
              <w:bottom w:val="nil"/>
            </w:tcBorders>
            <w:vAlign w:val="center"/>
          </w:tcPr>
          <w:p w14:paraId="407BC794" w14:textId="77777777" w:rsidR="00937EEC" w:rsidRPr="00937EEC" w:rsidRDefault="00937EEC" w:rsidP="00937EEC">
            <w:pPr>
              <w:spacing w:before="20" w:after="20"/>
              <w:jc w:val="left"/>
              <w:rPr>
                <w:rFonts w:ascii="Arial Narrow" w:eastAsiaTheme="majorEastAsia" w:hAnsi="Arial Narrow" w:cstheme="majorBidi"/>
                <w:bCs/>
                <w:sz w:val="20"/>
                <w:szCs w:val="18"/>
                <w:highlight w:val="yellow"/>
              </w:rPr>
            </w:pPr>
            <w:r w:rsidRPr="00937EEC">
              <w:rPr>
                <w:rFonts w:ascii="Arial Narrow" w:eastAsiaTheme="majorEastAsia" w:hAnsi="Arial Narrow" w:cstheme="majorBidi"/>
                <w:bCs/>
                <w:sz w:val="20"/>
                <w:szCs w:val="18"/>
              </w:rPr>
              <w:t>Study of Efficacy and Safety of LEE011 in Men and Postmenopausal Women with Advanced Breast Cancer</w:t>
            </w:r>
          </w:p>
        </w:tc>
        <w:tc>
          <w:tcPr>
            <w:tcW w:w="1308" w:type="pct"/>
            <w:tcBorders>
              <w:top w:val="single" w:sz="4" w:space="0" w:color="auto"/>
              <w:bottom w:val="nil"/>
            </w:tcBorders>
            <w:vAlign w:val="center"/>
          </w:tcPr>
          <w:p w14:paraId="67A449D6" w14:textId="77777777" w:rsidR="00937EEC" w:rsidRPr="00937EEC" w:rsidRDefault="00937EEC" w:rsidP="00937EEC">
            <w:pPr>
              <w:spacing w:before="20" w:after="20"/>
              <w:jc w:val="left"/>
              <w:rPr>
                <w:rFonts w:ascii="Arial Narrow" w:eastAsiaTheme="majorEastAsia" w:hAnsi="Arial Narrow" w:cstheme="majorBidi"/>
                <w:bCs/>
                <w:sz w:val="20"/>
                <w:highlight w:val="yellow"/>
              </w:rPr>
            </w:pPr>
            <w:r w:rsidRPr="00937EEC">
              <w:rPr>
                <w:rFonts w:ascii="Arial Narrow" w:eastAsiaTheme="majorEastAsia" w:hAnsi="Arial Narrow" w:cstheme="majorBidi"/>
                <w:bCs/>
                <w:sz w:val="20"/>
              </w:rPr>
              <w:t>Clinical Study</w:t>
            </w:r>
          </w:p>
        </w:tc>
      </w:tr>
      <w:tr w:rsidR="00937EEC" w:rsidRPr="00937EEC" w14:paraId="66C3AE72" w14:textId="77777777" w:rsidTr="000E484F">
        <w:tc>
          <w:tcPr>
            <w:tcW w:w="784" w:type="pct"/>
            <w:vMerge/>
            <w:vAlign w:val="center"/>
          </w:tcPr>
          <w:p w14:paraId="494C725D" w14:textId="77777777" w:rsidR="00937EEC" w:rsidRPr="00937EEC" w:rsidRDefault="00937EEC" w:rsidP="00937EEC">
            <w:pPr>
              <w:spacing w:before="20" w:after="20"/>
              <w:jc w:val="left"/>
              <w:rPr>
                <w:rFonts w:ascii="Arial Narrow" w:eastAsiaTheme="majorEastAsia" w:hAnsi="Arial Narrow" w:cstheme="majorBidi"/>
                <w:bCs/>
                <w:sz w:val="20"/>
              </w:rPr>
            </w:pPr>
          </w:p>
        </w:tc>
        <w:tc>
          <w:tcPr>
            <w:tcW w:w="2908" w:type="pct"/>
            <w:tcBorders>
              <w:top w:val="nil"/>
              <w:bottom w:val="nil"/>
            </w:tcBorders>
            <w:vAlign w:val="center"/>
          </w:tcPr>
          <w:p w14:paraId="14CC48E8" w14:textId="77777777" w:rsidR="00937EEC" w:rsidRPr="00937EEC" w:rsidRDefault="00937EEC" w:rsidP="00937EEC">
            <w:pPr>
              <w:spacing w:before="20" w:after="20"/>
              <w:jc w:val="left"/>
              <w:rPr>
                <w:rFonts w:ascii="Arial Narrow" w:eastAsiaTheme="majorEastAsia" w:hAnsi="Arial Narrow" w:cstheme="majorBidi"/>
                <w:bCs/>
                <w:sz w:val="20"/>
                <w:szCs w:val="18"/>
              </w:rPr>
            </w:pPr>
            <w:proofErr w:type="spellStart"/>
            <w:r w:rsidRPr="00937EEC">
              <w:rPr>
                <w:rFonts w:ascii="Arial Narrow" w:eastAsiaTheme="majorEastAsia" w:hAnsi="Arial Narrow" w:cstheme="majorBidi"/>
                <w:bCs/>
                <w:sz w:val="20"/>
                <w:szCs w:val="18"/>
              </w:rPr>
              <w:t>Slamon</w:t>
            </w:r>
            <w:proofErr w:type="spellEnd"/>
            <w:r w:rsidRPr="00937EEC">
              <w:rPr>
                <w:rFonts w:ascii="Arial Narrow" w:eastAsiaTheme="majorEastAsia" w:hAnsi="Arial Narrow" w:cstheme="majorBidi"/>
                <w:bCs/>
                <w:sz w:val="20"/>
                <w:szCs w:val="18"/>
              </w:rPr>
              <w:t xml:space="preserve"> DJ, Neven P, Chai S, et al. Phase III Randomized Study of </w:t>
            </w:r>
            <w:proofErr w:type="spellStart"/>
            <w:r w:rsidRPr="00937EEC">
              <w:rPr>
                <w:rFonts w:ascii="Arial Narrow" w:eastAsiaTheme="majorEastAsia" w:hAnsi="Arial Narrow" w:cstheme="majorBidi"/>
                <w:bCs/>
                <w:sz w:val="20"/>
                <w:szCs w:val="18"/>
              </w:rPr>
              <w:t>Ribociclib</w:t>
            </w:r>
            <w:proofErr w:type="spellEnd"/>
            <w:r w:rsidRPr="00937EEC">
              <w:rPr>
                <w:rFonts w:ascii="Arial Narrow" w:eastAsiaTheme="majorEastAsia" w:hAnsi="Arial Narrow" w:cstheme="majorBidi"/>
                <w:bCs/>
                <w:sz w:val="20"/>
                <w:szCs w:val="18"/>
              </w:rPr>
              <w:t xml:space="preserve"> and </w:t>
            </w:r>
            <w:proofErr w:type="spellStart"/>
            <w:r w:rsidRPr="00937EEC">
              <w:rPr>
                <w:rFonts w:ascii="Arial Narrow" w:eastAsiaTheme="majorEastAsia" w:hAnsi="Arial Narrow" w:cstheme="majorBidi"/>
                <w:bCs/>
                <w:sz w:val="20"/>
                <w:szCs w:val="18"/>
              </w:rPr>
              <w:t>Fulvestrant</w:t>
            </w:r>
            <w:proofErr w:type="spellEnd"/>
            <w:r w:rsidRPr="00937EEC">
              <w:rPr>
                <w:rFonts w:ascii="Arial Narrow" w:eastAsiaTheme="majorEastAsia" w:hAnsi="Arial Narrow" w:cstheme="majorBidi"/>
                <w:bCs/>
                <w:sz w:val="20"/>
                <w:szCs w:val="18"/>
              </w:rPr>
              <w:t xml:space="preserve"> in Hormone Receptor-Positive, Human Epidermal Growth Factor Receptor 2-Negative Advanced Breast Cancer: MONALEESA-3. </w:t>
            </w:r>
          </w:p>
        </w:tc>
        <w:tc>
          <w:tcPr>
            <w:tcW w:w="1308" w:type="pct"/>
            <w:tcBorders>
              <w:top w:val="nil"/>
              <w:bottom w:val="nil"/>
            </w:tcBorders>
            <w:vAlign w:val="center"/>
          </w:tcPr>
          <w:p w14:paraId="7C15AE11" w14:textId="290374F2" w:rsidR="00937EEC" w:rsidRPr="00937EEC" w:rsidRDefault="00937EEC" w:rsidP="00937EEC">
            <w:pPr>
              <w:spacing w:before="20" w:after="20"/>
              <w:jc w:val="left"/>
              <w:rPr>
                <w:rFonts w:ascii="Arial Narrow" w:eastAsiaTheme="majorEastAsia" w:hAnsi="Arial Narrow" w:cstheme="majorBidi"/>
                <w:bCs/>
                <w:sz w:val="20"/>
              </w:rPr>
            </w:pPr>
            <w:r w:rsidRPr="00937EEC">
              <w:rPr>
                <w:rFonts w:ascii="Arial Narrow" w:eastAsiaTheme="majorEastAsia" w:hAnsi="Arial Narrow" w:cstheme="majorBidi"/>
                <w:bCs/>
                <w:i/>
                <w:iCs/>
                <w:sz w:val="20"/>
                <w:szCs w:val="18"/>
              </w:rPr>
              <w:t xml:space="preserve">Journal of </w:t>
            </w:r>
            <w:r w:rsidR="00BC7689">
              <w:rPr>
                <w:rFonts w:ascii="Arial Narrow" w:eastAsiaTheme="majorEastAsia" w:hAnsi="Arial Narrow" w:cstheme="majorBidi"/>
                <w:bCs/>
                <w:i/>
                <w:iCs/>
                <w:sz w:val="20"/>
                <w:szCs w:val="18"/>
              </w:rPr>
              <w:t>C</w:t>
            </w:r>
            <w:r w:rsidRPr="00937EEC">
              <w:rPr>
                <w:rFonts w:ascii="Arial Narrow" w:eastAsiaTheme="majorEastAsia" w:hAnsi="Arial Narrow" w:cstheme="majorBidi"/>
                <w:bCs/>
                <w:i/>
                <w:iCs/>
                <w:sz w:val="20"/>
                <w:szCs w:val="18"/>
              </w:rPr>
              <w:t xml:space="preserve">linical </w:t>
            </w:r>
            <w:r w:rsidR="00BC7689">
              <w:rPr>
                <w:rFonts w:ascii="Arial Narrow" w:eastAsiaTheme="majorEastAsia" w:hAnsi="Arial Narrow" w:cstheme="majorBidi"/>
                <w:bCs/>
                <w:i/>
                <w:iCs/>
                <w:sz w:val="20"/>
                <w:szCs w:val="18"/>
              </w:rPr>
              <w:t>O</w:t>
            </w:r>
            <w:r w:rsidRPr="00937EEC">
              <w:rPr>
                <w:rFonts w:ascii="Arial Narrow" w:eastAsiaTheme="majorEastAsia" w:hAnsi="Arial Narrow" w:cstheme="majorBidi"/>
                <w:bCs/>
                <w:i/>
                <w:iCs/>
                <w:sz w:val="20"/>
                <w:szCs w:val="18"/>
              </w:rPr>
              <w:t>ncology</w:t>
            </w:r>
            <w:r w:rsidRPr="00937EEC">
              <w:rPr>
                <w:rFonts w:ascii="Arial Narrow" w:eastAsiaTheme="majorEastAsia" w:hAnsi="Arial Narrow" w:cstheme="majorBidi"/>
                <w:bCs/>
                <w:sz w:val="20"/>
                <w:szCs w:val="18"/>
              </w:rPr>
              <w:t>. 2018</w:t>
            </w:r>
            <w:r w:rsidRPr="00937EEC">
              <w:rPr>
                <w:rFonts w:ascii="Arial Narrow" w:eastAsiaTheme="majorEastAsia" w:hAnsi="Arial Narrow" w:cstheme="majorBidi"/>
                <w:bCs/>
                <w:sz w:val="20"/>
              </w:rPr>
              <w:t>;</w:t>
            </w:r>
            <w:r w:rsidRPr="00937EEC">
              <w:rPr>
                <w:rFonts w:ascii="Arial Narrow" w:eastAsiaTheme="majorEastAsia" w:hAnsi="Arial Narrow" w:cstheme="majorBidi"/>
                <w:bCs/>
                <w:sz w:val="20"/>
                <w:szCs w:val="18"/>
              </w:rPr>
              <w:t xml:space="preserve"> 36(24):2465-2472.</w:t>
            </w:r>
          </w:p>
        </w:tc>
      </w:tr>
      <w:tr w:rsidR="00937EEC" w:rsidRPr="00937EEC" w14:paraId="7E278EF0" w14:textId="77777777" w:rsidTr="000E484F">
        <w:tc>
          <w:tcPr>
            <w:tcW w:w="784" w:type="pct"/>
            <w:vMerge/>
            <w:vAlign w:val="center"/>
          </w:tcPr>
          <w:p w14:paraId="7C083762" w14:textId="77777777" w:rsidR="00937EEC" w:rsidRPr="00937EEC" w:rsidRDefault="00937EEC" w:rsidP="00937EEC">
            <w:pPr>
              <w:spacing w:before="20" w:after="20"/>
              <w:jc w:val="left"/>
              <w:rPr>
                <w:rFonts w:ascii="Arial Narrow" w:eastAsiaTheme="majorEastAsia" w:hAnsi="Arial Narrow" w:cstheme="majorBidi"/>
                <w:bCs/>
                <w:sz w:val="20"/>
              </w:rPr>
            </w:pPr>
          </w:p>
        </w:tc>
        <w:tc>
          <w:tcPr>
            <w:tcW w:w="2908" w:type="pct"/>
            <w:tcBorders>
              <w:top w:val="nil"/>
              <w:bottom w:val="nil"/>
            </w:tcBorders>
            <w:vAlign w:val="center"/>
          </w:tcPr>
          <w:p w14:paraId="6241A0FD" w14:textId="77777777" w:rsidR="00937EEC" w:rsidRPr="00937EEC" w:rsidRDefault="00937EEC" w:rsidP="00937EEC">
            <w:pPr>
              <w:spacing w:before="20" w:after="20"/>
              <w:jc w:val="left"/>
              <w:rPr>
                <w:rFonts w:ascii="Arial Narrow" w:eastAsiaTheme="majorEastAsia" w:hAnsi="Arial Narrow" w:cstheme="majorBidi"/>
                <w:bCs/>
                <w:sz w:val="20"/>
                <w:szCs w:val="18"/>
              </w:rPr>
            </w:pPr>
            <w:proofErr w:type="spellStart"/>
            <w:r w:rsidRPr="00937EEC">
              <w:rPr>
                <w:rFonts w:ascii="Arial Narrow" w:eastAsiaTheme="majorEastAsia" w:hAnsi="Arial Narrow" w:cstheme="majorBidi"/>
                <w:bCs/>
                <w:sz w:val="20"/>
                <w:szCs w:val="18"/>
              </w:rPr>
              <w:t>Slamon</w:t>
            </w:r>
            <w:proofErr w:type="spellEnd"/>
            <w:r w:rsidRPr="00937EEC">
              <w:rPr>
                <w:rFonts w:ascii="Arial Narrow" w:eastAsiaTheme="majorEastAsia" w:hAnsi="Arial Narrow" w:cstheme="majorBidi"/>
                <w:bCs/>
                <w:sz w:val="20"/>
                <w:szCs w:val="18"/>
              </w:rPr>
              <w:t xml:space="preserve"> DJ, Neven P, Chia S, et al. Overall Survival with </w:t>
            </w:r>
            <w:proofErr w:type="spellStart"/>
            <w:r w:rsidRPr="00937EEC">
              <w:rPr>
                <w:rFonts w:ascii="Arial Narrow" w:eastAsiaTheme="majorEastAsia" w:hAnsi="Arial Narrow" w:cstheme="majorBidi"/>
                <w:bCs/>
                <w:sz w:val="20"/>
                <w:szCs w:val="18"/>
              </w:rPr>
              <w:t>Ribociclib</w:t>
            </w:r>
            <w:proofErr w:type="spellEnd"/>
            <w:r w:rsidRPr="00937EEC">
              <w:rPr>
                <w:rFonts w:ascii="Arial Narrow" w:eastAsiaTheme="majorEastAsia" w:hAnsi="Arial Narrow" w:cstheme="majorBidi"/>
                <w:bCs/>
                <w:sz w:val="20"/>
                <w:szCs w:val="18"/>
              </w:rPr>
              <w:t xml:space="preserve"> plus </w:t>
            </w:r>
            <w:proofErr w:type="spellStart"/>
            <w:r w:rsidRPr="00937EEC">
              <w:rPr>
                <w:rFonts w:ascii="Arial Narrow" w:eastAsiaTheme="majorEastAsia" w:hAnsi="Arial Narrow" w:cstheme="majorBidi"/>
                <w:bCs/>
                <w:sz w:val="20"/>
                <w:szCs w:val="18"/>
              </w:rPr>
              <w:t>Fulvestrant</w:t>
            </w:r>
            <w:proofErr w:type="spellEnd"/>
            <w:r w:rsidRPr="00937EEC">
              <w:rPr>
                <w:rFonts w:ascii="Arial Narrow" w:eastAsiaTheme="majorEastAsia" w:hAnsi="Arial Narrow" w:cstheme="majorBidi"/>
                <w:bCs/>
                <w:sz w:val="20"/>
                <w:szCs w:val="18"/>
              </w:rPr>
              <w:t xml:space="preserve"> in Advanced Breast Cancer. </w:t>
            </w:r>
          </w:p>
        </w:tc>
        <w:tc>
          <w:tcPr>
            <w:tcW w:w="1308" w:type="pct"/>
            <w:tcBorders>
              <w:top w:val="nil"/>
              <w:bottom w:val="nil"/>
            </w:tcBorders>
            <w:vAlign w:val="center"/>
          </w:tcPr>
          <w:p w14:paraId="0AC9E374" w14:textId="22754B9F" w:rsidR="00937EEC" w:rsidRPr="00937EEC" w:rsidRDefault="00937EEC" w:rsidP="00937EEC">
            <w:pPr>
              <w:spacing w:before="20" w:after="20"/>
              <w:jc w:val="left"/>
              <w:rPr>
                <w:rFonts w:ascii="Arial Narrow" w:eastAsiaTheme="majorEastAsia" w:hAnsi="Arial Narrow" w:cstheme="majorBidi"/>
                <w:bCs/>
                <w:sz w:val="20"/>
              </w:rPr>
            </w:pPr>
            <w:r w:rsidRPr="00937EEC">
              <w:rPr>
                <w:rFonts w:ascii="Arial Narrow" w:eastAsiaTheme="majorEastAsia" w:hAnsi="Arial Narrow" w:cstheme="majorBidi"/>
                <w:bCs/>
                <w:i/>
                <w:iCs/>
                <w:sz w:val="20"/>
                <w:szCs w:val="18"/>
              </w:rPr>
              <w:t>N</w:t>
            </w:r>
            <w:r w:rsidR="00BC7689">
              <w:rPr>
                <w:rFonts w:ascii="Arial Narrow" w:eastAsiaTheme="majorEastAsia" w:hAnsi="Arial Narrow" w:cstheme="majorBidi"/>
                <w:bCs/>
                <w:i/>
                <w:iCs/>
                <w:sz w:val="20"/>
                <w:szCs w:val="18"/>
              </w:rPr>
              <w:t xml:space="preserve">EJM </w:t>
            </w:r>
            <w:r w:rsidRPr="00937EEC">
              <w:rPr>
                <w:rFonts w:ascii="Arial Narrow" w:eastAsiaTheme="majorEastAsia" w:hAnsi="Arial Narrow" w:cstheme="majorBidi"/>
                <w:bCs/>
                <w:sz w:val="20"/>
                <w:szCs w:val="18"/>
              </w:rPr>
              <w:t>2020; 382(6):514-524</w:t>
            </w:r>
          </w:p>
        </w:tc>
      </w:tr>
      <w:tr w:rsidR="00937EEC" w:rsidRPr="00937EEC" w14:paraId="76B22C04" w14:textId="77777777" w:rsidTr="000E484F">
        <w:tc>
          <w:tcPr>
            <w:tcW w:w="784" w:type="pct"/>
            <w:vMerge/>
            <w:vAlign w:val="center"/>
          </w:tcPr>
          <w:p w14:paraId="4EA37710" w14:textId="77777777" w:rsidR="00937EEC" w:rsidRPr="00937EEC" w:rsidRDefault="00937EEC" w:rsidP="00937EEC">
            <w:pPr>
              <w:spacing w:before="20" w:after="20"/>
              <w:jc w:val="left"/>
              <w:rPr>
                <w:rFonts w:ascii="Arial Narrow" w:eastAsiaTheme="majorEastAsia" w:hAnsi="Arial Narrow" w:cstheme="majorBidi"/>
                <w:bCs/>
                <w:sz w:val="20"/>
              </w:rPr>
            </w:pPr>
          </w:p>
        </w:tc>
        <w:tc>
          <w:tcPr>
            <w:tcW w:w="2908" w:type="pct"/>
            <w:tcBorders>
              <w:top w:val="nil"/>
              <w:bottom w:val="nil"/>
            </w:tcBorders>
            <w:vAlign w:val="center"/>
          </w:tcPr>
          <w:p w14:paraId="701B6D9D" w14:textId="77777777" w:rsidR="00937EEC" w:rsidRPr="00937EEC" w:rsidRDefault="00937EEC" w:rsidP="00937EEC">
            <w:pPr>
              <w:spacing w:before="20" w:after="20"/>
              <w:jc w:val="left"/>
              <w:rPr>
                <w:rFonts w:ascii="Arial Narrow" w:eastAsiaTheme="majorEastAsia" w:hAnsi="Arial Narrow" w:cstheme="majorBidi"/>
                <w:bCs/>
                <w:sz w:val="20"/>
                <w:szCs w:val="18"/>
              </w:rPr>
            </w:pPr>
            <w:r w:rsidRPr="00937EEC">
              <w:rPr>
                <w:rFonts w:ascii="Arial Narrow" w:eastAsiaTheme="majorEastAsia" w:hAnsi="Arial Narrow" w:cstheme="majorBidi"/>
                <w:bCs/>
                <w:sz w:val="20"/>
                <w:szCs w:val="18"/>
              </w:rPr>
              <w:t xml:space="preserve">Fasching PA, Beck JT, Chan A, et al. </w:t>
            </w:r>
            <w:proofErr w:type="spellStart"/>
            <w:r w:rsidRPr="00937EEC">
              <w:rPr>
                <w:rFonts w:ascii="Arial Narrow" w:eastAsiaTheme="majorEastAsia" w:hAnsi="Arial Narrow" w:cstheme="majorBidi"/>
                <w:bCs/>
                <w:sz w:val="20"/>
                <w:szCs w:val="18"/>
              </w:rPr>
              <w:t>Ribociclib</w:t>
            </w:r>
            <w:proofErr w:type="spellEnd"/>
            <w:r w:rsidRPr="00937EEC">
              <w:rPr>
                <w:rFonts w:ascii="Arial Narrow" w:eastAsiaTheme="majorEastAsia" w:hAnsi="Arial Narrow" w:cstheme="majorBidi"/>
                <w:bCs/>
                <w:sz w:val="20"/>
                <w:szCs w:val="18"/>
              </w:rPr>
              <w:t xml:space="preserve"> plus </w:t>
            </w:r>
            <w:proofErr w:type="spellStart"/>
            <w:r w:rsidRPr="00937EEC">
              <w:rPr>
                <w:rFonts w:ascii="Arial Narrow" w:eastAsiaTheme="majorEastAsia" w:hAnsi="Arial Narrow" w:cstheme="majorBidi"/>
                <w:bCs/>
                <w:sz w:val="20"/>
                <w:szCs w:val="18"/>
              </w:rPr>
              <w:t>fulvestrant</w:t>
            </w:r>
            <w:proofErr w:type="spellEnd"/>
            <w:r w:rsidRPr="00937EEC">
              <w:rPr>
                <w:rFonts w:ascii="Arial Narrow" w:eastAsiaTheme="majorEastAsia" w:hAnsi="Arial Narrow" w:cstheme="majorBidi"/>
                <w:bCs/>
                <w:sz w:val="20"/>
                <w:szCs w:val="18"/>
              </w:rPr>
              <w:t xml:space="preserve"> for advanced breast cancer: health-related quality-of-life analyses from the MONALEESA-3 study. </w:t>
            </w:r>
          </w:p>
        </w:tc>
        <w:tc>
          <w:tcPr>
            <w:tcW w:w="1308" w:type="pct"/>
            <w:tcBorders>
              <w:top w:val="nil"/>
              <w:bottom w:val="nil"/>
            </w:tcBorders>
            <w:vAlign w:val="center"/>
          </w:tcPr>
          <w:p w14:paraId="674900D7" w14:textId="77777777" w:rsidR="00937EEC" w:rsidRPr="00937EEC" w:rsidRDefault="00937EEC" w:rsidP="00937EEC">
            <w:pPr>
              <w:spacing w:before="20" w:after="20"/>
              <w:jc w:val="left"/>
              <w:rPr>
                <w:rFonts w:ascii="Arial Narrow" w:eastAsiaTheme="majorEastAsia" w:hAnsi="Arial Narrow" w:cstheme="majorBidi"/>
                <w:bCs/>
                <w:sz w:val="20"/>
              </w:rPr>
            </w:pPr>
            <w:r w:rsidRPr="00937EEC">
              <w:rPr>
                <w:rFonts w:ascii="Arial Narrow" w:eastAsiaTheme="majorEastAsia" w:hAnsi="Arial Narrow" w:cstheme="majorBidi"/>
                <w:bCs/>
                <w:i/>
                <w:iCs/>
                <w:sz w:val="20"/>
                <w:szCs w:val="18"/>
              </w:rPr>
              <w:t>Breast</w:t>
            </w:r>
            <w:r w:rsidRPr="00937EEC">
              <w:rPr>
                <w:rFonts w:ascii="Arial Narrow" w:eastAsiaTheme="majorEastAsia" w:hAnsi="Arial Narrow" w:cstheme="majorBidi"/>
                <w:bCs/>
                <w:sz w:val="20"/>
                <w:szCs w:val="18"/>
              </w:rPr>
              <w:t xml:space="preserve"> 2020; 54:148-154</w:t>
            </w:r>
          </w:p>
        </w:tc>
      </w:tr>
      <w:tr w:rsidR="00937EEC" w:rsidRPr="00937EEC" w14:paraId="735EEB75" w14:textId="77777777" w:rsidTr="000E484F">
        <w:tc>
          <w:tcPr>
            <w:tcW w:w="784" w:type="pct"/>
            <w:vMerge/>
            <w:tcBorders>
              <w:bottom w:val="nil"/>
            </w:tcBorders>
            <w:vAlign w:val="center"/>
          </w:tcPr>
          <w:p w14:paraId="2C4F9595" w14:textId="77777777" w:rsidR="00937EEC" w:rsidRPr="00937EEC" w:rsidRDefault="00937EEC" w:rsidP="00937EEC">
            <w:pPr>
              <w:spacing w:before="20" w:after="20"/>
              <w:jc w:val="left"/>
              <w:rPr>
                <w:rFonts w:ascii="Arial Narrow" w:eastAsiaTheme="majorEastAsia" w:hAnsi="Arial Narrow" w:cstheme="majorBidi"/>
                <w:bCs/>
                <w:sz w:val="20"/>
              </w:rPr>
            </w:pPr>
          </w:p>
        </w:tc>
        <w:tc>
          <w:tcPr>
            <w:tcW w:w="2908" w:type="pct"/>
            <w:tcBorders>
              <w:top w:val="nil"/>
              <w:bottom w:val="nil"/>
            </w:tcBorders>
            <w:vAlign w:val="center"/>
          </w:tcPr>
          <w:p w14:paraId="042A3FFC" w14:textId="77777777" w:rsidR="00937EEC" w:rsidRPr="00937EEC" w:rsidRDefault="00937EEC" w:rsidP="00937EEC">
            <w:pPr>
              <w:spacing w:before="20" w:after="20"/>
              <w:jc w:val="left"/>
              <w:rPr>
                <w:rFonts w:ascii="Arial Narrow" w:eastAsiaTheme="majorEastAsia" w:hAnsi="Arial Narrow" w:cstheme="majorBidi"/>
                <w:bCs/>
                <w:sz w:val="20"/>
                <w:szCs w:val="18"/>
              </w:rPr>
            </w:pPr>
            <w:proofErr w:type="spellStart"/>
            <w:r w:rsidRPr="00937EEC">
              <w:rPr>
                <w:rFonts w:ascii="Arial Narrow" w:eastAsiaTheme="majorEastAsia" w:hAnsi="Arial Narrow" w:cstheme="majorBidi"/>
                <w:bCs/>
                <w:sz w:val="20"/>
                <w:szCs w:val="18"/>
              </w:rPr>
              <w:t>Slamon</w:t>
            </w:r>
            <w:proofErr w:type="spellEnd"/>
            <w:r w:rsidRPr="00937EEC">
              <w:rPr>
                <w:rFonts w:ascii="Arial Narrow" w:eastAsiaTheme="majorEastAsia" w:hAnsi="Arial Narrow" w:cstheme="majorBidi"/>
                <w:bCs/>
                <w:sz w:val="20"/>
                <w:szCs w:val="18"/>
              </w:rPr>
              <w:t xml:space="preserve"> DJ, Neven P, Chia S, et al. </w:t>
            </w:r>
            <w:proofErr w:type="spellStart"/>
            <w:r w:rsidRPr="00937EEC">
              <w:rPr>
                <w:rFonts w:ascii="Arial Narrow" w:eastAsiaTheme="majorEastAsia" w:hAnsi="Arial Narrow" w:cstheme="majorBidi"/>
                <w:bCs/>
                <w:sz w:val="20"/>
                <w:szCs w:val="18"/>
              </w:rPr>
              <w:t>Ribociclib</w:t>
            </w:r>
            <w:proofErr w:type="spellEnd"/>
            <w:r w:rsidRPr="00937EEC">
              <w:rPr>
                <w:rFonts w:ascii="Arial Narrow" w:eastAsiaTheme="majorEastAsia" w:hAnsi="Arial Narrow" w:cstheme="majorBidi"/>
                <w:bCs/>
                <w:sz w:val="20"/>
                <w:szCs w:val="18"/>
              </w:rPr>
              <w:t xml:space="preserve"> plus </w:t>
            </w:r>
            <w:proofErr w:type="spellStart"/>
            <w:r w:rsidRPr="00937EEC">
              <w:rPr>
                <w:rFonts w:ascii="Arial Narrow" w:eastAsiaTheme="majorEastAsia" w:hAnsi="Arial Narrow" w:cstheme="majorBidi"/>
                <w:bCs/>
                <w:sz w:val="20"/>
                <w:szCs w:val="18"/>
              </w:rPr>
              <w:t>fulvestrant</w:t>
            </w:r>
            <w:proofErr w:type="spellEnd"/>
            <w:r w:rsidRPr="00937EEC">
              <w:rPr>
                <w:rFonts w:ascii="Arial Narrow" w:eastAsiaTheme="majorEastAsia" w:hAnsi="Arial Narrow" w:cstheme="majorBidi"/>
                <w:bCs/>
                <w:sz w:val="20"/>
                <w:szCs w:val="18"/>
              </w:rPr>
              <w:t xml:space="preserve"> for postmenopausal women with hormone receptor-positive, human epidermal growth factor receptor 2-negative advanced breast cancer in the phase 3 randomized MONALEESA-3 trial: updated overall survival. </w:t>
            </w:r>
          </w:p>
        </w:tc>
        <w:tc>
          <w:tcPr>
            <w:tcW w:w="1308" w:type="pct"/>
            <w:tcBorders>
              <w:top w:val="nil"/>
              <w:bottom w:val="nil"/>
            </w:tcBorders>
            <w:vAlign w:val="center"/>
          </w:tcPr>
          <w:p w14:paraId="63E56BA1" w14:textId="0284F9AD" w:rsidR="00937EEC" w:rsidRPr="00937EEC" w:rsidRDefault="00937EEC" w:rsidP="00937EEC">
            <w:pPr>
              <w:spacing w:before="20" w:after="20"/>
              <w:jc w:val="left"/>
              <w:rPr>
                <w:rFonts w:ascii="Arial Narrow" w:eastAsiaTheme="majorEastAsia" w:hAnsi="Arial Narrow" w:cstheme="majorBidi"/>
                <w:bCs/>
                <w:sz w:val="20"/>
              </w:rPr>
            </w:pPr>
            <w:r w:rsidRPr="00937EEC">
              <w:rPr>
                <w:rFonts w:ascii="Arial Narrow" w:eastAsiaTheme="majorEastAsia" w:hAnsi="Arial Narrow" w:cstheme="majorBidi"/>
                <w:bCs/>
                <w:i/>
                <w:iCs/>
                <w:sz w:val="20"/>
                <w:szCs w:val="18"/>
              </w:rPr>
              <w:t xml:space="preserve">Annals of </w:t>
            </w:r>
            <w:r w:rsidR="00BC7689">
              <w:rPr>
                <w:rFonts w:ascii="Arial Narrow" w:eastAsiaTheme="majorEastAsia" w:hAnsi="Arial Narrow" w:cstheme="majorBidi"/>
                <w:bCs/>
                <w:i/>
                <w:iCs/>
                <w:sz w:val="20"/>
                <w:szCs w:val="18"/>
              </w:rPr>
              <w:t>O</w:t>
            </w:r>
            <w:r w:rsidRPr="00937EEC">
              <w:rPr>
                <w:rFonts w:ascii="Arial Narrow" w:eastAsiaTheme="majorEastAsia" w:hAnsi="Arial Narrow" w:cstheme="majorBidi"/>
                <w:bCs/>
                <w:i/>
                <w:iCs/>
                <w:sz w:val="20"/>
                <w:szCs w:val="18"/>
              </w:rPr>
              <w:t>ncology</w:t>
            </w:r>
            <w:r w:rsidRPr="00937EEC">
              <w:rPr>
                <w:rFonts w:ascii="Arial Narrow" w:eastAsiaTheme="majorEastAsia" w:hAnsi="Arial Narrow" w:cstheme="majorBidi"/>
                <w:bCs/>
                <w:sz w:val="20"/>
                <w:szCs w:val="18"/>
              </w:rPr>
              <w:t xml:space="preserve"> 2021; 32(8):1015-1024.</w:t>
            </w:r>
          </w:p>
        </w:tc>
      </w:tr>
      <w:tr w:rsidR="00937EEC" w:rsidRPr="00937EEC" w14:paraId="4F8DD6DF" w14:textId="77777777" w:rsidTr="000E484F">
        <w:tc>
          <w:tcPr>
            <w:tcW w:w="784" w:type="pct"/>
            <w:vMerge w:val="restart"/>
            <w:tcBorders>
              <w:top w:val="single" w:sz="4" w:space="0" w:color="auto"/>
            </w:tcBorders>
            <w:vAlign w:val="center"/>
          </w:tcPr>
          <w:p w14:paraId="1B7BDDE5" w14:textId="77777777" w:rsidR="00937EEC" w:rsidRPr="00937EEC" w:rsidRDefault="00937EEC" w:rsidP="00937EEC">
            <w:pPr>
              <w:spacing w:before="20" w:after="20"/>
              <w:jc w:val="left"/>
              <w:rPr>
                <w:rFonts w:ascii="Arial Narrow" w:eastAsiaTheme="majorEastAsia" w:hAnsi="Arial Narrow" w:cstheme="majorBidi"/>
                <w:bCs/>
                <w:sz w:val="20"/>
              </w:rPr>
            </w:pPr>
            <w:r w:rsidRPr="00937EEC">
              <w:rPr>
                <w:rFonts w:ascii="Arial Narrow" w:eastAsiaTheme="majorEastAsia" w:hAnsi="Arial Narrow" w:cstheme="majorBidi"/>
                <w:bCs/>
                <w:sz w:val="20"/>
              </w:rPr>
              <w:t>MONARCH – 2</w:t>
            </w:r>
          </w:p>
          <w:p w14:paraId="79FC4D5D" w14:textId="77777777" w:rsidR="00937EEC" w:rsidRPr="00937EEC" w:rsidRDefault="00937EEC" w:rsidP="00937EEC">
            <w:pPr>
              <w:spacing w:before="20" w:after="20"/>
              <w:jc w:val="left"/>
              <w:rPr>
                <w:rFonts w:ascii="Arial Narrow" w:eastAsiaTheme="majorEastAsia" w:hAnsi="Arial Narrow" w:cstheme="majorBidi"/>
                <w:bCs/>
                <w:sz w:val="20"/>
              </w:rPr>
            </w:pPr>
            <w:r w:rsidRPr="00937EEC">
              <w:rPr>
                <w:rFonts w:ascii="Arial Narrow" w:eastAsiaTheme="majorEastAsia" w:hAnsi="Arial Narrow" w:cstheme="majorBidi"/>
                <w:bCs/>
                <w:sz w:val="20"/>
              </w:rPr>
              <w:t>(NCT02107703)</w:t>
            </w:r>
          </w:p>
        </w:tc>
        <w:tc>
          <w:tcPr>
            <w:tcW w:w="2908" w:type="pct"/>
            <w:tcBorders>
              <w:top w:val="single" w:sz="4" w:space="0" w:color="auto"/>
              <w:bottom w:val="nil"/>
            </w:tcBorders>
            <w:vAlign w:val="center"/>
          </w:tcPr>
          <w:p w14:paraId="5F30EB4F" w14:textId="77777777" w:rsidR="00937EEC" w:rsidRPr="00937EEC" w:rsidRDefault="00937EEC" w:rsidP="00937EEC">
            <w:pPr>
              <w:spacing w:before="20" w:after="20"/>
              <w:jc w:val="left"/>
              <w:rPr>
                <w:rFonts w:ascii="Arial Narrow" w:eastAsiaTheme="majorEastAsia" w:hAnsi="Arial Narrow" w:cstheme="majorBidi"/>
                <w:bCs/>
                <w:sz w:val="20"/>
                <w:szCs w:val="18"/>
              </w:rPr>
            </w:pPr>
            <w:r w:rsidRPr="00937EEC">
              <w:rPr>
                <w:rFonts w:ascii="Arial Narrow" w:eastAsiaTheme="majorEastAsia" w:hAnsi="Arial Narrow" w:cstheme="majorBidi"/>
                <w:bCs/>
                <w:sz w:val="20"/>
                <w:szCs w:val="18"/>
              </w:rPr>
              <w:t xml:space="preserve">A Study of </w:t>
            </w:r>
            <w:proofErr w:type="spellStart"/>
            <w:r w:rsidRPr="00937EEC">
              <w:rPr>
                <w:rFonts w:ascii="Arial Narrow" w:eastAsiaTheme="majorEastAsia" w:hAnsi="Arial Narrow" w:cstheme="majorBidi"/>
                <w:bCs/>
                <w:sz w:val="20"/>
                <w:szCs w:val="18"/>
              </w:rPr>
              <w:t>Abemaciclib</w:t>
            </w:r>
            <w:proofErr w:type="spellEnd"/>
            <w:r w:rsidRPr="00937EEC">
              <w:rPr>
                <w:rFonts w:ascii="Arial Narrow" w:eastAsiaTheme="majorEastAsia" w:hAnsi="Arial Narrow" w:cstheme="majorBidi"/>
                <w:bCs/>
                <w:sz w:val="20"/>
                <w:szCs w:val="18"/>
              </w:rPr>
              <w:t xml:space="preserve"> (LY2835219) Combined with </w:t>
            </w:r>
            <w:proofErr w:type="spellStart"/>
            <w:r w:rsidRPr="00937EEC">
              <w:rPr>
                <w:rFonts w:ascii="Arial Narrow" w:eastAsiaTheme="majorEastAsia" w:hAnsi="Arial Narrow" w:cstheme="majorBidi"/>
                <w:bCs/>
                <w:sz w:val="20"/>
                <w:szCs w:val="18"/>
              </w:rPr>
              <w:t>Fulvestrant</w:t>
            </w:r>
            <w:proofErr w:type="spellEnd"/>
            <w:r w:rsidRPr="00937EEC">
              <w:rPr>
                <w:rFonts w:ascii="Arial Narrow" w:eastAsiaTheme="majorEastAsia" w:hAnsi="Arial Narrow" w:cstheme="majorBidi"/>
                <w:bCs/>
                <w:sz w:val="20"/>
                <w:szCs w:val="18"/>
              </w:rPr>
              <w:t xml:space="preserve"> in Women with Hormone Receptor Positive HER2 Negative Breast Cancer</w:t>
            </w:r>
          </w:p>
        </w:tc>
        <w:tc>
          <w:tcPr>
            <w:tcW w:w="1308" w:type="pct"/>
            <w:tcBorders>
              <w:top w:val="single" w:sz="4" w:space="0" w:color="auto"/>
              <w:bottom w:val="nil"/>
            </w:tcBorders>
            <w:vAlign w:val="center"/>
          </w:tcPr>
          <w:p w14:paraId="72C01FB8" w14:textId="77777777" w:rsidR="00937EEC" w:rsidRPr="00937EEC" w:rsidRDefault="00937EEC" w:rsidP="00937EEC">
            <w:pPr>
              <w:spacing w:before="20" w:after="20"/>
              <w:jc w:val="left"/>
              <w:rPr>
                <w:rFonts w:ascii="Arial Narrow" w:eastAsiaTheme="majorEastAsia" w:hAnsi="Arial Narrow" w:cstheme="majorBidi"/>
                <w:bCs/>
                <w:sz w:val="20"/>
              </w:rPr>
            </w:pPr>
            <w:r w:rsidRPr="00937EEC">
              <w:rPr>
                <w:rFonts w:ascii="Arial Narrow" w:eastAsiaTheme="majorEastAsia" w:hAnsi="Arial Narrow" w:cstheme="majorBidi"/>
                <w:bCs/>
                <w:sz w:val="20"/>
              </w:rPr>
              <w:t>Clinical Study</w:t>
            </w:r>
          </w:p>
        </w:tc>
      </w:tr>
      <w:tr w:rsidR="00937EEC" w:rsidRPr="00937EEC" w14:paraId="5B40C3F5" w14:textId="77777777" w:rsidTr="000E484F">
        <w:tc>
          <w:tcPr>
            <w:tcW w:w="784" w:type="pct"/>
            <w:vMerge/>
            <w:vAlign w:val="center"/>
          </w:tcPr>
          <w:p w14:paraId="0F78FAC3" w14:textId="77777777" w:rsidR="00937EEC" w:rsidRPr="00937EEC" w:rsidRDefault="00937EEC" w:rsidP="00937EEC">
            <w:pPr>
              <w:spacing w:before="20" w:after="20"/>
              <w:jc w:val="left"/>
              <w:rPr>
                <w:rFonts w:ascii="Arial Narrow" w:eastAsiaTheme="majorEastAsia" w:hAnsi="Arial Narrow" w:cstheme="majorBidi"/>
                <w:bCs/>
                <w:sz w:val="20"/>
              </w:rPr>
            </w:pPr>
          </w:p>
        </w:tc>
        <w:tc>
          <w:tcPr>
            <w:tcW w:w="2908" w:type="pct"/>
            <w:tcBorders>
              <w:top w:val="nil"/>
              <w:bottom w:val="nil"/>
            </w:tcBorders>
            <w:vAlign w:val="center"/>
          </w:tcPr>
          <w:p w14:paraId="2F38C4D6" w14:textId="77777777" w:rsidR="00937EEC" w:rsidRPr="00937EEC" w:rsidRDefault="00937EEC" w:rsidP="00937EEC">
            <w:pPr>
              <w:spacing w:before="20" w:after="20"/>
              <w:jc w:val="left"/>
              <w:rPr>
                <w:rFonts w:ascii="Arial Narrow" w:eastAsiaTheme="majorEastAsia" w:hAnsi="Arial Narrow" w:cstheme="majorBidi"/>
                <w:bCs/>
                <w:sz w:val="20"/>
                <w:szCs w:val="18"/>
              </w:rPr>
            </w:pPr>
            <w:r w:rsidRPr="00937EEC">
              <w:rPr>
                <w:rFonts w:ascii="Arial Narrow" w:eastAsiaTheme="majorEastAsia" w:hAnsi="Arial Narrow" w:cstheme="majorBidi"/>
                <w:bCs/>
                <w:sz w:val="20"/>
                <w:szCs w:val="18"/>
              </w:rPr>
              <w:t xml:space="preserve">Sledge GW Jr, Toi M, Neven P, et al. MONARCH 2: </w:t>
            </w:r>
            <w:proofErr w:type="spellStart"/>
            <w:r w:rsidRPr="00937EEC">
              <w:rPr>
                <w:rFonts w:ascii="Arial Narrow" w:eastAsiaTheme="majorEastAsia" w:hAnsi="Arial Narrow" w:cstheme="majorBidi"/>
                <w:bCs/>
                <w:sz w:val="20"/>
                <w:szCs w:val="18"/>
              </w:rPr>
              <w:t>abemaciclib</w:t>
            </w:r>
            <w:proofErr w:type="spellEnd"/>
            <w:r w:rsidRPr="00937EEC">
              <w:rPr>
                <w:rFonts w:ascii="Arial Narrow" w:eastAsiaTheme="majorEastAsia" w:hAnsi="Arial Narrow" w:cstheme="majorBidi"/>
                <w:bCs/>
                <w:sz w:val="20"/>
                <w:szCs w:val="18"/>
              </w:rPr>
              <w:t xml:space="preserve"> in Combination with </w:t>
            </w:r>
            <w:proofErr w:type="spellStart"/>
            <w:r w:rsidRPr="00937EEC">
              <w:rPr>
                <w:rFonts w:ascii="Arial Narrow" w:eastAsiaTheme="majorEastAsia" w:hAnsi="Arial Narrow" w:cstheme="majorBidi"/>
                <w:bCs/>
                <w:sz w:val="20"/>
                <w:szCs w:val="18"/>
              </w:rPr>
              <w:t>Fulvestrant</w:t>
            </w:r>
            <w:proofErr w:type="spellEnd"/>
            <w:r w:rsidRPr="00937EEC">
              <w:rPr>
                <w:rFonts w:ascii="Arial Narrow" w:eastAsiaTheme="majorEastAsia" w:hAnsi="Arial Narrow" w:cstheme="majorBidi"/>
                <w:bCs/>
                <w:sz w:val="20"/>
                <w:szCs w:val="18"/>
              </w:rPr>
              <w:t xml:space="preserve"> in Women With HR+/HER2- Advanced Breast Cancer Who Had Progressed While Receiving Endocrine Therapy. </w:t>
            </w:r>
          </w:p>
        </w:tc>
        <w:tc>
          <w:tcPr>
            <w:tcW w:w="1308" w:type="pct"/>
            <w:tcBorders>
              <w:top w:val="nil"/>
              <w:bottom w:val="nil"/>
            </w:tcBorders>
            <w:vAlign w:val="center"/>
          </w:tcPr>
          <w:p w14:paraId="2FE40FD9" w14:textId="1103F347" w:rsidR="00937EEC" w:rsidRPr="00937EEC" w:rsidRDefault="00937EEC" w:rsidP="00937EEC">
            <w:pPr>
              <w:spacing w:before="20" w:after="20"/>
              <w:jc w:val="left"/>
              <w:rPr>
                <w:rFonts w:ascii="Arial Narrow" w:eastAsiaTheme="majorEastAsia" w:hAnsi="Arial Narrow" w:cstheme="majorBidi"/>
                <w:bCs/>
                <w:sz w:val="20"/>
              </w:rPr>
            </w:pPr>
            <w:r w:rsidRPr="00937EEC">
              <w:rPr>
                <w:rFonts w:ascii="Arial Narrow" w:eastAsiaTheme="majorEastAsia" w:hAnsi="Arial Narrow" w:cstheme="majorBidi"/>
                <w:bCs/>
                <w:i/>
                <w:iCs/>
                <w:sz w:val="20"/>
                <w:szCs w:val="18"/>
              </w:rPr>
              <w:t xml:space="preserve">Journal of </w:t>
            </w:r>
            <w:r w:rsidR="00BC7689">
              <w:rPr>
                <w:rFonts w:ascii="Arial Narrow" w:eastAsiaTheme="majorEastAsia" w:hAnsi="Arial Narrow" w:cstheme="majorBidi"/>
                <w:bCs/>
                <w:i/>
                <w:iCs/>
                <w:sz w:val="20"/>
                <w:szCs w:val="18"/>
              </w:rPr>
              <w:t>C</w:t>
            </w:r>
            <w:r w:rsidRPr="00937EEC">
              <w:rPr>
                <w:rFonts w:ascii="Arial Narrow" w:eastAsiaTheme="majorEastAsia" w:hAnsi="Arial Narrow" w:cstheme="majorBidi"/>
                <w:bCs/>
                <w:i/>
                <w:iCs/>
                <w:sz w:val="20"/>
                <w:szCs w:val="18"/>
              </w:rPr>
              <w:t xml:space="preserve">linical </w:t>
            </w:r>
            <w:r w:rsidR="00BC7689">
              <w:rPr>
                <w:rFonts w:ascii="Arial Narrow" w:eastAsiaTheme="majorEastAsia" w:hAnsi="Arial Narrow" w:cstheme="majorBidi"/>
                <w:bCs/>
                <w:i/>
                <w:iCs/>
                <w:sz w:val="20"/>
                <w:szCs w:val="18"/>
              </w:rPr>
              <w:t>O</w:t>
            </w:r>
            <w:r w:rsidRPr="00937EEC">
              <w:rPr>
                <w:rFonts w:ascii="Arial Narrow" w:eastAsiaTheme="majorEastAsia" w:hAnsi="Arial Narrow" w:cstheme="majorBidi"/>
                <w:bCs/>
                <w:i/>
                <w:iCs/>
                <w:sz w:val="20"/>
                <w:szCs w:val="18"/>
              </w:rPr>
              <w:t>ncology</w:t>
            </w:r>
            <w:r w:rsidRPr="00937EEC">
              <w:rPr>
                <w:rFonts w:ascii="Arial Narrow" w:eastAsiaTheme="majorEastAsia" w:hAnsi="Arial Narrow" w:cstheme="majorBidi"/>
                <w:bCs/>
                <w:sz w:val="20"/>
                <w:szCs w:val="18"/>
              </w:rPr>
              <w:t xml:space="preserve"> 2017; 35(25):2875-2884.</w:t>
            </w:r>
          </w:p>
        </w:tc>
      </w:tr>
      <w:tr w:rsidR="00937EEC" w:rsidRPr="00937EEC" w14:paraId="2321BB98" w14:textId="77777777" w:rsidTr="000E484F">
        <w:tc>
          <w:tcPr>
            <w:tcW w:w="784" w:type="pct"/>
            <w:vMerge/>
            <w:vAlign w:val="center"/>
          </w:tcPr>
          <w:p w14:paraId="5EAA7CD2" w14:textId="77777777" w:rsidR="00937EEC" w:rsidRPr="00937EEC" w:rsidRDefault="00937EEC" w:rsidP="00937EEC">
            <w:pPr>
              <w:spacing w:before="20" w:after="20"/>
              <w:jc w:val="left"/>
              <w:rPr>
                <w:rFonts w:ascii="Arial Narrow" w:eastAsiaTheme="majorEastAsia" w:hAnsi="Arial Narrow" w:cstheme="majorBidi"/>
                <w:bCs/>
                <w:sz w:val="20"/>
              </w:rPr>
            </w:pPr>
          </w:p>
        </w:tc>
        <w:tc>
          <w:tcPr>
            <w:tcW w:w="2908" w:type="pct"/>
            <w:tcBorders>
              <w:top w:val="nil"/>
              <w:bottom w:val="nil"/>
            </w:tcBorders>
            <w:vAlign w:val="center"/>
          </w:tcPr>
          <w:p w14:paraId="4D8376EE" w14:textId="77777777" w:rsidR="00937EEC" w:rsidRPr="00937EEC" w:rsidRDefault="00937EEC" w:rsidP="00937EEC">
            <w:pPr>
              <w:spacing w:before="20" w:after="20"/>
              <w:jc w:val="left"/>
              <w:rPr>
                <w:rFonts w:ascii="Arial Narrow" w:eastAsiaTheme="majorEastAsia" w:hAnsi="Arial Narrow" w:cstheme="majorBidi"/>
                <w:bCs/>
                <w:sz w:val="20"/>
                <w:szCs w:val="18"/>
              </w:rPr>
            </w:pPr>
            <w:r w:rsidRPr="00937EEC">
              <w:rPr>
                <w:rFonts w:ascii="Arial Narrow" w:eastAsiaTheme="majorEastAsia" w:hAnsi="Arial Narrow" w:cstheme="majorBidi"/>
                <w:bCs/>
                <w:sz w:val="20"/>
                <w:szCs w:val="18"/>
              </w:rPr>
              <w:t>Sledge</w:t>
            </w:r>
            <w:r w:rsidRPr="00937EEC">
              <w:rPr>
                <w:rFonts w:ascii="Arial Narrow" w:eastAsiaTheme="majorEastAsia" w:hAnsi="Arial Narrow" w:cstheme="majorBidi"/>
                <w:bCs/>
                <w:sz w:val="20"/>
              </w:rPr>
              <w:t xml:space="preserve"> </w:t>
            </w:r>
            <w:r w:rsidRPr="00937EEC">
              <w:rPr>
                <w:rFonts w:ascii="Arial Narrow" w:eastAsiaTheme="majorEastAsia" w:hAnsi="Arial Narrow" w:cstheme="majorBidi"/>
                <w:bCs/>
                <w:sz w:val="20"/>
                <w:szCs w:val="18"/>
              </w:rPr>
              <w:t xml:space="preserve">GW Jr, Toi M, Neven P, et al. The Effect of </w:t>
            </w:r>
            <w:proofErr w:type="spellStart"/>
            <w:r w:rsidRPr="00937EEC">
              <w:rPr>
                <w:rFonts w:ascii="Arial Narrow" w:eastAsiaTheme="majorEastAsia" w:hAnsi="Arial Narrow" w:cstheme="majorBidi"/>
                <w:bCs/>
                <w:sz w:val="20"/>
                <w:szCs w:val="18"/>
              </w:rPr>
              <w:t>Abemaciclib</w:t>
            </w:r>
            <w:proofErr w:type="spellEnd"/>
            <w:r w:rsidRPr="00937EEC">
              <w:rPr>
                <w:rFonts w:ascii="Arial Narrow" w:eastAsiaTheme="majorEastAsia" w:hAnsi="Arial Narrow" w:cstheme="majorBidi"/>
                <w:bCs/>
                <w:sz w:val="20"/>
                <w:szCs w:val="18"/>
              </w:rPr>
              <w:t xml:space="preserve"> plus </w:t>
            </w:r>
            <w:proofErr w:type="spellStart"/>
            <w:r w:rsidRPr="00937EEC">
              <w:rPr>
                <w:rFonts w:ascii="Arial Narrow" w:eastAsiaTheme="majorEastAsia" w:hAnsi="Arial Narrow" w:cstheme="majorBidi"/>
                <w:bCs/>
                <w:sz w:val="20"/>
                <w:szCs w:val="18"/>
              </w:rPr>
              <w:t>Fulvestrant</w:t>
            </w:r>
            <w:proofErr w:type="spellEnd"/>
            <w:r w:rsidRPr="00937EEC">
              <w:rPr>
                <w:rFonts w:ascii="Arial Narrow" w:eastAsiaTheme="majorEastAsia" w:hAnsi="Arial Narrow" w:cstheme="majorBidi"/>
                <w:bCs/>
                <w:sz w:val="20"/>
                <w:szCs w:val="18"/>
              </w:rPr>
              <w:t xml:space="preserve"> on Overall Survival in Hormone Receptor-Positive, ERBB2-Negative Breast Cancer That Progressed on Endocrine Therapy – MONARCH 2: </w:t>
            </w:r>
            <w:proofErr w:type="gramStart"/>
            <w:r w:rsidRPr="00937EEC">
              <w:rPr>
                <w:rFonts w:ascii="Arial Narrow" w:eastAsiaTheme="majorEastAsia" w:hAnsi="Arial Narrow" w:cstheme="majorBidi"/>
                <w:bCs/>
                <w:sz w:val="20"/>
                <w:szCs w:val="18"/>
              </w:rPr>
              <w:t>a</w:t>
            </w:r>
            <w:proofErr w:type="gramEnd"/>
            <w:r w:rsidRPr="00937EEC">
              <w:rPr>
                <w:rFonts w:ascii="Arial Narrow" w:eastAsiaTheme="majorEastAsia" w:hAnsi="Arial Narrow" w:cstheme="majorBidi"/>
                <w:bCs/>
                <w:sz w:val="20"/>
                <w:szCs w:val="18"/>
              </w:rPr>
              <w:t xml:space="preserve"> Randomized Clinical Trial. </w:t>
            </w:r>
          </w:p>
        </w:tc>
        <w:tc>
          <w:tcPr>
            <w:tcW w:w="1308" w:type="pct"/>
            <w:tcBorders>
              <w:top w:val="nil"/>
              <w:bottom w:val="nil"/>
            </w:tcBorders>
            <w:vAlign w:val="center"/>
          </w:tcPr>
          <w:p w14:paraId="47765EDA" w14:textId="77777777" w:rsidR="00937EEC" w:rsidRPr="00937EEC" w:rsidRDefault="00937EEC" w:rsidP="00937EEC">
            <w:pPr>
              <w:spacing w:before="20" w:after="20"/>
              <w:jc w:val="left"/>
              <w:rPr>
                <w:rFonts w:ascii="Arial Narrow" w:eastAsiaTheme="majorEastAsia" w:hAnsi="Arial Narrow" w:cstheme="majorBidi"/>
                <w:bCs/>
                <w:sz w:val="20"/>
              </w:rPr>
            </w:pPr>
            <w:r w:rsidRPr="00937EEC">
              <w:rPr>
                <w:rFonts w:ascii="Arial Narrow" w:eastAsiaTheme="majorEastAsia" w:hAnsi="Arial Narrow" w:cstheme="majorBidi"/>
                <w:bCs/>
                <w:i/>
                <w:iCs/>
                <w:sz w:val="20"/>
                <w:szCs w:val="18"/>
              </w:rPr>
              <w:t>JAMA oncology</w:t>
            </w:r>
            <w:r w:rsidRPr="00937EEC">
              <w:rPr>
                <w:rFonts w:ascii="Arial Narrow" w:eastAsiaTheme="majorEastAsia" w:hAnsi="Arial Narrow" w:cstheme="majorBidi"/>
                <w:bCs/>
                <w:sz w:val="20"/>
                <w:szCs w:val="18"/>
              </w:rPr>
              <w:t xml:space="preserve"> 2020;6(1):116-124</w:t>
            </w:r>
          </w:p>
        </w:tc>
      </w:tr>
      <w:tr w:rsidR="00937EEC" w:rsidRPr="00937EEC" w14:paraId="511B7C98" w14:textId="77777777" w:rsidTr="000E484F">
        <w:tc>
          <w:tcPr>
            <w:tcW w:w="784" w:type="pct"/>
            <w:vMerge/>
            <w:vAlign w:val="center"/>
          </w:tcPr>
          <w:p w14:paraId="60268D5C" w14:textId="77777777" w:rsidR="00937EEC" w:rsidRPr="00937EEC" w:rsidRDefault="00937EEC" w:rsidP="00937EEC">
            <w:pPr>
              <w:spacing w:before="20" w:after="20"/>
              <w:jc w:val="left"/>
              <w:rPr>
                <w:rFonts w:ascii="Arial Narrow" w:eastAsiaTheme="majorEastAsia" w:hAnsi="Arial Narrow" w:cstheme="majorBidi"/>
                <w:bCs/>
                <w:sz w:val="20"/>
              </w:rPr>
            </w:pPr>
          </w:p>
        </w:tc>
        <w:tc>
          <w:tcPr>
            <w:tcW w:w="2908" w:type="pct"/>
            <w:tcBorders>
              <w:top w:val="nil"/>
              <w:bottom w:val="nil"/>
            </w:tcBorders>
            <w:vAlign w:val="center"/>
          </w:tcPr>
          <w:p w14:paraId="4209E5C7" w14:textId="77777777" w:rsidR="00937EEC" w:rsidRPr="00937EEC" w:rsidRDefault="00937EEC" w:rsidP="00937EEC">
            <w:pPr>
              <w:spacing w:before="20" w:after="20"/>
              <w:jc w:val="left"/>
              <w:rPr>
                <w:rFonts w:ascii="Arial Narrow" w:eastAsiaTheme="majorEastAsia" w:hAnsi="Arial Narrow" w:cstheme="majorBidi"/>
                <w:bCs/>
                <w:sz w:val="20"/>
                <w:szCs w:val="18"/>
              </w:rPr>
            </w:pPr>
            <w:r w:rsidRPr="00937EEC">
              <w:rPr>
                <w:rFonts w:ascii="Arial Narrow" w:eastAsiaTheme="majorEastAsia" w:hAnsi="Arial Narrow" w:cstheme="majorBidi"/>
                <w:bCs/>
                <w:sz w:val="20"/>
                <w:szCs w:val="18"/>
              </w:rPr>
              <w:t xml:space="preserve">Kaufman PA, Toi M, Neven P, et al. Health-Related Quality of Life in MONARCH 2: </w:t>
            </w:r>
            <w:proofErr w:type="spellStart"/>
            <w:r w:rsidRPr="00937EEC">
              <w:rPr>
                <w:rFonts w:ascii="Arial Narrow" w:eastAsiaTheme="majorEastAsia" w:hAnsi="Arial Narrow" w:cstheme="majorBidi"/>
                <w:bCs/>
                <w:sz w:val="20"/>
                <w:szCs w:val="18"/>
              </w:rPr>
              <w:t>abemaciclib</w:t>
            </w:r>
            <w:proofErr w:type="spellEnd"/>
            <w:r w:rsidRPr="00937EEC">
              <w:rPr>
                <w:rFonts w:ascii="Arial Narrow" w:eastAsiaTheme="majorEastAsia" w:hAnsi="Arial Narrow" w:cstheme="majorBidi"/>
                <w:bCs/>
                <w:sz w:val="20"/>
                <w:szCs w:val="18"/>
              </w:rPr>
              <w:t xml:space="preserve"> plus </w:t>
            </w:r>
            <w:proofErr w:type="spellStart"/>
            <w:r w:rsidRPr="00937EEC">
              <w:rPr>
                <w:rFonts w:ascii="Arial Narrow" w:eastAsiaTheme="majorEastAsia" w:hAnsi="Arial Narrow" w:cstheme="majorBidi"/>
                <w:bCs/>
                <w:sz w:val="20"/>
                <w:szCs w:val="18"/>
              </w:rPr>
              <w:t>Fulvestrant</w:t>
            </w:r>
            <w:proofErr w:type="spellEnd"/>
            <w:r w:rsidRPr="00937EEC">
              <w:rPr>
                <w:rFonts w:ascii="Arial Narrow" w:eastAsiaTheme="majorEastAsia" w:hAnsi="Arial Narrow" w:cstheme="majorBidi"/>
                <w:bCs/>
                <w:sz w:val="20"/>
                <w:szCs w:val="18"/>
              </w:rPr>
              <w:t xml:space="preserve"> in Hormone Receptor-Positive, HER2-Negative Advanced Breast Cancer After Endocrine Therapy. </w:t>
            </w:r>
          </w:p>
        </w:tc>
        <w:tc>
          <w:tcPr>
            <w:tcW w:w="1308" w:type="pct"/>
            <w:tcBorders>
              <w:top w:val="nil"/>
              <w:bottom w:val="nil"/>
            </w:tcBorders>
            <w:vAlign w:val="center"/>
          </w:tcPr>
          <w:p w14:paraId="10C0D797" w14:textId="77777777" w:rsidR="00937EEC" w:rsidRPr="00937EEC" w:rsidRDefault="00937EEC" w:rsidP="00937EEC">
            <w:pPr>
              <w:spacing w:before="20" w:after="20"/>
              <w:jc w:val="left"/>
              <w:rPr>
                <w:rFonts w:ascii="Arial Narrow" w:eastAsiaTheme="majorEastAsia" w:hAnsi="Arial Narrow" w:cstheme="majorBidi"/>
                <w:bCs/>
                <w:sz w:val="20"/>
              </w:rPr>
            </w:pPr>
            <w:r w:rsidRPr="00937EEC">
              <w:rPr>
                <w:rFonts w:ascii="Arial Narrow" w:eastAsiaTheme="majorEastAsia" w:hAnsi="Arial Narrow" w:cstheme="majorBidi"/>
                <w:bCs/>
                <w:i/>
                <w:iCs/>
                <w:sz w:val="20"/>
                <w:szCs w:val="18"/>
              </w:rPr>
              <w:t>Oncologist</w:t>
            </w:r>
            <w:r w:rsidRPr="00937EEC">
              <w:rPr>
                <w:rFonts w:ascii="Arial Narrow" w:eastAsiaTheme="majorEastAsia" w:hAnsi="Arial Narrow" w:cstheme="majorBidi"/>
                <w:bCs/>
                <w:sz w:val="20"/>
                <w:szCs w:val="18"/>
              </w:rPr>
              <w:t xml:space="preserve"> 2020;25(2</w:t>
            </w:r>
            <w:proofErr w:type="gramStart"/>
            <w:r w:rsidRPr="00937EEC">
              <w:rPr>
                <w:rFonts w:ascii="Arial Narrow" w:eastAsiaTheme="majorEastAsia" w:hAnsi="Arial Narrow" w:cstheme="majorBidi"/>
                <w:bCs/>
                <w:sz w:val="20"/>
                <w:szCs w:val="18"/>
              </w:rPr>
              <w:t>):e</w:t>
            </w:r>
            <w:proofErr w:type="gramEnd"/>
            <w:r w:rsidRPr="00937EEC">
              <w:rPr>
                <w:rFonts w:ascii="Arial Narrow" w:eastAsiaTheme="majorEastAsia" w:hAnsi="Arial Narrow" w:cstheme="majorBidi"/>
                <w:bCs/>
                <w:sz w:val="20"/>
                <w:szCs w:val="18"/>
              </w:rPr>
              <w:t>243-e251.</w:t>
            </w:r>
          </w:p>
        </w:tc>
      </w:tr>
      <w:tr w:rsidR="00937EEC" w:rsidRPr="00937EEC" w14:paraId="03DA4E69" w14:textId="77777777" w:rsidTr="007E41DF">
        <w:tc>
          <w:tcPr>
            <w:tcW w:w="784" w:type="pct"/>
            <w:vMerge/>
            <w:vAlign w:val="center"/>
          </w:tcPr>
          <w:p w14:paraId="2687AAA9" w14:textId="77777777" w:rsidR="00937EEC" w:rsidRPr="00937EEC" w:rsidRDefault="00937EEC" w:rsidP="00937EEC">
            <w:pPr>
              <w:spacing w:before="20" w:after="20"/>
              <w:jc w:val="left"/>
              <w:rPr>
                <w:rFonts w:ascii="Arial Narrow" w:eastAsiaTheme="majorEastAsia" w:hAnsi="Arial Narrow" w:cstheme="majorBidi"/>
                <w:bCs/>
                <w:sz w:val="20"/>
              </w:rPr>
            </w:pPr>
          </w:p>
        </w:tc>
        <w:tc>
          <w:tcPr>
            <w:tcW w:w="2908" w:type="pct"/>
            <w:tcBorders>
              <w:top w:val="nil"/>
              <w:bottom w:val="nil"/>
            </w:tcBorders>
            <w:vAlign w:val="center"/>
          </w:tcPr>
          <w:p w14:paraId="3DAAEE43" w14:textId="77777777" w:rsidR="00937EEC" w:rsidRPr="00937EEC" w:rsidRDefault="00937EEC" w:rsidP="00937EEC">
            <w:pPr>
              <w:spacing w:before="20" w:after="20"/>
              <w:jc w:val="left"/>
              <w:rPr>
                <w:rFonts w:ascii="Arial Narrow" w:eastAsiaTheme="majorEastAsia" w:hAnsi="Arial Narrow" w:cstheme="majorBidi"/>
                <w:bCs/>
                <w:sz w:val="20"/>
                <w:szCs w:val="18"/>
              </w:rPr>
            </w:pPr>
            <w:r w:rsidRPr="00937EEC">
              <w:rPr>
                <w:rFonts w:ascii="Arial Narrow" w:eastAsiaTheme="majorEastAsia" w:hAnsi="Arial Narrow" w:cstheme="majorBidi"/>
                <w:bCs/>
                <w:sz w:val="20"/>
                <w:szCs w:val="18"/>
              </w:rPr>
              <w:t xml:space="preserve">Inoue K, Masuda N, Iwata H, et al. Japanese subpopulation analysis of MONARCH 2: phase 3 study of </w:t>
            </w:r>
            <w:proofErr w:type="spellStart"/>
            <w:r w:rsidRPr="00937EEC">
              <w:rPr>
                <w:rFonts w:ascii="Arial Narrow" w:eastAsiaTheme="majorEastAsia" w:hAnsi="Arial Narrow" w:cstheme="majorBidi"/>
                <w:bCs/>
                <w:sz w:val="20"/>
                <w:szCs w:val="18"/>
              </w:rPr>
              <w:t>abemaciclib</w:t>
            </w:r>
            <w:proofErr w:type="spellEnd"/>
            <w:r w:rsidRPr="00937EEC">
              <w:rPr>
                <w:rFonts w:ascii="Arial Narrow" w:eastAsiaTheme="majorEastAsia" w:hAnsi="Arial Narrow" w:cstheme="majorBidi"/>
                <w:bCs/>
                <w:sz w:val="20"/>
                <w:szCs w:val="18"/>
              </w:rPr>
              <w:t xml:space="preserve"> plus </w:t>
            </w:r>
            <w:proofErr w:type="spellStart"/>
            <w:r w:rsidRPr="00937EEC">
              <w:rPr>
                <w:rFonts w:ascii="Arial Narrow" w:eastAsiaTheme="majorEastAsia" w:hAnsi="Arial Narrow" w:cstheme="majorBidi"/>
                <w:bCs/>
                <w:sz w:val="20"/>
                <w:szCs w:val="18"/>
              </w:rPr>
              <w:t>fulvestrant</w:t>
            </w:r>
            <w:proofErr w:type="spellEnd"/>
            <w:r w:rsidRPr="00937EEC">
              <w:rPr>
                <w:rFonts w:ascii="Arial Narrow" w:eastAsiaTheme="majorEastAsia" w:hAnsi="Arial Narrow" w:cstheme="majorBidi"/>
                <w:bCs/>
                <w:sz w:val="20"/>
                <w:szCs w:val="18"/>
              </w:rPr>
              <w:t xml:space="preserve"> for treatment of hormone receptor-positive, human epidermal growth factor receptor 2-negative breast cancer that progressed on endocrine therapy. </w:t>
            </w:r>
          </w:p>
        </w:tc>
        <w:tc>
          <w:tcPr>
            <w:tcW w:w="1308" w:type="pct"/>
            <w:tcBorders>
              <w:top w:val="nil"/>
              <w:bottom w:val="nil"/>
            </w:tcBorders>
            <w:vAlign w:val="center"/>
          </w:tcPr>
          <w:p w14:paraId="61834426" w14:textId="7DB1A696" w:rsidR="00937EEC" w:rsidRPr="00937EEC" w:rsidRDefault="00937EEC" w:rsidP="00937EEC">
            <w:pPr>
              <w:spacing w:before="20" w:after="20"/>
              <w:jc w:val="left"/>
              <w:rPr>
                <w:rFonts w:ascii="Arial Narrow" w:eastAsiaTheme="majorEastAsia" w:hAnsi="Arial Narrow" w:cstheme="majorBidi"/>
                <w:bCs/>
                <w:sz w:val="20"/>
              </w:rPr>
            </w:pPr>
            <w:r w:rsidRPr="00937EEC">
              <w:rPr>
                <w:rFonts w:ascii="Arial Narrow" w:eastAsiaTheme="majorEastAsia" w:hAnsi="Arial Narrow" w:cstheme="majorBidi"/>
                <w:bCs/>
                <w:i/>
                <w:iCs/>
                <w:sz w:val="20"/>
                <w:szCs w:val="18"/>
              </w:rPr>
              <w:t xml:space="preserve">Breast </w:t>
            </w:r>
            <w:r w:rsidR="00BC7689">
              <w:rPr>
                <w:rFonts w:ascii="Arial Narrow" w:eastAsiaTheme="majorEastAsia" w:hAnsi="Arial Narrow" w:cstheme="majorBidi"/>
                <w:bCs/>
                <w:i/>
                <w:iCs/>
                <w:sz w:val="20"/>
                <w:szCs w:val="18"/>
              </w:rPr>
              <w:t>C</w:t>
            </w:r>
            <w:r w:rsidRPr="00937EEC">
              <w:rPr>
                <w:rFonts w:ascii="Arial Narrow" w:eastAsiaTheme="majorEastAsia" w:hAnsi="Arial Narrow" w:cstheme="majorBidi"/>
                <w:bCs/>
                <w:i/>
                <w:iCs/>
                <w:sz w:val="20"/>
                <w:szCs w:val="18"/>
              </w:rPr>
              <w:t>ancer (Tokyo, Japan)</w:t>
            </w:r>
            <w:r w:rsidRPr="00937EEC">
              <w:rPr>
                <w:rFonts w:ascii="Arial Narrow" w:eastAsiaTheme="majorEastAsia" w:hAnsi="Arial Narrow" w:cstheme="majorBidi"/>
                <w:bCs/>
                <w:sz w:val="20"/>
                <w:szCs w:val="18"/>
              </w:rPr>
              <w:t xml:space="preserve"> 2021;</w:t>
            </w:r>
            <w:r w:rsidRPr="00937EEC">
              <w:rPr>
                <w:rFonts w:ascii="Arial Narrow" w:eastAsiaTheme="majorEastAsia" w:hAnsi="Arial Narrow" w:cstheme="majorBidi"/>
                <w:bCs/>
                <w:sz w:val="20"/>
              </w:rPr>
              <w:t xml:space="preserve"> </w:t>
            </w:r>
            <w:r w:rsidRPr="00937EEC">
              <w:rPr>
                <w:rFonts w:ascii="Arial Narrow" w:eastAsiaTheme="majorEastAsia" w:hAnsi="Arial Narrow" w:cstheme="majorBidi"/>
                <w:bCs/>
                <w:sz w:val="20"/>
                <w:szCs w:val="18"/>
              </w:rPr>
              <w:t>28(5):1038-1050.</w:t>
            </w:r>
          </w:p>
        </w:tc>
      </w:tr>
      <w:tr w:rsidR="00937EEC" w:rsidRPr="00937EEC" w14:paraId="6E036318" w14:textId="77777777" w:rsidTr="007E41DF">
        <w:tc>
          <w:tcPr>
            <w:tcW w:w="784" w:type="pct"/>
            <w:vMerge/>
            <w:vAlign w:val="center"/>
          </w:tcPr>
          <w:p w14:paraId="68FEB522" w14:textId="77777777" w:rsidR="00937EEC" w:rsidRPr="00937EEC" w:rsidRDefault="00937EEC" w:rsidP="00937EEC">
            <w:pPr>
              <w:spacing w:before="20" w:after="20"/>
              <w:jc w:val="left"/>
              <w:rPr>
                <w:rFonts w:ascii="Arial Narrow" w:eastAsiaTheme="majorEastAsia" w:hAnsi="Arial Narrow" w:cstheme="majorBidi"/>
                <w:bCs/>
                <w:sz w:val="20"/>
              </w:rPr>
            </w:pPr>
          </w:p>
        </w:tc>
        <w:tc>
          <w:tcPr>
            <w:tcW w:w="2908" w:type="pct"/>
            <w:tcBorders>
              <w:top w:val="nil"/>
              <w:bottom w:val="single" w:sz="4" w:space="0" w:color="auto"/>
            </w:tcBorders>
            <w:vAlign w:val="center"/>
          </w:tcPr>
          <w:p w14:paraId="0E77D2E3" w14:textId="77777777" w:rsidR="00937EEC" w:rsidRPr="00937EEC" w:rsidRDefault="00937EEC" w:rsidP="00937EEC">
            <w:pPr>
              <w:spacing w:before="20" w:after="20"/>
              <w:jc w:val="left"/>
              <w:rPr>
                <w:rFonts w:ascii="Arial Narrow" w:eastAsiaTheme="majorEastAsia" w:hAnsi="Arial Narrow" w:cstheme="majorBidi"/>
                <w:bCs/>
                <w:sz w:val="20"/>
                <w:szCs w:val="18"/>
              </w:rPr>
            </w:pPr>
            <w:r w:rsidRPr="00937EEC">
              <w:rPr>
                <w:rFonts w:ascii="Arial Narrow" w:eastAsiaTheme="majorEastAsia" w:hAnsi="Arial Narrow" w:cstheme="majorBidi"/>
                <w:bCs/>
                <w:sz w:val="20"/>
                <w:szCs w:val="18"/>
              </w:rPr>
              <w:t xml:space="preserve">Neven P, Johnston SRD, Toi M, et al. MONARCH 2: subgroup analysis of patients receiving </w:t>
            </w:r>
            <w:proofErr w:type="spellStart"/>
            <w:r w:rsidRPr="00937EEC">
              <w:rPr>
                <w:rFonts w:ascii="Arial Narrow" w:eastAsiaTheme="majorEastAsia" w:hAnsi="Arial Narrow" w:cstheme="majorBidi"/>
                <w:bCs/>
                <w:sz w:val="20"/>
                <w:szCs w:val="18"/>
              </w:rPr>
              <w:t>abemaciclib</w:t>
            </w:r>
            <w:proofErr w:type="spellEnd"/>
            <w:r w:rsidRPr="00937EEC">
              <w:rPr>
                <w:rFonts w:ascii="Arial Narrow" w:eastAsiaTheme="majorEastAsia" w:hAnsi="Arial Narrow" w:cstheme="majorBidi"/>
                <w:bCs/>
                <w:sz w:val="20"/>
                <w:szCs w:val="18"/>
              </w:rPr>
              <w:t xml:space="preserve"> plus </w:t>
            </w:r>
            <w:proofErr w:type="spellStart"/>
            <w:r w:rsidRPr="00937EEC">
              <w:rPr>
                <w:rFonts w:ascii="Arial Narrow" w:eastAsiaTheme="majorEastAsia" w:hAnsi="Arial Narrow" w:cstheme="majorBidi"/>
                <w:bCs/>
                <w:sz w:val="20"/>
                <w:szCs w:val="18"/>
              </w:rPr>
              <w:t>fulvestrant</w:t>
            </w:r>
            <w:proofErr w:type="spellEnd"/>
            <w:r w:rsidRPr="00937EEC">
              <w:rPr>
                <w:rFonts w:ascii="Arial Narrow" w:eastAsiaTheme="majorEastAsia" w:hAnsi="Arial Narrow" w:cstheme="majorBidi"/>
                <w:bCs/>
                <w:sz w:val="20"/>
                <w:szCs w:val="18"/>
              </w:rPr>
              <w:t xml:space="preserve"> as first-line and second-line therapy for HR+, HER2- advanced breast cancer. </w:t>
            </w:r>
          </w:p>
        </w:tc>
        <w:tc>
          <w:tcPr>
            <w:tcW w:w="1308" w:type="pct"/>
            <w:tcBorders>
              <w:top w:val="nil"/>
              <w:bottom w:val="single" w:sz="4" w:space="0" w:color="auto"/>
            </w:tcBorders>
            <w:vAlign w:val="center"/>
          </w:tcPr>
          <w:p w14:paraId="25E219C5" w14:textId="77777777" w:rsidR="00937EEC" w:rsidRPr="00937EEC" w:rsidRDefault="00937EEC" w:rsidP="00937EEC">
            <w:pPr>
              <w:spacing w:before="20" w:after="20"/>
              <w:jc w:val="left"/>
              <w:rPr>
                <w:rFonts w:ascii="Arial Narrow" w:eastAsiaTheme="majorEastAsia" w:hAnsi="Arial Narrow" w:cstheme="majorBidi"/>
                <w:bCs/>
                <w:sz w:val="20"/>
              </w:rPr>
            </w:pPr>
            <w:r w:rsidRPr="00937EEC">
              <w:rPr>
                <w:rFonts w:ascii="Arial Narrow" w:eastAsiaTheme="majorEastAsia" w:hAnsi="Arial Narrow" w:cstheme="majorBidi"/>
                <w:bCs/>
                <w:i/>
                <w:iCs/>
                <w:sz w:val="20"/>
                <w:szCs w:val="18"/>
              </w:rPr>
              <w:t>Clinical Cancer Research</w:t>
            </w:r>
            <w:r w:rsidRPr="00937EEC">
              <w:rPr>
                <w:rFonts w:ascii="Arial Narrow" w:eastAsiaTheme="majorEastAsia" w:hAnsi="Arial Narrow" w:cstheme="majorBidi"/>
                <w:bCs/>
                <w:sz w:val="20"/>
                <w:szCs w:val="18"/>
              </w:rPr>
              <w:t>. 2021; 27(21):5801-5809.</w:t>
            </w:r>
          </w:p>
        </w:tc>
      </w:tr>
    </w:tbl>
    <w:p w14:paraId="75C10A19" w14:textId="77777777" w:rsidR="00937EEC" w:rsidRPr="00937EEC" w:rsidRDefault="00937EEC" w:rsidP="00937EEC">
      <w:pPr>
        <w:spacing w:before="20" w:after="120"/>
        <w:contextualSpacing/>
        <w:rPr>
          <w:rFonts w:ascii="Arial Narrow" w:hAnsi="Arial Narrow"/>
          <w:snapToGrid w:val="0"/>
          <w:sz w:val="18"/>
          <w:szCs w:val="22"/>
        </w:rPr>
      </w:pPr>
      <w:r w:rsidRPr="00937EEC">
        <w:rPr>
          <w:rFonts w:ascii="Arial Narrow" w:hAnsi="Arial Narrow"/>
          <w:snapToGrid w:val="0"/>
          <w:sz w:val="18"/>
          <w:szCs w:val="22"/>
        </w:rPr>
        <w:t>Source: Adapted from Table 2.2.2, pp36-38 of the submission.</w:t>
      </w:r>
    </w:p>
    <w:p w14:paraId="09AD5A18" w14:textId="3C3389E6" w:rsidR="00937EEC" w:rsidRPr="00937EEC" w:rsidRDefault="00937EEC" w:rsidP="00DE4EDC">
      <w:pPr>
        <w:pStyle w:val="3-BodyText"/>
        <w:rPr>
          <w:color w:val="000000" w:themeColor="text1"/>
        </w:rPr>
      </w:pPr>
      <w:r w:rsidRPr="00937EEC">
        <w:lastRenderedPageBreak/>
        <w:t xml:space="preserve">The key features of the randomised trials are summarised in </w:t>
      </w:r>
      <w:r w:rsidRPr="00937EEC">
        <w:fldChar w:fldCharType="begin"/>
      </w:r>
      <w:r w:rsidRPr="00937EEC">
        <w:instrText xml:space="preserve"> REF _Ref89949314 \h </w:instrText>
      </w:r>
      <w:r w:rsidRPr="00937EEC">
        <w:fldChar w:fldCharType="separate"/>
      </w:r>
      <w:r w:rsidR="009728EB" w:rsidRPr="00937EEC">
        <w:rPr>
          <w:rFonts w:ascii="Arial Narrow" w:eastAsiaTheme="majorEastAsia" w:hAnsi="Arial Narrow" w:cstheme="majorBidi"/>
          <w:b/>
          <w:bCs/>
          <w:sz w:val="20"/>
        </w:rPr>
        <w:t xml:space="preserve">Table </w:t>
      </w:r>
      <w:r w:rsidRPr="00937EEC">
        <w:fldChar w:fldCharType="end"/>
      </w:r>
      <w:r w:rsidR="00246AFC">
        <w:t>3</w:t>
      </w:r>
      <w:r w:rsidRPr="00937EEC">
        <w:rPr>
          <w:color w:val="000000" w:themeColor="text1"/>
        </w:rPr>
        <w:t xml:space="preserve">. </w:t>
      </w:r>
    </w:p>
    <w:p w14:paraId="5A660BAE" w14:textId="50A6696A" w:rsidR="00937EEC" w:rsidRPr="00937EEC" w:rsidRDefault="00937EEC" w:rsidP="00937EEC">
      <w:pPr>
        <w:keepNext/>
        <w:spacing w:before="20" w:after="20"/>
        <w:jc w:val="left"/>
        <w:rPr>
          <w:rFonts w:ascii="Arial Narrow" w:eastAsiaTheme="majorEastAsia" w:hAnsi="Arial Narrow" w:cstheme="majorBidi"/>
          <w:b/>
          <w:bCs/>
          <w:sz w:val="20"/>
        </w:rPr>
      </w:pPr>
      <w:bookmarkStart w:id="24" w:name="_Ref89949314"/>
      <w:r w:rsidRPr="00937EEC">
        <w:rPr>
          <w:rFonts w:ascii="Arial Narrow" w:eastAsiaTheme="majorEastAsia" w:hAnsi="Arial Narrow" w:cstheme="majorBidi"/>
          <w:b/>
          <w:bCs/>
          <w:sz w:val="20"/>
        </w:rPr>
        <w:t xml:space="preserve">Table </w:t>
      </w:r>
      <w:bookmarkEnd w:id="24"/>
      <w:r w:rsidR="00246AFC">
        <w:rPr>
          <w:rFonts w:ascii="Arial Narrow" w:eastAsiaTheme="majorEastAsia" w:hAnsi="Arial Narrow" w:cstheme="majorBidi"/>
          <w:b/>
          <w:bCs/>
          <w:sz w:val="20"/>
        </w:rPr>
        <w:t>3</w:t>
      </w:r>
      <w:r w:rsidRPr="00937EEC">
        <w:rPr>
          <w:rFonts w:ascii="Arial Narrow" w:eastAsiaTheme="majorEastAsia" w:hAnsi="Arial Narrow" w:cstheme="majorBidi"/>
          <w:b/>
          <w:bCs/>
          <w:sz w:val="20"/>
        </w:rPr>
        <w:t>: Key features of the included evidence – indirect comparison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3: Key features of the included evidence – indirect comparison"/>
      </w:tblPr>
      <w:tblGrid>
        <w:gridCol w:w="1306"/>
        <w:gridCol w:w="665"/>
        <w:gridCol w:w="1286"/>
        <w:gridCol w:w="849"/>
        <w:gridCol w:w="3544"/>
        <w:gridCol w:w="1367"/>
      </w:tblGrid>
      <w:tr w:rsidR="00937EEC" w:rsidRPr="00937EEC" w14:paraId="0E0B758F" w14:textId="77777777" w:rsidTr="000E29C9">
        <w:trPr>
          <w:tblHeader/>
        </w:trPr>
        <w:tc>
          <w:tcPr>
            <w:tcW w:w="724" w:type="pct"/>
            <w:shd w:val="clear" w:color="auto" w:fill="auto"/>
            <w:vAlign w:val="center"/>
          </w:tcPr>
          <w:p w14:paraId="17DAFE8F" w14:textId="77777777" w:rsidR="00937EEC" w:rsidRPr="00937EEC" w:rsidRDefault="00937EEC" w:rsidP="00937EEC">
            <w:pPr>
              <w:keepNext/>
              <w:jc w:val="left"/>
              <w:rPr>
                <w:rFonts w:ascii="Arial Narrow" w:eastAsiaTheme="majorEastAsia" w:hAnsi="Arial Narrow" w:cs="Times New Roman"/>
                <w:b/>
                <w:sz w:val="20"/>
                <w:lang w:val="en-US"/>
              </w:rPr>
            </w:pPr>
            <w:r w:rsidRPr="00937EEC">
              <w:rPr>
                <w:rFonts w:ascii="Arial Narrow" w:eastAsiaTheme="majorEastAsia" w:hAnsi="Arial Narrow" w:cs="Times New Roman"/>
                <w:b/>
                <w:sz w:val="20"/>
                <w:lang w:val="en-US"/>
              </w:rPr>
              <w:t>Trial</w:t>
            </w:r>
          </w:p>
        </w:tc>
        <w:tc>
          <w:tcPr>
            <w:tcW w:w="369" w:type="pct"/>
            <w:shd w:val="clear" w:color="auto" w:fill="auto"/>
            <w:vAlign w:val="center"/>
          </w:tcPr>
          <w:p w14:paraId="47648073" w14:textId="77777777" w:rsidR="00937EEC" w:rsidRPr="00937EEC" w:rsidRDefault="00937EEC" w:rsidP="00937EEC">
            <w:pPr>
              <w:keepNext/>
              <w:jc w:val="center"/>
              <w:rPr>
                <w:rFonts w:ascii="Arial Narrow" w:eastAsiaTheme="majorEastAsia" w:hAnsi="Arial Narrow" w:cs="Times New Roman"/>
                <w:b/>
                <w:sz w:val="20"/>
                <w:lang w:val="en-US"/>
              </w:rPr>
            </w:pPr>
            <w:r w:rsidRPr="00937EEC">
              <w:rPr>
                <w:rFonts w:ascii="Arial Narrow" w:eastAsiaTheme="majorEastAsia" w:hAnsi="Arial Narrow" w:cs="Times New Roman"/>
                <w:b/>
                <w:sz w:val="20"/>
                <w:lang w:val="en-US"/>
              </w:rPr>
              <w:t>N</w:t>
            </w:r>
          </w:p>
        </w:tc>
        <w:tc>
          <w:tcPr>
            <w:tcW w:w="713" w:type="pct"/>
            <w:shd w:val="clear" w:color="auto" w:fill="auto"/>
            <w:vAlign w:val="center"/>
          </w:tcPr>
          <w:p w14:paraId="75A0A712" w14:textId="4D60AA1A" w:rsidR="00937EEC" w:rsidRPr="00937EEC" w:rsidRDefault="00937EEC" w:rsidP="00937EEC">
            <w:pPr>
              <w:keepNext/>
              <w:jc w:val="center"/>
              <w:rPr>
                <w:rFonts w:ascii="Arial Narrow" w:eastAsiaTheme="majorEastAsia" w:hAnsi="Arial Narrow" w:cs="Times New Roman"/>
                <w:b/>
                <w:sz w:val="20"/>
                <w:lang w:val="en-US"/>
              </w:rPr>
            </w:pPr>
            <w:r w:rsidRPr="00937EEC">
              <w:rPr>
                <w:rFonts w:ascii="Arial Narrow" w:eastAsiaTheme="majorEastAsia" w:hAnsi="Arial Narrow" w:cs="Times New Roman"/>
                <w:b/>
                <w:sz w:val="20"/>
                <w:lang w:val="en-US"/>
              </w:rPr>
              <w:t>Design</w:t>
            </w:r>
          </w:p>
        </w:tc>
        <w:tc>
          <w:tcPr>
            <w:tcW w:w="471" w:type="pct"/>
            <w:shd w:val="clear" w:color="auto" w:fill="auto"/>
            <w:vAlign w:val="center"/>
          </w:tcPr>
          <w:p w14:paraId="2F3661F0" w14:textId="77777777" w:rsidR="00937EEC" w:rsidRPr="00937EEC" w:rsidRDefault="00937EEC" w:rsidP="00937EEC">
            <w:pPr>
              <w:keepNext/>
              <w:jc w:val="center"/>
              <w:rPr>
                <w:rFonts w:ascii="Arial Narrow" w:eastAsiaTheme="majorEastAsia" w:hAnsi="Arial Narrow" w:cs="Times New Roman"/>
                <w:b/>
                <w:sz w:val="20"/>
                <w:lang w:val="en-US"/>
              </w:rPr>
            </w:pPr>
            <w:r w:rsidRPr="00937EEC">
              <w:rPr>
                <w:rFonts w:ascii="Arial Narrow" w:eastAsiaTheme="majorEastAsia" w:hAnsi="Arial Narrow" w:cs="Times New Roman"/>
                <w:b/>
                <w:sz w:val="20"/>
                <w:lang w:val="en-US"/>
              </w:rPr>
              <w:t>Risk of bias</w:t>
            </w:r>
          </w:p>
        </w:tc>
        <w:tc>
          <w:tcPr>
            <w:tcW w:w="1965" w:type="pct"/>
            <w:shd w:val="clear" w:color="auto" w:fill="auto"/>
            <w:vAlign w:val="center"/>
          </w:tcPr>
          <w:p w14:paraId="54580C87" w14:textId="77777777" w:rsidR="00937EEC" w:rsidRPr="00937EEC" w:rsidRDefault="00937EEC" w:rsidP="00937EEC">
            <w:pPr>
              <w:keepNext/>
              <w:jc w:val="center"/>
              <w:rPr>
                <w:rFonts w:ascii="Arial Narrow" w:eastAsiaTheme="majorEastAsia" w:hAnsi="Arial Narrow" w:cs="Times New Roman"/>
                <w:b/>
                <w:sz w:val="20"/>
                <w:lang w:val="en-US"/>
              </w:rPr>
            </w:pPr>
            <w:r w:rsidRPr="00937EEC">
              <w:rPr>
                <w:rFonts w:ascii="Arial Narrow" w:eastAsiaTheme="majorEastAsia" w:hAnsi="Arial Narrow" w:cs="Times New Roman"/>
                <w:b/>
                <w:sz w:val="20"/>
                <w:lang w:val="en-US"/>
              </w:rPr>
              <w:t>Patient population</w:t>
            </w:r>
          </w:p>
        </w:tc>
        <w:tc>
          <w:tcPr>
            <w:tcW w:w="758" w:type="pct"/>
            <w:shd w:val="clear" w:color="auto" w:fill="auto"/>
            <w:vAlign w:val="center"/>
          </w:tcPr>
          <w:p w14:paraId="50E576CD" w14:textId="77777777" w:rsidR="00937EEC" w:rsidRPr="00937EEC" w:rsidRDefault="00937EEC" w:rsidP="00937EEC">
            <w:pPr>
              <w:keepNext/>
              <w:jc w:val="center"/>
              <w:rPr>
                <w:rFonts w:ascii="Arial Narrow" w:eastAsiaTheme="majorEastAsia" w:hAnsi="Arial Narrow" w:cs="Times New Roman"/>
                <w:b/>
                <w:sz w:val="20"/>
                <w:lang w:val="en-US"/>
              </w:rPr>
            </w:pPr>
            <w:r w:rsidRPr="00937EEC">
              <w:rPr>
                <w:rFonts w:ascii="Arial Narrow" w:eastAsiaTheme="majorEastAsia" w:hAnsi="Arial Narrow" w:cs="Times New Roman"/>
                <w:b/>
                <w:sz w:val="20"/>
                <w:lang w:val="en-US"/>
              </w:rPr>
              <w:t>Outcomes</w:t>
            </w:r>
          </w:p>
        </w:tc>
      </w:tr>
      <w:tr w:rsidR="00937EEC" w:rsidRPr="00BC7689" w14:paraId="51ABC008" w14:textId="77777777" w:rsidTr="000E484F">
        <w:tc>
          <w:tcPr>
            <w:tcW w:w="5000" w:type="pct"/>
            <w:gridSpan w:val="6"/>
            <w:shd w:val="clear" w:color="auto" w:fill="auto"/>
            <w:vAlign w:val="center"/>
          </w:tcPr>
          <w:p w14:paraId="68A9B5AE" w14:textId="77777777" w:rsidR="00937EEC" w:rsidRPr="00BC7689" w:rsidRDefault="00937EEC" w:rsidP="00937EEC">
            <w:pPr>
              <w:keepNext/>
              <w:spacing w:before="20" w:after="20"/>
              <w:jc w:val="left"/>
              <w:rPr>
                <w:rFonts w:ascii="Arial Narrow" w:eastAsiaTheme="majorEastAsia" w:hAnsi="Arial Narrow" w:cstheme="majorBidi"/>
                <w:b/>
                <w:sz w:val="20"/>
                <w:lang w:val="en-US"/>
              </w:rPr>
            </w:pPr>
            <w:r w:rsidRPr="00BC7689">
              <w:rPr>
                <w:rFonts w:ascii="Arial Narrow" w:eastAsiaTheme="majorEastAsia" w:hAnsi="Arial Narrow" w:cstheme="majorBidi"/>
                <w:b/>
                <w:sz w:val="20"/>
              </w:rPr>
              <w:t xml:space="preserve">Palbociclib + </w:t>
            </w:r>
            <w:proofErr w:type="spellStart"/>
            <w:r w:rsidRPr="00BC7689">
              <w:rPr>
                <w:rFonts w:ascii="Arial Narrow" w:eastAsiaTheme="majorEastAsia" w:hAnsi="Arial Narrow" w:cstheme="majorBidi"/>
                <w:b/>
                <w:sz w:val="20"/>
              </w:rPr>
              <w:t>fulvestrant</w:t>
            </w:r>
            <w:proofErr w:type="spellEnd"/>
            <w:r w:rsidRPr="00BC7689">
              <w:rPr>
                <w:rFonts w:ascii="Arial Narrow" w:eastAsiaTheme="majorEastAsia" w:hAnsi="Arial Narrow" w:cstheme="majorBidi"/>
                <w:b/>
                <w:sz w:val="20"/>
              </w:rPr>
              <w:t xml:space="preserve"> vs. Placebo + </w:t>
            </w:r>
            <w:proofErr w:type="spellStart"/>
            <w:r w:rsidRPr="00BC7689">
              <w:rPr>
                <w:rFonts w:ascii="Arial Narrow" w:eastAsiaTheme="majorEastAsia" w:hAnsi="Arial Narrow" w:cstheme="majorBidi"/>
                <w:b/>
                <w:sz w:val="20"/>
              </w:rPr>
              <w:t>fulvestrant</w:t>
            </w:r>
            <w:proofErr w:type="spellEnd"/>
          </w:p>
        </w:tc>
      </w:tr>
      <w:tr w:rsidR="00937EEC" w:rsidRPr="00937EEC" w14:paraId="127AA215" w14:textId="77777777" w:rsidTr="000E29C9">
        <w:tc>
          <w:tcPr>
            <w:tcW w:w="724" w:type="pct"/>
            <w:shd w:val="clear" w:color="auto" w:fill="auto"/>
            <w:vAlign w:val="center"/>
          </w:tcPr>
          <w:p w14:paraId="44F2DB5B" w14:textId="77777777" w:rsidR="00937EEC" w:rsidRPr="00937EEC" w:rsidRDefault="00937EEC" w:rsidP="00937EEC">
            <w:pPr>
              <w:keepNext/>
              <w:spacing w:before="20" w:after="20"/>
              <w:jc w:val="left"/>
              <w:rPr>
                <w:rFonts w:ascii="Arial Narrow" w:eastAsiaTheme="majorEastAsia" w:hAnsi="Arial Narrow" w:cstheme="majorBidi"/>
                <w:bCs/>
                <w:sz w:val="20"/>
                <w:lang w:val="en-US"/>
              </w:rPr>
            </w:pPr>
            <w:r w:rsidRPr="00937EEC">
              <w:rPr>
                <w:rFonts w:ascii="Arial Narrow" w:eastAsiaTheme="majorEastAsia" w:hAnsi="Arial Narrow" w:cstheme="majorBidi"/>
                <w:bCs/>
                <w:sz w:val="20"/>
                <w:lang w:val="en-US"/>
              </w:rPr>
              <w:t>PALOMA-3</w:t>
            </w:r>
          </w:p>
        </w:tc>
        <w:tc>
          <w:tcPr>
            <w:tcW w:w="369" w:type="pct"/>
            <w:shd w:val="clear" w:color="auto" w:fill="auto"/>
            <w:vAlign w:val="center"/>
          </w:tcPr>
          <w:p w14:paraId="33D613D7" w14:textId="77777777" w:rsidR="00937EEC" w:rsidRPr="00937EEC" w:rsidRDefault="00937EEC" w:rsidP="00937EEC">
            <w:pPr>
              <w:keepNext/>
              <w:spacing w:before="20" w:after="20"/>
              <w:jc w:val="center"/>
              <w:rPr>
                <w:rFonts w:ascii="Arial Narrow" w:eastAsiaTheme="majorEastAsia" w:hAnsi="Arial Narrow" w:cstheme="majorBidi"/>
                <w:bCs/>
                <w:sz w:val="20"/>
                <w:lang w:val="en-US"/>
              </w:rPr>
            </w:pPr>
            <w:r w:rsidRPr="00937EEC">
              <w:rPr>
                <w:rFonts w:ascii="Arial Narrow" w:eastAsiaTheme="majorEastAsia" w:hAnsi="Arial Narrow" w:cstheme="majorBidi"/>
                <w:bCs/>
                <w:sz w:val="20"/>
                <w:lang w:val="en-US"/>
              </w:rPr>
              <w:t>521</w:t>
            </w:r>
          </w:p>
        </w:tc>
        <w:tc>
          <w:tcPr>
            <w:tcW w:w="713" w:type="pct"/>
            <w:shd w:val="clear" w:color="auto" w:fill="auto"/>
            <w:vAlign w:val="center"/>
          </w:tcPr>
          <w:p w14:paraId="36C3FA85" w14:textId="77777777" w:rsidR="00937EEC" w:rsidRPr="00937EEC" w:rsidRDefault="00937EEC" w:rsidP="00937EEC">
            <w:pPr>
              <w:keepNext/>
              <w:spacing w:before="20" w:after="20"/>
              <w:jc w:val="center"/>
              <w:rPr>
                <w:rFonts w:ascii="Arial Narrow" w:eastAsiaTheme="majorEastAsia" w:hAnsi="Arial Narrow" w:cstheme="majorBidi"/>
                <w:bCs/>
                <w:sz w:val="20"/>
                <w:lang w:val="en-US"/>
              </w:rPr>
            </w:pPr>
            <w:r w:rsidRPr="00937EEC">
              <w:rPr>
                <w:rFonts w:ascii="Arial Narrow" w:eastAsiaTheme="majorEastAsia" w:hAnsi="Arial Narrow" w:cstheme="majorBidi"/>
                <w:bCs/>
                <w:sz w:val="20"/>
                <w:lang w:val="en-US"/>
              </w:rPr>
              <w:t>R (2:1), DB, MC</w:t>
            </w:r>
          </w:p>
        </w:tc>
        <w:tc>
          <w:tcPr>
            <w:tcW w:w="471" w:type="pct"/>
            <w:shd w:val="clear" w:color="auto" w:fill="auto"/>
            <w:vAlign w:val="center"/>
          </w:tcPr>
          <w:p w14:paraId="176E8ADF" w14:textId="77777777" w:rsidR="00937EEC" w:rsidRPr="00937EEC" w:rsidRDefault="00937EEC" w:rsidP="00937EEC">
            <w:pPr>
              <w:keepNext/>
              <w:spacing w:before="20" w:after="20"/>
              <w:jc w:val="center"/>
              <w:rPr>
                <w:rFonts w:ascii="Arial Narrow" w:eastAsiaTheme="majorEastAsia" w:hAnsi="Arial Narrow" w:cstheme="majorBidi"/>
                <w:bCs/>
                <w:sz w:val="20"/>
                <w:lang w:val="en-US"/>
              </w:rPr>
            </w:pPr>
            <w:r w:rsidRPr="00937EEC">
              <w:rPr>
                <w:rFonts w:ascii="Arial Narrow" w:eastAsiaTheme="majorEastAsia" w:hAnsi="Arial Narrow" w:cstheme="majorBidi"/>
                <w:bCs/>
                <w:sz w:val="20"/>
                <w:lang w:val="en-US"/>
              </w:rPr>
              <w:t>Low</w:t>
            </w:r>
          </w:p>
        </w:tc>
        <w:tc>
          <w:tcPr>
            <w:tcW w:w="1965" w:type="pct"/>
            <w:shd w:val="clear" w:color="auto" w:fill="auto"/>
            <w:vAlign w:val="center"/>
          </w:tcPr>
          <w:p w14:paraId="06D25C97" w14:textId="77777777" w:rsidR="00937EEC" w:rsidRPr="00937EEC" w:rsidRDefault="00937EEC" w:rsidP="00937EEC">
            <w:pPr>
              <w:keepNext/>
              <w:spacing w:before="20" w:after="20"/>
              <w:jc w:val="left"/>
              <w:rPr>
                <w:rFonts w:ascii="Arial Narrow" w:eastAsiaTheme="majorEastAsia" w:hAnsi="Arial Narrow" w:cstheme="majorBidi"/>
                <w:bCs/>
                <w:sz w:val="20"/>
                <w:lang w:val="en-US"/>
              </w:rPr>
            </w:pPr>
            <w:r w:rsidRPr="00937EEC">
              <w:rPr>
                <w:rFonts w:ascii="Arial Narrow" w:eastAsiaTheme="majorEastAsia" w:hAnsi="Arial Narrow" w:cstheme="majorBidi"/>
                <w:bCs/>
                <w:sz w:val="20"/>
                <w:lang w:val="en-US"/>
              </w:rPr>
              <w:t xml:space="preserve">Pre-/peri- or postmenopausal women, HR+/HER2- </w:t>
            </w:r>
            <w:proofErr w:type="spellStart"/>
            <w:r w:rsidRPr="00937EEC">
              <w:rPr>
                <w:rFonts w:ascii="Arial Narrow" w:eastAsiaTheme="majorEastAsia" w:hAnsi="Arial Narrow" w:cstheme="majorBidi"/>
                <w:bCs/>
                <w:sz w:val="20"/>
                <w:lang w:val="en-US"/>
              </w:rPr>
              <w:t>aBC</w:t>
            </w:r>
            <w:proofErr w:type="spellEnd"/>
            <w:r w:rsidRPr="00937EEC">
              <w:rPr>
                <w:rFonts w:ascii="Arial Narrow" w:eastAsiaTheme="majorEastAsia" w:hAnsi="Arial Narrow" w:cstheme="majorBidi"/>
                <w:bCs/>
                <w:sz w:val="20"/>
                <w:lang w:val="en-US"/>
              </w:rPr>
              <w:t>, not amenable to curative treatment; progressed after prior ET</w:t>
            </w:r>
          </w:p>
        </w:tc>
        <w:tc>
          <w:tcPr>
            <w:tcW w:w="758" w:type="pct"/>
            <w:shd w:val="clear" w:color="auto" w:fill="auto"/>
            <w:vAlign w:val="center"/>
          </w:tcPr>
          <w:p w14:paraId="4F36BC96" w14:textId="77777777" w:rsidR="00937EEC" w:rsidRPr="00937EEC" w:rsidRDefault="00937EEC" w:rsidP="00937EEC">
            <w:pPr>
              <w:keepNext/>
              <w:spacing w:before="20" w:after="20"/>
              <w:jc w:val="left"/>
              <w:rPr>
                <w:rFonts w:ascii="Arial Narrow" w:eastAsiaTheme="majorEastAsia" w:hAnsi="Arial Narrow" w:cstheme="majorBidi"/>
                <w:bCs/>
                <w:sz w:val="20"/>
                <w:lang w:val="en-US"/>
              </w:rPr>
            </w:pPr>
            <w:r w:rsidRPr="00937EEC">
              <w:rPr>
                <w:rFonts w:ascii="Arial Narrow" w:eastAsiaTheme="majorEastAsia" w:hAnsi="Arial Narrow" w:cstheme="majorBidi"/>
                <w:bCs/>
                <w:sz w:val="20"/>
                <w:lang w:val="en-US"/>
              </w:rPr>
              <w:t>Primary: PFS</w:t>
            </w:r>
          </w:p>
          <w:p w14:paraId="01ED9505" w14:textId="77777777" w:rsidR="00937EEC" w:rsidRPr="00937EEC" w:rsidRDefault="00937EEC" w:rsidP="00937EEC">
            <w:pPr>
              <w:keepNext/>
              <w:spacing w:before="20" w:after="20"/>
              <w:jc w:val="left"/>
              <w:rPr>
                <w:rFonts w:ascii="Arial Narrow" w:eastAsiaTheme="majorEastAsia" w:hAnsi="Arial Narrow" w:cstheme="majorBidi"/>
                <w:bCs/>
                <w:sz w:val="20"/>
                <w:lang w:val="en-US"/>
              </w:rPr>
            </w:pPr>
            <w:r w:rsidRPr="00937EEC">
              <w:rPr>
                <w:rFonts w:ascii="Arial Narrow" w:eastAsiaTheme="majorEastAsia" w:hAnsi="Arial Narrow" w:cstheme="majorBidi"/>
                <w:bCs/>
                <w:sz w:val="20"/>
                <w:lang w:val="en-US"/>
              </w:rPr>
              <w:t>Key secondary: OS, QoL, safety</w:t>
            </w:r>
          </w:p>
        </w:tc>
      </w:tr>
      <w:tr w:rsidR="00937EEC" w:rsidRPr="00BC7689" w14:paraId="351F8DA6" w14:textId="77777777" w:rsidTr="000E484F">
        <w:tc>
          <w:tcPr>
            <w:tcW w:w="5000" w:type="pct"/>
            <w:gridSpan w:val="6"/>
            <w:shd w:val="clear" w:color="auto" w:fill="auto"/>
            <w:vAlign w:val="center"/>
          </w:tcPr>
          <w:p w14:paraId="05A8BB21" w14:textId="77777777" w:rsidR="00937EEC" w:rsidRPr="00BC7689" w:rsidRDefault="00937EEC" w:rsidP="00937EEC">
            <w:pPr>
              <w:keepNext/>
              <w:spacing w:before="20" w:after="20"/>
              <w:jc w:val="left"/>
              <w:rPr>
                <w:rFonts w:ascii="Arial Narrow" w:eastAsiaTheme="majorEastAsia" w:hAnsi="Arial Narrow" w:cstheme="majorBidi"/>
                <w:b/>
                <w:sz w:val="20"/>
              </w:rPr>
            </w:pPr>
            <w:proofErr w:type="spellStart"/>
            <w:r w:rsidRPr="00BC7689">
              <w:rPr>
                <w:rFonts w:ascii="Arial Narrow" w:eastAsiaTheme="majorEastAsia" w:hAnsi="Arial Narrow" w:cstheme="majorBidi"/>
                <w:b/>
                <w:sz w:val="20"/>
              </w:rPr>
              <w:t>Ribociclib</w:t>
            </w:r>
            <w:proofErr w:type="spellEnd"/>
            <w:r w:rsidRPr="00BC7689">
              <w:rPr>
                <w:rFonts w:ascii="Arial Narrow" w:eastAsiaTheme="majorEastAsia" w:hAnsi="Arial Narrow" w:cstheme="majorBidi"/>
                <w:b/>
                <w:sz w:val="20"/>
              </w:rPr>
              <w:t xml:space="preserve"> + </w:t>
            </w:r>
            <w:proofErr w:type="spellStart"/>
            <w:r w:rsidRPr="00BC7689">
              <w:rPr>
                <w:rFonts w:ascii="Arial Narrow" w:eastAsiaTheme="majorEastAsia" w:hAnsi="Arial Narrow" w:cstheme="majorBidi"/>
                <w:b/>
                <w:sz w:val="20"/>
              </w:rPr>
              <w:t>fulvestrant</w:t>
            </w:r>
            <w:proofErr w:type="spellEnd"/>
            <w:r w:rsidRPr="00BC7689">
              <w:rPr>
                <w:rFonts w:ascii="Arial Narrow" w:eastAsiaTheme="majorEastAsia" w:hAnsi="Arial Narrow" w:cstheme="majorBidi"/>
                <w:b/>
                <w:sz w:val="20"/>
              </w:rPr>
              <w:t xml:space="preserve"> vs. Placebo + </w:t>
            </w:r>
            <w:proofErr w:type="spellStart"/>
            <w:r w:rsidRPr="00BC7689">
              <w:rPr>
                <w:rFonts w:ascii="Arial Narrow" w:eastAsiaTheme="majorEastAsia" w:hAnsi="Arial Narrow" w:cstheme="majorBidi"/>
                <w:b/>
                <w:sz w:val="20"/>
              </w:rPr>
              <w:t>fulvestrant</w:t>
            </w:r>
            <w:proofErr w:type="spellEnd"/>
          </w:p>
        </w:tc>
      </w:tr>
      <w:tr w:rsidR="00937EEC" w:rsidRPr="00937EEC" w14:paraId="5984DBA9" w14:textId="77777777" w:rsidTr="000E29C9">
        <w:tc>
          <w:tcPr>
            <w:tcW w:w="724" w:type="pct"/>
            <w:shd w:val="clear" w:color="auto" w:fill="auto"/>
            <w:vAlign w:val="center"/>
          </w:tcPr>
          <w:p w14:paraId="1689D6AC" w14:textId="77B71A2C" w:rsidR="00937EEC" w:rsidRPr="00937EEC" w:rsidRDefault="00937EEC" w:rsidP="00937EEC">
            <w:pPr>
              <w:keepNext/>
              <w:spacing w:before="20" w:after="20"/>
              <w:jc w:val="left"/>
              <w:rPr>
                <w:rFonts w:ascii="Arial Narrow" w:eastAsiaTheme="majorEastAsia" w:hAnsi="Arial Narrow" w:cstheme="majorBidi"/>
                <w:bCs/>
                <w:sz w:val="20"/>
                <w:lang w:val="en-US"/>
              </w:rPr>
            </w:pPr>
            <w:r w:rsidRPr="00937EEC">
              <w:rPr>
                <w:rFonts w:ascii="Arial Narrow" w:eastAsiaTheme="majorEastAsia" w:hAnsi="Arial Narrow" w:cstheme="majorBidi"/>
                <w:bCs/>
                <w:sz w:val="20"/>
                <w:lang w:val="en-US"/>
              </w:rPr>
              <w:t>MONALEESA-3</w:t>
            </w:r>
            <w:r w:rsidR="005B0B89" w:rsidRPr="005B0B89">
              <w:rPr>
                <w:rFonts w:ascii="Arial Narrow" w:eastAsiaTheme="majorEastAsia" w:hAnsi="Arial Narrow" w:cstheme="majorBidi"/>
                <w:bCs/>
                <w:sz w:val="20"/>
                <w:vertAlign w:val="superscript"/>
                <w:lang w:val="en-US"/>
              </w:rPr>
              <w:t>a</w:t>
            </w:r>
          </w:p>
        </w:tc>
        <w:tc>
          <w:tcPr>
            <w:tcW w:w="369" w:type="pct"/>
            <w:shd w:val="clear" w:color="auto" w:fill="auto"/>
            <w:vAlign w:val="center"/>
          </w:tcPr>
          <w:p w14:paraId="40FD5542" w14:textId="77777777" w:rsidR="00937EEC" w:rsidRPr="00937EEC" w:rsidRDefault="00937EEC" w:rsidP="00937EEC">
            <w:pPr>
              <w:keepNext/>
              <w:spacing w:before="20" w:after="20"/>
              <w:jc w:val="center"/>
              <w:rPr>
                <w:rFonts w:ascii="Arial Narrow" w:eastAsiaTheme="majorEastAsia" w:hAnsi="Arial Narrow" w:cstheme="majorBidi"/>
                <w:bCs/>
                <w:sz w:val="20"/>
                <w:lang w:val="en-US"/>
              </w:rPr>
            </w:pPr>
            <w:r w:rsidRPr="00937EEC">
              <w:rPr>
                <w:rFonts w:ascii="Arial Narrow" w:eastAsiaTheme="majorEastAsia" w:hAnsi="Arial Narrow" w:cstheme="majorBidi"/>
                <w:bCs/>
                <w:sz w:val="20"/>
                <w:lang w:val="en-US"/>
              </w:rPr>
              <w:t>726</w:t>
            </w:r>
          </w:p>
        </w:tc>
        <w:tc>
          <w:tcPr>
            <w:tcW w:w="713" w:type="pct"/>
            <w:shd w:val="clear" w:color="auto" w:fill="auto"/>
            <w:vAlign w:val="center"/>
          </w:tcPr>
          <w:p w14:paraId="51BC9779" w14:textId="77777777" w:rsidR="00937EEC" w:rsidRPr="00937EEC" w:rsidRDefault="00937EEC" w:rsidP="00937EEC">
            <w:pPr>
              <w:keepNext/>
              <w:spacing w:before="20" w:after="20"/>
              <w:jc w:val="center"/>
              <w:rPr>
                <w:rFonts w:ascii="Arial Narrow" w:eastAsiaTheme="majorEastAsia" w:hAnsi="Arial Narrow" w:cstheme="majorBidi"/>
                <w:bCs/>
                <w:sz w:val="20"/>
                <w:lang w:val="en-US"/>
              </w:rPr>
            </w:pPr>
            <w:r w:rsidRPr="00937EEC">
              <w:rPr>
                <w:rFonts w:ascii="Arial Narrow" w:eastAsiaTheme="majorEastAsia" w:hAnsi="Arial Narrow" w:cstheme="majorBidi"/>
                <w:bCs/>
                <w:sz w:val="20"/>
                <w:lang w:val="en-US"/>
              </w:rPr>
              <w:t>R (2:1), DB, MC</w:t>
            </w:r>
          </w:p>
        </w:tc>
        <w:tc>
          <w:tcPr>
            <w:tcW w:w="471" w:type="pct"/>
            <w:shd w:val="clear" w:color="auto" w:fill="auto"/>
            <w:vAlign w:val="center"/>
          </w:tcPr>
          <w:p w14:paraId="4B0BD645" w14:textId="6C10ECAF" w:rsidR="00937EEC" w:rsidRPr="00937EEC" w:rsidRDefault="00937EEC" w:rsidP="00937EEC">
            <w:pPr>
              <w:keepNext/>
              <w:spacing w:before="20" w:after="20"/>
              <w:jc w:val="center"/>
              <w:rPr>
                <w:rFonts w:ascii="Arial Narrow" w:eastAsiaTheme="majorEastAsia" w:hAnsi="Arial Narrow" w:cstheme="majorBidi"/>
                <w:bCs/>
                <w:sz w:val="20"/>
                <w:vertAlign w:val="superscript"/>
                <w:lang w:val="en-US"/>
              </w:rPr>
            </w:pPr>
            <w:proofErr w:type="spellStart"/>
            <w:r w:rsidRPr="00937EEC">
              <w:rPr>
                <w:rFonts w:ascii="Arial Narrow" w:eastAsiaTheme="majorEastAsia" w:hAnsi="Arial Narrow" w:cstheme="majorBidi"/>
                <w:bCs/>
                <w:sz w:val="20"/>
                <w:lang w:val="en-US"/>
              </w:rPr>
              <w:t>Low</w:t>
            </w:r>
            <w:r w:rsidR="005B0B89" w:rsidRPr="005B0B89">
              <w:rPr>
                <w:rFonts w:ascii="Arial Narrow" w:eastAsiaTheme="majorEastAsia" w:hAnsi="Arial Narrow" w:cstheme="majorBidi"/>
                <w:bCs/>
                <w:sz w:val="20"/>
                <w:vertAlign w:val="superscript"/>
                <w:lang w:val="en-US"/>
              </w:rPr>
              <w:t>b</w:t>
            </w:r>
            <w:proofErr w:type="spellEnd"/>
          </w:p>
        </w:tc>
        <w:tc>
          <w:tcPr>
            <w:tcW w:w="1965" w:type="pct"/>
            <w:shd w:val="clear" w:color="auto" w:fill="auto"/>
            <w:vAlign w:val="center"/>
          </w:tcPr>
          <w:p w14:paraId="202802B0" w14:textId="77777777" w:rsidR="00937EEC" w:rsidRPr="00937EEC" w:rsidRDefault="00937EEC" w:rsidP="00937EEC">
            <w:pPr>
              <w:keepNext/>
              <w:spacing w:before="20" w:after="20"/>
              <w:jc w:val="left"/>
              <w:rPr>
                <w:rFonts w:ascii="Arial Narrow" w:eastAsiaTheme="majorEastAsia" w:hAnsi="Arial Narrow" w:cstheme="majorBidi"/>
                <w:bCs/>
                <w:sz w:val="20"/>
                <w:lang w:val="en-US"/>
              </w:rPr>
            </w:pPr>
            <w:r w:rsidRPr="00937EEC">
              <w:rPr>
                <w:rFonts w:ascii="Arial Narrow" w:eastAsiaTheme="majorEastAsia" w:hAnsi="Arial Narrow" w:cstheme="majorBidi"/>
                <w:bCs/>
                <w:sz w:val="20"/>
                <w:lang w:val="en-US"/>
              </w:rPr>
              <w:t xml:space="preserve">Postmenopausal women, HR+/HER2- </w:t>
            </w:r>
            <w:proofErr w:type="spellStart"/>
            <w:r w:rsidRPr="00937EEC">
              <w:rPr>
                <w:rFonts w:ascii="Arial Narrow" w:eastAsiaTheme="majorEastAsia" w:hAnsi="Arial Narrow" w:cstheme="majorBidi"/>
                <w:bCs/>
                <w:sz w:val="20"/>
                <w:lang w:val="en-US"/>
              </w:rPr>
              <w:t>aBC</w:t>
            </w:r>
            <w:proofErr w:type="spellEnd"/>
            <w:r w:rsidRPr="00937EEC">
              <w:rPr>
                <w:rFonts w:ascii="Arial Narrow" w:eastAsiaTheme="majorEastAsia" w:hAnsi="Arial Narrow" w:cstheme="majorBidi"/>
                <w:bCs/>
                <w:sz w:val="20"/>
                <w:lang w:val="en-US"/>
              </w:rPr>
              <w:t xml:space="preserve"> not amenable to curative treatment; newly diagnosed or relapse, received no or only one prior ET for </w:t>
            </w:r>
            <w:proofErr w:type="spellStart"/>
            <w:r w:rsidRPr="00937EEC">
              <w:rPr>
                <w:rFonts w:ascii="Arial Narrow" w:eastAsiaTheme="majorEastAsia" w:hAnsi="Arial Narrow" w:cstheme="majorBidi"/>
                <w:bCs/>
                <w:sz w:val="20"/>
                <w:lang w:val="en-US"/>
              </w:rPr>
              <w:t>aBC</w:t>
            </w:r>
            <w:proofErr w:type="spellEnd"/>
          </w:p>
        </w:tc>
        <w:tc>
          <w:tcPr>
            <w:tcW w:w="758" w:type="pct"/>
            <w:shd w:val="clear" w:color="auto" w:fill="auto"/>
            <w:vAlign w:val="center"/>
          </w:tcPr>
          <w:p w14:paraId="39FBE9D0" w14:textId="77777777" w:rsidR="00937EEC" w:rsidRPr="00937EEC" w:rsidRDefault="00937EEC" w:rsidP="00937EEC">
            <w:pPr>
              <w:keepNext/>
              <w:spacing w:before="20" w:after="20"/>
              <w:jc w:val="left"/>
              <w:rPr>
                <w:rFonts w:ascii="Arial Narrow" w:eastAsiaTheme="majorEastAsia" w:hAnsi="Arial Narrow" w:cstheme="majorBidi"/>
                <w:bCs/>
                <w:sz w:val="20"/>
              </w:rPr>
            </w:pPr>
            <w:r w:rsidRPr="00937EEC">
              <w:rPr>
                <w:rFonts w:ascii="Arial Narrow" w:eastAsiaTheme="majorEastAsia" w:hAnsi="Arial Narrow" w:cstheme="majorBidi"/>
                <w:bCs/>
                <w:sz w:val="20"/>
              </w:rPr>
              <w:t xml:space="preserve">Primary: PFS </w:t>
            </w:r>
          </w:p>
          <w:p w14:paraId="10459C2B" w14:textId="77777777" w:rsidR="00937EEC" w:rsidRPr="00937EEC" w:rsidRDefault="00937EEC" w:rsidP="00937EEC">
            <w:pPr>
              <w:keepNext/>
              <w:spacing w:before="20" w:after="20"/>
              <w:jc w:val="left"/>
              <w:rPr>
                <w:rFonts w:ascii="Arial Narrow" w:eastAsiaTheme="majorEastAsia" w:hAnsi="Arial Narrow" w:cstheme="majorBidi"/>
                <w:bCs/>
                <w:sz w:val="20"/>
                <w:lang w:val="en-US"/>
              </w:rPr>
            </w:pPr>
            <w:r w:rsidRPr="00937EEC">
              <w:rPr>
                <w:rFonts w:ascii="Arial Narrow" w:eastAsiaTheme="majorEastAsia" w:hAnsi="Arial Narrow" w:cstheme="majorBidi"/>
                <w:bCs/>
                <w:sz w:val="20"/>
              </w:rPr>
              <w:t>Key secondary: OS, safety.</w:t>
            </w:r>
          </w:p>
        </w:tc>
      </w:tr>
      <w:tr w:rsidR="00937EEC" w:rsidRPr="00BC7689" w14:paraId="68EB8116" w14:textId="77777777" w:rsidTr="000E484F">
        <w:tc>
          <w:tcPr>
            <w:tcW w:w="5000" w:type="pct"/>
            <w:gridSpan w:val="6"/>
            <w:shd w:val="clear" w:color="auto" w:fill="auto"/>
            <w:vAlign w:val="center"/>
          </w:tcPr>
          <w:p w14:paraId="58EBCB85" w14:textId="77777777" w:rsidR="00937EEC" w:rsidRPr="00BC7689" w:rsidRDefault="00937EEC" w:rsidP="00937EEC">
            <w:pPr>
              <w:keepNext/>
              <w:spacing w:before="20" w:after="20"/>
              <w:jc w:val="left"/>
              <w:rPr>
                <w:rFonts w:ascii="Arial Narrow" w:eastAsiaTheme="majorEastAsia" w:hAnsi="Arial Narrow" w:cstheme="majorBidi"/>
                <w:b/>
                <w:sz w:val="20"/>
                <w:lang w:val="en-US"/>
              </w:rPr>
            </w:pPr>
            <w:proofErr w:type="spellStart"/>
            <w:r w:rsidRPr="00BC7689">
              <w:rPr>
                <w:rFonts w:ascii="Arial Narrow" w:eastAsiaTheme="majorEastAsia" w:hAnsi="Arial Narrow" w:cstheme="majorBidi"/>
                <w:b/>
                <w:sz w:val="20"/>
              </w:rPr>
              <w:t>Abemaciclib</w:t>
            </w:r>
            <w:proofErr w:type="spellEnd"/>
            <w:r w:rsidRPr="00BC7689">
              <w:rPr>
                <w:rFonts w:ascii="Arial Narrow" w:eastAsiaTheme="majorEastAsia" w:hAnsi="Arial Narrow" w:cstheme="majorBidi"/>
                <w:b/>
                <w:sz w:val="20"/>
              </w:rPr>
              <w:t xml:space="preserve"> + </w:t>
            </w:r>
            <w:proofErr w:type="spellStart"/>
            <w:r w:rsidRPr="00BC7689">
              <w:rPr>
                <w:rFonts w:ascii="Arial Narrow" w:eastAsiaTheme="majorEastAsia" w:hAnsi="Arial Narrow" w:cstheme="majorBidi"/>
                <w:b/>
                <w:sz w:val="20"/>
              </w:rPr>
              <w:t>fulvestrant</w:t>
            </w:r>
            <w:proofErr w:type="spellEnd"/>
            <w:r w:rsidRPr="00BC7689">
              <w:rPr>
                <w:rFonts w:ascii="Arial Narrow" w:eastAsiaTheme="majorEastAsia" w:hAnsi="Arial Narrow" w:cstheme="majorBidi"/>
                <w:b/>
                <w:sz w:val="20"/>
              </w:rPr>
              <w:t xml:space="preserve"> vs. Placebo + </w:t>
            </w:r>
            <w:proofErr w:type="spellStart"/>
            <w:r w:rsidRPr="00BC7689">
              <w:rPr>
                <w:rFonts w:ascii="Arial Narrow" w:eastAsiaTheme="majorEastAsia" w:hAnsi="Arial Narrow" w:cstheme="majorBidi"/>
                <w:b/>
                <w:sz w:val="20"/>
              </w:rPr>
              <w:t>fulvestrant</w:t>
            </w:r>
            <w:proofErr w:type="spellEnd"/>
          </w:p>
        </w:tc>
      </w:tr>
      <w:tr w:rsidR="00937EEC" w:rsidRPr="00937EEC" w14:paraId="43B7CF08" w14:textId="77777777" w:rsidTr="000E29C9">
        <w:tc>
          <w:tcPr>
            <w:tcW w:w="724" w:type="pct"/>
            <w:shd w:val="clear" w:color="auto" w:fill="auto"/>
            <w:vAlign w:val="center"/>
          </w:tcPr>
          <w:p w14:paraId="2DC405AE" w14:textId="5CBF48E4" w:rsidR="00937EEC" w:rsidRPr="00937EEC" w:rsidRDefault="00937EEC" w:rsidP="00937EEC">
            <w:pPr>
              <w:keepNext/>
              <w:spacing w:before="20" w:after="20"/>
              <w:jc w:val="left"/>
              <w:rPr>
                <w:rFonts w:ascii="Arial Narrow" w:eastAsiaTheme="majorEastAsia" w:hAnsi="Arial Narrow" w:cstheme="majorBidi"/>
                <w:bCs/>
                <w:sz w:val="20"/>
                <w:lang w:val="en-US"/>
              </w:rPr>
            </w:pPr>
            <w:r w:rsidRPr="00937EEC">
              <w:rPr>
                <w:rFonts w:ascii="Arial Narrow" w:eastAsiaTheme="majorEastAsia" w:hAnsi="Arial Narrow" w:cstheme="majorBidi"/>
                <w:bCs/>
                <w:sz w:val="20"/>
                <w:lang w:val="en-US"/>
              </w:rPr>
              <w:t>MONARCH 2</w:t>
            </w:r>
            <w:r w:rsidR="005B0B89" w:rsidRPr="005B0B89">
              <w:rPr>
                <w:rFonts w:ascii="Arial Narrow" w:eastAsiaTheme="majorEastAsia" w:hAnsi="Arial Narrow" w:cstheme="majorBidi"/>
                <w:bCs/>
                <w:sz w:val="20"/>
                <w:vertAlign w:val="superscript"/>
                <w:lang w:val="en-US"/>
              </w:rPr>
              <w:t>a</w:t>
            </w:r>
          </w:p>
        </w:tc>
        <w:tc>
          <w:tcPr>
            <w:tcW w:w="369" w:type="pct"/>
            <w:shd w:val="clear" w:color="auto" w:fill="auto"/>
            <w:vAlign w:val="center"/>
          </w:tcPr>
          <w:p w14:paraId="541AB223" w14:textId="77777777" w:rsidR="00937EEC" w:rsidRPr="00937EEC" w:rsidRDefault="00937EEC" w:rsidP="00937EEC">
            <w:pPr>
              <w:keepNext/>
              <w:spacing w:before="20" w:after="20"/>
              <w:jc w:val="center"/>
              <w:rPr>
                <w:rFonts w:ascii="Arial Narrow" w:eastAsiaTheme="majorEastAsia" w:hAnsi="Arial Narrow" w:cstheme="majorBidi"/>
                <w:bCs/>
                <w:sz w:val="20"/>
                <w:lang w:val="en-US"/>
              </w:rPr>
            </w:pPr>
            <w:r w:rsidRPr="00937EEC">
              <w:rPr>
                <w:rFonts w:ascii="Arial Narrow" w:eastAsiaTheme="majorEastAsia" w:hAnsi="Arial Narrow" w:cstheme="majorBidi"/>
                <w:bCs/>
                <w:sz w:val="20"/>
                <w:lang w:val="en-US"/>
              </w:rPr>
              <w:t>669</w:t>
            </w:r>
          </w:p>
        </w:tc>
        <w:tc>
          <w:tcPr>
            <w:tcW w:w="713" w:type="pct"/>
            <w:shd w:val="clear" w:color="auto" w:fill="auto"/>
            <w:vAlign w:val="center"/>
          </w:tcPr>
          <w:p w14:paraId="1F30BEF6" w14:textId="77777777" w:rsidR="00937EEC" w:rsidRPr="00937EEC" w:rsidRDefault="00937EEC" w:rsidP="00937EEC">
            <w:pPr>
              <w:keepNext/>
              <w:spacing w:before="20" w:after="20"/>
              <w:jc w:val="center"/>
              <w:rPr>
                <w:rFonts w:ascii="Arial Narrow" w:eastAsiaTheme="majorEastAsia" w:hAnsi="Arial Narrow" w:cstheme="majorBidi"/>
                <w:bCs/>
                <w:sz w:val="20"/>
                <w:lang w:val="en-US"/>
              </w:rPr>
            </w:pPr>
            <w:r w:rsidRPr="00937EEC">
              <w:rPr>
                <w:rFonts w:ascii="Arial Narrow" w:eastAsiaTheme="majorEastAsia" w:hAnsi="Arial Narrow" w:cstheme="majorBidi"/>
                <w:bCs/>
                <w:sz w:val="20"/>
                <w:lang w:val="en-US"/>
              </w:rPr>
              <w:t>R (2:1), DB, MC</w:t>
            </w:r>
          </w:p>
        </w:tc>
        <w:tc>
          <w:tcPr>
            <w:tcW w:w="471" w:type="pct"/>
            <w:shd w:val="clear" w:color="auto" w:fill="auto"/>
            <w:vAlign w:val="center"/>
          </w:tcPr>
          <w:p w14:paraId="2C1A9978" w14:textId="37746057" w:rsidR="00937EEC" w:rsidRPr="00937EEC" w:rsidRDefault="00937EEC" w:rsidP="00937EEC">
            <w:pPr>
              <w:keepNext/>
              <w:spacing w:before="20" w:after="20"/>
              <w:jc w:val="center"/>
              <w:rPr>
                <w:rFonts w:ascii="Arial Narrow" w:eastAsiaTheme="majorEastAsia" w:hAnsi="Arial Narrow" w:cstheme="majorBidi"/>
                <w:bCs/>
                <w:sz w:val="20"/>
                <w:vertAlign w:val="superscript"/>
                <w:lang w:val="en-US"/>
              </w:rPr>
            </w:pPr>
            <w:proofErr w:type="spellStart"/>
            <w:r w:rsidRPr="00937EEC">
              <w:rPr>
                <w:rFonts w:ascii="Arial Narrow" w:eastAsiaTheme="majorEastAsia" w:hAnsi="Arial Narrow" w:cstheme="majorBidi"/>
                <w:bCs/>
                <w:sz w:val="20"/>
                <w:lang w:val="en-US"/>
              </w:rPr>
              <w:t>Low</w:t>
            </w:r>
            <w:r w:rsidR="005B0B89" w:rsidRPr="005B0B89">
              <w:rPr>
                <w:rFonts w:ascii="Arial Narrow" w:eastAsiaTheme="majorEastAsia" w:hAnsi="Arial Narrow" w:cstheme="majorBidi"/>
                <w:bCs/>
                <w:sz w:val="20"/>
                <w:vertAlign w:val="superscript"/>
                <w:lang w:val="en-US"/>
              </w:rPr>
              <w:t>c</w:t>
            </w:r>
            <w:proofErr w:type="spellEnd"/>
          </w:p>
        </w:tc>
        <w:tc>
          <w:tcPr>
            <w:tcW w:w="1965" w:type="pct"/>
            <w:shd w:val="clear" w:color="auto" w:fill="auto"/>
            <w:vAlign w:val="center"/>
          </w:tcPr>
          <w:p w14:paraId="137E499E" w14:textId="77777777" w:rsidR="00937EEC" w:rsidRPr="00937EEC" w:rsidRDefault="00937EEC" w:rsidP="00937EEC">
            <w:pPr>
              <w:keepNext/>
              <w:spacing w:before="20" w:after="20"/>
              <w:jc w:val="left"/>
              <w:rPr>
                <w:rFonts w:ascii="Arial Narrow" w:eastAsiaTheme="majorEastAsia" w:hAnsi="Arial Narrow" w:cstheme="majorBidi"/>
                <w:bCs/>
                <w:sz w:val="20"/>
                <w:lang w:val="en-US"/>
              </w:rPr>
            </w:pPr>
            <w:r w:rsidRPr="00937EEC">
              <w:rPr>
                <w:rFonts w:ascii="Arial Narrow" w:eastAsiaTheme="majorEastAsia" w:hAnsi="Arial Narrow" w:cstheme="majorBidi"/>
                <w:bCs/>
                <w:sz w:val="20"/>
                <w:lang w:val="en-US"/>
              </w:rPr>
              <w:t>HR+/HER2- women, any menopausal status, progressed while receiving (neo)adjuvant ET, ≤12 months from the end of adjuvant ET, or while receiving first-line ET for metastatic disease</w:t>
            </w:r>
          </w:p>
        </w:tc>
        <w:tc>
          <w:tcPr>
            <w:tcW w:w="758" w:type="pct"/>
            <w:shd w:val="clear" w:color="auto" w:fill="auto"/>
            <w:vAlign w:val="center"/>
          </w:tcPr>
          <w:p w14:paraId="6EDAEEA3" w14:textId="77777777" w:rsidR="00937EEC" w:rsidRPr="00937EEC" w:rsidRDefault="00937EEC" w:rsidP="00937EEC">
            <w:pPr>
              <w:keepNext/>
              <w:spacing w:before="20" w:after="20"/>
              <w:jc w:val="left"/>
              <w:rPr>
                <w:rFonts w:ascii="Arial Narrow" w:eastAsiaTheme="majorEastAsia" w:hAnsi="Arial Narrow" w:cstheme="majorBidi"/>
                <w:bCs/>
                <w:sz w:val="20"/>
                <w:lang w:val="en-US"/>
              </w:rPr>
            </w:pPr>
            <w:r w:rsidRPr="00937EEC">
              <w:rPr>
                <w:rFonts w:ascii="Arial Narrow" w:eastAsiaTheme="majorEastAsia" w:hAnsi="Arial Narrow" w:cstheme="majorBidi"/>
                <w:bCs/>
                <w:sz w:val="20"/>
                <w:lang w:val="en-US"/>
              </w:rPr>
              <w:t>Primary: PFS</w:t>
            </w:r>
          </w:p>
          <w:p w14:paraId="6001E4EA" w14:textId="77777777" w:rsidR="00937EEC" w:rsidRPr="00937EEC" w:rsidRDefault="00937EEC" w:rsidP="00937EEC">
            <w:pPr>
              <w:keepNext/>
              <w:spacing w:before="20" w:after="20"/>
              <w:jc w:val="left"/>
              <w:rPr>
                <w:rFonts w:ascii="Arial Narrow" w:eastAsiaTheme="majorEastAsia" w:hAnsi="Arial Narrow" w:cstheme="majorBidi"/>
                <w:bCs/>
                <w:sz w:val="20"/>
                <w:lang w:val="en-US"/>
              </w:rPr>
            </w:pPr>
            <w:r w:rsidRPr="00937EEC">
              <w:rPr>
                <w:rFonts w:ascii="Arial Narrow" w:eastAsiaTheme="majorEastAsia" w:hAnsi="Arial Narrow" w:cstheme="majorBidi"/>
                <w:bCs/>
                <w:sz w:val="20"/>
                <w:lang w:val="en-US"/>
              </w:rPr>
              <w:t>Key secondary: OS, QoL and safety.</w:t>
            </w:r>
          </w:p>
        </w:tc>
      </w:tr>
    </w:tbl>
    <w:p w14:paraId="7D8E4091" w14:textId="77777777" w:rsidR="00937EEC" w:rsidRPr="000E29C9" w:rsidRDefault="00937EEC" w:rsidP="00937EEC">
      <w:pPr>
        <w:spacing w:before="20" w:after="120"/>
        <w:contextualSpacing/>
        <w:rPr>
          <w:rFonts w:ascii="Arial Narrow" w:hAnsi="Arial Narrow"/>
          <w:snapToGrid w:val="0"/>
          <w:sz w:val="18"/>
          <w:szCs w:val="22"/>
        </w:rPr>
      </w:pPr>
      <w:r w:rsidRPr="000E29C9">
        <w:rPr>
          <w:rFonts w:ascii="Arial Narrow" w:hAnsi="Arial Narrow"/>
          <w:snapToGrid w:val="0"/>
          <w:sz w:val="18"/>
          <w:szCs w:val="22"/>
        </w:rPr>
        <w:t xml:space="preserve">Source: Table constructed during the evaluation using information provided in Turner 2015, </w:t>
      </w:r>
      <w:proofErr w:type="spellStart"/>
      <w:r w:rsidRPr="000E29C9">
        <w:rPr>
          <w:rFonts w:ascii="Arial Narrow" w:hAnsi="Arial Narrow"/>
          <w:snapToGrid w:val="0"/>
          <w:sz w:val="18"/>
          <w:szCs w:val="22"/>
        </w:rPr>
        <w:t>Slamon</w:t>
      </w:r>
      <w:proofErr w:type="spellEnd"/>
      <w:r w:rsidRPr="000E29C9">
        <w:rPr>
          <w:rFonts w:ascii="Arial Narrow" w:hAnsi="Arial Narrow"/>
          <w:snapToGrid w:val="0"/>
          <w:sz w:val="18"/>
          <w:szCs w:val="22"/>
        </w:rPr>
        <w:t xml:space="preserve"> 2020 and Sledge 2020.</w:t>
      </w:r>
    </w:p>
    <w:p w14:paraId="554FF2A3" w14:textId="6EDC1904" w:rsidR="00937EEC" w:rsidRPr="00937EEC" w:rsidRDefault="00937EEC" w:rsidP="00937EEC">
      <w:pPr>
        <w:spacing w:before="20" w:after="120"/>
        <w:contextualSpacing/>
        <w:rPr>
          <w:rFonts w:ascii="Arial Narrow" w:hAnsi="Arial Narrow"/>
          <w:snapToGrid w:val="0"/>
          <w:sz w:val="18"/>
          <w:szCs w:val="22"/>
        </w:rPr>
      </w:pPr>
      <w:proofErr w:type="spellStart"/>
      <w:r w:rsidRPr="00937EEC">
        <w:rPr>
          <w:rFonts w:ascii="Arial Narrow" w:hAnsi="Arial Narrow"/>
          <w:snapToGrid w:val="0"/>
          <w:sz w:val="18"/>
          <w:szCs w:val="22"/>
        </w:rPr>
        <w:t>aBC</w:t>
      </w:r>
      <w:proofErr w:type="spellEnd"/>
      <w:r w:rsidRPr="00937EEC">
        <w:rPr>
          <w:rFonts w:ascii="Arial Narrow" w:hAnsi="Arial Narrow"/>
          <w:snapToGrid w:val="0"/>
          <w:sz w:val="18"/>
          <w:szCs w:val="22"/>
        </w:rPr>
        <w:t xml:space="preserve"> = advanced breast cancer; DB = double blind; ET = endocrine therapy; HER2- = human epidermal growth factor receptor 2-negative; HR+ = hormone receptor-positive; MC = multi-centre; N/A = not applicable; OS = overall survival; PFS = progression-free survival; QoL = quality of life; R (2:1) = random allocation in 2:1 ratio to receive experimental treatment or control treatment.</w:t>
      </w:r>
    </w:p>
    <w:p w14:paraId="3CFC1B83" w14:textId="4C7A117B" w:rsidR="005B0B89" w:rsidRPr="00937EEC" w:rsidRDefault="005B0B89" w:rsidP="005B0B89">
      <w:pPr>
        <w:spacing w:before="20" w:after="120"/>
        <w:contextualSpacing/>
        <w:rPr>
          <w:rFonts w:ascii="Arial Narrow" w:hAnsi="Arial Narrow"/>
          <w:snapToGrid w:val="0"/>
          <w:sz w:val="18"/>
          <w:szCs w:val="22"/>
        </w:rPr>
      </w:pPr>
      <w:r>
        <w:rPr>
          <w:rFonts w:ascii="Arial Narrow" w:hAnsi="Arial Narrow"/>
          <w:snapToGrid w:val="0"/>
          <w:sz w:val="18"/>
          <w:szCs w:val="22"/>
          <w:vertAlign w:val="superscript"/>
        </w:rPr>
        <w:t xml:space="preserve">a </w:t>
      </w:r>
      <w:r w:rsidRPr="00937EEC">
        <w:rPr>
          <w:rFonts w:ascii="Arial Narrow" w:hAnsi="Arial Narrow"/>
          <w:snapToGrid w:val="0"/>
          <w:sz w:val="18"/>
          <w:szCs w:val="22"/>
        </w:rPr>
        <w:t xml:space="preserve">Trials were seen by the PBAC. The PBAC had previously evaluated (a) the MONALEESA-3 trial during its consideration of </w:t>
      </w:r>
      <w:proofErr w:type="spellStart"/>
      <w:r w:rsidRPr="00937EEC">
        <w:rPr>
          <w:rFonts w:ascii="Arial Narrow" w:hAnsi="Arial Narrow"/>
          <w:snapToGrid w:val="0"/>
          <w:sz w:val="18"/>
          <w:szCs w:val="22"/>
        </w:rPr>
        <w:t>ribociclib</w:t>
      </w:r>
      <w:proofErr w:type="spellEnd"/>
      <w:r w:rsidRPr="00937EEC">
        <w:rPr>
          <w:rFonts w:ascii="Arial Narrow" w:hAnsi="Arial Narrow"/>
          <w:snapToGrid w:val="0"/>
          <w:sz w:val="18"/>
          <w:szCs w:val="22"/>
        </w:rPr>
        <w:t xml:space="preserve"> at its July 2020 </w:t>
      </w:r>
      <w:r>
        <w:rPr>
          <w:rFonts w:ascii="Arial Narrow" w:hAnsi="Arial Narrow"/>
          <w:snapToGrid w:val="0"/>
          <w:sz w:val="18"/>
          <w:szCs w:val="22"/>
        </w:rPr>
        <w:t>m</w:t>
      </w:r>
      <w:r w:rsidRPr="00937EEC">
        <w:rPr>
          <w:rFonts w:ascii="Arial Narrow" w:hAnsi="Arial Narrow"/>
          <w:snapToGrid w:val="0"/>
          <w:sz w:val="18"/>
          <w:szCs w:val="22"/>
        </w:rPr>
        <w:t xml:space="preserve">eeting and </w:t>
      </w:r>
      <w:proofErr w:type="spellStart"/>
      <w:r w:rsidRPr="00937EEC">
        <w:rPr>
          <w:rFonts w:ascii="Arial Narrow" w:hAnsi="Arial Narrow"/>
          <w:snapToGrid w:val="0"/>
          <w:sz w:val="18"/>
          <w:szCs w:val="22"/>
        </w:rPr>
        <w:t>abemaciclib</w:t>
      </w:r>
      <w:proofErr w:type="spellEnd"/>
      <w:r w:rsidRPr="00937EEC">
        <w:rPr>
          <w:rFonts w:ascii="Arial Narrow" w:hAnsi="Arial Narrow"/>
          <w:snapToGrid w:val="0"/>
          <w:sz w:val="18"/>
          <w:szCs w:val="22"/>
        </w:rPr>
        <w:t xml:space="preserve"> at its March 2021 </w:t>
      </w:r>
      <w:proofErr w:type="gramStart"/>
      <w:r>
        <w:rPr>
          <w:rFonts w:ascii="Arial Narrow" w:hAnsi="Arial Narrow"/>
          <w:snapToGrid w:val="0"/>
          <w:sz w:val="18"/>
          <w:szCs w:val="22"/>
        </w:rPr>
        <w:t>m</w:t>
      </w:r>
      <w:r w:rsidRPr="00937EEC">
        <w:rPr>
          <w:rFonts w:ascii="Arial Narrow" w:hAnsi="Arial Narrow"/>
          <w:snapToGrid w:val="0"/>
          <w:sz w:val="18"/>
          <w:szCs w:val="22"/>
        </w:rPr>
        <w:t>eeting;</w:t>
      </w:r>
      <w:proofErr w:type="gramEnd"/>
      <w:r w:rsidRPr="00937EEC">
        <w:rPr>
          <w:rFonts w:ascii="Arial Narrow" w:hAnsi="Arial Narrow"/>
          <w:snapToGrid w:val="0"/>
          <w:sz w:val="18"/>
          <w:szCs w:val="22"/>
        </w:rPr>
        <w:t xml:space="preserve"> and (b) the MONARCH 2 trial during its consideration of </w:t>
      </w:r>
      <w:proofErr w:type="spellStart"/>
      <w:r w:rsidRPr="00937EEC">
        <w:rPr>
          <w:rFonts w:ascii="Arial Narrow" w:hAnsi="Arial Narrow"/>
          <w:snapToGrid w:val="0"/>
          <w:sz w:val="18"/>
          <w:szCs w:val="22"/>
        </w:rPr>
        <w:t>abemaciclib</w:t>
      </w:r>
      <w:proofErr w:type="spellEnd"/>
      <w:r w:rsidRPr="00937EEC">
        <w:rPr>
          <w:rFonts w:ascii="Arial Narrow" w:hAnsi="Arial Narrow"/>
          <w:snapToGrid w:val="0"/>
          <w:sz w:val="18"/>
          <w:szCs w:val="22"/>
        </w:rPr>
        <w:t xml:space="preserve"> at its March 2021 </w:t>
      </w:r>
      <w:r>
        <w:rPr>
          <w:rFonts w:ascii="Arial Narrow" w:hAnsi="Arial Narrow"/>
          <w:snapToGrid w:val="0"/>
          <w:sz w:val="18"/>
          <w:szCs w:val="22"/>
        </w:rPr>
        <w:t>m</w:t>
      </w:r>
      <w:r w:rsidRPr="00937EEC">
        <w:rPr>
          <w:rFonts w:ascii="Arial Narrow" w:hAnsi="Arial Narrow"/>
          <w:snapToGrid w:val="0"/>
          <w:sz w:val="18"/>
          <w:szCs w:val="22"/>
        </w:rPr>
        <w:t>eeting.</w:t>
      </w:r>
    </w:p>
    <w:p w14:paraId="771C29B5" w14:textId="3B4C69B6" w:rsidR="00937EEC" w:rsidRPr="00937EEC" w:rsidRDefault="005B0B89" w:rsidP="00937EEC">
      <w:pPr>
        <w:spacing w:before="20" w:after="120"/>
        <w:contextualSpacing/>
        <w:rPr>
          <w:rFonts w:ascii="Arial Narrow" w:hAnsi="Arial Narrow"/>
          <w:snapToGrid w:val="0"/>
          <w:sz w:val="18"/>
          <w:szCs w:val="22"/>
        </w:rPr>
      </w:pPr>
      <w:r w:rsidRPr="005B0B89">
        <w:rPr>
          <w:rFonts w:ascii="Arial Narrow" w:hAnsi="Arial Narrow"/>
          <w:snapToGrid w:val="0"/>
          <w:sz w:val="18"/>
          <w:szCs w:val="22"/>
          <w:vertAlign w:val="superscript"/>
        </w:rPr>
        <w:t>b</w:t>
      </w:r>
      <w:r w:rsidR="00937EEC" w:rsidRPr="005B0B89">
        <w:rPr>
          <w:rFonts w:ascii="Arial Narrow" w:hAnsi="Arial Narrow"/>
          <w:snapToGrid w:val="0"/>
          <w:sz w:val="18"/>
          <w:szCs w:val="22"/>
          <w:vertAlign w:val="superscript"/>
        </w:rPr>
        <w:t xml:space="preserve"> </w:t>
      </w:r>
      <w:r w:rsidR="00937EEC" w:rsidRPr="00937EEC">
        <w:rPr>
          <w:rFonts w:ascii="Arial Narrow" w:hAnsi="Arial Narrow"/>
          <w:snapToGrid w:val="0"/>
          <w:sz w:val="18"/>
          <w:szCs w:val="22"/>
        </w:rPr>
        <w:t>Risk of bias was low until protocol amendment, which unblinded treatment allocation and allowed cross-over of placebo control arm patients to the experimental arm.</w:t>
      </w:r>
    </w:p>
    <w:p w14:paraId="0E79046F" w14:textId="322165F5" w:rsidR="00937EEC" w:rsidRPr="00937EEC" w:rsidRDefault="005B0B89" w:rsidP="00937EEC">
      <w:pPr>
        <w:spacing w:before="20" w:after="120"/>
        <w:contextualSpacing/>
        <w:rPr>
          <w:rFonts w:ascii="Arial Narrow" w:hAnsi="Arial Narrow"/>
          <w:snapToGrid w:val="0"/>
          <w:sz w:val="18"/>
          <w:szCs w:val="22"/>
        </w:rPr>
      </w:pPr>
      <w:r w:rsidRPr="005B0B89">
        <w:rPr>
          <w:rFonts w:ascii="Arial Narrow" w:hAnsi="Arial Narrow"/>
          <w:snapToGrid w:val="0"/>
          <w:sz w:val="18"/>
          <w:szCs w:val="22"/>
          <w:vertAlign w:val="superscript"/>
        </w:rPr>
        <w:t>c</w:t>
      </w:r>
      <w:r w:rsidR="00937EEC" w:rsidRPr="00937EEC">
        <w:rPr>
          <w:rFonts w:ascii="Arial Narrow" w:hAnsi="Arial Narrow"/>
          <w:snapToGrid w:val="0"/>
          <w:sz w:val="18"/>
          <w:szCs w:val="22"/>
        </w:rPr>
        <w:t xml:space="preserve"> A key protocol amendment involving reduction of starting dose from </w:t>
      </w:r>
      <w:proofErr w:type="spellStart"/>
      <w:r w:rsidR="00937EEC" w:rsidRPr="00937EEC">
        <w:rPr>
          <w:rFonts w:ascii="Arial Narrow" w:hAnsi="Arial Narrow"/>
          <w:snapToGrid w:val="0"/>
          <w:sz w:val="18"/>
          <w:szCs w:val="22"/>
        </w:rPr>
        <w:t>abemaciclib</w:t>
      </w:r>
      <w:proofErr w:type="spellEnd"/>
      <w:r w:rsidR="00937EEC" w:rsidRPr="00937EEC">
        <w:rPr>
          <w:rFonts w:ascii="Arial Narrow" w:hAnsi="Arial Narrow"/>
          <w:snapToGrid w:val="0"/>
          <w:sz w:val="18"/>
          <w:szCs w:val="22"/>
        </w:rPr>
        <w:t xml:space="preserve"> 200 mg twice daily to 150 mg twice daily to improve tolerability (121/441 patients already enrolled) might contribute to potential bias in results.</w:t>
      </w:r>
    </w:p>
    <w:p w14:paraId="03606D02" w14:textId="0BEAB76D" w:rsidR="00937EEC" w:rsidRPr="00081A39" w:rsidRDefault="006427B0" w:rsidP="006427B0">
      <w:pPr>
        <w:pStyle w:val="3-BodyText"/>
      </w:pPr>
      <w:r w:rsidRPr="00081A39">
        <w:t xml:space="preserve">The dosing and duration of </w:t>
      </w:r>
      <w:proofErr w:type="spellStart"/>
      <w:r w:rsidRPr="00081A39">
        <w:t>palbociclib</w:t>
      </w:r>
      <w:proofErr w:type="spellEnd"/>
      <w:r w:rsidRPr="00081A39">
        <w:t xml:space="preserve">, </w:t>
      </w:r>
      <w:proofErr w:type="spellStart"/>
      <w:r w:rsidRPr="00081A39">
        <w:t>ribociclib</w:t>
      </w:r>
      <w:proofErr w:type="spellEnd"/>
      <w:r w:rsidRPr="00081A39">
        <w:t xml:space="preserve">, </w:t>
      </w:r>
      <w:proofErr w:type="spellStart"/>
      <w:r w:rsidRPr="00081A39">
        <w:t>abemaciclib</w:t>
      </w:r>
      <w:proofErr w:type="spellEnd"/>
      <w:r w:rsidRPr="00081A39">
        <w:t xml:space="preserve"> and </w:t>
      </w:r>
      <w:proofErr w:type="spellStart"/>
      <w:r w:rsidRPr="00081A39">
        <w:t>fulvestrant</w:t>
      </w:r>
      <w:proofErr w:type="spellEnd"/>
      <w:r w:rsidRPr="00081A39">
        <w:t xml:space="preserve"> matched the respective TGA Product Information</w:t>
      </w:r>
      <w:r w:rsidR="00D237E0" w:rsidRPr="00081A39">
        <w:t xml:space="preserve"> leaflets</w:t>
      </w:r>
      <w:r w:rsidRPr="00081A39">
        <w:t xml:space="preserve">, noting </w:t>
      </w:r>
      <w:r w:rsidR="00D237E0" w:rsidRPr="00081A39">
        <w:t xml:space="preserve">that </w:t>
      </w:r>
      <w:r w:rsidRPr="00081A39">
        <w:t xml:space="preserve">the use of </w:t>
      </w:r>
      <w:proofErr w:type="spellStart"/>
      <w:r w:rsidRPr="00081A39">
        <w:t>fulvestrant</w:t>
      </w:r>
      <w:proofErr w:type="spellEnd"/>
      <w:r w:rsidRPr="00081A39">
        <w:t xml:space="preserve"> in pre/perimenopausal women in the PALOMA-3 (21%) and MONARCH 2 (18%) trials was outside </w:t>
      </w:r>
      <w:r w:rsidR="002264A1" w:rsidRPr="00081A39">
        <w:t xml:space="preserve">the </w:t>
      </w:r>
      <w:r w:rsidRPr="00081A39">
        <w:t>TGA-approved indication</w:t>
      </w:r>
      <w:r w:rsidR="002264A1" w:rsidRPr="00081A39">
        <w:t xml:space="preserve"> for </w:t>
      </w:r>
      <w:proofErr w:type="spellStart"/>
      <w:r w:rsidR="002264A1" w:rsidRPr="00081A39">
        <w:t>fulvestrant</w:t>
      </w:r>
      <w:proofErr w:type="spellEnd"/>
      <w:r w:rsidRPr="00081A39">
        <w:t>.</w:t>
      </w:r>
    </w:p>
    <w:p w14:paraId="25428AF8" w14:textId="77777777" w:rsidR="00937EEC" w:rsidRPr="00081A39" w:rsidRDefault="00937EEC" w:rsidP="00C924FD">
      <w:pPr>
        <w:pStyle w:val="3-BodyText"/>
      </w:pPr>
      <w:r w:rsidRPr="00081A39">
        <w:t>There were several differences in the key eligibility criteria across the trials:</w:t>
      </w:r>
    </w:p>
    <w:p w14:paraId="04DA0A23" w14:textId="2F39BBD8" w:rsidR="00937EEC" w:rsidRPr="00081A39" w:rsidRDefault="00D237E0" w:rsidP="00264833">
      <w:pPr>
        <w:numPr>
          <w:ilvl w:val="0"/>
          <w:numId w:val="6"/>
        </w:numPr>
        <w:ind w:left="1077" w:hanging="357"/>
        <w:rPr>
          <w:rFonts w:asciiTheme="minorHAnsi" w:hAnsiTheme="minorHAnsi"/>
          <w:snapToGrid w:val="0"/>
        </w:rPr>
      </w:pPr>
      <w:r w:rsidRPr="00081A39">
        <w:rPr>
          <w:rFonts w:asciiTheme="minorHAnsi" w:hAnsiTheme="minorHAnsi"/>
          <w:snapToGrid w:val="0"/>
          <w:color w:val="000000" w:themeColor="text1"/>
        </w:rPr>
        <w:t>Although a</w:t>
      </w:r>
      <w:r w:rsidR="00937EEC" w:rsidRPr="00081A39">
        <w:rPr>
          <w:rFonts w:asciiTheme="minorHAnsi" w:hAnsiTheme="minorHAnsi"/>
          <w:snapToGrid w:val="0"/>
          <w:color w:val="000000" w:themeColor="text1"/>
        </w:rPr>
        <w:t>ll three trials included patients who were treatment-naïve for advanced disease</w:t>
      </w:r>
      <w:r w:rsidRPr="00081A39">
        <w:rPr>
          <w:rFonts w:asciiTheme="minorHAnsi" w:hAnsiTheme="minorHAnsi"/>
          <w:snapToGrid w:val="0"/>
          <w:color w:val="000000" w:themeColor="text1"/>
        </w:rPr>
        <w:t xml:space="preserve">, </w:t>
      </w:r>
      <w:r w:rsidR="00937EEC" w:rsidRPr="00081A39">
        <w:rPr>
          <w:rFonts w:asciiTheme="minorHAnsi" w:hAnsiTheme="minorHAnsi"/>
          <w:snapToGrid w:val="0"/>
          <w:color w:val="000000" w:themeColor="text1"/>
        </w:rPr>
        <w:t>b</w:t>
      </w:r>
      <w:r w:rsidR="00937EEC" w:rsidRPr="00081A39">
        <w:rPr>
          <w:rFonts w:asciiTheme="minorHAnsi" w:hAnsiTheme="minorHAnsi"/>
          <w:snapToGrid w:val="0"/>
        </w:rPr>
        <w:t xml:space="preserve">oth the PALOMA-3 and the MONARCH 2 trials required these patients to have either relapsed while on adjuvant endocrine therapy (ET) or progressed within 12 months of completion of adjuvant ET. </w:t>
      </w:r>
      <w:bookmarkStart w:id="25" w:name="_Hlk90300372"/>
      <w:r w:rsidR="00937EEC" w:rsidRPr="00081A39">
        <w:rPr>
          <w:rFonts w:asciiTheme="minorHAnsi" w:hAnsiTheme="minorHAnsi"/>
          <w:snapToGrid w:val="0"/>
        </w:rPr>
        <w:t xml:space="preserve">By contrast, the MONALEESA-3 trial </w:t>
      </w:r>
      <w:r w:rsidR="00852BA1" w:rsidRPr="00081A39">
        <w:rPr>
          <w:rFonts w:asciiTheme="minorHAnsi" w:hAnsiTheme="minorHAnsi"/>
          <w:snapToGrid w:val="0"/>
        </w:rPr>
        <w:t xml:space="preserve">required </w:t>
      </w:r>
      <w:r w:rsidR="00937EEC" w:rsidRPr="00081A39">
        <w:rPr>
          <w:rFonts w:asciiTheme="minorHAnsi" w:hAnsiTheme="minorHAnsi"/>
          <w:snapToGrid w:val="0"/>
        </w:rPr>
        <w:t xml:space="preserve">patients </w:t>
      </w:r>
      <w:r w:rsidR="00852BA1" w:rsidRPr="00081A39">
        <w:rPr>
          <w:rFonts w:asciiTheme="minorHAnsi" w:hAnsiTheme="minorHAnsi"/>
          <w:snapToGrid w:val="0"/>
        </w:rPr>
        <w:t xml:space="preserve">to have relapsed or </w:t>
      </w:r>
      <w:r w:rsidR="00937EEC" w:rsidRPr="00081A39">
        <w:rPr>
          <w:rFonts w:asciiTheme="minorHAnsi" w:hAnsiTheme="minorHAnsi"/>
          <w:snapToGrid w:val="0"/>
        </w:rPr>
        <w:t xml:space="preserve">progressed after completion </w:t>
      </w:r>
      <w:r w:rsidR="00852BA1" w:rsidRPr="00081A39">
        <w:rPr>
          <w:rFonts w:asciiTheme="minorHAnsi" w:hAnsiTheme="minorHAnsi"/>
          <w:snapToGrid w:val="0"/>
        </w:rPr>
        <w:t xml:space="preserve">rather than during </w:t>
      </w:r>
      <w:r w:rsidR="00937EEC" w:rsidRPr="00081A39">
        <w:rPr>
          <w:rFonts w:asciiTheme="minorHAnsi" w:hAnsiTheme="minorHAnsi"/>
          <w:snapToGrid w:val="0"/>
        </w:rPr>
        <w:t>adjuvant ET</w:t>
      </w:r>
      <w:bookmarkEnd w:id="25"/>
      <w:r w:rsidR="00937EEC" w:rsidRPr="00081A39">
        <w:rPr>
          <w:rFonts w:asciiTheme="minorHAnsi" w:hAnsiTheme="minorHAnsi"/>
          <w:snapToGrid w:val="0"/>
        </w:rPr>
        <w:t>.</w:t>
      </w:r>
    </w:p>
    <w:p w14:paraId="3BC3A37A" w14:textId="77777777" w:rsidR="00937EEC" w:rsidRPr="00081A39" w:rsidRDefault="00937EEC" w:rsidP="00264833">
      <w:pPr>
        <w:numPr>
          <w:ilvl w:val="0"/>
          <w:numId w:val="6"/>
        </w:numPr>
        <w:ind w:left="1077" w:hanging="357"/>
        <w:rPr>
          <w:rFonts w:asciiTheme="minorHAnsi" w:hAnsiTheme="minorHAnsi"/>
          <w:snapToGrid w:val="0"/>
        </w:rPr>
      </w:pPr>
      <w:r w:rsidRPr="00081A39">
        <w:rPr>
          <w:rFonts w:asciiTheme="minorHAnsi" w:hAnsiTheme="minorHAnsi"/>
          <w:snapToGrid w:val="0"/>
        </w:rPr>
        <w:t xml:space="preserve">Only the MONALEESA-3 trial included patients newly diagnosed with metastatic breast cancer </w:t>
      </w:r>
      <w:r w:rsidRPr="00081A39">
        <w:rPr>
          <w:rFonts w:asciiTheme="minorHAnsi" w:hAnsiTheme="minorHAnsi"/>
          <w:snapToGrid w:val="0"/>
          <w:color w:val="000000" w:themeColor="text1"/>
        </w:rPr>
        <w:t>who were treatment-naïve for advanced disease</w:t>
      </w:r>
      <w:r w:rsidRPr="00081A39">
        <w:rPr>
          <w:rFonts w:asciiTheme="minorHAnsi" w:hAnsiTheme="minorHAnsi"/>
          <w:snapToGrid w:val="0"/>
        </w:rPr>
        <w:t>. The MONARCH 2 trial initially included 44 ET-naïve patients, but later excluded them from the primary analysis after a protocol amendment</w:t>
      </w:r>
    </w:p>
    <w:p w14:paraId="5B635317" w14:textId="77777777" w:rsidR="00937EEC" w:rsidRPr="00081A39" w:rsidRDefault="00937EEC" w:rsidP="00264833">
      <w:pPr>
        <w:numPr>
          <w:ilvl w:val="0"/>
          <w:numId w:val="6"/>
        </w:numPr>
        <w:ind w:left="1077" w:hanging="357"/>
        <w:rPr>
          <w:rFonts w:asciiTheme="minorHAnsi" w:hAnsiTheme="minorHAnsi"/>
          <w:snapToGrid w:val="0"/>
        </w:rPr>
      </w:pPr>
      <w:r w:rsidRPr="00081A39">
        <w:rPr>
          <w:rFonts w:asciiTheme="minorHAnsi" w:hAnsiTheme="minorHAnsi"/>
          <w:snapToGrid w:val="0"/>
        </w:rPr>
        <w:lastRenderedPageBreak/>
        <w:t>All trials included patients who relapsed while on ET for advanced disease. The PALOMA-3 trial included patients who progressed within a month of completion of ET for advanced disease. Conversely, the MONALEESA-3 and the MONARCH 2 trials included patients who relapsed more than 12 months from the completion of adjuvant ET and subsequently progressed after one line of ET for metastatic disease.</w:t>
      </w:r>
    </w:p>
    <w:p w14:paraId="0C77760C" w14:textId="6B40483F" w:rsidR="00937EEC" w:rsidRPr="00081A39" w:rsidRDefault="00937EEC" w:rsidP="00264833">
      <w:pPr>
        <w:numPr>
          <w:ilvl w:val="0"/>
          <w:numId w:val="6"/>
        </w:numPr>
        <w:ind w:left="1077" w:hanging="357"/>
        <w:rPr>
          <w:rFonts w:asciiTheme="minorHAnsi" w:hAnsiTheme="minorHAnsi"/>
          <w:snapToGrid w:val="0"/>
        </w:rPr>
      </w:pPr>
      <w:r w:rsidRPr="00081A39">
        <w:rPr>
          <w:rFonts w:asciiTheme="minorHAnsi" w:hAnsiTheme="minorHAnsi"/>
          <w:snapToGrid w:val="0"/>
        </w:rPr>
        <w:t>Prior chemotherapy for advanced disease was allowed in the PALOMA-3 trial (one line only) but not in the other two trials.</w:t>
      </w:r>
      <w:r w:rsidR="00C157A9" w:rsidRPr="00081A39">
        <w:rPr>
          <w:rFonts w:asciiTheme="minorHAnsi" w:hAnsiTheme="minorHAnsi"/>
          <w:snapToGrid w:val="0"/>
        </w:rPr>
        <w:t xml:space="preserve"> One-third (33%) of the patients in the PALOMA-3 trial had priory chemotherapy for advanced/metastatic disease. The National Institute for Health and Care Excellence </w:t>
      </w:r>
      <w:r w:rsidR="004143BD" w:rsidRPr="00081A39">
        <w:rPr>
          <w:rFonts w:asciiTheme="minorHAnsi" w:hAnsiTheme="minorHAnsi"/>
          <w:snapToGrid w:val="0"/>
        </w:rPr>
        <w:t xml:space="preserve">(NICE) </w:t>
      </w:r>
      <w:r w:rsidR="00C157A9" w:rsidRPr="00081A39">
        <w:rPr>
          <w:rFonts w:asciiTheme="minorHAnsi" w:hAnsiTheme="minorHAnsi"/>
          <w:snapToGrid w:val="0"/>
        </w:rPr>
        <w:t>concluded that the results from PALOMA-3 were relevant, although it noted that the proportion of patients who had previously had chemotherapy for advanced disease was higher than expected in current NHS clinical practice.</w:t>
      </w:r>
      <w:r w:rsidR="007E06E2" w:rsidRPr="00081A39">
        <w:rPr>
          <w:rStyle w:val="FootnoteReference"/>
          <w:rFonts w:asciiTheme="minorHAnsi" w:hAnsiTheme="minorHAnsi"/>
          <w:snapToGrid w:val="0"/>
        </w:rPr>
        <w:footnoteReference w:id="7"/>
      </w:r>
    </w:p>
    <w:p w14:paraId="5DF851EC" w14:textId="77777777" w:rsidR="00937EEC" w:rsidRPr="00081A39" w:rsidRDefault="00937EEC" w:rsidP="00264833">
      <w:pPr>
        <w:numPr>
          <w:ilvl w:val="0"/>
          <w:numId w:val="6"/>
        </w:numPr>
        <w:spacing w:after="120"/>
        <w:ind w:left="1077" w:hanging="357"/>
        <w:rPr>
          <w:rFonts w:asciiTheme="minorHAnsi" w:hAnsiTheme="minorHAnsi"/>
          <w:snapToGrid w:val="0"/>
        </w:rPr>
      </w:pPr>
      <w:r w:rsidRPr="00081A39">
        <w:rPr>
          <w:rFonts w:asciiTheme="minorHAnsi" w:hAnsiTheme="minorHAnsi"/>
          <w:snapToGrid w:val="0"/>
        </w:rPr>
        <w:t xml:space="preserve">All three trials excluded patients with prior treatment with CDK inhibitors or </w:t>
      </w:r>
      <w:proofErr w:type="spellStart"/>
      <w:r w:rsidRPr="00081A39">
        <w:rPr>
          <w:rFonts w:asciiTheme="minorHAnsi" w:hAnsiTheme="minorHAnsi"/>
          <w:snapToGrid w:val="0"/>
        </w:rPr>
        <w:t>fulvestrant</w:t>
      </w:r>
      <w:proofErr w:type="spellEnd"/>
      <w:r w:rsidRPr="00081A39">
        <w:rPr>
          <w:rFonts w:asciiTheme="minorHAnsi" w:hAnsiTheme="minorHAnsi"/>
          <w:snapToGrid w:val="0"/>
        </w:rPr>
        <w:t xml:space="preserve">. The PALOMA-3 and MONARCH 2 trials also excluded patients with prior </w:t>
      </w:r>
      <w:proofErr w:type="spellStart"/>
      <w:r w:rsidRPr="00081A39">
        <w:rPr>
          <w:rFonts w:asciiTheme="minorHAnsi" w:hAnsiTheme="minorHAnsi"/>
          <w:snapToGrid w:val="0"/>
        </w:rPr>
        <w:t>everolimus</w:t>
      </w:r>
      <w:proofErr w:type="spellEnd"/>
      <w:r w:rsidRPr="00081A39">
        <w:rPr>
          <w:rFonts w:asciiTheme="minorHAnsi" w:hAnsiTheme="minorHAnsi"/>
          <w:snapToGrid w:val="0"/>
        </w:rPr>
        <w:t>.</w:t>
      </w:r>
    </w:p>
    <w:p w14:paraId="2E0B7349" w14:textId="16D8C151" w:rsidR="00937EEC" w:rsidRPr="00081A39" w:rsidRDefault="00937EEC" w:rsidP="00C924FD">
      <w:pPr>
        <w:pStyle w:val="3-BodyText"/>
        <w:rPr>
          <w:rFonts w:cstheme="minorHAnsi"/>
        </w:rPr>
      </w:pPr>
      <w:bookmarkStart w:id="26" w:name="_Hlk87957471"/>
      <w:r w:rsidRPr="00081A39">
        <w:t>Additional factors that may affect the comparability of the treatment effect across the three trials include differing proportions of patients taking subsequent therapies and differing durations of follow-up</w:t>
      </w:r>
      <w:r w:rsidR="00A14F7A" w:rsidRPr="00081A39">
        <w:t xml:space="preserve"> (</w:t>
      </w:r>
      <w:proofErr w:type="gramStart"/>
      <w:r w:rsidR="00A14F7A" w:rsidRPr="00081A39">
        <w:t>e.g.</w:t>
      </w:r>
      <w:proofErr w:type="gramEnd"/>
      <w:r w:rsidR="00A14F7A" w:rsidRPr="00081A39">
        <w:t xml:space="preserve"> median 15 months of follow-up for PFS ou</w:t>
      </w:r>
      <w:r w:rsidR="006C30A6" w:rsidRPr="00081A39">
        <w:t>t</w:t>
      </w:r>
      <w:r w:rsidR="00A14F7A" w:rsidRPr="00081A39">
        <w:t xml:space="preserve">comes in the PALOMA-3 trial but median 39.4 and 47.7 months for the MONALEESA-3 and </w:t>
      </w:r>
      <w:r w:rsidR="00A14F7A" w:rsidRPr="00081A39">
        <w:rPr>
          <w:rFonts w:cstheme="minorHAnsi"/>
        </w:rPr>
        <w:t>MONARCH 2 trials</w:t>
      </w:r>
      <w:r w:rsidR="00ED1635" w:rsidRPr="00081A39">
        <w:rPr>
          <w:rFonts w:cstheme="minorHAnsi"/>
        </w:rPr>
        <w:t>)</w:t>
      </w:r>
      <w:r w:rsidRPr="00081A39">
        <w:rPr>
          <w:rFonts w:cstheme="minorHAnsi"/>
        </w:rPr>
        <w:t>.</w:t>
      </w:r>
    </w:p>
    <w:p w14:paraId="0852708B" w14:textId="77777777" w:rsidR="00937EEC" w:rsidRPr="00937EEC" w:rsidRDefault="00937EEC" w:rsidP="00C924FD">
      <w:pPr>
        <w:pStyle w:val="4-SubsectionHeading"/>
      </w:pPr>
      <w:bookmarkStart w:id="27" w:name="_Toc22897641"/>
      <w:bookmarkStart w:id="28" w:name="_Toc93397666"/>
      <w:bookmarkEnd w:id="26"/>
      <w:r w:rsidRPr="00937EEC">
        <w:t>Comparative effectiveness</w:t>
      </w:r>
      <w:bookmarkEnd w:id="27"/>
      <w:bookmarkEnd w:id="28"/>
    </w:p>
    <w:p w14:paraId="6CA809FC" w14:textId="43B8A4A0" w:rsidR="00AE4EB8" w:rsidRPr="00633A27" w:rsidRDefault="00633A27" w:rsidP="00C924FD">
      <w:pPr>
        <w:pStyle w:val="3-BodyText"/>
        <w:rPr>
          <w:rFonts w:ascii="Calibri" w:hAnsi="Calibri" w:cs="Calibri"/>
          <w:color w:val="0066FF"/>
        </w:rPr>
      </w:pPr>
      <w:r>
        <w:rPr>
          <w:lang w:val="en-US"/>
        </w:rPr>
        <w:fldChar w:fldCharType="begin"/>
      </w:r>
      <w:r>
        <w:rPr>
          <w:lang w:val="en-US"/>
        </w:rPr>
        <w:instrText xml:space="preserve"> REF _Ref92718747 \h </w:instrText>
      </w:r>
      <w:r>
        <w:rPr>
          <w:lang w:val="en-US"/>
        </w:rPr>
      </w:r>
      <w:r>
        <w:rPr>
          <w:lang w:val="en-US"/>
        </w:rPr>
        <w:fldChar w:fldCharType="separate"/>
      </w:r>
      <w:r w:rsidR="009728EB">
        <w:t>Table 4</w:t>
      </w:r>
      <w:r>
        <w:rPr>
          <w:lang w:val="en-US"/>
        </w:rPr>
        <w:fldChar w:fldCharType="end"/>
      </w:r>
      <w:r w:rsidR="00246AFC">
        <w:rPr>
          <w:lang w:val="en-US"/>
        </w:rPr>
        <w:t>4</w:t>
      </w:r>
      <w:r>
        <w:rPr>
          <w:lang w:val="en-US"/>
        </w:rPr>
        <w:t xml:space="preserve"> </w:t>
      </w:r>
      <w:r w:rsidR="00AE4EB8">
        <w:rPr>
          <w:lang w:val="en-US"/>
        </w:rPr>
        <w:t>pr</w:t>
      </w:r>
      <w:r w:rsidR="00901A72">
        <w:rPr>
          <w:lang w:val="en-US"/>
        </w:rPr>
        <w:t xml:space="preserve">esents a summary of </w:t>
      </w:r>
      <w:r w:rsidR="00AE4EB8">
        <w:rPr>
          <w:lang w:val="en-US"/>
        </w:rPr>
        <w:t>the survival outcomes in the PALOMA-3 trial</w:t>
      </w:r>
      <w:r w:rsidR="00AE4EB8" w:rsidRPr="00937EEC">
        <w:rPr>
          <w:lang w:val="en-US"/>
        </w:rPr>
        <w:t>.</w:t>
      </w:r>
    </w:p>
    <w:p w14:paraId="2F2C8432" w14:textId="3AC24377" w:rsidR="00633A27" w:rsidRPr="00937EEC" w:rsidRDefault="00633A27" w:rsidP="00633A27">
      <w:pPr>
        <w:pStyle w:val="TableFigureHeading"/>
      </w:pPr>
      <w:bookmarkStart w:id="29" w:name="_Ref92718747"/>
      <w:r>
        <w:lastRenderedPageBreak/>
        <w:t xml:space="preserve">Table </w:t>
      </w:r>
      <w:r w:rsidR="00246AFC">
        <w:t>4</w:t>
      </w:r>
      <w:bookmarkEnd w:id="29"/>
      <w:r w:rsidRPr="00937EEC">
        <w:t xml:space="preserve">: </w:t>
      </w:r>
      <w:r w:rsidR="002D3435">
        <w:t xml:space="preserve">Survival </w:t>
      </w:r>
      <w:r w:rsidR="00353741">
        <w:t>outcomes</w:t>
      </w:r>
      <w:r w:rsidR="002D3435">
        <w:t xml:space="preserve"> in the PALOMA-3 trial (ITT population) </w:t>
      </w:r>
    </w:p>
    <w:tbl>
      <w:tblPr>
        <w:tblW w:w="5028" w:type="pct"/>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Caption w:val="Table 4: Survival outcomes in the PALOMA-3 trial (ITT population) "/>
      </w:tblPr>
      <w:tblGrid>
        <w:gridCol w:w="1980"/>
        <w:gridCol w:w="283"/>
        <w:gridCol w:w="1560"/>
        <w:gridCol w:w="141"/>
        <w:gridCol w:w="1560"/>
        <w:gridCol w:w="1134"/>
        <w:gridCol w:w="2409"/>
      </w:tblGrid>
      <w:tr w:rsidR="00633A27" w:rsidRPr="00937EEC" w14:paraId="7A8C690D" w14:textId="77777777" w:rsidTr="00F577A8">
        <w:trPr>
          <w:cantSplit/>
          <w:tblHeader/>
        </w:trPr>
        <w:tc>
          <w:tcPr>
            <w:tcW w:w="2263" w:type="dxa"/>
            <w:gridSpan w:val="2"/>
            <w:tcBorders>
              <w:right w:val="nil"/>
            </w:tcBorders>
            <w:shd w:val="clear" w:color="auto" w:fill="auto"/>
            <w:vAlign w:val="center"/>
          </w:tcPr>
          <w:p w14:paraId="59E89409" w14:textId="77777777" w:rsidR="00633A27" w:rsidRPr="00937EEC" w:rsidRDefault="00633A27" w:rsidP="00F577A8">
            <w:pPr>
              <w:keepNext/>
              <w:jc w:val="left"/>
              <w:rPr>
                <w:rFonts w:ascii="Arial Narrow" w:eastAsiaTheme="majorEastAsia" w:hAnsi="Arial Narrow" w:cs="Times New Roman"/>
                <w:b/>
                <w:sz w:val="20"/>
                <w:lang w:val="en-US"/>
              </w:rPr>
            </w:pPr>
            <w:r w:rsidRPr="00937EEC">
              <w:rPr>
                <w:rFonts w:ascii="Arial Narrow" w:eastAsiaTheme="majorEastAsia" w:hAnsi="Arial Narrow" w:cs="Times New Roman"/>
                <w:b/>
                <w:sz w:val="20"/>
                <w:lang w:val="en-US"/>
              </w:rPr>
              <w:t>Outcome</w:t>
            </w:r>
          </w:p>
        </w:tc>
        <w:tc>
          <w:tcPr>
            <w:tcW w:w="1701" w:type="dxa"/>
            <w:gridSpan w:val="2"/>
            <w:tcBorders>
              <w:left w:val="nil"/>
              <w:right w:val="nil"/>
            </w:tcBorders>
            <w:shd w:val="clear" w:color="auto" w:fill="auto"/>
            <w:vAlign w:val="center"/>
          </w:tcPr>
          <w:p w14:paraId="4A83F6A9" w14:textId="46578A92" w:rsidR="00633A27" w:rsidRPr="00937EEC" w:rsidRDefault="002D3435" w:rsidP="00F577A8">
            <w:pPr>
              <w:keepNext/>
              <w:jc w:val="center"/>
              <w:rPr>
                <w:rFonts w:ascii="Arial Narrow" w:eastAsiaTheme="majorEastAsia" w:hAnsi="Arial Narrow" w:cs="Times New Roman"/>
                <w:b/>
                <w:iCs/>
                <w:sz w:val="20"/>
                <w:lang w:val="en-US"/>
              </w:rPr>
            </w:pPr>
            <w:r w:rsidRPr="00937EEC">
              <w:rPr>
                <w:rFonts w:ascii="Arial Narrow" w:eastAsiaTheme="majorEastAsia" w:hAnsi="Arial Narrow" w:cs="Times New Roman"/>
                <w:b/>
                <w:iCs/>
                <w:sz w:val="20"/>
                <w:lang w:val="en-US"/>
              </w:rPr>
              <w:t>PAL + FUL</w:t>
            </w:r>
          </w:p>
          <w:p w14:paraId="439A7F9F" w14:textId="77777777" w:rsidR="00633A27" w:rsidRPr="00937EEC" w:rsidRDefault="00633A27" w:rsidP="00F577A8">
            <w:pPr>
              <w:keepNext/>
              <w:jc w:val="center"/>
              <w:rPr>
                <w:rFonts w:ascii="Arial Narrow" w:eastAsiaTheme="majorEastAsia" w:hAnsi="Arial Narrow" w:cs="Times New Roman"/>
                <w:b/>
                <w:sz w:val="20"/>
                <w:lang w:val="en-US"/>
              </w:rPr>
            </w:pPr>
            <w:r w:rsidRPr="00937EEC">
              <w:rPr>
                <w:rFonts w:ascii="Arial Narrow" w:eastAsiaTheme="majorEastAsia" w:hAnsi="Arial Narrow" w:cs="Times New Roman"/>
                <w:b/>
                <w:iCs/>
                <w:sz w:val="20"/>
                <w:lang w:val="en-US"/>
              </w:rPr>
              <w:t>n/N (%)</w:t>
            </w:r>
          </w:p>
        </w:tc>
        <w:tc>
          <w:tcPr>
            <w:tcW w:w="1560" w:type="dxa"/>
            <w:tcBorders>
              <w:left w:val="nil"/>
              <w:right w:val="nil"/>
            </w:tcBorders>
            <w:shd w:val="clear" w:color="auto" w:fill="auto"/>
            <w:vAlign w:val="center"/>
          </w:tcPr>
          <w:p w14:paraId="191EC284" w14:textId="495C4909" w:rsidR="00633A27" w:rsidRPr="00937EEC" w:rsidRDefault="002D3435" w:rsidP="00F577A8">
            <w:pPr>
              <w:keepNext/>
              <w:jc w:val="center"/>
              <w:rPr>
                <w:rFonts w:ascii="Arial Narrow" w:eastAsiaTheme="majorEastAsia" w:hAnsi="Arial Narrow" w:cs="Times New Roman"/>
                <w:b/>
                <w:sz w:val="20"/>
                <w:lang w:val="en-US"/>
              </w:rPr>
            </w:pPr>
            <w:r w:rsidRPr="002D3435">
              <w:rPr>
                <w:rFonts w:ascii="Arial Narrow" w:eastAsiaTheme="majorEastAsia" w:hAnsi="Arial Narrow" w:cs="Times New Roman"/>
                <w:b/>
                <w:sz w:val="20"/>
                <w:lang w:val="en-US"/>
              </w:rPr>
              <w:t>PBO + FUL</w:t>
            </w:r>
          </w:p>
          <w:p w14:paraId="4C190DEE" w14:textId="77777777" w:rsidR="00633A27" w:rsidRPr="00937EEC" w:rsidRDefault="00633A27" w:rsidP="00F577A8">
            <w:pPr>
              <w:keepNext/>
              <w:jc w:val="center"/>
              <w:rPr>
                <w:rFonts w:ascii="Arial Narrow" w:eastAsiaTheme="majorEastAsia" w:hAnsi="Arial Narrow" w:cs="Times New Roman"/>
                <w:b/>
                <w:sz w:val="20"/>
                <w:lang w:val="en-US"/>
              </w:rPr>
            </w:pPr>
            <w:r w:rsidRPr="00937EEC">
              <w:rPr>
                <w:rFonts w:ascii="Arial Narrow" w:eastAsiaTheme="majorEastAsia" w:hAnsi="Arial Narrow" w:cs="Times New Roman"/>
                <w:b/>
                <w:sz w:val="20"/>
                <w:lang w:val="en-US"/>
              </w:rPr>
              <w:t>n/N (%)</w:t>
            </w:r>
          </w:p>
        </w:tc>
        <w:tc>
          <w:tcPr>
            <w:tcW w:w="1134" w:type="dxa"/>
            <w:tcBorders>
              <w:left w:val="nil"/>
              <w:right w:val="nil"/>
            </w:tcBorders>
            <w:shd w:val="clear" w:color="auto" w:fill="auto"/>
            <w:vAlign w:val="center"/>
          </w:tcPr>
          <w:p w14:paraId="78384457" w14:textId="77777777" w:rsidR="00633A27" w:rsidRPr="00937EEC" w:rsidRDefault="00633A27" w:rsidP="00F577A8">
            <w:pPr>
              <w:keepNext/>
              <w:jc w:val="center"/>
              <w:rPr>
                <w:rFonts w:ascii="Arial Narrow" w:eastAsiaTheme="majorEastAsia" w:hAnsi="Arial Narrow" w:cs="Times New Roman"/>
                <w:b/>
                <w:sz w:val="20"/>
                <w:lang w:val="en-US"/>
              </w:rPr>
            </w:pPr>
            <w:r w:rsidRPr="00937EEC">
              <w:rPr>
                <w:rFonts w:ascii="Arial Narrow" w:eastAsiaTheme="majorEastAsia" w:hAnsi="Arial Narrow" w:cs="Times New Roman"/>
                <w:b/>
                <w:sz w:val="20"/>
                <w:lang w:val="en-US"/>
              </w:rPr>
              <w:t>Absolute difference</w:t>
            </w:r>
          </w:p>
        </w:tc>
        <w:tc>
          <w:tcPr>
            <w:tcW w:w="2409" w:type="dxa"/>
            <w:tcBorders>
              <w:left w:val="nil"/>
            </w:tcBorders>
            <w:shd w:val="clear" w:color="auto" w:fill="auto"/>
            <w:vAlign w:val="center"/>
          </w:tcPr>
          <w:p w14:paraId="21A2B87D" w14:textId="42B0388A" w:rsidR="00633A27" w:rsidRPr="00937EEC" w:rsidRDefault="00633A27" w:rsidP="00F577A8">
            <w:pPr>
              <w:keepNext/>
              <w:jc w:val="center"/>
              <w:rPr>
                <w:rFonts w:ascii="Arial Narrow" w:eastAsiaTheme="majorEastAsia" w:hAnsi="Arial Narrow" w:cs="Times New Roman"/>
                <w:b/>
                <w:sz w:val="20"/>
                <w:lang w:val="en-US"/>
              </w:rPr>
            </w:pPr>
            <w:r w:rsidRPr="00937EEC">
              <w:rPr>
                <w:rFonts w:ascii="Arial Narrow" w:eastAsiaTheme="majorEastAsia" w:hAnsi="Arial Narrow" w:cs="Times New Roman"/>
                <w:b/>
                <w:sz w:val="20"/>
                <w:lang w:val="en-US"/>
              </w:rPr>
              <w:t>HR (95% CI)</w:t>
            </w:r>
            <w:r w:rsidR="005104E7">
              <w:rPr>
                <w:rFonts w:ascii="Arial Narrow" w:eastAsiaTheme="majorEastAsia" w:hAnsi="Arial Narrow" w:cs="Times New Roman"/>
                <w:b/>
                <w:sz w:val="20"/>
                <w:lang w:val="en-US"/>
              </w:rPr>
              <w:t xml:space="preserve">; </w:t>
            </w:r>
            <w:r w:rsidR="005104E7">
              <w:rPr>
                <w:rFonts w:ascii="Arial Narrow" w:eastAsiaTheme="majorEastAsia" w:hAnsi="Arial Narrow" w:cs="Times New Roman"/>
                <w:b/>
                <w:sz w:val="20"/>
                <w:lang w:val="en-US"/>
              </w:rPr>
              <w:br/>
              <w:t>p-value</w:t>
            </w:r>
          </w:p>
        </w:tc>
      </w:tr>
      <w:tr w:rsidR="00633A27" w:rsidRPr="002D3435" w14:paraId="2206F837" w14:textId="77777777" w:rsidTr="00F577A8">
        <w:trPr>
          <w:cantSplit/>
        </w:trPr>
        <w:tc>
          <w:tcPr>
            <w:tcW w:w="9067" w:type="dxa"/>
            <w:gridSpan w:val="7"/>
            <w:tcBorders>
              <w:bottom w:val="single" w:sz="4" w:space="0" w:color="auto"/>
            </w:tcBorders>
            <w:shd w:val="clear" w:color="auto" w:fill="auto"/>
            <w:vAlign w:val="center"/>
          </w:tcPr>
          <w:p w14:paraId="492B6D25" w14:textId="5DB12C14" w:rsidR="00633A27" w:rsidRPr="002D3435" w:rsidRDefault="00633A27" w:rsidP="00F577A8">
            <w:pPr>
              <w:keepNext/>
              <w:spacing w:before="20" w:after="20"/>
              <w:jc w:val="left"/>
              <w:rPr>
                <w:rFonts w:ascii="Arial Narrow" w:eastAsiaTheme="majorEastAsia" w:hAnsi="Arial Narrow" w:cstheme="majorBidi"/>
                <w:b/>
                <w:sz w:val="20"/>
              </w:rPr>
            </w:pPr>
            <w:r w:rsidRPr="002D3435">
              <w:rPr>
                <w:rFonts w:ascii="Arial Narrow" w:eastAsiaTheme="majorEastAsia" w:hAnsi="Arial Narrow" w:cstheme="majorBidi"/>
                <w:b/>
                <w:sz w:val="20"/>
              </w:rPr>
              <w:t xml:space="preserve">Final PFS (investigator-assessed) (data </w:t>
            </w:r>
            <w:r w:rsidR="00353741" w:rsidRPr="002D3435">
              <w:rPr>
                <w:rFonts w:ascii="Arial Narrow" w:eastAsiaTheme="majorEastAsia" w:hAnsi="Arial Narrow" w:cstheme="majorBidi"/>
                <w:b/>
                <w:sz w:val="20"/>
              </w:rPr>
              <w:t>cut-off</w:t>
            </w:r>
            <w:r w:rsidRPr="002D3435">
              <w:rPr>
                <w:rFonts w:ascii="Arial Narrow" w:eastAsiaTheme="majorEastAsia" w:hAnsi="Arial Narrow" w:cstheme="majorBidi"/>
                <w:b/>
                <w:sz w:val="20"/>
              </w:rPr>
              <w:t xml:space="preserve"> 23 Oct 2015), median FU 15.8 vs. 15.3 months (source: Palbociclib CSR)</w:t>
            </w:r>
          </w:p>
        </w:tc>
      </w:tr>
      <w:tr w:rsidR="00633A27" w:rsidRPr="00937EEC" w14:paraId="7B95ADD1" w14:textId="77777777" w:rsidTr="00F577A8">
        <w:trPr>
          <w:cantSplit/>
        </w:trPr>
        <w:tc>
          <w:tcPr>
            <w:tcW w:w="2263" w:type="dxa"/>
            <w:gridSpan w:val="2"/>
            <w:tcBorders>
              <w:bottom w:val="nil"/>
              <w:right w:val="nil"/>
            </w:tcBorders>
            <w:shd w:val="clear" w:color="auto" w:fill="auto"/>
            <w:vAlign w:val="center"/>
          </w:tcPr>
          <w:p w14:paraId="006D0C4F" w14:textId="77777777" w:rsidR="00633A27" w:rsidRPr="00937EEC" w:rsidRDefault="00633A27" w:rsidP="00F577A8">
            <w:pPr>
              <w:keepNext/>
              <w:spacing w:before="20" w:after="20"/>
              <w:jc w:val="left"/>
              <w:rPr>
                <w:rFonts w:ascii="Arial Narrow" w:eastAsiaTheme="majorEastAsia" w:hAnsi="Arial Narrow" w:cstheme="majorBidi"/>
                <w:bCs/>
                <w:sz w:val="20"/>
              </w:rPr>
            </w:pPr>
            <w:r w:rsidRPr="00937EEC">
              <w:rPr>
                <w:rFonts w:ascii="Arial Narrow" w:eastAsiaTheme="majorEastAsia" w:hAnsi="Arial Narrow" w:cstheme="majorBidi"/>
                <w:bCs/>
                <w:sz w:val="20"/>
              </w:rPr>
              <w:t>Progression/death</w:t>
            </w:r>
          </w:p>
        </w:tc>
        <w:tc>
          <w:tcPr>
            <w:tcW w:w="1701" w:type="dxa"/>
            <w:gridSpan w:val="2"/>
            <w:tcBorders>
              <w:left w:val="nil"/>
              <w:bottom w:val="nil"/>
              <w:right w:val="nil"/>
            </w:tcBorders>
            <w:shd w:val="clear" w:color="auto" w:fill="auto"/>
            <w:vAlign w:val="center"/>
          </w:tcPr>
          <w:p w14:paraId="727DDA42" w14:textId="77777777" w:rsidR="00633A27" w:rsidRPr="00937EEC" w:rsidRDefault="00633A27" w:rsidP="00F577A8">
            <w:pPr>
              <w:keepNext/>
              <w:spacing w:before="20" w:after="20"/>
              <w:jc w:val="center"/>
              <w:rPr>
                <w:rFonts w:ascii="Arial Narrow" w:eastAsiaTheme="majorEastAsia" w:hAnsi="Arial Narrow" w:cstheme="majorBidi"/>
                <w:bCs/>
                <w:iCs/>
                <w:sz w:val="20"/>
              </w:rPr>
            </w:pPr>
            <w:r w:rsidRPr="00937EEC">
              <w:rPr>
                <w:rFonts w:ascii="Arial Narrow" w:eastAsiaTheme="majorEastAsia" w:hAnsi="Arial Narrow" w:cstheme="majorBidi"/>
                <w:bCs/>
                <w:iCs/>
                <w:sz w:val="20"/>
              </w:rPr>
              <w:t>200/347 (57.6)</w:t>
            </w:r>
          </w:p>
        </w:tc>
        <w:tc>
          <w:tcPr>
            <w:tcW w:w="1560" w:type="dxa"/>
            <w:tcBorders>
              <w:left w:val="nil"/>
              <w:bottom w:val="nil"/>
              <w:right w:val="nil"/>
            </w:tcBorders>
            <w:shd w:val="clear" w:color="auto" w:fill="auto"/>
            <w:vAlign w:val="center"/>
          </w:tcPr>
          <w:p w14:paraId="612B1295" w14:textId="77777777" w:rsidR="00633A27" w:rsidRPr="00937EEC" w:rsidRDefault="00633A27" w:rsidP="00F577A8">
            <w:pPr>
              <w:keepNext/>
              <w:spacing w:before="20" w:after="20"/>
              <w:jc w:val="center"/>
              <w:rPr>
                <w:rFonts w:ascii="Arial Narrow" w:eastAsiaTheme="majorEastAsia" w:hAnsi="Arial Narrow" w:cstheme="majorBidi"/>
                <w:bCs/>
                <w:iCs/>
                <w:sz w:val="20"/>
              </w:rPr>
            </w:pPr>
            <w:r w:rsidRPr="00937EEC">
              <w:rPr>
                <w:rFonts w:ascii="Arial Narrow" w:eastAsiaTheme="majorEastAsia" w:hAnsi="Arial Narrow" w:cstheme="majorBidi"/>
                <w:bCs/>
                <w:iCs/>
                <w:sz w:val="20"/>
              </w:rPr>
              <w:t>133/174 (76.4)</w:t>
            </w:r>
          </w:p>
        </w:tc>
        <w:tc>
          <w:tcPr>
            <w:tcW w:w="1134" w:type="dxa"/>
            <w:tcBorders>
              <w:left w:val="nil"/>
              <w:bottom w:val="nil"/>
              <w:right w:val="nil"/>
            </w:tcBorders>
            <w:shd w:val="clear" w:color="auto" w:fill="auto"/>
            <w:vAlign w:val="center"/>
          </w:tcPr>
          <w:p w14:paraId="4C74C634" w14:textId="77777777" w:rsidR="00633A27" w:rsidRPr="00937EEC" w:rsidRDefault="00633A27" w:rsidP="00F577A8">
            <w:pPr>
              <w:keepNext/>
              <w:spacing w:before="20" w:after="20"/>
              <w:jc w:val="center"/>
              <w:rPr>
                <w:rFonts w:ascii="Arial Narrow" w:eastAsiaTheme="majorEastAsia" w:hAnsi="Arial Narrow" w:cstheme="majorBidi"/>
                <w:bCs/>
                <w:sz w:val="20"/>
              </w:rPr>
            </w:pPr>
            <w:r w:rsidRPr="00937EEC">
              <w:rPr>
                <w:rFonts w:ascii="Arial Narrow" w:eastAsiaTheme="majorEastAsia" w:hAnsi="Arial Narrow" w:cstheme="majorBidi"/>
                <w:bCs/>
                <w:sz w:val="20"/>
              </w:rPr>
              <w:t>−18.8%</w:t>
            </w:r>
          </w:p>
        </w:tc>
        <w:tc>
          <w:tcPr>
            <w:tcW w:w="2409" w:type="dxa"/>
            <w:tcBorders>
              <w:left w:val="nil"/>
              <w:bottom w:val="nil"/>
            </w:tcBorders>
            <w:shd w:val="clear" w:color="auto" w:fill="auto"/>
            <w:vAlign w:val="center"/>
          </w:tcPr>
          <w:p w14:paraId="36E49E32" w14:textId="77777777" w:rsidR="00633A27" w:rsidRPr="00937EEC" w:rsidRDefault="00633A27" w:rsidP="00F577A8">
            <w:pPr>
              <w:keepNext/>
              <w:spacing w:before="20" w:after="20"/>
              <w:jc w:val="center"/>
              <w:rPr>
                <w:rFonts w:ascii="Arial Narrow" w:eastAsiaTheme="majorEastAsia" w:hAnsi="Arial Narrow" w:cstheme="majorBidi"/>
                <w:bCs/>
                <w:sz w:val="20"/>
              </w:rPr>
            </w:pPr>
            <w:r w:rsidRPr="00937EEC">
              <w:rPr>
                <w:rFonts w:ascii="Arial Narrow" w:eastAsiaTheme="majorEastAsia" w:hAnsi="Arial Narrow" w:cstheme="majorBidi"/>
                <w:bCs/>
                <w:sz w:val="20"/>
              </w:rPr>
              <w:t>−</w:t>
            </w:r>
          </w:p>
        </w:tc>
      </w:tr>
      <w:tr w:rsidR="00633A27" w:rsidRPr="00937EEC" w14:paraId="1E17F3B9" w14:textId="77777777" w:rsidTr="00F577A8">
        <w:trPr>
          <w:cantSplit/>
        </w:trPr>
        <w:tc>
          <w:tcPr>
            <w:tcW w:w="2263" w:type="dxa"/>
            <w:gridSpan w:val="2"/>
            <w:tcBorders>
              <w:top w:val="nil"/>
              <w:right w:val="nil"/>
            </w:tcBorders>
            <w:shd w:val="clear" w:color="auto" w:fill="auto"/>
            <w:vAlign w:val="center"/>
          </w:tcPr>
          <w:p w14:paraId="383A19F8" w14:textId="6D6409E8" w:rsidR="00633A27" w:rsidRPr="00937EEC" w:rsidRDefault="00633A27" w:rsidP="00F577A8">
            <w:pPr>
              <w:keepNext/>
              <w:spacing w:before="20" w:after="20"/>
              <w:jc w:val="left"/>
              <w:rPr>
                <w:rFonts w:ascii="Arial Narrow" w:eastAsiaTheme="majorEastAsia" w:hAnsi="Arial Narrow" w:cstheme="majorBidi"/>
                <w:bCs/>
                <w:sz w:val="20"/>
              </w:rPr>
            </w:pPr>
            <w:r w:rsidRPr="00937EEC">
              <w:rPr>
                <w:rFonts w:ascii="Arial Narrow" w:eastAsiaTheme="majorEastAsia" w:hAnsi="Arial Narrow" w:cstheme="majorBidi"/>
                <w:bCs/>
                <w:sz w:val="20"/>
              </w:rPr>
              <w:t>Median PFS (95% CI</w:t>
            </w:r>
            <w:proofErr w:type="gramStart"/>
            <w:r w:rsidRPr="00937EEC">
              <w:rPr>
                <w:rFonts w:ascii="Arial Narrow" w:eastAsiaTheme="majorEastAsia" w:hAnsi="Arial Narrow" w:cstheme="majorBidi"/>
                <w:bCs/>
                <w:sz w:val="20"/>
              </w:rPr>
              <w:t>),</w:t>
            </w:r>
            <w:r w:rsidR="00C7217B">
              <w:rPr>
                <w:rFonts w:ascii="Arial Narrow" w:eastAsiaTheme="majorEastAsia" w:hAnsi="Arial Narrow" w:cstheme="majorBidi"/>
                <w:bCs/>
                <w:sz w:val="20"/>
                <w:vertAlign w:val="superscript"/>
              </w:rPr>
              <w:t>a</w:t>
            </w:r>
            <w:proofErr w:type="gramEnd"/>
            <w:r w:rsidRPr="00937EEC">
              <w:rPr>
                <w:rFonts w:ascii="Arial Narrow" w:eastAsiaTheme="majorEastAsia" w:hAnsi="Arial Narrow" w:cstheme="majorBidi"/>
                <w:bCs/>
                <w:sz w:val="20"/>
              </w:rPr>
              <w:t xml:space="preserve"> months</w:t>
            </w:r>
          </w:p>
        </w:tc>
        <w:tc>
          <w:tcPr>
            <w:tcW w:w="1701" w:type="dxa"/>
            <w:gridSpan w:val="2"/>
            <w:tcBorders>
              <w:top w:val="nil"/>
              <w:left w:val="nil"/>
              <w:right w:val="nil"/>
            </w:tcBorders>
            <w:shd w:val="clear" w:color="auto" w:fill="auto"/>
            <w:vAlign w:val="center"/>
          </w:tcPr>
          <w:p w14:paraId="2803206D" w14:textId="77777777" w:rsidR="00633A27" w:rsidRPr="00937EEC" w:rsidRDefault="00633A27" w:rsidP="00F577A8">
            <w:pPr>
              <w:keepNext/>
              <w:spacing w:before="20" w:after="20"/>
              <w:jc w:val="center"/>
              <w:rPr>
                <w:rFonts w:ascii="Arial Narrow" w:eastAsiaTheme="majorEastAsia" w:hAnsi="Arial Narrow" w:cstheme="majorBidi"/>
                <w:bCs/>
                <w:iCs/>
                <w:sz w:val="20"/>
              </w:rPr>
            </w:pPr>
            <w:r w:rsidRPr="00937EEC">
              <w:rPr>
                <w:rFonts w:ascii="Arial Narrow" w:eastAsiaTheme="majorEastAsia" w:hAnsi="Arial Narrow" w:cstheme="majorBidi"/>
                <w:bCs/>
                <w:iCs/>
                <w:sz w:val="20"/>
              </w:rPr>
              <w:t>11.2 (9.5, 12.9)</w:t>
            </w:r>
          </w:p>
        </w:tc>
        <w:tc>
          <w:tcPr>
            <w:tcW w:w="1560" w:type="dxa"/>
            <w:tcBorders>
              <w:top w:val="nil"/>
              <w:left w:val="nil"/>
              <w:right w:val="nil"/>
            </w:tcBorders>
            <w:shd w:val="clear" w:color="auto" w:fill="auto"/>
            <w:vAlign w:val="center"/>
          </w:tcPr>
          <w:p w14:paraId="1AFFCD91" w14:textId="77777777" w:rsidR="00633A27" w:rsidRPr="00937EEC" w:rsidRDefault="00633A27" w:rsidP="00F577A8">
            <w:pPr>
              <w:keepNext/>
              <w:spacing w:before="20" w:after="20"/>
              <w:jc w:val="center"/>
              <w:rPr>
                <w:rFonts w:ascii="Arial Narrow" w:eastAsiaTheme="majorEastAsia" w:hAnsi="Arial Narrow" w:cstheme="majorBidi"/>
                <w:bCs/>
                <w:iCs/>
                <w:sz w:val="20"/>
              </w:rPr>
            </w:pPr>
            <w:r w:rsidRPr="00937EEC">
              <w:rPr>
                <w:rFonts w:ascii="Arial Narrow" w:eastAsiaTheme="majorEastAsia" w:hAnsi="Arial Narrow" w:cstheme="majorBidi"/>
                <w:bCs/>
                <w:iCs/>
                <w:sz w:val="20"/>
              </w:rPr>
              <w:t>4.6 (3.5, 5.6)</w:t>
            </w:r>
          </w:p>
        </w:tc>
        <w:tc>
          <w:tcPr>
            <w:tcW w:w="1134" w:type="dxa"/>
            <w:tcBorders>
              <w:top w:val="nil"/>
              <w:left w:val="nil"/>
              <w:right w:val="nil"/>
            </w:tcBorders>
            <w:shd w:val="clear" w:color="auto" w:fill="auto"/>
            <w:vAlign w:val="center"/>
          </w:tcPr>
          <w:p w14:paraId="627DF097" w14:textId="77777777" w:rsidR="00633A27" w:rsidRPr="00937EEC" w:rsidRDefault="00633A27" w:rsidP="00F577A8">
            <w:pPr>
              <w:keepNext/>
              <w:spacing w:before="20" w:after="20"/>
              <w:jc w:val="center"/>
              <w:rPr>
                <w:rFonts w:ascii="Arial Narrow" w:eastAsiaTheme="majorEastAsia" w:hAnsi="Arial Narrow" w:cstheme="majorBidi"/>
                <w:bCs/>
                <w:sz w:val="20"/>
              </w:rPr>
            </w:pPr>
            <w:r w:rsidRPr="00937EEC">
              <w:rPr>
                <w:rFonts w:ascii="Arial Narrow" w:eastAsiaTheme="majorEastAsia" w:hAnsi="Arial Narrow" w:cstheme="majorBidi"/>
                <w:bCs/>
                <w:sz w:val="20"/>
              </w:rPr>
              <w:t>6.6</w:t>
            </w:r>
          </w:p>
        </w:tc>
        <w:tc>
          <w:tcPr>
            <w:tcW w:w="2409" w:type="dxa"/>
            <w:tcBorders>
              <w:top w:val="nil"/>
              <w:left w:val="nil"/>
            </w:tcBorders>
            <w:shd w:val="clear" w:color="auto" w:fill="auto"/>
            <w:vAlign w:val="center"/>
          </w:tcPr>
          <w:p w14:paraId="1483C48C" w14:textId="4DDB840E" w:rsidR="00633A27" w:rsidRPr="00D529BA" w:rsidRDefault="00633A27" w:rsidP="00F577A8">
            <w:pPr>
              <w:keepNext/>
              <w:spacing w:before="20" w:after="20"/>
              <w:jc w:val="center"/>
              <w:rPr>
                <w:rFonts w:ascii="Arial Narrow" w:eastAsiaTheme="majorEastAsia" w:hAnsi="Arial Narrow" w:cstheme="majorBidi"/>
                <w:b/>
                <w:sz w:val="20"/>
                <w:vertAlign w:val="superscript"/>
              </w:rPr>
            </w:pPr>
            <w:r w:rsidRPr="00D529BA">
              <w:rPr>
                <w:rFonts w:ascii="Arial Narrow" w:eastAsiaTheme="majorEastAsia" w:hAnsi="Arial Narrow" w:cstheme="majorBidi"/>
                <w:b/>
                <w:sz w:val="20"/>
              </w:rPr>
              <w:t xml:space="preserve">0.50 (0.40, </w:t>
            </w:r>
            <w:proofErr w:type="gramStart"/>
            <w:r w:rsidRPr="00D529BA">
              <w:rPr>
                <w:rFonts w:ascii="Arial Narrow" w:eastAsiaTheme="majorEastAsia" w:hAnsi="Arial Narrow" w:cstheme="majorBidi"/>
                <w:b/>
                <w:sz w:val="20"/>
              </w:rPr>
              <w:t>0.62)</w:t>
            </w:r>
            <w:r w:rsidR="00C7217B" w:rsidRPr="00D529BA">
              <w:rPr>
                <w:rFonts w:ascii="Arial Narrow" w:eastAsiaTheme="majorEastAsia" w:hAnsi="Arial Narrow" w:cstheme="majorBidi"/>
                <w:b/>
                <w:sz w:val="20"/>
                <w:vertAlign w:val="superscript"/>
              </w:rPr>
              <w:t>b</w:t>
            </w:r>
            <w:proofErr w:type="gramEnd"/>
            <w:r w:rsidR="005104E7" w:rsidRPr="00D529BA">
              <w:rPr>
                <w:rFonts w:ascii="Arial Narrow" w:eastAsiaTheme="majorEastAsia" w:hAnsi="Arial Narrow" w:cstheme="majorBidi"/>
                <w:b/>
                <w:sz w:val="20"/>
              </w:rPr>
              <w:t>;</w:t>
            </w:r>
            <w:r w:rsidRPr="00D529BA">
              <w:rPr>
                <w:rFonts w:ascii="Arial Narrow" w:eastAsiaTheme="majorEastAsia" w:hAnsi="Arial Narrow" w:cstheme="majorBidi"/>
                <w:b/>
                <w:sz w:val="20"/>
              </w:rPr>
              <w:t xml:space="preserve"> </w:t>
            </w:r>
            <w:r w:rsidR="005104E7" w:rsidRPr="00D529BA">
              <w:rPr>
                <w:rFonts w:ascii="Arial Narrow" w:eastAsiaTheme="majorEastAsia" w:hAnsi="Arial Narrow" w:cstheme="majorBidi"/>
                <w:b/>
                <w:sz w:val="20"/>
              </w:rPr>
              <w:br/>
            </w:r>
            <w:r w:rsidRPr="00D529BA">
              <w:rPr>
                <w:rFonts w:ascii="Arial Narrow" w:eastAsiaTheme="majorEastAsia" w:hAnsi="Arial Narrow" w:cstheme="majorBidi"/>
                <w:bCs/>
                <w:sz w:val="20"/>
              </w:rPr>
              <w:t>p&lt;0.0000</w:t>
            </w:r>
            <w:r w:rsidR="00C7217B" w:rsidRPr="00D529BA">
              <w:rPr>
                <w:rFonts w:ascii="Arial Narrow" w:eastAsiaTheme="majorEastAsia" w:hAnsi="Arial Narrow" w:cstheme="majorBidi"/>
                <w:bCs/>
                <w:sz w:val="20"/>
                <w:vertAlign w:val="superscript"/>
              </w:rPr>
              <w:t>b</w:t>
            </w:r>
          </w:p>
        </w:tc>
      </w:tr>
      <w:tr w:rsidR="002D3435" w:rsidRPr="002D3435" w14:paraId="57A25ADA" w14:textId="77777777" w:rsidTr="00F577A8">
        <w:trPr>
          <w:cantSplit/>
        </w:trPr>
        <w:tc>
          <w:tcPr>
            <w:tcW w:w="9067" w:type="dxa"/>
            <w:gridSpan w:val="7"/>
            <w:tcBorders>
              <w:bottom w:val="single" w:sz="4" w:space="0" w:color="auto"/>
            </w:tcBorders>
            <w:shd w:val="clear" w:color="auto" w:fill="auto"/>
            <w:vAlign w:val="center"/>
          </w:tcPr>
          <w:p w14:paraId="2165C0CE" w14:textId="0014FDC6" w:rsidR="002D3435" w:rsidRPr="00D529BA" w:rsidRDefault="002D3435" w:rsidP="00F577A8">
            <w:pPr>
              <w:pStyle w:val="TableText0"/>
              <w:spacing w:before="0" w:after="0"/>
              <w:rPr>
                <w:b/>
                <w:bCs w:val="0"/>
              </w:rPr>
            </w:pPr>
            <w:r w:rsidRPr="00D529BA">
              <w:rPr>
                <w:b/>
                <w:bCs w:val="0"/>
              </w:rPr>
              <w:t xml:space="preserve">Final OS (data </w:t>
            </w:r>
            <w:r w:rsidR="00353741" w:rsidRPr="00D529BA">
              <w:rPr>
                <w:b/>
                <w:bCs w:val="0"/>
              </w:rPr>
              <w:t>cut-off</w:t>
            </w:r>
            <w:r w:rsidRPr="00D529BA">
              <w:rPr>
                <w:b/>
                <w:bCs w:val="0"/>
              </w:rPr>
              <w:t xml:space="preserve"> 13 April 2018, median FU 44.8 months, 60% data </w:t>
            </w:r>
            <w:proofErr w:type="spellStart"/>
            <w:r w:rsidRPr="00D529BA">
              <w:rPr>
                <w:b/>
                <w:bCs w:val="0"/>
              </w:rPr>
              <w:t>maturity</w:t>
            </w:r>
            <w:r w:rsidRPr="00D529BA">
              <w:rPr>
                <w:b/>
                <w:bCs w:val="0"/>
                <w:vertAlign w:val="superscript"/>
              </w:rPr>
              <w:t>d</w:t>
            </w:r>
            <w:proofErr w:type="spellEnd"/>
            <w:r w:rsidRPr="00D529BA">
              <w:rPr>
                <w:b/>
                <w:bCs w:val="0"/>
              </w:rPr>
              <w:t xml:space="preserve">) (CSR, 19 September </w:t>
            </w:r>
            <w:proofErr w:type="gramStart"/>
            <w:r w:rsidRPr="00D529BA">
              <w:rPr>
                <w:b/>
                <w:bCs w:val="0"/>
              </w:rPr>
              <w:t>2018</w:t>
            </w:r>
            <w:proofErr w:type="gramEnd"/>
            <w:r w:rsidRPr="00D529BA">
              <w:rPr>
                <w:b/>
                <w:bCs w:val="0"/>
              </w:rPr>
              <w:t xml:space="preserve"> or Turner 2018)</w:t>
            </w:r>
          </w:p>
        </w:tc>
      </w:tr>
      <w:tr w:rsidR="002D3435" w:rsidRPr="008123DA" w14:paraId="705E8389" w14:textId="77777777" w:rsidTr="00F577A8">
        <w:trPr>
          <w:cantSplit/>
        </w:trPr>
        <w:tc>
          <w:tcPr>
            <w:tcW w:w="1980" w:type="dxa"/>
            <w:tcBorders>
              <w:top w:val="single" w:sz="4" w:space="0" w:color="auto"/>
              <w:bottom w:val="nil"/>
              <w:right w:val="nil"/>
            </w:tcBorders>
            <w:shd w:val="clear" w:color="auto" w:fill="auto"/>
            <w:vAlign w:val="center"/>
          </w:tcPr>
          <w:p w14:paraId="0A8449FF" w14:textId="77777777" w:rsidR="002D3435" w:rsidRPr="003F685D" w:rsidRDefault="002D3435" w:rsidP="00F577A8">
            <w:pPr>
              <w:pStyle w:val="TableText0"/>
              <w:spacing w:before="0" w:after="0"/>
            </w:pPr>
            <w:r>
              <w:t>Deaths</w:t>
            </w:r>
          </w:p>
        </w:tc>
        <w:tc>
          <w:tcPr>
            <w:tcW w:w="1843" w:type="dxa"/>
            <w:gridSpan w:val="2"/>
            <w:tcBorders>
              <w:top w:val="single" w:sz="4" w:space="0" w:color="auto"/>
              <w:left w:val="nil"/>
              <w:bottom w:val="nil"/>
              <w:right w:val="nil"/>
            </w:tcBorders>
            <w:shd w:val="clear" w:color="auto" w:fill="auto"/>
            <w:vAlign w:val="center"/>
          </w:tcPr>
          <w:p w14:paraId="1017653A" w14:textId="77777777" w:rsidR="002D3435" w:rsidRPr="00EE06D7" w:rsidRDefault="002D3435" w:rsidP="00F577A8">
            <w:pPr>
              <w:pStyle w:val="TableText0"/>
              <w:spacing w:before="0" w:after="0"/>
              <w:jc w:val="center"/>
              <w:rPr>
                <w:iCs/>
              </w:rPr>
            </w:pPr>
            <w:r w:rsidRPr="00EE06D7">
              <w:rPr>
                <w:iCs/>
              </w:rPr>
              <w:t>201/347 (57.9)</w:t>
            </w:r>
          </w:p>
        </w:tc>
        <w:tc>
          <w:tcPr>
            <w:tcW w:w="1701" w:type="dxa"/>
            <w:gridSpan w:val="2"/>
            <w:tcBorders>
              <w:top w:val="single" w:sz="4" w:space="0" w:color="auto"/>
              <w:left w:val="nil"/>
              <w:bottom w:val="nil"/>
              <w:right w:val="nil"/>
            </w:tcBorders>
            <w:shd w:val="clear" w:color="auto" w:fill="auto"/>
            <w:vAlign w:val="center"/>
          </w:tcPr>
          <w:p w14:paraId="6C930E47" w14:textId="77777777" w:rsidR="002D3435" w:rsidRPr="00EE06D7" w:rsidRDefault="002D3435" w:rsidP="00F577A8">
            <w:pPr>
              <w:pStyle w:val="TableText0"/>
              <w:spacing w:before="0" w:after="0"/>
              <w:jc w:val="center"/>
              <w:rPr>
                <w:iCs/>
              </w:rPr>
            </w:pPr>
            <w:r w:rsidRPr="00EE06D7">
              <w:rPr>
                <w:iCs/>
              </w:rPr>
              <w:t>109/174 (62.6)</w:t>
            </w:r>
          </w:p>
        </w:tc>
        <w:tc>
          <w:tcPr>
            <w:tcW w:w="1134" w:type="dxa"/>
            <w:tcBorders>
              <w:top w:val="single" w:sz="4" w:space="0" w:color="auto"/>
              <w:left w:val="nil"/>
              <w:bottom w:val="nil"/>
              <w:right w:val="nil"/>
            </w:tcBorders>
            <w:shd w:val="clear" w:color="auto" w:fill="auto"/>
            <w:vAlign w:val="center"/>
          </w:tcPr>
          <w:p w14:paraId="60979A13" w14:textId="77777777" w:rsidR="002D3435" w:rsidRPr="00BF5C15" w:rsidRDefault="002D3435" w:rsidP="00F577A8">
            <w:pPr>
              <w:pStyle w:val="TableText0"/>
              <w:spacing w:before="0" w:after="0"/>
              <w:jc w:val="center"/>
              <w:rPr>
                <w:i/>
                <w:iCs/>
                <w:highlight w:val="yellow"/>
              </w:rPr>
            </w:pPr>
            <w:r w:rsidRPr="00BF5C15">
              <w:rPr>
                <w:i/>
                <w:iCs/>
              </w:rPr>
              <w:t>−4.7%</w:t>
            </w:r>
          </w:p>
        </w:tc>
        <w:tc>
          <w:tcPr>
            <w:tcW w:w="2409" w:type="dxa"/>
            <w:tcBorders>
              <w:top w:val="single" w:sz="4" w:space="0" w:color="auto"/>
              <w:left w:val="nil"/>
              <w:bottom w:val="nil"/>
            </w:tcBorders>
            <w:shd w:val="clear" w:color="auto" w:fill="auto"/>
            <w:vAlign w:val="center"/>
          </w:tcPr>
          <w:p w14:paraId="32FEB47A" w14:textId="77777777" w:rsidR="002D3435" w:rsidRPr="00D529BA" w:rsidRDefault="002D3435" w:rsidP="00F577A8">
            <w:pPr>
              <w:pStyle w:val="TableText0"/>
              <w:spacing w:before="0" w:after="0"/>
              <w:jc w:val="center"/>
            </w:pPr>
          </w:p>
        </w:tc>
      </w:tr>
      <w:tr w:rsidR="002D3435" w:rsidRPr="008123DA" w14:paraId="07791429" w14:textId="77777777" w:rsidTr="00F577A8">
        <w:trPr>
          <w:cantSplit/>
        </w:trPr>
        <w:tc>
          <w:tcPr>
            <w:tcW w:w="1980" w:type="dxa"/>
            <w:tcBorders>
              <w:top w:val="nil"/>
              <w:bottom w:val="nil"/>
              <w:right w:val="nil"/>
            </w:tcBorders>
            <w:shd w:val="clear" w:color="auto" w:fill="auto"/>
            <w:vAlign w:val="center"/>
          </w:tcPr>
          <w:p w14:paraId="74E90917" w14:textId="5852A17F" w:rsidR="002D3435" w:rsidRPr="003F685D" w:rsidRDefault="002D3435" w:rsidP="00F577A8">
            <w:pPr>
              <w:pStyle w:val="TableText0"/>
              <w:spacing w:before="0" w:after="0"/>
            </w:pPr>
            <w:r w:rsidRPr="003F685D">
              <w:t xml:space="preserve">Median </w:t>
            </w:r>
            <w:r>
              <w:t>OS (95% CI</w:t>
            </w:r>
            <w:proofErr w:type="gramStart"/>
            <w:r>
              <w:t>),</w:t>
            </w:r>
            <w:r w:rsidR="00C7217B">
              <w:rPr>
                <w:vertAlign w:val="superscript"/>
              </w:rPr>
              <w:t>a</w:t>
            </w:r>
            <w:proofErr w:type="gramEnd"/>
            <w:r>
              <w:t xml:space="preserve"> months</w:t>
            </w:r>
          </w:p>
        </w:tc>
        <w:tc>
          <w:tcPr>
            <w:tcW w:w="1843" w:type="dxa"/>
            <w:gridSpan w:val="2"/>
            <w:tcBorders>
              <w:top w:val="nil"/>
              <w:left w:val="nil"/>
              <w:bottom w:val="nil"/>
              <w:right w:val="nil"/>
            </w:tcBorders>
            <w:shd w:val="clear" w:color="auto" w:fill="auto"/>
            <w:vAlign w:val="center"/>
          </w:tcPr>
          <w:p w14:paraId="2B0EADF8" w14:textId="6783E707" w:rsidR="002D3435" w:rsidRPr="00EE06D7" w:rsidRDefault="002D3435" w:rsidP="00F577A8">
            <w:pPr>
              <w:pStyle w:val="TableText0"/>
              <w:spacing w:before="0" w:after="0"/>
              <w:jc w:val="center"/>
              <w:rPr>
                <w:iCs/>
                <w:highlight w:val="yellow"/>
              </w:rPr>
            </w:pPr>
            <w:r>
              <w:t>34.9 (28.8, 40.0)</w:t>
            </w:r>
          </w:p>
        </w:tc>
        <w:tc>
          <w:tcPr>
            <w:tcW w:w="1701" w:type="dxa"/>
            <w:gridSpan w:val="2"/>
            <w:tcBorders>
              <w:top w:val="nil"/>
              <w:left w:val="nil"/>
              <w:bottom w:val="nil"/>
              <w:right w:val="nil"/>
            </w:tcBorders>
            <w:shd w:val="clear" w:color="auto" w:fill="auto"/>
            <w:vAlign w:val="center"/>
          </w:tcPr>
          <w:p w14:paraId="6D34CB3F" w14:textId="4A42DD85" w:rsidR="002D3435" w:rsidRPr="00EE06D7" w:rsidRDefault="002D3435" w:rsidP="00F577A8">
            <w:pPr>
              <w:pStyle w:val="TableText0"/>
              <w:spacing w:before="0" w:after="0"/>
              <w:jc w:val="center"/>
              <w:rPr>
                <w:iCs/>
                <w:highlight w:val="yellow"/>
              </w:rPr>
            </w:pPr>
            <w:r>
              <w:t>28.0 (23.6, 34.6)</w:t>
            </w:r>
          </w:p>
        </w:tc>
        <w:tc>
          <w:tcPr>
            <w:tcW w:w="1134" w:type="dxa"/>
            <w:tcBorders>
              <w:top w:val="nil"/>
              <w:left w:val="nil"/>
              <w:bottom w:val="nil"/>
              <w:right w:val="nil"/>
            </w:tcBorders>
            <w:shd w:val="clear" w:color="auto" w:fill="auto"/>
            <w:vAlign w:val="center"/>
          </w:tcPr>
          <w:p w14:paraId="1D662D05" w14:textId="77777777" w:rsidR="002D3435" w:rsidRPr="00EE06D7" w:rsidRDefault="002D3435" w:rsidP="00F577A8">
            <w:pPr>
              <w:pStyle w:val="TableText0"/>
              <w:spacing w:before="0" w:after="0"/>
              <w:jc w:val="center"/>
              <w:rPr>
                <w:highlight w:val="yellow"/>
              </w:rPr>
            </w:pPr>
            <w:r w:rsidRPr="00EE06D7">
              <w:t>6.</w:t>
            </w:r>
            <w:r>
              <w:t>9</w:t>
            </w:r>
          </w:p>
        </w:tc>
        <w:tc>
          <w:tcPr>
            <w:tcW w:w="2409" w:type="dxa"/>
            <w:tcBorders>
              <w:top w:val="nil"/>
              <w:left w:val="nil"/>
              <w:bottom w:val="nil"/>
            </w:tcBorders>
            <w:shd w:val="clear" w:color="auto" w:fill="auto"/>
            <w:vAlign w:val="center"/>
          </w:tcPr>
          <w:p w14:paraId="73D9D97A" w14:textId="2D8C1C91" w:rsidR="002D3435" w:rsidRPr="00D529BA" w:rsidRDefault="002D3435" w:rsidP="00F577A8">
            <w:pPr>
              <w:pStyle w:val="TableText0"/>
              <w:spacing w:before="0" w:after="0"/>
              <w:jc w:val="center"/>
              <w:rPr>
                <w:b/>
                <w:bCs w:val="0"/>
                <w:vertAlign w:val="superscript"/>
              </w:rPr>
            </w:pPr>
            <w:r w:rsidRPr="00D529BA">
              <w:t xml:space="preserve">0.81 (0.64, </w:t>
            </w:r>
            <w:proofErr w:type="gramStart"/>
            <w:r w:rsidRPr="00D529BA">
              <w:t>1.03)</w:t>
            </w:r>
            <w:r w:rsidR="00C7217B" w:rsidRPr="00D529BA">
              <w:rPr>
                <w:vertAlign w:val="superscript"/>
              </w:rPr>
              <w:t>b</w:t>
            </w:r>
            <w:proofErr w:type="gramEnd"/>
            <w:r w:rsidR="005104E7" w:rsidRPr="00D529BA">
              <w:t>;</w:t>
            </w:r>
            <w:r w:rsidRPr="00D529BA">
              <w:t xml:space="preserve"> </w:t>
            </w:r>
            <w:r w:rsidR="005104E7" w:rsidRPr="00D529BA">
              <w:br/>
            </w:r>
            <w:r w:rsidRPr="00D529BA">
              <w:t>p=0.0429</w:t>
            </w:r>
            <w:r w:rsidR="00C7217B" w:rsidRPr="00D529BA">
              <w:rPr>
                <w:vertAlign w:val="superscript"/>
              </w:rPr>
              <w:t>c</w:t>
            </w:r>
          </w:p>
        </w:tc>
      </w:tr>
      <w:tr w:rsidR="002D3435" w:rsidRPr="008123DA" w14:paraId="5335C699" w14:textId="77777777" w:rsidTr="00F577A8">
        <w:trPr>
          <w:cantSplit/>
        </w:trPr>
        <w:tc>
          <w:tcPr>
            <w:tcW w:w="1980" w:type="dxa"/>
            <w:tcBorders>
              <w:top w:val="nil"/>
              <w:bottom w:val="single" w:sz="4" w:space="0" w:color="auto"/>
              <w:right w:val="nil"/>
            </w:tcBorders>
            <w:shd w:val="clear" w:color="auto" w:fill="auto"/>
            <w:vAlign w:val="center"/>
          </w:tcPr>
          <w:p w14:paraId="4B071FAB" w14:textId="77777777" w:rsidR="002D3435" w:rsidRPr="003F685D" w:rsidRDefault="002D3435" w:rsidP="00F577A8">
            <w:pPr>
              <w:pStyle w:val="TableText0"/>
              <w:spacing w:before="0" w:after="0"/>
            </w:pPr>
            <w:r>
              <w:t>3-year OS, % (95% CI)</w:t>
            </w:r>
          </w:p>
        </w:tc>
        <w:tc>
          <w:tcPr>
            <w:tcW w:w="1843" w:type="dxa"/>
            <w:gridSpan w:val="2"/>
            <w:tcBorders>
              <w:top w:val="nil"/>
              <w:left w:val="nil"/>
              <w:bottom w:val="single" w:sz="4" w:space="0" w:color="auto"/>
              <w:right w:val="nil"/>
            </w:tcBorders>
            <w:shd w:val="clear" w:color="auto" w:fill="auto"/>
            <w:vAlign w:val="center"/>
          </w:tcPr>
          <w:p w14:paraId="6B56B47E" w14:textId="77777777" w:rsidR="002D3435" w:rsidRDefault="002D3435" w:rsidP="00F577A8">
            <w:pPr>
              <w:pStyle w:val="TableText0"/>
              <w:spacing w:before="0" w:after="0"/>
              <w:jc w:val="center"/>
            </w:pPr>
            <w:r>
              <w:t>50 (44, 55)</w:t>
            </w:r>
          </w:p>
        </w:tc>
        <w:tc>
          <w:tcPr>
            <w:tcW w:w="1701" w:type="dxa"/>
            <w:gridSpan w:val="2"/>
            <w:tcBorders>
              <w:top w:val="nil"/>
              <w:left w:val="nil"/>
              <w:bottom w:val="single" w:sz="4" w:space="0" w:color="auto"/>
              <w:right w:val="nil"/>
            </w:tcBorders>
            <w:shd w:val="clear" w:color="auto" w:fill="auto"/>
            <w:vAlign w:val="center"/>
          </w:tcPr>
          <w:p w14:paraId="785729A6" w14:textId="77777777" w:rsidR="002D3435" w:rsidRDefault="002D3435" w:rsidP="00F577A8">
            <w:pPr>
              <w:pStyle w:val="TableText0"/>
              <w:spacing w:before="0" w:after="0"/>
              <w:jc w:val="center"/>
            </w:pPr>
            <w:r>
              <w:t>41 (33, 48)</w:t>
            </w:r>
          </w:p>
        </w:tc>
        <w:tc>
          <w:tcPr>
            <w:tcW w:w="1134" w:type="dxa"/>
            <w:tcBorders>
              <w:top w:val="nil"/>
              <w:left w:val="nil"/>
              <w:bottom w:val="single" w:sz="4" w:space="0" w:color="auto"/>
              <w:right w:val="nil"/>
            </w:tcBorders>
            <w:shd w:val="clear" w:color="auto" w:fill="auto"/>
            <w:vAlign w:val="center"/>
          </w:tcPr>
          <w:p w14:paraId="42E5CA74" w14:textId="77777777" w:rsidR="002D3435" w:rsidRPr="00EE06D7" w:rsidRDefault="002D3435" w:rsidP="00F577A8">
            <w:pPr>
              <w:pStyle w:val="TableText0"/>
              <w:spacing w:before="0" w:after="0"/>
              <w:jc w:val="center"/>
            </w:pPr>
          </w:p>
        </w:tc>
        <w:tc>
          <w:tcPr>
            <w:tcW w:w="2409" w:type="dxa"/>
            <w:tcBorders>
              <w:top w:val="nil"/>
              <w:left w:val="nil"/>
              <w:bottom w:val="single" w:sz="4" w:space="0" w:color="auto"/>
            </w:tcBorders>
            <w:shd w:val="clear" w:color="auto" w:fill="auto"/>
            <w:vAlign w:val="center"/>
          </w:tcPr>
          <w:p w14:paraId="04949571" w14:textId="77777777" w:rsidR="002D3435" w:rsidRPr="00D529BA" w:rsidRDefault="002D3435" w:rsidP="00F577A8">
            <w:pPr>
              <w:pStyle w:val="TableText0"/>
              <w:spacing w:before="0" w:after="0"/>
              <w:jc w:val="center"/>
            </w:pPr>
          </w:p>
        </w:tc>
      </w:tr>
      <w:tr w:rsidR="002D3435" w:rsidRPr="002D3435" w14:paraId="0A65B264" w14:textId="77777777" w:rsidTr="00F577A8">
        <w:trPr>
          <w:cantSplit/>
        </w:trPr>
        <w:tc>
          <w:tcPr>
            <w:tcW w:w="9067" w:type="dxa"/>
            <w:gridSpan w:val="7"/>
            <w:tcBorders>
              <w:bottom w:val="single" w:sz="4" w:space="0" w:color="auto"/>
            </w:tcBorders>
            <w:shd w:val="clear" w:color="auto" w:fill="auto"/>
            <w:vAlign w:val="center"/>
          </w:tcPr>
          <w:p w14:paraId="5110BE69" w14:textId="25A796E5" w:rsidR="002D3435" w:rsidRPr="00D529BA" w:rsidRDefault="002D3435" w:rsidP="00F577A8">
            <w:pPr>
              <w:pStyle w:val="TableText0"/>
              <w:spacing w:before="0" w:after="0"/>
              <w:rPr>
                <w:b/>
                <w:bCs w:val="0"/>
              </w:rPr>
            </w:pPr>
            <w:r w:rsidRPr="00D529BA">
              <w:rPr>
                <w:b/>
                <w:bCs w:val="0"/>
              </w:rPr>
              <w:t xml:space="preserve">Ad hoc exploratory (unplanned, unpublished) (data </w:t>
            </w:r>
            <w:r w:rsidR="00353741" w:rsidRPr="00D529BA">
              <w:rPr>
                <w:b/>
                <w:bCs w:val="0"/>
              </w:rPr>
              <w:t>cut-off</w:t>
            </w:r>
            <w:r w:rsidRPr="00D529BA">
              <w:rPr>
                <w:b/>
                <w:bCs w:val="0"/>
              </w:rPr>
              <w:t xml:space="preserve"> 17 August 2020, median FU 73.3 months, 75% data </w:t>
            </w:r>
            <w:proofErr w:type="spellStart"/>
            <w:r w:rsidRPr="00D529BA">
              <w:rPr>
                <w:b/>
                <w:bCs w:val="0"/>
              </w:rPr>
              <w:t>maturity</w:t>
            </w:r>
            <w:r w:rsidRPr="00D529BA">
              <w:rPr>
                <w:b/>
                <w:bCs w:val="0"/>
                <w:vertAlign w:val="superscript"/>
              </w:rPr>
              <w:t>e</w:t>
            </w:r>
            <w:proofErr w:type="spellEnd"/>
            <w:r w:rsidRPr="00D529BA">
              <w:rPr>
                <w:b/>
                <w:bCs w:val="0"/>
              </w:rPr>
              <w:t>) (</w:t>
            </w:r>
            <w:proofErr w:type="spellStart"/>
            <w:r w:rsidRPr="00D529BA">
              <w:rPr>
                <w:b/>
                <w:bCs w:val="0"/>
              </w:rPr>
              <w:t>Cristofanilli</w:t>
            </w:r>
            <w:proofErr w:type="spellEnd"/>
            <w:r w:rsidRPr="00D529BA">
              <w:rPr>
                <w:b/>
                <w:bCs w:val="0"/>
              </w:rPr>
              <w:t xml:space="preserve"> 2021 abstract)</w:t>
            </w:r>
          </w:p>
        </w:tc>
      </w:tr>
      <w:tr w:rsidR="002D3435" w:rsidRPr="008123DA" w14:paraId="59A47209" w14:textId="77777777" w:rsidTr="00F577A8">
        <w:trPr>
          <w:cantSplit/>
        </w:trPr>
        <w:tc>
          <w:tcPr>
            <w:tcW w:w="1980" w:type="dxa"/>
            <w:tcBorders>
              <w:top w:val="single" w:sz="4" w:space="0" w:color="auto"/>
              <w:bottom w:val="nil"/>
              <w:right w:val="nil"/>
            </w:tcBorders>
            <w:shd w:val="clear" w:color="auto" w:fill="auto"/>
            <w:vAlign w:val="center"/>
          </w:tcPr>
          <w:p w14:paraId="7A795D8C" w14:textId="77777777" w:rsidR="002D3435" w:rsidRPr="003F685D" w:rsidRDefault="002D3435" w:rsidP="00F577A8">
            <w:pPr>
              <w:pStyle w:val="TableText0"/>
              <w:spacing w:before="0" w:after="0"/>
            </w:pPr>
            <w:r>
              <w:t>Ad hoc OS</w:t>
            </w:r>
          </w:p>
        </w:tc>
        <w:tc>
          <w:tcPr>
            <w:tcW w:w="1843" w:type="dxa"/>
            <w:gridSpan w:val="2"/>
            <w:tcBorders>
              <w:top w:val="single" w:sz="4" w:space="0" w:color="auto"/>
              <w:left w:val="nil"/>
              <w:bottom w:val="nil"/>
              <w:right w:val="nil"/>
            </w:tcBorders>
            <w:shd w:val="clear" w:color="auto" w:fill="auto"/>
            <w:vAlign w:val="center"/>
          </w:tcPr>
          <w:p w14:paraId="1D06BF0B" w14:textId="77777777" w:rsidR="002D3435" w:rsidRPr="00EE06D7" w:rsidRDefault="002D3435" w:rsidP="00F577A8">
            <w:pPr>
              <w:pStyle w:val="TableText0"/>
              <w:spacing w:before="0" w:after="0"/>
              <w:jc w:val="center"/>
              <w:rPr>
                <w:iCs/>
              </w:rPr>
            </w:pPr>
            <w:r>
              <w:rPr>
                <w:iCs/>
              </w:rPr>
              <w:t>NR</w:t>
            </w:r>
          </w:p>
        </w:tc>
        <w:tc>
          <w:tcPr>
            <w:tcW w:w="1701" w:type="dxa"/>
            <w:gridSpan w:val="2"/>
            <w:tcBorders>
              <w:top w:val="single" w:sz="4" w:space="0" w:color="auto"/>
              <w:left w:val="nil"/>
              <w:bottom w:val="nil"/>
              <w:right w:val="nil"/>
            </w:tcBorders>
            <w:shd w:val="clear" w:color="auto" w:fill="auto"/>
            <w:vAlign w:val="center"/>
          </w:tcPr>
          <w:p w14:paraId="26DBD427" w14:textId="77777777" w:rsidR="002D3435" w:rsidRPr="00EE06D7" w:rsidRDefault="002D3435" w:rsidP="00F577A8">
            <w:pPr>
              <w:pStyle w:val="TableText0"/>
              <w:spacing w:before="0" w:after="0"/>
              <w:jc w:val="center"/>
              <w:rPr>
                <w:iCs/>
              </w:rPr>
            </w:pPr>
            <w:r>
              <w:rPr>
                <w:iCs/>
              </w:rPr>
              <w:t>NR</w:t>
            </w:r>
          </w:p>
        </w:tc>
        <w:tc>
          <w:tcPr>
            <w:tcW w:w="1134" w:type="dxa"/>
            <w:tcBorders>
              <w:top w:val="single" w:sz="4" w:space="0" w:color="auto"/>
              <w:left w:val="nil"/>
              <w:bottom w:val="nil"/>
              <w:right w:val="nil"/>
            </w:tcBorders>
            <w:shd w:val="clear" w:color="auto" w:fill="auto"/>
            <w:vAlign w:val="center"/>
          </w:tcPr>
          <w:p w14:paraId="5A6696C3" w14:textId="77777777" w:rsidR="002D3435" w:rsidRPr="00EE06D7" w:rsidRDefault="002D3435" w:rsidP="00F577A8">
            <w:pPr>
              <w:pStyle w:val="TableText0"/>
              <w:spacing w:before="0" w:after="0"/>
              <w:jc w:val="center"/>
              <w:rPr>
                <w:highlight w:val="yellow"/>
              </w:rPr>
            </w:pPr>
          </w:p>
        </w:tc>
        <w:tc>
          <w:tcPr>
            <w:tcW w:w="2409" w:type="dxa"/>
            <w:tcBorders>
              <w:top w:val="single" w:sz="4" w:space="0" w:color="auto"/>
              <w:left w:val="nil"/>
              <w:bottom w:val="nil"/>
            </w:tcBorders>
            <w:shd w:val="clear" w:color="auto" w:fill="auto"/>
            <w:vAlign w:val="center"/>
          </w:tcPr>
          <w:p w14:paraId="2CB29254" w14:textId="77777777" w:rsidR="002D3435" w:rsidRPr="00D529BA" w:rsidRDefault="002D3435" w:rsidP="00F577A8">
            <w:pPr>
              <w:pStyle w:val="TableText0"/>
              <w:spacing w:before="0" w:after="0"/>
              <w:jc w:val="center"/>
            </w:pPr>
          </w:p>
        </w:tc>
      </w:tr>
      <w:tr w:rsidR="002D3435" w:rsidRPr="008123DA" w14:paraId="479499FD" w14:textId="77777777" w:rsidTr="00F577A8">
        <w:trPr>
          <w:cantSplit/>
        </w:trPr>
        <w:tc>
          <w:tcPr>
            <w:tcW w:w="1980" w:type="dxa"/>
            <w:tcBorders>
              <w:top w:val="nil"/>
              <w:bottom w:val="nil"/>
              <w:right w:val="nil"/>
            </w:tcBorders>
            <w:shd w:val="clear" w:color="auto" w:fill="auto"/>
            <w:vAlign w:val="center"/>
          </w:tcPr>
          <w:p w14:paraId="14B7B517" w14:textId="2F4825C8" w:rsidR="002D3435" w:rsidRPr="003F685D" w:rsidRDefault="002D3435" w:rsidP="00F577A8">
            <w:pPr>
              <w:pStyle w:val="TableText0"/>
              <w:spacing w:before="0" w:after="0"/>
            </w:pPr>
            <w:r w:rsidRPr="003F685D">
              <w:t xml:space="preserve">Median </w:t>
            </w:r>
            <w:r>
              <w:t>O</w:t>
            </w:r>
            <w:r w:rsidRPr="003F685D">
              <w:t>S</w:t>
            </w:r>
            <w:r>
              <w:t xml:space="preserve"> (95% CI</w:t>
            </w:r>
            <w:proofErr w:type="gramStart"/>
            <w:r>
              <w:t>),</w:t>
            </w:r>
            <w:r w:rsidR="00C7217B">
              <w:rPr>
                <w:vertAlign w:val="superscript"/>
              </w:rPr>
              <w:t>a</w:t>
            </w:r>
            <w:proofErr w:type="gramEnd"/>
            <w:r>
              <w:t xml:space="preserve"> months</w:t>
            </w:r>
          </w:p>
        </w:tc>
        <w:tc>
          <w:tcPr>
            <w:tcW w:w="1843" w:type="dxa"/>
            <w:gridSpan w:val="2"/>
            <w:tcBorders>
              <w:top w:val="nil"/>
              <w:left w:val="nil"/>
              <w:bottom w:val="nil"/>
              <w:right w:val="nil"/>
            </w:tcBorders>
            <w:shd w:val="clear" w:color="auto" w:fill="auto"/>
            <w:vAlign w:val="center"/>
          </w:tcPr>
          <w:p w14:paraId="66AAE375" w14:textId="77777777" w:rsidR="002D3435" w:rsidRPr="00EE06D7" w:rsidRDefault="002D3435" w:rsidP="00F577A8">
            <w:pPr>
              <w:pStyle w:val="TableText0"/>
              <w:spacing w:before="0" w:after="0"/>
              <w:jc w:val="center"/>
              <w:rPr>
                <w:iCs/>
                <w:highlight w:val="yellow"/>
              </w:rPr>
            </w:pPr>
            <w:r>
              <w:t>34.8 (28.8, 39.9)</w:t>
            </w:r>
          </w:p>
        </w:tc>
        <w:tc>
          <w:tcPr>
            <w:tcW w:w="1701" w:type="dxa"/>
            <w:gridSpan w:val="2"/>
            <w:tcBorders>
              <w:top w:val="nil"/>
              <w:left w:val="nil"/>
              <w:bottom w:val="nil"/>
              <w:right w:val="nil"/>
            </w:tcBorders>
            <w:shd w:val="clear" w:color="auto" w:fill="auto"/>
            <w:vAlign w:val="center"/>
          </w:tcPr>
          <w:p w14:paraId="44E4F0DF" w14:textId="77777777" w:rsidR="002D3435" w:rsidRPr="00EE06D7" w:rsidRDefault="002D3435" w:rsidP="00F577A8">
            <w:pPr>
              <w:pStyle w:val="TableText0"/>
              <w:spacing w:before="0" w:after="0"/>
              <w:jc w:val="center"/>
              <w:rPr>
                <w:iCs/>
                <w:highlight w:val="yellow"/>
              </w:rPr>
            </w:pPr>
            <w:r>
              <w:t>28.0 (23.5, 33.8)</w:t>
            </w:r>
          </w:p>
        </w:tc>
        <w:tc>
          <w:tcPr>
            <w:tcW w:w="1134" w:type="dxa"/>
            <w:tcBorders>
              <w:top w:val="nil"/>
              <w:left w:val="nil"/>
              <w:bottom w:val="nil"/>
              <w:right w:val="nil"/>
            </w:tcBorders>
            <w:shd w:val="clear" w:color="auto" w:fill="auto"/>
            <w:vAlign w:val="center"/>
          </w:tcPr>
          <w:p w14:paraId="1DF96E09" w14:textId="77777777" w:rsidR="002D3435" w:rsidRPr="00EE06D7" w:rsidRDefault="002D3435" w:rsidP="00F577A8">
            <w:pPr>
              <w:pStyle w:val="TableText0"/>
              <w:spacing w:before="0" w:after="0"/>
              <w:jc w:val="center"/>
              <w:rPr>
                <w:highlight w:val="yellow"/>
              </w:rPr>
            </w:pPr>
            <w:r w:rsidRPr="00EE06D7">
              <w:t>6.</w:t>
            </w:r>
            <w:r>
              <w:t>8</w:t>
            </w:r>
          </w:p>
        </w:tc>
        <w:tc>
          <w:tcPr>
            <w:tcW w:w="2409" w:type="dxa"/>
            <w:tcBorders>
              <w:top w:val="nil"/>
              <w:left w:val="nil"/>
              <w:bottom w:val="nil"/>
            </w:tcBorders>
            <w:shd w:val="clear" w:color="auto" w:fill="auto"/>
            <w:vAlign w:val="center"/>
          </w:tcPr>
          <w:p w14:paraId="04FF0CA4" w14:textId="4AEFEAEA" w:rsidR="002D3435" w:rsidRPr="00D529BA" w:rsidRDefault="002D3435" w:rsidP="00F577A8">
            <w:pPr>
              <w:pStyle w:val="TableText0"/>
              <w:spacing w:before="0" w:after="0"/>
              <w:jc w:val="center"/>
              <w:rPr>
                <w:b/>
                <w:bCs w:val="0"/>
                <w:vertAlign w:val="superscript"/>
              </w:rPr>
            </w:pPr>
            <w:r w:rsidRPr="00D529BA">
              <w:t>0.81 (0.65, 0.99)</w:t>
            </w:r>
            <w:r w:rsidR="005104E7" w:rsidRPr="00D529BA">
              <w:t>;</w:t>
            </w:r>
            <w:r w:rsidRPr="00D529BA">
              <w:t xml:space="preserve"> </w:t>
            </w:r>
            <w:r w:rsidR="005104E7" w:rsidRPr="00D529BA">
              <w:br/>
            </w:r>
            <w:r w:rsidRPr="00D529BA">
              <w:t>1-sided nominal p=0.0221</w:t>
            </w:r>
          </w:p>
        </w:tc>
      </w:tr>
      <w:tr w:rsidR="002D3435" w:rsidRPr="008123DA" w14:paraId="1F498200" w14:textId="77777777" w:rsidTr="00F577A8">
        <w:trPr>
          <w:cantSplit/>
        </w:trPr>
        <w:tc>
          <w:tcPr>
            <w:tcW w:w="1980" w:type="dxa"/>
            <w:tcBorders>
              <w:top w:val="nil"/>
              <w:right w:val="nil"/>
            </w:tcBorders>
            <w:shd w:val="clear" w:color="auto" w:fill="auto"/>
            <w:vAlign w:val="center"/>
          </w:tcPr>
          <w:p w14:paraId="2AE45168" w14:textId="77777777" w:rsidR="002D3435" w:rsidRPr="003F685D" w:rsidRDefault="002D3435" w:rsidP="00F577A8">
            <w:pPr>
              <w:pStyle w:val="TableText0"/>
              <w:spacing w:before="0" w:after="0"/>
            </w:pPr>
            <w:r>
              <w:t>5-year OS, % (95% CI)</w:t>
            </w:r>
          </w:p>
        </w:tc>
        <w:tc>
          <w:tcPr>
            <w:tcW w:w="1843" w:type="dxa"/>
            <w:gridSpan w:val="2"/>
            <w:tcBorders>
              <w:top w:val="nil"/>
              <w:left w:val="nil"/>
              <w:right w:val="nil"/>
            </w:tcBorders>
            <w:shd w:val="clear" w:color="auto" w:fill="auto"/>
            <w:vAlign w:val="center"/>
          </w:tcPr>
          <w:p w14:paraId="1413DC19" w14:textId="77777777" w:rsidR="002D3435" w:rsidRDefault="002D3435" w:rsidP="00F577A8">
            <w:pPr>
              <w:pStyle w:val="TableText0"/>
              <w:spacing w:before="0" w:after="0"/>
              <w:jc w:val="center"/>
            </w:pPr>
            <w:r>
              <w:t>23.3 (18.7, 28.2)</w:t>
            </w:r>
          </w:p>
        </w:tc>
        <w:tc>
          <w:tcPr>
            <w:tcW w:w="1701" w:type="dxa"/>
            <w:gridSpan w:val="2"/>
            <w:tcBorders>
              <w:top w:val="nil"/>
              <w:left w:val="nil"/>
              <w:right w:val="nil"/>
            </w:tcBorders>
            <w:shd w:val="clear" w:color="auto" w:fill="auto"/>
            <w:vAlign w:val="center"/>
          </w:tcPr>
          <w:p w14:paraId="58EF7256" w14:textId="77777777" w:rsidR="002D3435" w:rsidRDefault="002D3435" w:rsidP="00F577A8">
            <w:pPr>
              <w:pStyle w:val="TableText0"/>
              <w:spacing w:before="0" w:after="0"/>
              <w:jc w:val="center"/>
            </w:pPr>
            <w:r>
              <w:t>16.8 (11.2, 23.3)</w:t>
            </w:r>
          </w:p>
        </w:tc>
        <w:tc>
          <w:tcPr>
            <w:tcW w:w="1134" w:type="dxa"/>
            <w:tcBorders>
              <w:top w:val="nil"/>
              <w:left w:val="nil"/>
              <w:right w:val="nil"/>
            </w:tcBorders>
            <w:shd w:val="clear" w:color="auto" w:fill="auto"/>
            <w:vAlign w:val="center"/>
          </w:tcPr>
          <w:p w14:paraId="7502437A" w14:textId="77777777" w:rsidR="002D3435" w:rsidRPr="00EE06D7" w:rsidRDefault="002D3435" w:rsidP="00F577A8">
            <w:pPr>
              <w:pStyle w:val="TableText0"/>
              <w:spacing w:before="0" w:after="0"/>
              <w:jc w:val="center"/>
            </w:pPr>
          </w:p>
        </w:tc>
        <w:tc>
          <w:tcPr>
            <w:tcW w:w="2409" w:type="dxa"/>
            <w:tcBorders>
              <w:top w:val="nil"/>
              <w:left w:val="nil"/>
            </w:tcBorders>
            <w:shd w:val="clear" w:color="auto" w:fill="auto"/>
            <w:vAlign w:val="center"/>
          </w:tcPr>
          <w:p w14:paraId="72E39149" w14:textId="77777777" w:rsidR="002D3435" w:rsidRPr="007A69CA" w:rsidRDefault="002D3435" w:rsidP="00F577A8">
            <w:pPr>
              <w:pStyle w:val="TableText0"/>
              <w:spacing w:before="0" w:after="0"/>
              <w:jc w:val="center"/>
              <w:rPr>
                <w:highlight w:val="green"/>
              </w:rPr>
            </w:pPr>
          </w:p>
        </w:tc>
      </w:tr>
    </w:tbl>
    <w:p w14:paraId="6E74D72C" w14:textId="30E67E00" w:rsidR="00633A27" w:rsidRPr="00937EEC" w:rsidRDefault="00633A27" w:rsidP="00633A27">
      <w:pPr>
        <w:pStyle w:val="TableFigureFooter"/>
      </w:pPr>
      <w:r w:rsidRPr="00937EEC">
        <w:t xml:space="preserve">Source: Tables 1023.511.12 and 1023.560.1, pp58-59 in in Palbociclib (A5481023) Final PFS tables (data </w:t>
      </w:r>
      <w:r w:rsidR="00353741" w:rsidRPr="00937EEC">
        <w:t>cut-off</w:t>
      </w:r>
      <w:r w:rsidRPr="00937EEC">
        <w:t xml:space="preserve"> 23 October 2015</w:t>
      </w:r>
      <w:proofErr w:type="gramStart"/>
      <w:r w:rsidRPr="00937EEC">
        <w:t>);.</w:t>
      </w:r>
      <w:proofErr w:type="gramEnd"/>
      <w:r w:rsidR="002D50F2" w:rsidRPr="002D50F2">
        <w:t xml:space="preserve"> Table 15, p58 in Palbociclib (A5481023) CSR Main Body Abbreviated (data </w:t>
      </w:r>
      <w:r w:rsidR="00353741" w:rsidRPr="002D50F2">
        <w:t>cut-off</w:t>
      </w:r>
      <w:r w:rsidR="002D50F2" w:rsidRPr="002D50F2">
        <w:t xml:space="preserve"> 13 April 2018), 19 September 2018; ‘A5481026 – Updated OS </w:t>
      </w:r>
      <w:proofErr w:type="spellStart"/>
      <w:r w:rsidR="002D50F2" w:rsidRPr="002D50F2">
        <w:t>TLS_Jan</w:t>
      </w:r>
      <w:proofErr w:type="spellEnd"/>
      <w:r w:rsidR="002D50F2" w:rsidRPr="002D50F2">
        <w:t xml:space="preserve"> 2021’ included as part of large files with the submission</w:t>
      </w:r>
      <w:r w:rsidR="00924C1B">
        <w:t xml:space="preserve">; </w:t>
      </w:r>
      <w:proofErr w:type="spellStart"/>
      <w:r w:rsidR="00924C1B" w:rsidRPr="00631581">
        <w:t>Cristofanilli</w:t>
      </w:r>
      <w:proofErr w:type="spellEnd"/>
      <w:r w:rsidR="00924C1B" w:rsidRPr="00631581">
        <w:t xml:space="preserve"> 2021 abstract</w:t>
      </w:r>
    </w:p>
    <w:p w14:paraId="136FB2F7" w14:textId="7C68A266" w:rsidR="00633A27" w:rsidRPr="00937EEC" w:rsidRDefault="00633A27" w:rsidP="00633A27">
      <w:pPr>
        <w:pStyle w:val="TableFigureFooter"/>
      </w:pPr>
      <w:r w:rsidRPr="00937EEC">
        <w:t xml:space="preserve">CI = confidence interval; CSR = Clinical Study Report; FU = follow-up; FUL = </w:t>
      </w:r>
      <w:proofErr w:type="spellStart"/>
      <w:r w:rsidRPr="00937EEC">
        <w:t>fulvestrant</w:t>
      </w:r>
      <w:proofErr w:type="spellEnd"/>
      <w:r w:rsidRPr="00937EEC">
        <w:t xml:space="preserve">; HR = hazard ratio; ITT = intention-to-treat; n = number of participants with event; N = total participants in group; NR = not reported; </w:t>
      </w:r>
      <w:r w:rsidR="002D50F2" w:rsidRPr="002D50F2">
        <w:t xml:space="preserve">OS = overall survival; </w:t>
      </w:r>
      <w:r w:rsidRPr="00937EEC">
        <w:t xml:space="preserve">PAL = </w:t>
      </w:r>
      <w:proofErr w:type="spellStart"/>
      <w:r w:rsidRPr="00937EEC">
        <w:t>palbociclib</w:t>
      </w:r>
      <w:proofErr w:type="spellEnd"/>
      <w:r w:rsidRPr="00937EEC">
        <w:t xml:space="preserve">; PBO = placebo; PFS = progression-free survival </w:t>
      </w:r>
    </w:p>
    <w:p w14:paraId="387ED1BC" w14:textId="77777777" w:rsidR="005B0B89" w:rsidRDefault="005B0B89" w:rsidP="005B0B89">
      <w:pPr>
        <w:pStyle w:val="TableFigureFooter"/>
      </w:pPr>
      <w:r>
        <w:rPr>
          <w:vertAlign w:val="superscript"/>
        </w:rPr>
        <w:t>a</w:t>
      </w:r>
      <w:r w:rsidRPr="00937EEC">
        <w:t xml:space="preserve"> 50% quartile of Kaplan-Meier estimates of time to event (based on the Brookmeyer and Crowley Method).</w:t>
      </w:r>
    </w:p>
    <w:p w14:paraId="3F316A7F" w14:textId="3FF85D55" w:rsidR="00633A27" w:rsidRPr="00937EEC" w:rsidRDefault="00C7217B" w:rsidP="00633A27">
      <w:pPr>
        <w:pStyle w:val="TableFigureFooter"/>
      </w:pPr>
      <w:r>
        <w:rPr>
          <w:vertAlign w:val="superscript"/>
        </w:rPr>
        <w:t>b</w:t>
      </w:r>
      <w:r w:rsidR="00633A27" w:rsidRPr="00937EEC">
        <w:t xml:space="preserve"> Assuming proportional hazards, a hazard ratio less than 1 indicates a reduction in hazard rate in </w:t>
      </w:r>
      <w:r w:rsidR="00353741" w:rsidRPr="00937EEC">
        <w:t>favour</w:t>
      </w:r>
      <w:r w:rsidR="00633A27" w:rsidRPr="00937EEC">
        <w:t xml:space="preserve"> of </w:t>
      </w:r>
      <w:proofErr w:type="spellStart"/>
      <w:r w:rsidR="00633A27" w:rsidRPr="00937EEC">
        <w:t>palbociclib</w:t>
      </w:r>
      <w:proofErr w:type="spellEnd"/>
      <w:r w:rsidR="00633A27" w:rsidRPr="00937EEC">
        <w:t xml:space="preserve"> plus </w:t>
      </w:r>
      <w:proofErr w:type="spellStart"/>
      <w:r w:rsidR="00633A27" w:rsidRPr="00937EEC">
        <w:t>fulvestrant</w:t>
      </w:r>
      <w:proofErr w:type="spellEnd"/>
      <w:r w:rsidR="00633A27" w:rsidRPr="00937EEC">
        <w:t>.</w:t>
      </w:r>
    </w:p>
    <w:p w14:paraId="65CF6FE3" w14:textId="17104DBF" w:rsidR="00633A27" w:rsidRPr="00937EEC" w:rsidRDefault="00C7217B" w:rsidP="00633A27">
      <w:pPr>
        <w:pStyle w:val="TableFigureFooter"/>
      </w:pPr>
      <w:r>
        <w:rPr>
          <w:vertAlign w:val="superscript"/>
        </w:rPr>
        <w:t>c</w:t>
      </w:r>
      <w:r w:rsidR="00633A27" w:rsidRPr="00937EEC">
        <w:t xml:space="preserve"> 1-sided p-value from the log-rank test stratified by the presence of visceral metastases and sensitivity to prior hormonal therapy per randomisation.</w:t>
      </w:r>
    </w:p>
    <w:p w14:paraId="04AD8311" w14:textId="77777777" w:rsidR="00DF65C3" w:rsidRPr="00937EEC" w:rsidRDefault="00DF65C3" w:rsidP="00DF65C3">
      <w:pPr>
        <w:pStyle w:val="TableFigureFooter"/>
      </w:pPr>
      <w:r w:rsidRPr="00937EEC">
        <w:rPr>
          <w:b/>
        </w:rPr>
        <w:t>Bold</w:t>
      </w:r>
      <w:r w:rsidRPr="00937EEC">
        <w:t xml:space="preserve"> indicates statistically significant results. </w:t>
      </w:r>
    </w:p>
    <w:p w14:paraId="67246DFF" w14:textId="1C8849D8" w:rsidR="00937EEC" w:rsidRPr="00DF65C3" w:rsidRDefault="00937EEC" w:rsidP="00F577A8">
      <w:pPr>
        <w:pStyle w:val="3-BodyText"/>
        <w:rPr>
          <w:lang w:val="en-US"/>
        </w:rPr>
      </w:pPr>
      <w:r w:rsidRPr="00DF65C3">
        <w:rPr>
          <w:lang w:val="en-US"/>
        </w:rPr>
        <w:t xml:space="preserve">In PALOMA-3, the investigator-assessed median PFS was 11.2 months in the </w:t>
      </w:r>
      <w:proofErr w:type="spellStart"/>
      <w:r w:rsidRPr="00DF65C3">
        <w:rPr>
          <w:lang w:val="en-US"/>
        </w:rPr>
        <w:t>palbociclib</w:t>
      </w:r>
      <w:proofErr w:type="spellEnd"/>
      <w:r w:rsidRPr="00DF65C3">
        <w:rPr>
          <w:lang w:val="en-US"/>
        </w:rPr>
        <w:t xml:space="preserve"> plus </w:t>
      </w:r>
      <w:proofErr w:type="spellStart"/>
      <w:r w:rsidRPr="00DF65C3">
        <w:rPr>
          <w:lang w:val="en-US"/>
        </w:rPr>
        <w:t>fulvestrant</w:t>
      </w:r>
      <w:proofErr w:type="spellEnd"/>
      <w:r w:rsidRPr="00DF65C3">
        <w:rPr>
          <w:lang w:val="en-US"/>
        </w:rPr>
        <w:t xml:space="preserve"> treatment group (median 15.8 months follow-up), compared with 4.6 months in the placebo plus </w:t>
      </w:r>
      <w:proofErr w:type="spellStart"/>
      <w:r w:rsidRPr="00DF65C3">
        <w:rPr>
          <w:lang w:val="en-US"/>
        </w:rPr>
        <w:t>fulvestrant</w:t>
      </w:r>
      <w:proofErr w:type="spellEnd"/>
      <w:r w:rsidRPr="00DF65C3">
        <w:rPr>
          <w:lang w:val="en-US"/>
        </w:rPr>
        <w:t xml:space="preserve"> group (median 15.3 months follow-up)</w:t>
      </w:r>
      <w:r w:rsidR="004143BD" w:rsidRPr="00DF65C3">
        <w:rPr>
          <w:lang w:val="en-US"/>
        </w:rPr>
        <w:t xml:space="preserve">. The </w:t>
      </w:r>
      <w:proofErr w:type="gramStart"/>
      <w:r w:rsidR="004143BD" w:rsidRPr="00DF65C3">
        <w:rPr>
          <w:lang w:val="en-US"/>
        </w:rPr>
        <w:t>6.6 month</w:t>
      </w:r>
      <w:proofErr w:type="gramEnd"/>
      <w:r w:rsidR="004143BD" w:rsidRPr="00DF65C3">
        <w:rPr>
          <w:lang w:val="en-US"/>
        </w:rPr>
        <w:t xml:space="preserve"> </w:t>
      </w:r>
      <w:r w:rsidRPr="00DF65C3">
        <w:rPr>
          <w:lang w:val="en-US"/>
        </w:rPr>
        <w:t xml:space="preserve">improvement </w:t>
      </w:r>
      <w:r w:rsidR="004143BD" w:rsidRPr="00DF65C3">
        <w:rPr>
          <w:lang w:val="en-US"/>
        </w:rPr>
        <w:t xml:space="preserve">in </w:t>
      </w:r>
      <w:r w:rsidR="0098578A" w:rsidRPr="00DF65C3">
        <w:rPr>
          <w:lang w:val="en-US"/>
        </w:rPr>
        <w:t xml:space="preserve">median </w:t>
      </w:r>
      <w:r w:rsidR="004143BD" w:rsidRPr="00DF65C3">
        <w:rPr>
          <w:lang w:val="en-US"/>
        </w:rPr>
        <w:t>PFS was statistically significant</w:t>
      </w:r>
      <w:r w:rsidR="0026078F" w:rsidRPr="00DF65C3">
        <w:rPr>
          <w:lang w:val="en-US"/>
        </w:rPr>
        <w:t xml:space="preserve"> </w:t>
      </w:r>
      <w:r w:rsidRPr="00DF65C3">
        <w:rPr>
          <w:lang w:val="en-US"/>
        </w:rPr>
        <w:t xml:space="preserve">(HR </w:t>
      </w:r>
      <w:r w:rsidR="004143BD" w:rsidRPr="00DF65C3">
        <w:rPr>
          <w:lang w:val="en-US"/>
        </w:rPr>
        <w:t xml:space="preserve">= </w:t>
      </w:r>
      <w:r w:rsidRPr="00DF65C3">
        <w:rPr>
          <w:lang w:val="en-US"/>
        </w:rPr>
        <w:t>0.50</w:t>
      </w:r>
      <w:r w:rsidR="00D237E0">
        <w:rPr>
          <w:lang w:val="en-US"/>
        </w:rPr>
        <w:t>;</w:t>
      </w:r>
      <w:r w:rsidRPr="00DF65C3">
        <w:rPr>
          <w:lang w:val="en-US"/>
        </w:rPr>
        <w:t xml:space="preserve"> 95% CI</w:t>
      </w:r>
      <w:r w:rsidR="004143BD" w:rsidRPr="00DF65C3">
        <w:rPr>
          <w:lang w:val="en-US"/>
        </w:rPr>
        <w:t>:</w:t>
      </w:r>
      <w:r w:rsidRPr="00DF65C3">
        <w:rPr>
          <w:lang w:val="en-US"/>
        </w:rPr>
        <w:t xml:space="preserve"> 0.40</w:t>
      </w:r>
      <w:r w:rsidR="004143BD" w:rsidRPr="00DF65C3">
        <w:rPr>
          <w:lang w:val="en-US"/>
        </w:rPr>
        <w:t>,</w:t>
      </w:r>
      <w:r w:rsidRPr="00DF65C3">
        <w:rPr>
          <w:lang w:val="en-US"/>
        </w:rPr>
        <w:t xml:space="preserve"> 0.62</w:t>
      </w:r>
      <w:r w:rsidR="00ED1635">
        <w:rPr>
          <w:lang w:val="en-US"/>
        </w:rPr>
        <w:t>)</w:t>
      </w:r>
      <w:r w:rsidRPr="00DF65C3">
        <w:rPr>
          <w:lang w:val="en-US"/>
        </w:rPr>
        <w:t>.</w:t>
      </w:r>
    </w:p>
    <w:p w14:paraId="269B4594" w14:textId="081E5D6F" w:rsidR="00937EEC" w:rsidRPr="00937EEC" w:rsidRDefault="00924C1B" w:rsidP="00F577A8">
      <w:pPr>
        <w:pStyle w:val="3-BodyText"/>
      </w:pPr>
      <w:r w:rsidRPr="00310DE3">
        <w:rPr>
          <w:lang w:val="en-US"/>
        </w:rPr>
        <w:t xml:space="preserve">At a median follow-up </w:t>
      </w:r>
      <w:r w:rsidR="00310DE3" w:rsidRPr="00310DE3">
        <w:rPr>
          <w:lang w:val="en-US"/>
        </w:rPr>
        <w:t>o</w:t>
      </w:r>
      <w:r w:rsidRPr="00310DE3">
        <w:rPr>
          <w:lang w:val="en-US"/>
        </w:rPr>
        <w:t xml:space="preserve">f 44.8 months, 57.9% of the patients in the </w:t>
      </w:r>
      <w:proofErr w:type="spellStart"/>
      <w:r w:rsidRPr="00310DE3">
        <w:rPr>
          <w:lang w:val="en-US"/>
        </w:rPr>
        <w:t>palbociclib</w:t>
      </w:r>
      <w:proofErr w:type="spellEnd"/>
      <w:r w:rsidRPr="00310DE3">
        <w:rPr>
          <w:lang w:val="en-US"/>
        </w:rPr>
        <w:t xml:space="preserve"> plus </w:t>
      </w:r>
      <w:proofErr w:type="spellStart"/>
      <w:r w:rsidRPr="00310DE3">
        <w:rPr>
          <w:lang w:val="en-US"/>
        </w:rPr>
        <w:t>fulvestrant</w:t>
      </w:r>
      <w:proofErr w:type="spellEnd"/>
      <w:r w:rsidRPr="00310DE3">
        <w:rPr>
          <w:lang w:val="en-US"/>
        </w:rPr>
        <w:t xml:space="preserve"> group </w:t>
      </w:r>
      <w:r w:rsidR="00D237E0">
        <w:rPr>
          <w:lang w:val="en-US"/>
        </w:rPr>
        <w:t xml:space="preserve">had </w:t>
      </w:r>
      <w:r w:rsidRPr="00310DE3">
        <w:rPr>
          <w:lang w:val="en-US"/>
        </w:rPr>
        <w:t xml:space="preserve">died versus 62.6% in the placebo plus </w:t>
      </w:r>
      <w:proofErr w:type="spellStart"/>
      <w:r w:rsidRPr="00310DE3">
        <w:rPr>
          <w:lang w:val="en-US"/>
        </w:rPr>
        <w:t>fulvestrant</w:t>
      </w:r>
      <w:proofErr w:type="spellEnd"/>
      <w:r w:rsidRPr="00310DE3">
        <w:rPr>
          <w:lang w:val="en-US"/>
        </w:rPr>
        <w:t xml:space="preserve"> group. </w:t>
      </w:r>
      <w:r w:rsidR="00937EEC" w:rsidRPr="00310DE3">
        <w:rPr>
          <w:lang w:val="en-US"/>
        </w:rPr>
        <w:t xml:space="preserve">The submission reported that the addition of </w:t>
      </w:r>
      <w:proofErr w:type="spellStart"/>
      <w:r w:rsidR="00937EEC" w:rsidRPr="00310DE3">
        <w:rPr>
          <w:lang w:val="en-US"/>
        </w:rPr>
        <w:t>palbociclib</w:t>
      </w:r>
      <w:proofErr w:type="spellEnd"/>
      <w:r w:rsidR="00937EEC" w:rsidRPr="00310DE3">
        <w:rPr>
          <w:lang w:val="en-US"/>
        </w:rPr>
        <w:t xml:space="preserve"> to </w:t>
      </w:r>
      <w:proofErr w:type="spellStart"/>
      <w:r w:rsidR="00937EEC" w:rsidRPr="00310DE3">
        <w:rPr>
          <w:lang w:val="en-US"/>
        </w:rPr>
        <w:t>fulvestrant</w:t>
      </w:r>
      <w:proofErr w:type="spellEnd"/>
      <w:r w:rsidR="00937EEC" w:rsidRPr="00310DE3">
        <w:rPr>
          <w:lang w:val="en-US"/>
        </w:rPr>
        <w:t xml:space="preserve"> improved the secondary outcome of OS with a HR of 0.81 (95% CI: 0.64, 1.0</w:t>
      </w:r>
      <w:r w:rsidR="004143BD" w:rsidRPr="00310DE3">
        <w:rPr>
          <w:lang w:val="en-US"/>
        </w:rPr>
        <w:t>3</w:t>
      </w:r>
      <w:r w:rsidR="00937EEC" w:rsidRPr="00310DE3">
        <w:rPr>
          <w:lang w:val="en-US"/>
        </w:rPr>
        <w:t>), although the result was not statistically significant at the pre-specified significance level of 0.0235.</w:t>
      </w:r>
      <w:r w:rsidR="00310DE3" w:rsidRPr="00310DE3">
        <w:rPr>
          <w:lang w:val="en-US"/>
        </w:rPr>
        <w:t xml:space="preserve"> </w:t>
      </w:r>
      <w:r w:rsidR="00937EEC" w:rsidRPr="00310DE3">
        <w:rPr>
          <w:lang w:val="en-US"/>
        </w:rPr>
        <w:t xml:space="preserve">The submission considered </w:t>
      </w:r>
      <w:r w:rsidR="00D237E0">
        <w:rPr>
          <w:lang w:val="en-US"/>
        </w:rPr>
        <w:t xml:space="preserve">that </w:t>
      </w:r>
      <w:r w:rsidR="00937EEC" w:rsidRPr="00310DE3">
        <w:rPr>
          <w:lang w:val="en-US"/>
        </w:rPr>
        <w:t xml:space="preserve">the 6.9-month improvement in median OS in the </w:t>
      </w:r>
      <w:proofErr w:type="spellStart"/>
      <w:r w:rsidR="00937EEC" w:rsidRPr="00310DE3">
        <w:rPr>
          <w:lang w:val="en-US"/>
        </w:rPr>
        <w:t>palbociclib</w:t>
      </w:r>
      <w:proofErr w:type="spellEnd"/>
      <w:r w:rsidR="00937EEC" w:rsidRPr="00310DE3">
        <w:rPr>
          <w:lang w:val="en-US"/>
        </w:rPr>
        <w:t xml:space="preserve"> plus </w:t>
      </w:r>
      <w:proofErr w:type="spellStart"/>
      <w:r w:rsidR="00937EEC" w:rsidRPr="00310DE3">
        <w:rPr>
          <w:lang w:val="en-US"/>
        </w:rPr>
        <w:t>fulvestrant</w:t>
      </w:r>
      <w:proofErr w:type="spellEnd"/>
      <w:r w:rsidR="00937EEC" w:rsidRPr="00310DE3">
        <w:rPr>
          <w:lang w:val="en-US"/>
        </w:rPr>
        <w:t xml:space="preserve"> arm (34.9 months) compared with the placebo plus </w:t>
      </w:r>
      <w:proofErr w:type="spellStart"/>
      <w:r w:rsidR="00937EEC" w:rsidRPr="00310DE3">
        <w:rPr>
          <w:lang w:val="en-US"/>
        </w:rPr>
        <w:t>fulvestrant</w:t>
      </w:r>
      <w:proofErr w:type="spellEnd"/>
      <w:r w:rsidR="00937EEC" w:rsidRPr="00310DE3">
        <w:rPr>
          <w:lang w:val="en-US"/>
        </w:rPr>
        <w:t xml:space="preserve"> arm (28.0 months) </w:t>
      </w:r>
      <w:r w:rsidR="00D237E0">
        <w:rPr>
          <w:lang w:val="en-US"/>
        </w:rPr>
        <w:t xml:space="preserve">was </w:t>
      </w:r>
      <w:r w:rsidR="00937EEC" w:rsidRPr="00310DE3">
        <w:rPr>
          <w:lang w:val="en-US"/>
        </w:rPr>
        <w:t>clinically meaningful.</w:t>
      </w:r>
    </w:p>
    <w:p w14:paraId="379801B4" w14:textId="77777777" w:rsidR="00310DE3" w:rsidRPr="00310DE3" w:rsidRDefault="00937EEC" w:rsidP="00C924FD">
      <w:pPr>
        <w:pStyle w:val="3-BodyText"/>
      </w:pPr>
      <w:r w:rsidRPr="00937EEC">
        <w:rPr>
          <w:lang w:val="en-US"/>
        </w:rPr>
        <w:t>An unplanned</w:t>
      </w:r>
      <w:r w:rsidR="003A3020">
        <w:rPr>
          <w:lang w:val="en-US"/>
        </w:rPr>
        <w:t>,</w:t>
      </w:r>
      <w:r w:rsidRPr="00937EEC">
        <w:rPr>
          <w:lang w:val="en-US"/>
        </w:rPr>
        <w:t xml:space="preserve"> updated OS analysis at a median follow-up of 73 months</w:t>
      </w:r>
      <w:r w:rsidR="00F075EF">
        <w:rPr>
          <w:lang w:val="en-US"/>
        </w:rPr>
        <w:t xml:space="preserve"> reported similar results</w:t>
      </w:r>
      <w:r w:rsidR="00310DE3">
        <w:rPr>
          <w:lang w:val="en-US"/>
        </w:rPr>
        <w:t>.</w:t>
      </w:r>
    </w:p>
    <w:p w14:paraId="2DC90BDE" w14:textId="3F06ED74" w:rsidR="00937EEC" w:rsidRPr="00310DE3" w:rsidRDefault="00310DE3" w:rsidP="00C924FD">
      <w:pPr>
        <w:pStyle w:val="3-BodyText"/>
      </w:pPr>
      <w:r w:rsidRPr="00310DE3">
        <w:rPr>
          <w:rFonts w:cstheme="minorHAnsi"/>
          <w:lang w:val="en-US"/>
        </w:rPr>
        <w:lastRenderedPageBreak/>
        <w:fldChar w:fldCharType="begin"/>
      </w:r>
      <w:r w:rsidRPr="00310DE3">
        <w:rPr>
          <w:rFonts w:cstheme="minorHAnsi"/>
          <w:lang w:val="en-US"/>
        </w:rPr>
        <w:instrText xml:space="preserve"> REF _Ref89949496 \h  \* MERGEFORMAT </w:instrText>
      </w:r>
      <w:r w:rsidRPr="00310DE3">
        <w:rPr>
          <w:rFonts w:cstheme="minorHAnsi"/>
          <w:lang w:val="en-US"/>
        </w:rPr>
      </w:r>
      <w:r w:rsidRPr="00310DE3">
        <w:rPr>
          <w:rFonts w:cstheme="minorHAnsi"/>
          <w:lang w:val="en-US"/>
        </w:rPr>
        <w:fldChar w:fldCharType="separate"/>
      </w:r>
      <w:r w:rsidR="009728EB" w:rsidRPr="009728EB">
        <w:rPr>
          <w:rFonts w:eastAsiaTheme="majorEastAsia" w:cstheme="minorHAnsi"/>
        </w:rPr>
        <w:t xml:space="preserve">Figure </w:t>
      </w:r>
      <w:r w:rsidR="009728EB" w:rsidRPr="009728EB">
        <w:rPr>
          <w:rFonts w:eastAsiaTheme="majorEastAsia" w:cstheme="minorHAnsi"/>
          <w:noProof/>
        </w:rPr>
        <w:t>1</w:t>
      </w:r>
      <w:r w:rsidRPr="00310DE3">
        <w:rPr>
          <w:rFonts w:cstheme="minorHAnsi"/>
          <w:lang w:val="en-US"/>
        </w:rPr>
        <w:fldChar w:fldCharType="end"/>
      </w:r>
      <w:r>
        <w:rPr>
          <w:lang w:val="en-US"/>
        </w:rPr>
        <w:t xml:space="preserve"> and </w:t>
      </w:r>
      <w:r w:rsidRPr="00310DE3">
        <w:rPr>
          <w:rFonts w:ascii="Calibri" w:hAnsi="Calibri" w:cs="Calibri"/>
          <w:lang w:val="en-US"/>
        </w:rPr>
        <w:fldChar w:fldCharType="begin"/>
      </w:r>
      <w:r w:rsidRPr="00310DE3">
        <w:rPr>
          <w:rFonts w:ascii="Calibri" w:hAnsi="Calibri" w:cs="Calibri"/>
          <w:lang w:val="en-US"/>
        </w:rPr>
        <w:instrText xml:space="preserve"> REF _Ref89949644 \h  \* MERGEFORMAT </w:instrText>
      </w:r>
      <w:r w:rsidRPr="00310DE3">
        <w:rPr>
          <w:rFonts w:ascii="Calibri" w:hAnsi="Calibri" w:cs="Calibri"/>
          <w:lang w:val="en-US"/>
        </w:rPr>
      </w:r>
      <w:r w:rsidRPr="00310DE3">
        <w:rPr>
          <w:rFonts w:ascii="Calibri" w:hAnsi="Calibri" w:cs="Calibri"/>
          <w:lang w:val="en-US"/>
        </w:rPr>
        <w:fldChar w:fldCharType="separate"/>
      </w:r>
      <w:r w:rsidR="009728EB" w:rsidRPr="009728EB">
        <w:rPr>
          <w:rFonts w:ascii="Calibri" w:eastAsiaTheme="majorEastAsia" w:hAnsi="Calibri" w:cs="Calibri"/>
        </w:rPr>
        <w:t xml:space="preserve">Figure </w:t>
      </w:r>
      <w:r w:rsidR="009728EB" w:rsidRPr="009728EB">
        <w:rPr>
          <w:rFonts w:ascii="Calibri" w:eastAsiaTheme="majorEastAsia" w:hAnsi="Calibri" w:cs="Calibri"/>
          <w:noProof/>
        </w:rPr>
        <w:t>2</w:t>
      </w:r>
      <w:r w:rsidRPr="00310DE3">
        <w:rPr>
          <w:rFonts w:ascii="Calibri" w:hAnsi="Calibri" w:cs="Calibri"/>
          <w:lang w:val="en-US"/>
        </w:rPr>
        <w:fldChar w:fldCharType="end"/>
      </w:r>
      <w:r>
        <w:rPr>
          <w:lang w:val="en-US"/>
        </w:rPr>
        <w:t xml:space="preserve"> present the Kaplan-Meier plots of PFS and OS for the ITT population respectively.</w:t>
      </w:r>
    </w:p>
    <w:p w14:paraId="28A7FF8F" w14:textId="526C4928" w:rsidR="00310DE3" w:rsidRPr="00937EEC" w:rsidRDefault="00310DE3" w:rsidP="00310DE3">
      <w:pPr>
        <w:keepNext/>
        <w:spacing w:before="20" w:after="20"/>
        <w:jc w:val="left"/>
        <w:rPr>
          <w:rFonts w:ascii="Arial Narrow" w:eastAsiaTheme="majorEastAsia" w:hAnsi="Arial Narrow" w:cstheme="majorBidi"/>
          <w:b/>
          <w:bCs/>
          <w:sz w:val="20"/>
        </w:rPr>
      </w:pPr>
      <w:bookmarkStart w:id="30" w:name="_Ref89949496"/>
      <w:r w:rsidRPr="00937EEC">
        <w:rPr>
          <w:rFonts w:ascii="Arial Narrow" w:eastAsiaTheme="majorEastAsia" w:hAnsi="Arial Narrow" w:cstheme="majorBidi"/>
          <w:b/>
          <w:bCs/>
          <w:sz w:val="20"/>
        </w:rPr>
        <w:t xml:space="preserve">Figure </w:t>
      </w:r>
      <w:r w:rsidRPr="00937EEC">
        <w:rPr>
          <w:rFonts w:ascii="Arial Narrow" w:eastAsiaTheme="majorEastAsia" w:hAnsi="Arial Narrow" w:cstheme="majorBidi"/>
          <w:b/>
          <w:bCs/>
          <w:sz w:val="20"/>
        </w:rPr>
        <w:fldChar w:fldCharType="begin"/>
      </w:r>
      <w:r w:rsidRPr="00937EEC">
        <w:rPr>
          <w:rFonts w:ascii="Arial Narrow" w:eastAsiaTheme="majorEastAsia" w:hAnsi="Arial Narrow" w:cstheme="majorBidi"/>
          <w:b/>
          <w:bCs/>
          <w:sz w:val="20"/>
        </w:rPr>
        <w:instrText xml:space="preserve"> SEQ Figure \* ARABIC </w:instrText>
      </w:r>
      <w:r w:rsidRPr="00937EEC">
        <w:rPr>
          <w:rFonts w:ascii="Arial Narrow" w:eastAsiaTheme="majorEastAsia" w:hAnsi="Arial Narrow" w:cstheme="majorBidi"/>
          <w:b/>
          <w:bCs/>
          <w:sz w:val="20"/>
        </w:rPr>
        <w:fldChar w:fldCharType="separate"/>
      </w:r>
      <w:r w:rsidR="009728EB">
        <w:rPr>
          <w:rFonts w:ascii="Arial Narrow" w:eastAsiaTheme="majorEastAsia" w:hAnsi="Arial Narrow" w:cstheme="majorBidi"/>
          <w:b/>
          <w:bCs/>
          <w:noProof/>
          <w:sz w:val="20"/>
        </w:rPr>
        <w:t>1</w:t>
      </w:r>
      <w:r w:rsidRPr="00937EEC">
        <w:rPr>
          <w:rFonts w:ascii="Arial Narrow" w:eastAsiaTheme="majorEastAsia" w:hAnsi="Arial Narrow" w:cstheme="majorBidi"/>
          <w:b/>
          <w:bCs/>
          <w:noProof/>
          <w:sz w:val="20"/>
        </w:rPr>
        <w:fldChar w:fldCharType="end"/>
      </w:r>
      <w:bookmarkEnd w:id="30"/>
      <w:r w:rsidRPr="00937EEC">
        <w:rPr>
          <w:rFonts w:ascii="Arial Narrow" w:eastAsiaTheme="majorEastAsia" w:hAnsi="Arial Narrow" w:cstheme="majorBidi"/>
          <w:b/>
          <w:bCs/>
          <w:sz w:val="20"/>
        </w:rPr>
        <w:t>: PALOMA-3 – PFS (investigator-assessed) (ITT population)</w:t>
      </w:r>
    </w:p>
    <w:p w14:paraId="5003CAF1" w14:textId="77777777" w:rsidR="00310DE3" w:rsidRPr="00937EEC" w:rsidRDefault="00310DE3" w:rsidP="00310DE3">
      <w:pPr>
        <w:spacing w:before="20" w:after="120"/>
        <w:contextualSpacing/>
        <w:rPr>
          <w:rFonts w:ascii="Arial Narrow" w:eastAsia="Calibri" w:hAnsi="Arial Narrow"/>
          <w:snapToGrid w:val="0"/>
          <w:sz w:val="18"/>
          <w:szCs w:val="22"/>
        </w:rPr>
      </w:pPr>
      <w:r w:rsidRPr="00937EEC">
        <w:rPr>
          <w:rFonts w:ascii="Arial Narrow" w:eastAsia="Calibri" w:hAnsi="Arial Narrow"/>
          <w:noProof/>
          <w:snapToGrid w:val="0"/>
          <w:sz w:val="18"/>
          <w:szCs w:val="22"/>
        </w:rPr>
        <w:drawing>
          <wp:inline distT="0" distB="0" distL="0" distR="0" wp14:anchorId="3438B7CA" wp14:editId="2818D715">
            <wp:extent cx="4444779" cy="2801344"/>
            <wp:effectExtent l="0" t="0" r="0" b="0"/>
            <wp:docPr id="16" name="Picture 16" descr="Figure 1: PALOMA-3 – PFS (investigator-assessed) (ITT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Figure 1: PALOMA-3 – PFS (investigator-assessed) (ITT popul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3234" cy="2806673"/>
                    </a:xfrm>
                    <a:prstGeom prst="rect">
                      <a:avLst/>
                    </a:prstGeom>
                    <a:noFill/>
                  </pic:spPr>
                </pic:pic>
              </a:graphicData>
            </a:graphic>
          </wp:inline>
        </w:drawing>
      </w:r>
    </w:p>
    <w:p w14:paraId="3C8D7005" w14:textId="738E707A" w:rsidR="00310DE3" w:rsidRPr="00937EEC" w:rsidRDefault="00310DE3" w:rsidP="00310DE3">
      <w:pPr>
        <w:spacing w:before="20" w:after="120"/>
        <w:contextualSpacing/>
        <w:rPr>
          <w:rFonts w:ascii="Arial Narrow" w:eastAsia="Calibri" w:hAnsi="Arial Narrow"/>
          <w:snapToGrid w:val="0"/>
          <w:sz w:val="18"/>
          <w:szCs w:val="22"/>
        </w:rPr>
      </w:pPr>
      <w:r w:rsidRPr="00937EEC">
        <w:rPr>
          <w:rFonts w:ascii="Arial Narrow" w:eastAsia="Calibri" w:hAnsi="Arial Narrow"/>
          <w:snapToGrid w:val="0"/>
          <w:sz w:val="18"/>
          <w:szCs w:val="22"/>
        </w:rPr>
        <w:t xml:space="preserve">Source: Figure 1023.560.12, p70 of the Palbociclib (A5481023) Final PSF report (data </w:t>
      </w:r>
      <w:r w:rsidR="00353741" w:rsidRPr="00937EEC">
        <w:rPr>
          <w:rFonts w:ascii="Arial Narrow" w:eastAsia="Calibri" w:hAnsi="Arial Narrow"/>
          <w:snapToGrid w:val="0"/>
          <w:sz w:val="18"/>
          <w:szCs w:val="22"/>
        </w:rPr>
        <w:t>cut-off</w:t>
      </w:r>
      <w:r w:rsidRPr="00937EEC">
        <w:rPr>
          <w:rFonts w:ascii="Arial Narrow" w:eastAsia="Calibri" w:hAnsi="Arial Narrow"/>
          <w:snapToGrid w:val="0"/>
          <w:sz w:val="18"/>
          <w:szCs w:val="22"/>
        </w:rPr>
        <w:t xml:space="preserve"> 23 October 2015) </w:t>
      </w:r>
    </w:p>
    <w:p w14:paraId="190F3BF2" w14:textId="77777777" w:rsidR="00310DE3" w:rsidRPr="00937EEC" w:rsidRDefault="00310DE3" w:rsidP="00310DE3">
      <w:pPr>
        <w:spacing w:before="20" w:after="120"/>
        <w:contextualSpacing/>
        <w:rPr>
          <w:rFonts w:ascii="Arial Narrow" w:eastAsia="Calibri" w:hAnsi="Arial Narrow"/>
          <w:snapToGrid w:val="0"/>
          <w:sz w:val="18"/>
          <w:szCs w:val="22"/>
        </w:rPr>
      </w:pPr>
      <w:r w:rsidRPr="00937EEC">
        <w:rPr>
          <w:rFonts w:ascii="Arial Narrow" w:eastAsia="Calibri" w:hAnsi="Arial Narrow"/>
          <w:snapToGrid w:val="0"/>
          <w:sz w:val="18"/>
          <w:szCs w:val="22"/>
        </w:rPr>
        <w:t>ITT = intention to treat; PFS = progression-free survival</w:t>
      </w:r>
    </w:p>
    <w:p w14:paraId="01D71EBB" w14:textId="77777777" w:rsidR="00310DE3" w:rsidRPr="00937EEC" w:rsidRDefault="00310DE3" w:rsidP="00310DE3"/>
    <w:p w14:paraId="7CB17E08" w14:textId="6BB97BE2" w:rsidR="00937EEC" w:rsidRPr="00937EEC" w:rsidRDefault="00937EEC" w:rsidP="00937EEC">
      <w:pPr>
        <w:keepNext/>
        <w:spacing w:before="20" w:after="20"/>
        <w:jc w:val="left"/>
        <w:rPr>
          <w:rFonts w:ascii="Arial Narrow" w:eastAsiaTheme="majorEastAsia" w:hAnsi="Arial Narrow" w:cstheme="majorBidi"/>
          <w:b/>
          <w:bCs/>
          <w:sz w:val="20"/>
        </w:rPr>
      </w:pPr>
      <w:bookmarkStart w:id="31" w:name="_Ref89949644"/>
      <w:r w:rsidRPr="00937EEC">
        <w:rPr>
          <w:rFonts w:ascii="Arial Narrow" w:eastAsiaTheme="majorEastAsia" w:hAnsi="Arial Narrow" w:cstheme="majorBidi"/>
          <w:b/>
          <w:bCs/>
          <w:sz w:val="20"/>
        </w:rPr>
        <w:lastRenderedPageBreak/>
        <w:t xml:space="preserve">Figure </w:t>
      </w:r>
      <w:r w:rsidRPr="00937EEC">
        <w:rPr>
          <w:rFonts w:ascii="Arial Narrow" w:eastAsiaTheme="majorEastAsia" w:hAnsi="Arial Narrow" w:cstheme="majorBidi"/>
          <w:b/>
          <w:bCs/>
          <w:sz w:val="20"/>
        </w:rPr>
        <w:fldChar w:fldCharType="begin"/>
      </w:r>
      <w:r w:rsidRPr="00937EEC">
        <w:rPr>
          <w:rFonts w:ascii="Arial Narrow" w:eastAsiaTheme="majorEastAsia" w:hAnsi="Arial Narrow" w:cstheme="majorBidi"/>
          <w:b/>
          <w:bCs/>
          <w:sz w:val="20"/>
        </w:rPr>
        <w:instrText xml:space="preserve"> SEQ Figure \* ARABIC </w:instrText>
      </w:r>
      <w:r w:rsidRPr="00937EEC">
        <w:rPr>
          <w:rFonts w:ascii="Arial Narrow" w:eastAsiaTheme="majorEastAsia" w:hAnsi="Arial Narrow" w:cstheme="majorBidi"/>
          <w:b/>
          <w:bCs/>
          <w:sz w:val="20"/>
        </w:rPr>
        <w:fldChar w:fldCharType="separate"/>
      </w:r>
      <w:r w:rsidR="009728EB">
        <w:rPr>
          <w:rFonts w:ascii="Arial Narrow" w:eastAsiaTheme="majorEastAsia" w:hAnsi="Arial Narrow" w:cstheme="majorBidi"/>
          <w:b/>
          <w:bCs/>
          <w:noProof/>
          <w:sz w:val="20"/>
        </w:rPr>
        <w:t>2</w:t>
      </w:r>
      <w:r w:rsidRPr="00937EEC">
        <w:rPr>
          <w:rFonts w:ascii="Arial Narrow" w:eastAsiaTheme="majorEastAsia" w:hAnsi="Arial Narrow" w:cstheme="majorBidi"/>
          <w:b/>
          <w:bCs/>
          <w:noProof/>
          <w:sz w:val="20"/>
        </w:rPr>
        <w:fldChar w:fldCharType="end"/>
      </w:r>
      <w:bookmarkEnd w:id="31"/>
      <w:r w:rsidRPr="00937EEC">
        <w:rPr>
          <w:rFonts w:ascii="Arial Narrow" w:eastAsiaTheme="majorEastAsia" w:hAnsi="Arial Narrow" w:cstheme="majorBidi"/>
          <w:b/>
          <w:bCs/>
          <w:sz w:val="20"/>
        </w:rPr>
        <w:t xml:space="preserve">: Kaplan-Meier plot of overall survival </w:t>
      </w:r>
      <w:r w:rsidR="00540D85">
        <w:rPr>
          <w:rFonts w:ascii="Arial Narrow" w:eastAsiaTheme="majorEastAsia" w:hAnsi="Arial Narrow" w:cstheme="majorBidi"/>
          <w:b/>
          <w:bCs/>
          <w:sz w:val="20"/>
        </w:rPr>
        <w:t xml:space="preserve">(OS) </w:t>
      </w:r>
      <w:r w:rsidRPr="00937EEC">
        <w:rPr>
          <w:rFonts w:ascii="Arial Narrow" w:eastAsiaTheme="majorEastAsia" w:hAnsi="Arial Narrow" w:cstheme="majorBidi"/>
          <w:b/>
          <w:bCs/>
          <w:sz w:val="20"/>
        </w:rPr>
        <w:t>in the PALOMA-3 trial (ITT population)</w:t>
      </w:r>
    </w:p>
    <w:tbl>
      <w:tblPr>
        <w:tblStyle w:val="TableGrid"/>
        <w:tblW w:w="0" w:type="auto"/>
        <w:tblLayout w:type="fixed"/>
        <w:tblLook w:val="04A0" w:firstRow="1" w:lastRow="0" w:firstColumn="1" w:lastColumn="0" w:noHBand="0" w:noVBand="1"/>
      </w:tblPr>
      <w:tblGrid>
        <w:gridCol w:w="9017"/>
      </w:tblGrid>
      <w:tr w:rsidR="00937EEC" w:rsidRPr="00937EEC" w14:paraId="3184AFBB" w14:textId="77777777" w:rsidTr="000E484F">
        <w:trPr>
          <w:trHeight w:val="4941"/>
        </w:trPr>
        <w:tc>
          <w:tcPr>
            <w:tcW w:w="9017" w:type="dxa"/>
          </w:tcPr>
          <w:p w14:paraId="403CF91C" w14:textId="77777777" w:rsidR="00937EEC" w:rsidRPr="00937EEC" w:rsidRDefault="00937EEC" w:rsidP="00937EEC">
            <w:pPr>
              <w:keepNext/>
              <w:spacing w:before="20" w:after="20"/>
              <w:jc w:val="left"/>
              <w:rPr>
                <w:rFonts w:ascii="Arial Narrow" w:eastAsiaTheme="majorEastAsia" w:hAnsi="Arial Narrow" w:cstheme="majorBidi"/>
                <w:bCs/>
                <w:sz w:val="20"/>
              </w:rPr>
            </w:pPr>
            <w:r w:rsidRPr="00937EEC">
              <w:rPr>
                <w:rFonts w:ascii="Arial Narrow" w:eastAsiaTheme="majorEastAsia" w:hAnsi="Arial Narrow" w:cstheme="majorBidi"/>
                <w:bCs/>
                <w:sz w:val="20"/>
              </w:rPr>
              <w:t xml:space="preserve">Figure 2a </w:t>
            </w:r>
          </w:p>
          <w:p w14:paraId="7E2D78EA" w14:textId="77777777" w:rsidR="00937EEC" w:rsidRPr="00937EEC" w:rsidRDefault="00937EEC" w:rsidP="00937EEC">
            <w:pPr>
              <w:keepNext/>
              <w:jc w:val="left"/>
              <w:rPr>
                <w:rFonts w:ascii="Arial Narrow" w:eastAsiaTheme="majorEastAsia" w:hAnsi="Arial Narrow" w:cs="Times New Roman"/>
                <w:b/>
                <w:sz w:val="20"/>
              </w:rPr>
            </w:pPr>
            <w:r w:rsidRPr="00937EEC">
              <w:rPr>
                <w:rFonts w:ascii="Arial Narrow" w:eastAsiaTheme="majorEastAsia" w:hAnsi="Arial Narrow" w:cs="Times New Roman"/>
                <w:b/>
                <w:noProof/>
                <w:sz w:val="20"/>
              </w:rPr>
              <w:drawing>
                <wp:inline distT="0" distB="0" distL="0" distR="0" wp14:anchorId="658DDC6A" wp14:editId="1DDF51FF">
                  <wp:extent cx="3543134" cy="2878657"/>
                  <wp:effectExtent l="0" t="0" r="635" b="0"/>
                  <wp:docPr id="18" name="Picture 18" descr="Figure 2a: Kaplan-Meier plot of overall survival (OS) in the PALOMA-3 trial (ITT popula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Figure 2a: Kaplan-Meier plot of overall survival (OS) in the PALOMA-3 trial (ITT population)&#10;"/>
                          <pic:cNvPicPr/>
                        </pic:nvPicPr>
                        <pic:blipFill>
                          <a:blip r:embed="rId9"/>
                          <a:stretch>
                            <a:fillRect/>
                          </a:stretch>
                        </pic:blipFill>
                        <pic:spPr>
                          <a:xfrm>
                            <a:off x="0" y="0"/>
                            <a:ext cx="3552721" cy="2886446"/>
                          </a:xfrm>
                          <a:prstGeom prst="rect">
                            <a:avLst/>
                          </a:prstGeom>
                          <a:ln>
                            <a:noFill/>
                          </a:ln>
                        </pic:spPr>
                      </pic:pic>
                    </a:graphicData>
                  </a:graphic>
                </wp:inline>
              </w:drawing>
            </w:r>
          </w:p>
        </w:tc>
      </w:tr>
      <w:tr w:rsidR="00937EEC" w:rsidRPr="00937EEC" w14:paraId="6CF4CF13" w14:textId="77777777" w:rsidTr="000E484F">
        <w:trPr>
          <w:trHeight w:val="3912"/>
        </w:trPr>
        <w:tc>
          <w:tcPr>
            <w:tcW w:w="9017" w:type="dxa"/>
          </w:tcPr>
          <w:p w14:paraId="4A566330" w14:textId="77777777" w:rsidR="00937EEC" w:rsidRPr="00937EEC" w:rsidRDefault="00937EEC" w:rsidP="00937EEC">
            <w:pPr>
              <w:keepNext/>
              <w:spacing w:before="20" w:after="20"/>
              <w:jc w:val="left"/>
              <w:rPr>
                <w:rFonts w:ascii="Arial Narrow" w:eastAsiaTheme="majorEastAsia" w:hAnsi="Arial Narrow" w:cstheme="majorBidi"/>
                <w:bCs/>
                <w:sz w:val="20"/>
              </w:rPr>
            </w:pPr>
            <w:r w:rsidRPr="00937EEC">
              <w:rPr>
                <w:rFonts w:ascii="Arial Narrow" w:eastAsiaTheme="majorEastAsia" w:hAnsi="Arial Narrow" w:cstheme="majorBidi"/>
                <w:bCs/>
                <w:sz w:val="20"/>
              </w:rPr>
              <w:t>Figure 2b Updated OS Kaplan Meier Curves (Overlapped with Final Analysis) – unplanned analysis</w:t>
            </w:r>
          </w:p>
          <w:p w14:paraId="6F280280" w14:textId="77777777" w:rsidR="00937EEC" w:rsidRPr="00937EEC" w:rsidRDefault="00937EEC" w:rsidP="00937EEC">
            <w:pPr>
              <w:keepNext/>
              <w:spacing w:before="20" w:after="20"/>
              <w:jc w:val="left"/>
              <w:rPr>
                <w:rFonts w:ascii="Arial Narrow" w:eastAsiaTheme="majorEastAsia" w:hAnsi="Arial Narrow" w:cstheme="majorBidi"/>
                <w:bCs/>
                <w:sz w:val="20"/>
              </w:rPr>
            </w:pPr>
            <w:r w:rsidRPr="00937EEC">
              <w:rPr>
                <w:rFonts w:ascii="Arial Narrow" w:eastAsiaTheme="majorEastAsia" w:hAnsi="Arial Narrow" w:cstheme="majorBidi"/>
                <w:bCs/>
                <w:noProof/>
                <w:sz w:val="20"/>
              </w:rPr>
              <w:drawing>
                <wp:inline distT="0" distB="0" distL="0" distR="0" wp14:anchorId="54ECA83E" wp14:editId="33390337">
                  <wp:extent cx="3536051" cy="2231169"/>
                  <wp:effectExtent l="0" t="0" r="7620" b="0"/>
                  <wp:docPr id="20" name="Picture 20" descr="Figure 2b: Kaplan-Meier plot of overall survival (OS) in the PALOMA-3 trial (ITT population). Updated OS Kaplan Meier Curves (Overlapped with Final Analysis) – unplanned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Figure 2b: Kaplan-Meier plot of overall survival (OS) in the PALOMA-3 trial (ITT population). Updated OS Kaplan Meier Curves (Overlapped with Final Analysis) – unplanned analysi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58810" cy="2245530"/>
                          </a:xfrm>
                          <a:prstGeom prst="rect">
                            <a:avLst/>
                          </a:prstGeom>
                          <a:noFill/>
                          <a:ln w="3175">
                            <a:noFill/>
                          </a:ln>
                        </pic:spPr>
                      </pic:pic>
                    </a:graphicData>
                  </a:graphic>
                </wp:inline>
              </w:drawing>
            </w:r>
          </w:p>
        </w:tc>
      </w:tr>
    </w:tbl>
    <w:p w14:paraId="06B8FF5F" w14:textId="617087A9" w:rsidR="00937EEC" w:rsidRPr="00F56A97" w:rsidRDefault="00937EEC" w:rsidP="00C924FD">
      <w:pPr>
        <w:pStyle w:val="TableFigureFooter"/>
      </w:pPr>
      <w:r w:rsidRPr="00F56A97">
        <w:t xml:space="preserve">Source: Figure 1, p59 in Palbociclib (A5481023) CSR Main Body Abbreviated (data </w:t>
      </w:r>
      <w:r w:rsidR="00353741" w:rsidRPr="00F56A97">
        <w:t>cut-off</w:t>
      </w:r>
      <w:r w:rsidRPr="00F56A97">
        <w:t xml:space="preserve"> 13 April 2018), 19 September 2018; Figure 1 in ‘A5481023 – Updated OS TLS Jan 2021’ included as part of large files with the submission.</w:t>
      </w:r>
    </w:p>
    <w:p w14:paraId="02298F8B" w14:textId="77777777" w:rsidR="00937EEC" w:rsidRPr="00F56A97" w:rsidRDefault="00937EEC" w:rsidP="00C924FD">
      <w:pPr>
        <w:pStyle w:val="TableFigureFooter"/>
      </w:pPr>
      <w:r w:rsidRPr="00F56A97">
        <w:t>CI = confidence interval; HR = hazard ratio; KM = Kaplan-Meier; OS = overall survival</w:t>
      </w:r>
    </w:p>
    <w:p w14:paraId="0F748B89" w14:textId="77777777" w:rsidR="00937EEC" w:rsidRPr="00F56A97" w:rsidRDefault="00937EEC" w:rsidP="00C924FD">
      <w:pPr>
        <w:pStyle w:val="TableFigureFooter"/>
      </w:pPr>
      <w:r w:rsidRPr="00F56A97">
        <w:t>Final analysis for OS was performed in 2018 with 310 events (60% of 521 total randomised patients) based on April 13, 2018 data cut-off.</w:t>
      </w:r>
    </w:p>
    <w:p w14:paraId="0519B78E" w14:textId="77777777" w:rsidR="00937EEC" w:rsidRPr="00937EEC" w:rsidRDefault="00937EEC" w:rsidP="00C924FD">
      <w:pPr>
        <w:pStyle w:val="TableFigureFooter"/>
      </w:pPr>
      <w:r w:rsidRPr="00F56A97">
        <w:t xml:space="preserve">An updated OS analysis (unplanned) was performed in Q4 2020 with 393 events (75% of 521 total randomised patients) based on August 17, 2020 data cut-off </w:t>
      </w:r>
      <w:proofErr w:type="gramStart"/>
      <w:r w:rsidRPr="00F56A97">
        <w:t>in order to</w:t>
      </w:r>
      <w:proofErr w:type="gramEnd"/>
      <w:r w:rsidRPr="00F56A97">
        <w:t xml:space="preserve"> support country level health technology assessment negotiations and provided more mature results as the study team prepared for final study closure.</w:t>
      </w:r>
    </w:p>
    <w:p w14:paraId="186BCBF7" w14:textId="77777777" w:rsidR="009728EB" w:rsidRPr="009728EB" w:rsidRDefault="00937EEC" w:rsidP="009728EB">
      <w:pPr>
        <w:pStyle w:val="3-BodyText"/>
        <w:rPr>
          <w:rFonts w:ascii="Calibri" w:eastAsiaTheme="majorEastAsia" w:hAnsi="Calibri" w:cs="Calibri"/>
        </w:rPr>
      </w:pPr>
      <w:r w:rsidRPr="00081A39">
        <w:rPr>
          <w:rFonts w:ascii="Calibri" w:hAnsi="Calibri" w:cs="Calibri"/>
          <w:lang w:val="en-US"/>
        </w:rPr>
        <w:fldChar w:fldCharType="begin"/>
      </w:r>
      <w:r w:rsidRPr="00081A39">
        <w:rPr>
          <w:rFonts w:ascii="Calibri" w:hAnsi="Calibri" w:cs="Calibri"/>
          <w:lang w:val="en-US"/>
        </w:rPr>
        <w:instrText xml:space="preserve"> REF _Ref90059691 \h </w:instrText>
      </w:r>
      <w:r w:rsidR="00EC6035" w:rsidRPr="00081A39">
        <w:rPr>
          <w:rFonts w:ascii="Calibri" w:hAnsi="Calibri" w:cs="Calibri"/>
          <w:lang w:val="en-US"/>
        </w:rPr>
        <w:instrText xml:space="preserve"> \* MERGEFORMAT </w:instrText>
      </w:r>
      <w:r w:rsidRPr="00081A39">
        <w:rPr>
          <w:rFonts w:ascii="Calibri" w:hAnsi="Calibri" w:cs="Calibri"/>
          <w:lang w:val="en-US"/>
        </w:rPr>
      </w:r>
      <w:r w:rsidRPr="00081A39">
        <w:rPr>
          <w:rFonts w:ascii="Calibri" w:hAnsi="Calibri" w:cs="Calibri"/>
          <w:lang w:val="en-US"/>
        </w:rPr>
        <w:fldChar w:fldCharType="separate"/>
      </w:r>
      <w:r w:rsidR="009728EB" w:rsidRPr="009728EB">
        <w:rPr>
          <w:rFonts w:ascii="Calibri" w:eastAsiaTheme="majorEastAsia" w:hAnsi="Calibri" w:cs="Calibri"/>
        </w:rPr>
        <w:br w:type="page"/>
      </w:r>
    </w:p>
    <w:p w14:paraId="19F34B1D" w14:textId="77777777" w:rsidR="009728EB" w:rsidRPr="009728EB" w:rsidRDefault="009728EB" w:rsidP="009728EB">
      <w:pPr>
        <w:pStyle w:val="3-BodyText"/>
        <w:rPr>
          <w:rFonts w:ascii="Calibri" w:eastAsiaTheme="majorEastAsia" w:hAnsi="Calibri" w:cs="Calibri"/>
        </w:rPr>
      </w:pPr>
      <w:r w:rsidRPr="00937EEC">
        <w:rPr>
          <w:rFonts w:ascii="Arial Narrow" w:eastAsiaTheme="majorEastAsia" w:hAnsi="Arial Narrow" w:cstheme="majorBidi"/>
          <w:b/>
          <w:bCs/>
          <w:sz w:val="20"/>
        </w:rPr>
        <w:lastRenderedPageBreak/>
        <w:t xml:space="preserve">Table </w:t>
      </w:r>
      <w:r w:rsidR="00937EEC" w:rsidRPr="00081A39">
        <w:rPr>
          <w:rFonts w:ascii="Calibri" w:hAnsi="Calibri" w:cs="Calibri"/>
          <w:lang w:val="en-US"/>
        </w:rPr>
        <w:fldChar w:fldCharType="end"/>
      </w:r>
      <w:r w:rsidR="00246AFC">
        <w:rPr>
          <w:rFonts w:ascii="Calibri" w:hAnsi="Calibri" w:cs="Calibri"/>
          <w:lang w:val="en-US"/>
        </w:rPr>
        <w:t>5</w:t>
      </w:r>
      <w:r w:rsidR="00937EEC" w:rsidRPr="00081A39">
        <w:rPr>
          <w:rFonts w:ascii="Calibri" w:hAnsi="Calibri" w:cs="Calibri"/>
          <w:lang w:val="en-US"/>
        </w:rPr>
        <w:t xml:space="preserve"> and </w:t>
      </w:r>
      <w:r w:rsidR="00937EEC" w:rsidRPr="00081A39">
        <w:rPr>
          <w:rFonts w:ascii="Calibri" w:hAnsi="Calibri" w:cs="Calibri"/>
          <w:lang w:val="en-US"/>
        </w:rPr>
        <w:fldChar w:fldCharType="begin"/>
      </w:r>
      <w:r w:rsidR="00937EEC" w:rsidRPr="00081A39">
        <w:rPr>
          <w:rFonts w:ascii="Calibri" w:hAnsi="Calibri" w:cs="Calibri"/>
          <w:lang w:val="en-US"/>
        </w:rPr>
        <w:instrText xml:space="preserve"> REF _Ref90059711 \h </w:instrText>
      </w:r>
      <w:r w:rsidR="00EC6035" w:rsidRPr="00081A39">
        <w:rPr>
          <w:rFonts w:ascii="Calibri" w:hAnsi="Calibri" w:cs="Calibri"/>
          <w:lang w:val="en-US"/>
        </w:rPr>
        <w:instrText xml:space="preserve"> \* MERGEFORMAT </w:instrText>
      </w:r>
      <w:r w:rsidR="00937EEC" w:rsidRPr="00081A39">
        <w:rPr>
          <w:rFonts w:ascii="Calibri" w:hAnsi="Calibri" w:cs="Calibri"/>
          <w:lang w:val="en-US"/>
        </w:rPr>
      </w:r>
      <w:r w:rsidR="00937EEC" w:rsidRPr="00081A39">
        <w:rPr>
          <w:rFonts w:ascii="Calibri" w:hAnsi="Calibri" w:cs="Calibri"/>
          <w:lang w:val="en-US"/>
        </w:rPr>
        <w:fldChar w:fldCharType="separate"/>
      </w:r>
      <w:r w:rsidRPr="009728EB">
        <w:rPr>
          <w:rFonts w:ascii="Calibri" w:eastAsiaTheme="majorEastAsia" w:hAnsi="Calibri" w:cs="Calibri"/>
        </w:rPr>
        <w:br w:type="page"/>
      </w:r>
    </w:p>
    <w:p w14:paraId="53F9682A" w14:textId="6FF4CF83" w:rsidR="00ED2B32" w:rsidRPr="00081A39" w:rsidRDefault="009728EB" w:rsidP="00C924FD">
      <w:pPr>
        <w:pStyle w:val="3-BodyText"/>
      </w:pPr>
      <w:r w:rsidRPr="00937EEC">
        <w:rPr>
          <w:rFonts w:ascii="Arial Narrow" w:eastAsiaTheme="majorEastAsia" w:hAnsi="Arial Narrow" w:cstheme="majorBidi"/>
          <w:b/>
          <w:bCs/>
          <w:sz w:val="20"/>
        </w:rPr>
        <w:lastRenderedPageBreak/>
        <w:t xml:space="preserve">Table </w:t>
      </w:r>
      <w:r>
        <w:rPr>
          <w:rFonts w:ascii="Arial Narrow" w:eastAsiaTheme="majorEastAsia" w:hAnsi="Arial Narrow" w:cstheme="majorBidi"/>
          <w:b/>
          <w:bCs/>
          <w:sz w:val="20"/>
        </w:rPr>
        <w:t>6</w:t>
      </w:r>
      <w:r w:rsidR="00937EEC" w:rsidRPr="00081A39">
        <w:rPr>
          <w:rFonts w:ascii="Calibri" w:hAnsi="Calibri" w:cs="Calibri"/>
          <w:lang w:val="en-US"/>
        </w:rPr>
        <w:fldChar w:fldCharType="end"/>
      </w:r>
      <w:r w:rsidR="00246AFC">
        <w:rPr>
          <w:rFonts w:ascii="Calibri" w:hAnsi="Calibri" w:cs="Calibri"/>
          <w:lang w:val="en-US"/>
        </w:rPr>
        <w:t>6</w:t>
      </w:r>
      <w:r w:rsidR="00937EEC" w:rsidRPr="00081A39">
        <w:rPr>
          <w:rFonts w:ascii="Calibri" w:hAnsi="Calibri" w:cs="Calibri"/>
          <w:lang w:val="en-US"/>
        </w:rPr>
        <w:t xml:space="preserve"> pres</w:t>
      </w:r>
      <w:r w:rsidR="00937EEC" w:rsidRPr="00081A39">
        <w:rPr>
          <w:lang w:val="en-US"/>
        </w:rPr>
        <w:t>ent the indirect comparisons of PFS (investigator-assessed) and OS, respectively from the PALOMA-3, MONALEESA-</w:t>
      </w:r>
      <w:proofErr w:type="gramStart"/>
      <w:r w:rsidR="00937EEC" w:rsidRPr="00081A39">
        <w:rPr>
          <w:lang w:val="en-US"/>
        </w:rPr>
        <w:t>3</w:t>
      </w:r>
      <w:proofErr w:type="gramEnd"/>
      <w:r w:rsidR="00937EEC" w:rsidRPr="00081A39">
        <w:rPr>
          <w:lang w:val="en-US"/>
        </w:rPr>
        <w:t xml:space="preserve"> and MONARCH 2 trials. </w:t>
      </w:r>
    </w:p>
    <w:p w14:paraId="2AAD681C" w14:textId="77F577FE" w:rsidR="00ED2B32" w:rsidRPr="00081A39" w:rsidRDefault="00AB1F4E" w:rsidP="00264833">
      <w:pPr>
        <w:pStyle w:val="3-BodyText"/>
        <w:numPr>
          <w:ilvl w:val="0"/>
          <w:numId w:val="16"/>
        </w:numPr>
        <w:ind w:left="1077" w:hanging="357"/>
      </w:pPr>
      <w:r w:rsidRPr="00081A39">
        <w:rPr>
          <w:lang w:val="en-US"/>
        </w:rPr>
        <w:t>The PBAC ha</w:t>
      </w:r>
      <w:r w:rsidR="0066685B" w:rsidRPr="00081A39">
        <w:rPr>
          <w:lang w:val="en-US"/>
        </w:rPr>
        <w:t>s</w:t>
      </w:r>
      <w:r w:rsidRPr="00081A39">
        <w:rPr>
          <w:lang w:val="en-US"/>
        </w:rPr>
        <w:t xml:space="preserve"> seen the survival outcomes (PFS, OS) from the MONALEESA-3 and the MONARCH 2 trials during </w:t>
      </w:r>
      <w:r w:rsidR="0066685B" w:rsidRPr="00081A39">
        <w:rPr>
          <w:lang w:val="en-US"/>
        </w:rPr>
        <w:t xml:space="preserve">the previous </w:t>
      </w:r>
      <w:r w:rsidRPr="00081A39">
        <w:rPr>
          <w:lang w:val="en-US"/>
        </w:rPr>
        <w:t>consideration</w:t>
      </w:r>
      <w:r w:rsidR="0066685B" w:rsidRPr="00081A39">
        <w:rPr>
          <w:lang w:val="en-US"/>
        </w:rPr>
        <w:t>s</w:t>
      </w:r>
      <w:r w:rsidRPr="00081A39">
        <w:rPr>
          <w:lang w:val="en-US"/>
        </w:rPr>
        <w:t xml:space="preserve"> of </w:t>
      </w:r>
      <w:proofErr w:type="spellStart"/>
      <w:r w:rsidRPr="00081A39">
        <w:rPr>
          <w:lang w:val="en-US"/>
        </w:rPr>
        <w:t>ribociclib</w:t>
      </w:r>
      <w:proofErr w:type="spellEnd"/>
      <w:r w:rsidRPr="00081A39">
        <w:rPr>
          <w:lang w:val="en-US"/>
        </w:rPr>
        <w:t xml:space="preserve"> </w:t>
      </w:r>
      <w:r w:rsidR="0066685B" w:rsidRPr="00081A39">
        <w:rPr>
          <w:lang w:val="en-US"/>
        </w:rPr>
        <w:t xml:space="preserve">(July 2020) </w:t>
      </w:r>
      <w:r w:rsidRPr="00081A39">
        <w:rPr>
          <w:lang w:val="en-US"/>
        </w:rPr>
        <w:t xml:space="preserve">and </w:t>
      </w:r>
      <w:proofErr w:type="spellStart"/>
      <w:r w:rsidRPr="00081A39">
        <w:rPr>
          <w:lang w:val="en-US"/>
        </w:rPr>
        <w:t>abemaciclib</w:t>
      </w:r>
      <w:proofErr w:type="spellEnd"/>
      <w:r w:rsidRPr="00081A39">
        <w:rPr>
          <w:lang w:val="en-US"/>
        </w:rPr>
        <w:t xml:space="preserve"> </w:t>
      </w:r>
      <w:r w:rsidR="0066685B" w:rsidRPr="00081A39">
        <w:rPr>
          <w:lang w:val="en-US"/>
        </w:rPr>
        <w:t>(</w:t>
      </w:r>
      <w:r w:rsidRPr="00081A39">
        <w:rPr>
          <w:lang w:val="en-US"/>
        </w:rPr>
        <w:t>March 2021</w:t>
      </w:r>
      <w:r w:rsidR="0066685B" w:rsidRPr="00081A39">
        <w:rPr>
          <w:lang w:val="en-US"/>
        </w:rPr>
        <w:t>)</w:t>
      </w:r>
      <w:r w:rsidRPr="00081A39">
        <w:rPr>
          <w:lang w:val="en-US"/>
        </w:rPr>
        <w:t xml:space="preserve">. </w:t>
      </w:r>
    </w:p>
    <w:p w14:paraId="6EA10461" w14:textId="0AF2F285" w:rsidR="00ED2B32" w:rsidRPr="00081A39" w:rsidRDefault="00AB1F4E" w:rsidP="00264833">
      <w:pPr>
        <w:pStyle w:val="3-BodyText"/>
        <w:numPr>
          <w:ilvl w:val="0"/>
          <w:numId w:val="16"/>
        </w:numPr>
        <w:ind w:left="1077" w:hanging="357"/>
      </w:pPr>
      <w:r w:rsidRPr="00081A39">
        <w:rPr>
          <w:lang w:val="en-US"/>
        </w:rPr>
        <w:t xml:space="preserve">The PBAC has not </w:t>
      </w:r>
      <w:r w:rsidR="00585770">
        <w:rPr>
          <w:lang w:val="en-US"/>
        </w:rPr>
        <w:t>previously considered data from</w:t>
      </w:r>
      <w:r w:rsidR="00585770" w:rsidRPr="00081A39">
        <w:rPr>
          <w:lang w:val="en-US"/>
        </w:rPr>
        <w:t xml:space="preserve"> </w:t>
      </w:r>
      <w:r w:rsidRPr="00081A39">
        <w:rPr>
          <w:lang w:val="en-US"/>
        </w:rPr>
        <w:t>the more recently published survival follow-up (median 56.3 months) for the MONALEESA-3 trial. PFS2,</w:t>
      </w:r>
      <w:r w:rsidRPr="00081A39">
        <w:t xml:space="preserve"> </w:t>
      </w:r>
      <w:r w:rsidRPr="00081A39">
        <w:rPr>
          <w:lang w:val="en-US"/>
        </w:rPr>
        <w:t xml:space="preserve">a prespecified exploratory endpoint, </w:t>
      </w:r>
      <w:r w:rsidR="00ED2B32" w:rsidRPr="00081A39">
        <w:rPr>
          <w:lang w:val="en-US"/>
        </w:rPr>
        <w:t xml:space="preserve">was </w:t>
      </w:r>
      <w:r w:rsidRPr="00081A39">
        <w:rPr>
          <w:lang w:val="en-US"/>
        </w:rPr>
        <w:t xml:space="preserve">defined as the time from </w:t>
      </w:r>
      <w:proofErr w:type="spellStart"/>
      <w:r w:rsidRPr="00081A39">
        <w:rPr>
          <w:lang w:val="en-US"/>
        </w:rPr>
        <w:t>randomisation</w:t>
      </w:r>
      <w:proofErr w:type="spellEnd"/>
      <w:r w:rsidRPr="00081A39">
        <w:rPr>
          <w:lang w:val="en-US"/>
        </w:rPr>
        <w:t xml:space="preserve"> to the first documented disease progression following discontinuation from study treatment while the patient was receiving next-line therapy (as reported by the investigator) or death from any cause, whichever occurred first</w:t>
      </w:r>
      <w:r w:rsidR="00C5592E" w:rsidRPr="00081A39">
        <w:rPr>
          <w:lang w:val="en-US"/>
        </w:rPr>
        <w:t>.</w:t>
      </w:r>
    </w:p>
    <w:p w14:paraId="46A37038" w14:textId="4FBC1129" w:rsidR="00937EEC" w:rsidRPr="00081A39" w:rsidRDefault="00AB2A30" w:rsidP="00264833">
      <w:pPr>
        <w:pStyle w:val="3-BodyText"/>
        <w:numPr>
          <w:ilvl w:val="0"/>
          <w:numId w:val="16"/>
        </w:numPr>
        <w:ind w:left="1077" w:hanging="357"/>
      </w:pPr>
      <w:r w:rsidRPr="00081A39">
        <w:rPr>
          <w:lang w:val="en-US"/>
        </w:rPr>
        <w:t xml:space="preserve">The MONALEESA-3 trial included treatment-naïve patients (50%) and patients with de novo metastatic disease (19%) with inherently better prognosis and treatment-responsiveness. In contrast, the PALOMA-3 trial only included endocrine-resistant patients. Therefore, the submission presented additional indirect comparison analyses using the prespecified subgroup of patients with endocrine-resistant disease in the MONALEESA-3 trial versus the PALOMA-3 trial (intention-to-treat </w:t>
      </w:r>
      <w:r w:rsidR="00ED1635" w:rsidRPr="00081A39">
        <w:rPr>
          <w:lang w:val="en-US"/>
        </w:rPr>
        <w:t>(</w:t>
      </w:r>
      <w:r w:rsidRPr="00081A39">
        <w:rPr>
          <w:lang w:val="en-US"/>
        </w:rPr>
        <w:t>ITT</w:t>
      </w:r>
      <w:r w:rsidR="00ED1635" w:rsidRPr="00081A39">
        <w:rPr>
          <w:lang w:val="en-US"/>
        </w:rPr>
        <w:t>)</w:t>
      </w:r>
      <w:r w:rsidRPr="00081A39">
        <w:rPr>
          <w:lang w:val="en-US"/>
        </w:rPr>
        <w:t xml:space="preserve"> population). </w:t>
      </w:r>
      <w:r w:rsidR="00315876" w:rsidRPr="00081A39">
        <w:rPr>
          <w:lang w:val="en-US"/>
        </w:rPr>
        <w:t xml:space="preserve">This </w:t>
      </w:r>
      <w:r w:rsidR="00ED1635" w:rsidRPr="00081A39">
        <w:rPr>
          <w:lang w:val="en-US"/>
        </w:rPr>
        <w:t>wa</w:t>
      </w:r>
      <w:r w:rsidR="00315876" w:rsidRPr="00081A39">
        <w:rPr>
          <w:lang w:val="en-US"/>
        </w:rPr>
        <w:t xml:space="preserve">s appropriate. </w:t>
      </w:r>
      <w:r w:rsidR="00133A80" w:rsidRPr="00081A39">
        <w:rPr>
          <w:lang w:val="en-US"/>
        </w:rPr>
        <w:t xml:space="preserve">A similar indirect comparison of </w:t>
      </w:r>
      <w:proofErr w:type="spellStart"/>
      <w:r w:rsidR="00133A80" w:rsidRPr="00081A39">
        <w:rPr>
          <w:lang w:val="en-US"/>
        </w:rPr>
        <w:t>abemaciclib</w:t>
      </w:r>
      <w:proofErr w:type="spellEnd"/>
      <w:r w:rsidR="00133A80" w:rsidRPr="00081A39">
        <w:rPr>
          <w:lang w:val="en-US"/>
        </w:rPr>
        <w:t xml:space="preserve"> versus </w:t>
      </w:r>
      <w:proofErr w:type="spellStart"/>
      <w:r w:rsidR="00133A80" w:rsidRPr="00081A39">
        <w:rPr>
          <w:lang w:val="en-US"/>
        </w:rPr>
        <w:t>ribociclib</w:t>
      </w:r>
      <w:proofErr w:type="spellEnd"/>
      <w:r w:rsidR="00133A80" w:rsidRPr="00081A39">
        <w:rPr>
          <w:lang w:val="en-US"/>
        </w:rPr>
        <w:t xml:space="preserve"> using the endocrine-resistant subgroup in the MONALEESA-3 trial versus the MONARCH 2 (ITT population) was evaluated by the PBAC at </w:t>
      </w:r>
      <w:r w:rsidR="0066685B" w:rsidRPr="00081A39">
        <w:rPr>
          <w:lang w:val="en-US"/>
        </w:rPr>
        <w:t xml:space="preserve">the </w:t>
      </w:r>
      <w:r w:rsidR="00133A80" w:rsidRPr="00081A39">
        <w:rPr>
          <w:lang w:val="en-US"/>
        </w:rPr>
        <w:t xml:space="preserve">March 2021 </w:t>
      </w:r>
      <w:r w:rsidR="0066685B" w:rsidRPr="00081A39">
        <w:rPr>
          <w:lang w:val="en-US"/>
        </w:rPr>
        <w:t>m</w:t>
      </w:r>
      <w:r w:rsidR="00133A80" w:rsidRPr="00081A39">
        <w:rPr>
          <w:lang w:val="en-US"/>
        </w:rPr>
        <w:t>eeting (para</w:t>
      </w:r>
      <w:r w:rsidR="00434AFD">
        <w:rPr>
          <w:lang w:val="en-US"/>
        </w:rPr>
        <w:t>graph</w:t>
      </w:r>
      <w:r w:rsidR="00133A80" w:rsidRPr="00081A39">
        <w:rPr>
          <w:lang w:val="en-US"/>
        </w:rPr>
        <w:t xml:space="preserve"> 6.17, </w:t>
      </w:r>
      <w:proofErr w:type="spellStart"/>
      <w:r w:rsidR="00434AFD">
        <w:rPr>
          <w:lang w:val="en-US"/>
        </w:rPr>
        <w:t>a</w:t>
      </w:r>
      <w:r w:rsidR="00133A80" w:rsidRPr="00081A39">
        <w:rPr>
          <w:lang w:val="en-US"/>
        </w:rPr>
        <w:t>bemaciclib</w:t>
      </w:r>
      <w:proofErr w:type="spellEnd"/>
      <w:r w:rsidR="00133A80" w:rsidRPr="00081A39">
        <w:rPr>
          <w:lang w:val="en-US"/>
        </w:rPr>
        <w:t xml:space="preserve"> PSD, March 2021). </w:t>
      </w:r>
    </w:p>
    <w:p w14:paraId="1AA37363" w14:textId="77777777" w:rsidR="00315876" w:rsidRDefault="00315876">
      <w:pPr>
        <w:jc w:val="left"/>
        <w:rPr>
          <w:rFonts w:ascii="Arial Narrow" w:eastAsiaTheme="majorEastAsia" w:hAnsi="Arial Narrow" w:cstheme="majorBidi"/>
          <w:b/>
          <w:bCs/>
          <w:sz w:val="20"/>
        </w:rPr>
      </w:pPr>
      <w:bookmarkStart w:id="32" w:name="_Ref90059691"/>
      <w:bookmarkStart w:id="33" w:name="_Hlk90293933"/>
      <w:r>
        <w:rPr>
          <w:rFonts w:ascii="Arial Narrow" w:eastAsiaTheme="majorEastAsia" w:hAnsi="Arial Narrow" w:cstheme="majorBidi"/>
          <w:b/>
          <w:bCs/>
          <w:sz w:val="20"/>
        </w:rPr>
        <w:br w:type="page"/>
      </w:r>
    </w:p>
    <w:p w14:paraId="0714DF93" w14:textId="561D2686" w:rsidR="00937EEC" w:rsidRPr="00137858" w:rsidRDefault="00937EEC" w:rsidP="00937EEC">
      <w:pPr>
        <w:keepNext/>
        <w:spacing w:before="20" w:after="20"/>
        <w:jc w:val="left"/>
        <w:rPr>
          <w:rFonts w:ascii="Arial Narrow" w:eastAsiaTheme="majorEastAsia" w:hAnsi="Arial Narrow" w:cstheme="majorBidi"/>
          <w:b/>
          <w:bCs/>
          <w:sz w:val="20"/>
        </w:rPr>
      </w:pPr>
      <w:r w:rsidRPr="00937EEC">
        <w:rPr>
          <w:rFonts w:ascii="Arial Narrow" w:eastAsiaTheme="majorEastAsia" w:hAnsi="Arial Narrow" w:cstheme="majorBidi"/>
          <w:b/>
          <w:bCs/>
          <w:sz w:val="20"/>
        </w:rPr>
        <w:lastRenderedPageBreak/>
        <w:t xml:space="preserve">Table </w:t>
      </w:r>
      <w:bookmarkEnd w:id="32"/>
      <w:r w:rsidR="00246AFC">
        <w:rPr>
          <w:rFonts w:ascii="Arial Narrow" w:eastAsiaTheme="majorEastAsia" w:hAnsi="Arial Narrow" w:cstheme="majorBidi"/>
          <w:b/>
          <w:bCs/>
          <w:sz w:val="20"/>
        </w:rPr>
        <w:t>5</w:t>
      </w:r>
      <w:r w:rsidRPr="00937EEC">
        <w:rPr>
          <w:rFonts w:ascii="Arial Narrow" w:eastAsiaTheme="majorEastAsia" w:hAnsi="Arial Narrow" w:cstheme="majorBidi"/>
          <w:b/>
          <w:bCs/>
          <w:sz w:val="20"/>
        </w:rPr>
        <w:t xml:space="preserve">: </w:t>
      </w:r>
      <w:r w:rsidRPr="00137858">
        <w:rPr>
          <w:rFonts w:ascii="Arial Narrow" w:eastAsiaTheme="majorEastAsia" w:hAnsi="Arial Narrow" w:cstheme="majorBidi"/>
          <w:b/>
          <w:bCs/>
          <w:sz w:val="20"/>
        </w:rPr>
        <w:t>Results of the indirect comparison in the submission – PFS</w:t>
      </w:r>
    </w:p>
    <w:tbl>
      <w:tblPr>
        <w:tblStyle w:val="TableGrid"/>
        <w:tblW w:w="9072" w:type="dxa"/>
        <w:tblInd w:w="-5" w:type="dxa"/>
        <w:tblLayout w:type="fixed"/>
        <w:tblLook w:val="04A0" w:firstRow="1" w:lastRow="0" w:firstColumn="1" w:lastColumn="0" w:noHBand="0" w:noVBand="1"/>
        <w:tblCaption w:val="Table 5: Results of the indirect comparison in the submission – PFS"/>
      </w:tblPr>
      <w:tblGrid>
        <w:gridCol w:w="709"/>
        <w:gridCol w:w="1559"/>
        <w:gridCol w:w="1418"/>
        <w:gridCol w:w="850"/>
        <w:gridCol w:w="851"/>
        <w:gridCol w:w="992"/>
        <w:gridCol w:w="992"/>
        <w:gridCol w:w="1701"/>
      </w:tblGrid>
      <w:tr w:rsidR="00937EEC" w:rsidRPr="00E74253" w14:paraId="4D4775B7" w14:textId="77777777" w:rsidTr="00FF27D1">
        <w:trPr>
          <w:tblHeader/>
        </w:trPr>
        <w:tc>
          <w:tcPr>
            <w:tcW w:w="709" w:type="dxa"/>
            <w:tcBorders>
              <w:bottom w:val="nil"/>
            </w:tcBorders>
            <w:tcMar>
              <w:left w:w="28" w:type="dxa"/>
              <w:right w:w="28" w:type="dxa"/>
            </w:tcMar>
            <w:vAlign w:val="center"/>
          </w:tcPr>
          <w:p w14:paraId="46D1CBF7" w14:textId="77777777" w:rsidR="00937EEC" w:rsidRPr="00E74253" w:rsidRDefault="00937EEC" w:rsidP="00937EEC">
            <w:pPr>
              <w:jc w:val="center"/>
              <w:rPr>
                <w:rFonts w:ascii="Arial Narrow" w:eastAsiaTheme="majorEastAsia" w:hAnsi="Arial Narrow" w:cs="Times New Roman"/>
                <w:b/>
                <w:sz w:val="20"/>
                <w:lang w:val="en-US"/>
              </w:rPr>
            </w:pPr>
          </w:p>
        </w:tc>
        <w:tc>
          <w:tcPr>
            <w:tcW w:w="1559" w:type="dxa"/>
            <w:vMerge w:val="restart"/>
            <w:tcMar>
              <w:left w:w="28" w:type="dxa"/>
              <w:right w:w="28" w:type="dxa"/>
            </w:tcMar>
            <w:vAlign w:val="center"/>
          </w:tcPr>
          <w:p w14:paraId="798A9A18" w14:textId="77777777" w:rsidR="00937EEC" w:rsidRPr="00E74253" w:rsidRDefault="00937EEC" w:rsidP="00937EEC">
            <w:pPr>
              <w:jc w:val="left"/>
              <w:rPr>
                <w:rFonts w:ascii="Arial Narrow" w:eastAsiaTheme="majorEastAsia" w:hAnsi="Arial Narrow" w:cs="Times New Roman"/>
                <w:b/>
                <w:sz w:val="20"/>
                <w:lang w:val="en-US"/>
              </w:rPr>
            </w:pPr>
            <w:r w:rsidRPr="00E74253">
              <w:rPr>
                <w:rFonts w:ascii="Arial Narrow" w:eastAsiaTheme="majorEastAsia" w:hAnsi="Arial Narrow" w:cs="Times New Roman"/>
                <w:b/>
                <w:sz w:val="20"/>
                <w:lang w:val="en-US"/>
              </w:rPr>
              <w:t>Trial</w:t>
            </w:r>
          </w:p>
          <w:p w14:paraId="554682FA" w14:textId="77777777" w:rsidR="00937EEC" w:rsidRPr="00E74253" w:rsidRDefault="00937EEC" w:rsidP="00937EEC">
            <w:pPr>
              <w:jc w:val="left"/>
              <w:rPr>
                <w:rFonts w:ascii="Arial Narrow" w:eastAsiaTheme="majorEastAsia" w:hAnsi="Arial Narrow" w:cs="Times New Roman"/>
                <w:b/>
                <w:sz w:val="20"/>
                <w:lang w:val="en-US"/>
              </w:rPr>
            </w:pPr>
            <w:proofErr w:type="gramStart"/>
            <w:r w:rsidRPr="00E74253">
              <w:rPr>
                <w:rFonts w:ascii="Arial Narrow" w:eastAsiaTheme="majorEastAsia" w:hAnsi="Arial Narrow" w:cs="Times New Roman"/>
                <w:b/>
                <w:sz w:val="20"/>
                <w:lang w:val="en-US"/>
              </w:rPr>
              <w:t>Median</w:t>
            </w:r>
            <w:proofErr w:type="gramEnd"/>
            <w:r w:rsidRPr="00E74253">
              <w:rPr>
                <w:rFonts w:ascii="Arial Narrow" w:eastAsiaTheme="majorEastAsia" w:hAnsi="Arial Narrow" w:cs="Times New Roman"/>
                <w:b/>
                <w:sz w:val="20"/>
                <w:lang w:val="en-US"/>
              </w:rPr>
              <w:t xml:space="preserve"> follow up </w:t>
            </w:r>
          </w:p>
        </w:tc>
        <w:tc>
          <w:tcPr>
            <w:tcW w:w="1418" w:type="dxa"/>
            <w:vMerge w:val="restart"/>
            <w:tcMar>
              <w:left w:w="28" w:type="dxa"/>
              <w:right w:w="28" w:type="dxa"/>
            </w:tcMar>
            <w:vAlign w:val="center"/>
          </w:tcPr>
          <w:p w14:paraId="0D1B9F31" w14:textId="77777777" w:rsidR="00937EEC" w:rsidRPr="00E74253" w:rsidRDefault="00937EEC" w:rsidP="00937EEC">
            <w:pPr>
              <w:jc w:val="left"/>
              <w:rPr>
                <w:rFonts w:ascii="Arial Narrow" w:eastAsiaTheme="majorEastAsia" w:hAnsi="Arial Narrow" w:cs="Times New Roman"/>
                <w:b/>
                <w:sz w:val="20"/>
                <w:lang w:val="en-US"/>
              </w:rPr>
            </w:pPr>
            <w:r w:rsidRPr="00E74253">
              <w:rPr>
                <w:rFonts w:ascii="Arial Narrow" w:eastAsiaTheme="majorEastAsia" w:hAnsi="Arial Narrow" w:cs="Times New Roman"/>
                <w:b/>
                <w:sz w:val="20"/>
                <w:lang w:val="en-US"/>
              </w:rPr>
              <w:t>Comparison</w:t>
            </w:r>
          </w:p>
        </w:tc>
        <w:tc>
          <w:tcPr>
            <w:tcW w:w="1701" w:type="dxa"/>
            <w:gridSpan w:val="2"/>
            <w:shd w:val="clear" w:color="auto" w:fill="auto"/>
            <w:tcMar>
              <w:left w:w="28" w:type="dxa"/>
              <w:right w:w="28" w:type="dxa"/>
            </w:tcMar>
            <w:vAlign w:val="center"/>
          </w:tcPr>
          <w:p w14:paraId="77B6E3A1" w14:textId="77777777" w:rsidR="00937EEC" w:rsidRPr="00E74253" w:rsidRDefault="00937EEC" w:rsidP="00937EEC">
            <w:pPr>
              <w:jc w:val="center"/>
              <w:rPr>
                <w:rFonts w:ascii="Arial Narrow" w:eastAsiaTheme="majorEastAsia" w:hAnsi="Arial Narrow" w:cs="Times New Roman"/>
                <w:b/>
                <w:sz w:val="20"/>
                <w:lang w:val="en-US"/>
              </w:rPr>
            </w:pPr>
            <w:r w:rsidRPr="00E74253">
              <w:rPr>
                <w:rFonts w:ascii="Arial Narrow" w:eastAsiaTheme="majorEastAsia" w:hAnsi="Arial Narrow" w:cs="Times New Roman"/>
                <w:b/>
                <w:sz w:val="20"/>
                <w:lang w:val="en-US"/>
              </w:rPr>
              <w:t>PFS n/N (%)</w:t>
            </w:r>
          </w:p>
        </w:tc>
        <w:tc>
          <w:tcPr>
            <w:tcW w:w="1984" w:type="dxa"/>
            <w:gridSpan w:val="2"/>
            <w:shd w:val="clear" w:color="auto" w:fill="auto"/>
            <w:tcMar>
              <w:left w:w="28" w:type="dxa"/>
              <w:right w:w="28" w:type="dxa"/>
            </w:tcMar>
            <w:vAlign w:val="center"/>
          </w:tcPr>
          <w:p w14:paraId="3E47869B" w14:textId="72B4C106" w:rsidR="00937EEC" w:rsidRPr="00E74253" w:rsidRDefault="00937EEC" w:rsidP="00937EEC">
            <w:pPr>
              <w:jc w:val="center"/>
              <w:rPr>
                <w:rFonts w:ascii="Arial Narrow" w:eastAsiaTheme="majorEastAsia" w:hAnsi="Arial Narrow" w:cs="Times New Roman"/>
                <w:b/>
                <w:sz w:val="20"/>
                <w:lang w:val="en-US"/>
              </w:rPr>
            </w:pPr>
            <w:r w:rsidRPr="00E74253">
              <w:rPr>
                <w:rFonts w:ascii="Arial Narrow" w:eastAsiaTheme="majorEastAsia" w:hAnsi="Arial Narrow" w:cs="Times New Roman"/>
                <w:b/>
                <w:sz w:val="20"/>
                <w:lang w:val="en-US"/>
              </w:rPr>
              <w:t xml:space="preserve">Median PFS </w:t>
            </w:r>
            <w:r w:rsidR="00FF27D1">
              <w:rPr>
                <w:rFonts w:ascii="Arial Narrow" w:eastAsiaTheme="majorEastAsia" w:hAnsi="Arial Narrow" w:cs="Times New Roman"/>
                <w:b/>
                <w:sz w:val="20"/>
                <w:lang w:val="en-US"/>
              </w:rPr>
              <w:br/>
            </w:r>
            <w:r w:rsidRPr="00E74253">
              <w:rPr>
                <w:rFonts w:ascii="Arial Narrow" w:eastAsiaTheme="majorEastAsia" w:hAnsi="Arial Narrow" w:cs="Times New Roman"/>
                <w:b/>
                <w:sz w:val="20"/>
                <w:lang w:val="en-US"/>
              </w:rPr>
              <w:t>(95% CI), months</w:t>
            </w:r>
          </w:p>
        </w:tc>
        <w:tc>
          <w:tcPr>
            <w:tcW w:w="1701" w:type="dxa"/>
            <w:vMerge w:val="restart"/>
            <w:tcMar>
              <w:left w:w="28" w:type="dxa"/>
              <w:right w:w="28" w:type="dxa"/>
            </w:tcMar>
            <w:vAlign w:val="center"/>
          </w:tcPr>
          <w:p w14:paraId="5903D088" w14:textId="77777777" w:rsidR="00937EEC" w:rsidRPr="00E74253" w:rsidRDefault="00937EEC" w:rsidP="00937EEC">
            <w:pPr>
              <w:jc w:val="center"/>
              <w:rPr>
                <w:rFonts w:ascii="Arial Narrow" w:eastAsiaTheme="majorEastAsia" w:hAnsi="Arial Narrow" w:cs="Times New Roman"/>
                <w:b/>
                <w:sz w:val="20"/>
                <w:lang w:val="en-US"/>
              </w:rPr>
            </w:pPr>
            <w:r w:rsidRPr="00E74253">
              <w:rPr>
                <w:rFonts w:ascii="Arial Narrow" w:eastAsiaTheme="majorEastAsia" w:hAnsi="Arial Narrow" w:cs="Times New Roman"/>
                <w:b/>
                <w:sz w:val="20"/>
                <w:lang w:val="en-US"/>
              </w:rPr>
              <w:t xml:space="preserve">HR (95% CI), </w:t>
            </w:r>
          </w:p>
          <w:p w14:paraId="0263E4A6" w14:textId="77777777" w:rsidR="00937EEC" w:rsidRPr="00E74253" w:rsidRDefault="00937EEC" w:rsidP="00937EEC">
            <w:pPr>
              <w:jc w:val="center"/>
              <w:rPr>
                <w:rFonts w:ascii="Arial Narrow" w:eastAsiaTheme="majorEastAsia" w:hAnsi="Arial Narrow" w:cs="Times New Roman"/>
                <w:b/>
                <w:sz w:val="20"/>
                <w:lang w:val="en-US"/>
              </w:rPr>
            </w:pPr>
            <w:r w:rsidRPr="00E74253">
              <w:rPr>
                <w:rFonts w:ascii="Arial Narrow" w:eastAsiaTheme="majorEastAsia" w:hAnsi="Arial Narrow" w:cs="Times New Roman"/>
                <w:b/>
                <w:sz w:val="20"/>
                <w:lang w:val="en-US"/>
              </w:rPr>
              <w:t>p-value</w:t>
            </w:r>
          </w:p>
        </w:tc>
      </w:tr>
      <w:tr w:rsidR="00937EEC" w:rsidRPr="00E74253" w14:paraId="34B1B128" w14:textId="77777777" w:rsidTr="00FF27D1">
        <w:trPr>
          <w:tblHeader/>
        </w:trPr>
        <w:tc>
          <w:tcPr>
            <w:tcW w:w="709" w:type="dxa"/>
            <w:tcBorders>
              <w:top w:val="nil"/>
            </w:tcBorders>
            <w:tcMar>
              <w:left w:w="28" w:type="dxa"/>
              <w:right w:w="28" w:type="dxa"/>
            </w:tcMar>
            <w:vAlign w:val="center"/>
          </w:tcPr>
          <w:p w14:paraId="497BDD47" w14:textId="77777777" w:rsidR="00937EEC" w:rsidRPr="00E74253" w:rsidRDefault="00937EEC" w:rsidP="00937EEC">
            <w:pPr>
              <w:jc w:val="center"/>
              <w:rPr>
                <w:rFonts w:ascii="Arial Narrow" w:eastAsiaTheme="majorEastAsia" w:hAnsi="Arial Narrow" w:cs="Times New Roman"/>
                <w:b/>
                <w:sz w:val="20"/>
                <w:lang w:val="en-US"/>
              </w:rPr>
            </w:pPr>
          </w:p>
        </w:tc>
        <w:tc>
          <w:tcPr>
            <w:tcW w:w="1559" w:type="dxa"/>
            <w:vMerge/>
            <w:tcMar>
              <w:left w:w="28" w:type="dxa"/>
              <w:right w:w="28" w:type="dxa"/>
            </w:tcMar>
            <w:vAlign w:val="center"/>
          </w:tcPr>
          <w:p w14:paraId="2FE4B793" w14:textId="77777777" w:rsidR="00937EEC" w:rsidRPr="00E74253" w:rsidRDefault="00937EEC" w:rsidP="00937EEC">
            <w:pPr>
              <w:jc w:val="left"/>
              <w:rPr>
                <w:rFonts w:ascii="Arial Narrow" w:eastAsiaTheme="majorEastAsia" w:hAnsi="Arial Narrow" w:cs="Times New Roman"/>
                <w:b/>
                <w:sz w:val="20"/>
                <w:lang w:val="en-US"/>
              </w:rPr>
            </w:pPr>
          </w:p>
        </w:tc>
        <w:tc>
          <w:tcPr>
            <w:tcW w:w="1418" w:type="dxa"/>
            <w:vMerge/>
            <w:tcMar>
              <w:left w:w="28" w:type="dxa"/>
              <w:right w:w="28" w:type="dxa"/>
            </w:tcMar>
            <w:vAlign w:val="center"/>
          </w:tcPr>
          <w:p w14:paraId="74634084" w14:textId="77777777" w:rsidR="00937EEC" w:rsidRPr="00E74253" w:rsidRDefault="00937EEC" w:rsidP="00937EEC">
            <w:pPr>
              <w:jc w:val="left"/>
              <w:rPr>
                <w:rFonts w:ascii="Arial Narrow" w:eastAsiaTheme="majorEastAsia" w:hAnsi="Arial Narrow" w:cs="Times New Roman"/>
                <w:b/>
                <w:sz w:val="20"/>
                <w:lang w:val="en-US"/>
              </w:rPr>
            </w:pPr>
          </w:p>
        </w:tc>
        <w:tc>
          <w:tcPr>
            <w:tcW w:w="850" w:type="dxa"/>
            <w:shd w:val="clear" w:color="auto" w:fill="auto"/>
            <w:tcMar>
              <w:left w:w="28" w:type="dxa"/>
              <w:right w:w="28" w:type="dxa"/>
            </w:tcMar>
            <w:vAlign w:val="center"/>
          </w:tcPr>
          <w:p w14:paraId="1EAEF80C" w14:textId="77777777" w:rsidR="00937EEC" w:rsidRPr="00E74253" w:rsidRDefault="00937EEC" w:rsidP="00937EEC">
            <w:pPr>
              <w:jc w:val="center"/>
              <w:rPr>
                <w:rFonts w:ascii="Arial Narrow" w:eastAsiaTheme="majorEastAsia" w:hAnsi="Arial Narrow" w:cs="Times New Roman"/>
                <w:b/>
                <w:sz w:val="20"/>
                <w:lang w:val="en-US"/>
              </w:rPr>
            </w:pPr>
            <w:r w:rsidRPr="00E74253">
              <w:rPr>
                <w:rFonts w:ascii="Arial Narrow" w:eastAsiaTheme="majorEastAsia" w:hAnsi="Arial Narrow" w:cs="Times New Roman"/>
                <w:b/>
                <w:sz w:val="20"/>
                <w:lang w:val="en-US"/>
              </w:rPr>
              <w:t>Test</w:t>
            </w:r>
          </w:p>
        </w:tc>
        <w:tc>
          <w:tcPr>
            <w:tcW w:w="851" w:type="dxa"/>
            <w:shd w:val="clear" w:color="auto" w:fill="auto"/>
            <w:tcMar>
              <w:left w:w="28" w:type="dxa"/>
              <w:right w:w="28" w:type="dxa"/>
            </w:tcMar>
            <w:vAlign w:val="center"/>
          </w:tcPr>
          <w:p w14:paraId="396EB402" w14:textId="77777777" w:rsidR="00937EEC" w:rsidRPr="00E74253" w:rsidRDefault="00937EEC" w:rsidP="00937EEC">
            <w:pPr>
              <w:jc w:val="center"/>
              <w:rPr>
                <w:rFonts w:ascii="Arial Narrow" w:eastAsiaTheme="majorEastAsia" w:hAnsi="Arial Narrow" w:cs="Times New Roman"/>
                <w:b/>
                <w:sz w:val="20"/>
                <w:lang w:val="en-US"/>
              </w:rPr>
            </w:pPr>
            <w:r w:rsidRPr="00E74253">
              <w:rPr>
                <w:rFonts w:ascii="Arial Narrow" w:eastAsiaTheme="majorEastAsia" w:hAnsi="Arial Narrow" w:cs="Times New Roman"/>
                <w:b/>
                <w:sz w:val="20"/>
                <w:lang w:val="en-US"/>
              </w:rPr>
              <w:t>Control</w:t>
            </w:r>
          </w:p>
        </w:tc>
        <w:tc>
          <w:tcPr>
            <w:tcW w:w="992" w:type="dxa"/>
            <w:shd w:val="clear" w:color="auto" w:fill="auto"/>
            <w:tcMar>
              <w:left w:w="28" w:type="dxa"/>
              <w:right w:w="28" w:type="dxa"/>
            </w:tcMar>
            <w:vAlign w:val="center"/>
          </w:tcPr>
          <w:p w14:paraId="66FC8DC9" w14:textId="77777777" w:rsidR="00937EEC" w:rsidRPr="00E74253" w:rsidRDefault="00937EEC" w:rsidP="00937EEC">
            <w:pPr>
              <w:jc w:val="center"/>
              <w:rPr>
                <w:rFonts w:ascii="Arial Narrow" w:eastAsiaTheme="majorEastAsia" w:hAnsi="Arial Narrow" w:cs="Times New Roman"/>
                <w:b/>
                <w:sz w:val="20"/>
                <w:lang w:val="en-US"/>
              </w:rPr>
            </w:pPr>
            <w:r w:rsidRPr="00E74253">
              <w:rPr>
                <w:rFonts w:ascii="Arial Narrow" w:eastAsiaTheme="majorEastAsia" w:hAnsi="Arial Narrow" w:cs="Times New Roman"/>
                <w:b/>
                <w:sz w:val="20"/>
                <w:lang w:val="en-US"/>
              </w:rPr>
              <w:t>Test</w:t>
            </w:r>
          </w:p>
        </w:tc>
        <w:tc>
          <w:tcPr>
            <w:tcW w:w="992" w:type="dxa"/>
            <w:shd w:val="clear" w:color="auto" w:fill="auto"/>
            <w:tcMar>
              <w:left w:w="28" w:type="dxa"/>
              <w:right w:w="28" w:type="dxa"/>
            </w:tcMar>
            <w:vAlign w:val="center"/>
          </w:tcPr>
          <w:p w14:paraId="01D848CA" w14:textId="77777777" w:rsidR="00937EEC" w:rsidRPr="00E74253" w:rsidRDefault="00937EEC" w:rsidP="00937EEC">
            <w:pPr>
              <w:jc w:val="center"/>
              <w:rPr>
                <w:rFonts w:ascii="Arial Narrow" w:eastAsiaTheme="majorEastAsia" w:hAnsi="Arial Narrow" w:cs="Times New Roman"/>
                <w:b/>
                <w:sz w:val="20"/>
                <w:lang w:val="en-US"/>
              </w:rPr>
            </w:pPr>
            <w:r w:rsidRPr="00E74253">
              <w:rPr>
                <w:rFonts w:ascii="Arial Narrow" w:eastAsiaTheme="majorEastAsia" w:hAnsi="Arial Narrow" w:cs="Times New Roman"/>
                <w:b/>
                <w:sz w:val="20"/>
                <w:lang w:val="en-US"/>
              </w:rPr>
              <w:t>Control</w:t>
            </w:r>
          </w:p>
        </w:tc>
        <w:tc>
          <w:tcPr>
            <w:tcW w:w="1701" w:type="dxa"/>
            <w:vMerge/>
            <w:tcMar>
              <w:left w:w="28" w:type="dxa"/>
              <w:right w:w="28" w:type="dxa"/>
            </w:tcMar>
            <w:vAlign w:val="center"/>
          </w:tcPr>
          <w:p w14:paraId="616D2F05" w14:textId="77777777" w:rsidR="00937EEC" w:rsidRPr="00E74253" w:rsidRDefault="00937EEC" w:rsidP="00937EEC">
            <w:pPr>
              <w:jc w:val="center"/>
              <w:rPr>
                <w:rFonts w:ascii="Arial Narrow" w:eastAsiaTheme="majorEastAsia" w:hAnsi="Arial Narrow" w:cs="Times New Roman"/>
                <w:b/>
                <w:sz w:val="20"/>
                <w:lang w:val="en-US"/>
              </w:rPr>
            </w:pPr>
          </w:p>
        </w:tc>
      </w:tr>
      <w:tr w:rsidR="00937EEC" w:rsidRPr="00E74253" w14:paraId="6963BC88" w14:textId="77777777" w:rsidTr="00FF27D1">
        <w:tc>
          <w:tcPr>
            <w:tcW w:w="709" w:type="dxa"/>
            <w:tcMar>
              <w:left w:w="28" w:type="dxa"/>
              <w:right w:w="28" w:type="dxa"/>
            </w:tcMar>
            <w:vAlign w:val="center"/>
          </w:tcPr>
          <w:p w14:paraId="1FE609F3" w14:textId="77777777" w:rsidR="00937EEC" w:rsidRPr="00E74253" w:rsidRDefault="00937EEC" w:rsidP="00937EEC">
            <w:pPr>
              <w:spacing w:before="20" w:after="20"/>
              <w:jc w:val="center"/>
              <w:rPr>
                <w:rFonts w:ascii="Arial Narrow" w:eastAsiaTheme="majorEastAsia" w:hAnsi="Arial Narrow" w:cstheme="majorBidi"/>
                <w:bCs/>
                <w:sz w:val="20"/>
              </w:rPr>
            </w:pPr>
            <w:r w:rsidRPr="00E74253">
              <w:rPr>
                <w:rFonts w:ascii="Arial Narrow" w:eastAsiaTheme="majorEastAsia" w:hAnsi="Arial Narrow" w:cstheme="majorBidi"/>
                <w:bCs/>
                <w:sz w:val="20"/>
              </w:rPr>
              <w:t>A</w:t>
            </w:r>
          </w:p>
        </w:tc>
        <w:tc>
          <w:tcPr>
            <w:tcW w:w="1559" w:type="dxa"/>
            <w:tcMar>
              <w:left w:w="28" w:type="dxa"/>
              <w:right w:w="28" w:type="dxa"/>
            </w:tcMar>
            <w:vAlign w:val="center"/>
          </w:tcPr>
          <w:p w14:paraId="57186E84" w14:textId="77777777" w:rsidR="00937EEC" w:rsidRPr="00E74253" w:rsidRDefault="00937EEC" w:rsidP="00937EEC">
            <w:pPr>
              <w:spacing w:before="20" w:after="20"/>
              <w:jc w:val="left"/>
              <w:rPr>
                <w:rFonts w:ascii="Arial Narrow" w:eastAsiaTheme="majorEastAsia" w:hAnsi="Arial Narrow" w:cstheme="majorBidi"/>
                <w:bCs/>
                <w:sz w:val="20"/>
              </w:rPr>
            </w:pPr>
            <w:r w:rsidRPr="00E74253">
              <w:rPr>
                <w:rFonts w:ascii="Arial Narrow" w:eastAsiaTheme="majorEastAsia" w:hAnsi="Arial Narrow" w:cstheme="majorBidi"/>
                <w:bCs/>
                <w:sz w:val="20"/>
              </w:rPr>
              <w:t xml:space="preserve">PALOMA-3 (ITT), </w:t>
            </w:r>
          </w:p>
          <w:p w14:paraId="5F54A37B" w14:textId="77777777" w:rsidR="00937EEC" w:rsidRPr="00E74253" w:rsidRDefault="00937EEC" w:rsidP="00937EEC">
            <w:pPr>
              <w:spacing w:before="20" w:after="20"/>
              <w:jc w:val="left"/>
              <w:rPr>
                <w:rFonts w:ascii="Arial Narrow" w:eastAsiaTheme="majorEastAsia" w:hAnsi="Arial Narrow" w:cstheme="majorBidi"/>
                <w:bCs/>
                <w:sz w:val="20"/>
              </w:rPr>
            </w:pPr>
            <w:r w:rsidRPr="00E74253">
              <w:rPr>
                <w:rFonts w:ascii="Arial Narrow" w:eastAsiaTheme="majorEastAsia" w:hAnsi="Arial Narrow" w:cstheme="majorBidi"/>
                <w:bCs/>
                <w:sz w:val="20"/>
              </w:rPr>
              <w:t>15.8 months</w:t>
            </w:r>
          </w:p>
        </w:tc>
        <w:tc>
          <w:tcPr>
            <w:tcW w:w="1418" w:type="dxa"/>
            <w:tcMar>
              <w:left w:w="28" w:type="dxa"/>
              <w:right w:w="28" w:type="dxa"/>
            </w:tcMar>
            <w:vAlign w:val="center"/>
          </w:tcPr>
          <w:p w14:paraId="4D10843E" w14:textId="77777777" w:rsidR="00937EEC" w:rsidRPr="00E74253" w:rsidRDefault="00937EEC" w:rsidP="00937EEC">
            <w:pPr>
              <w:spacing w:before="20" w:after="20"/>
              <w:jc w:val="left"/>
              <w:rPr>
                <w:rFonts w:ascii="Arial Narrow" w:eastAsiaTheme="majorEastAsia" w:hAnsi="Arial Narrow" w:cstheme="majorBidi"/>
                <w:bCs/>
                <w:sz w:val="20"/>
              </w:rPr>
            </w:pPr>
            <w:r w:rsidRPr="00E74253">
              <w:rPr>
                <w:rFonts w:ascii="Arial Narrow" w:eastAsiaTheme="majorEastAsia" w:hAnsi="Arial Narrow" w:cstheme="majorBidi"/>
                <w:bCs/>
                <w:sz w:val="20"/>
              </w:rPr>
              <w:t>PAL + FUL vs. PBO + FUL</w:t>
            </w:r>
          </w:p>
        </w:tc>
        <w:tc>
          <w:tcPr>
            <w:tcW w:w="850" w:type="dxa"/>
            <w:shd w:val="clear" w:color="auto" w:fill="auto"/>
            <w:tcMar>
              <w:left w:w="28" w:type="dxa"/>
              <w:right w:w="28" w:type="dxa"/>
            </w:tcMar>
            <w:vAlign w:val="center"/>
          </w:tcPr>
          <w:p w14:paraId="0DAE2135" w14:textId="77777777" w:rsidR="00937EEC" w:rsidRPr="00E74253" w:rsidRDefault="00937EEC" w:rsidP="00937EEC">
            <w:pPr>
              <w:spacing w:before="20" w:after="20"/>
              <w:jc w:val="center"/>
              <w:rPr>
                <w:rFonts w:ascii="Arial Narrow" w:eastAsiaTheme="majorEastAsia" w:hAnsi="Arial Narrow" w:cstheme="majorBidi"/>
                <w:bCs/>
                <w:sz w:val="20"/>
              </w:rPr>
            </w:pPr>
            <w:r w:rsidRPr="00E74253">
              <w:rPr>
                <w:rFonts w:ascii="Arial Narrow" w:eastAsiaTheme="majorEastAsia" w:hAnsi="Arial Narrow" w:cstheme="majorBidi"/>
                <w:bCs/>
                <w:sz w:val="20"/>
              </w:rPr>
              <w:t>200/347 (57.6)</w:t>
            </w:r>
          </w:p>
        </w:tc>
        <w:tc>
          <w:tcPr>
            <w:tcW w:w="851" w:type="dxa"/>
            <w:shd w:val="clear" w:color="auto" w:fill="auto"/>
            <w:tcMar>
              <w:left w:w="28" w:type="dxa"/>
              <w:right w:w="28" w:type="dxa"/>
            </w:tcMar>
            <w:vAlign w:val="center"/>
          </w:tcPr>
          <w:p w14:paraId="6C3CAA32" w14:textId="77777777" w:rsidR="00937EEC" w:rsidRPr="00E74253" w:rsidRDefault="00937EEC" w:rsidP="00937EEC">
            <w:pPr>
              <w:spacing w:before="20" w:after="20"/>
              <w:jc w:val="center"/>
              <w:rPr>
                <w:rFonts w:ascii="Arial Narrow" w:eastAsiaTheme="majorEastAsia" w:hAnsi="Arial Narrow" w:cstheme="majorBidi"/>
                <w:bCs/>
                <w:sz w:val="20"/>
              </w:rPr>
            </w:pPr>
            <w:r w:rsidRPr="00E74253">
              <w:rPr>
                <w:rFonts w:ascii="Arial Narrow" w:eastAsiaTheme="majorEastAsia" w:hAnsi="Arial Narrow" w:cstheme="majorBidi"/>
                <w:bCs/>
                <w:sz w:val="20"/>
              </w:rPr>
              <w:t>133/174 (76.4)</w:t>
            </w:r>
          </w:p>
        </w:tc>
        <w:tc>
          <w:tcPr>
            <w:tcW w:w="992" w:type="dxa"/>
            <w:shd w:val="clear" w:color="auto" w:fill="auto"/>
            <w:tcMar>
              <w:left w:w="28" w:type="dxa"/>
              <w:right w:w="28" w:type="dxa"/>
            </w:tcMar>
            <w:vAlign w:val="center"/>
          </w:tcPr>
          <w:p w14:paraId="6E5A25FD" w14:textId="77777777" w:rsidR="00937EEC" w:rsidRPr="00E74253" w:rsidRDefault="00937EEC" w:rsidP="00937EEC">
            <w:pPr>
              <w:spacing w:before="20" w:after="20"/>
              <w:jc w:val="center"/>
              <w:rPr>
                <w:rFonts w:ascii="Arial Narrow" w:eastAsiaTheme="majorEastAsia" w:hAnsi="Arial Narrow" w:cstheme="majorBidi"/>
                <w:bCs/>
                <w:sz w:val="20"/>
              </w:rPr>
            </w:pPr>
            <w:r w:rsidRPr="00E74253">
              <w:rPr>
                <w:rFonts w:ascii="Arial Narrow" w:eastAsiaTheme="majorEastAsia" w:hAnsi="Arial Narrow" w:cstheme="majorBidi"/>
                <w:bCs/>
                <w:sz w:val="20"/>
              </w:rPr>
              <w:t xml:space="preserve">11.2 </w:t>
            </w:r>
          </w:p>
          <w:p w14:paraId="1370556C" w14:textId="57B7FCBE" w:rsidR="00937EEC" w:rsidRPr="00E74253" w:rsidRDefault="00937EEC" w:rsidP="00937EEC">
            <w:pPr>
              <w:spacing w:before="20" w:after="20"/>
              <w:jc w:val="center"/>
              <w:rPr>
                <w:rFonts w:ascii="Arial Narrow" w:eastAsiaTheme="majorEastAsia" w:hAnsi="Arial Narrow" w:cstheme="majorBidi"/>
                <w:bCs/>
                <w:sz w:val="20"/>
                <w:vertAlign w:val="superscript"/>
              </w:rPr>
            </w:pPr>
            <w:r w:rsidRPr="00E74253">
              <w:rPr>
                <w:rFonts w:ascii="Arial Narrow" w:eastAsiaTheme="majorEastAsia" w:hAnsi="Arial Narrow" w:cstheme="majorBidi"/>
                <w:bCs/>
                <w:sz w:val="20"/>
              </w:rPr>
              <w:t xml:space="preserve">(9.5, </w:t>
            </w:r>
            <w:proofErr w:type="gramStart"/>
            <w:r w:rsidRPr="00E74253">
              <w:rPr>
                <w:rFonts w:ascii="Arial Narrow" w:eastAsiaTheme="majorEastAsia" w:hAnsi="Arial Narrow" w:cstheme="majorBidi"/>
                <w:bCs/>
                <w:sz w:val="20"/>
              </w:rPr>
              <w:t>12.9)</w:t>
            </w:r>
            <w:r w:rsidR="00A53741" w:rsidRPr="00E74253">
              <w:rPr>
                <w:rFonts w:ascii="Arial Narrow" w:eastAsiaTheme="majorEastAsia" w:hAnsi="Arial Narrow" w:cstheme="majorBidi"/>
                <w:bCs/>
                <w:sz w:val="20"/>
                <w:vertAlign w:val="superscript"/>
              </w:rPr>
              <w:t>a</w:t>
            </w:r>
            <w:proofErr w:type="gramEnd"/>
          </w:p>
        </w:tc>
        <w:tc>
          <w:tcPr>
            <w:tcW w:w="992" w:type="dxa"/>
            <w:shd w:val="clear" w:color="auto" w:fill="auto"/>
            <w:tcMar>
              <w:left w:w="28" w:type="dxa"/>
              <w:right w:w="28" w:type="dxa"/>
            </w:tcMar>
            <w:vAlign w:val="center"/>
          </w:tcPr>
          <w:p w14:paraId="5789C31C" w14:textId="77777777" w:rsidR="00937EEC" w:rsidRPr="00E74253" w:rsidRDefault="00937EEC" w:rsidP="00937EEC">
            <w:pPr>
              <w:spacing w:before="20" w:after="20"/>
              <w:jc w:val="center"/>
              <w:rPr>
                <w:rFonts w:ascii="Arial Narrow" w:eastAsiaTheme="majorEastAsia" w:hAnsi="Arial Narrow" w:cstheme="majorBidi"/>
                <w:bCs/>
                <w:sz w:val="20"/>
              </w:rPr>
            </w:pPr>
            <w:r w:rsidRPr="00E74253">
              <w:rPr>
                <w:rFonts w:ascii="Arial Narrow" w:eastAsiaTheme="majorEastAsia" w:hAnsi="Arial Narrow" w:cstheme="majorBidi"/>
                <w:bCs/>
                <w:sz w:val="20"/>
              </w:rPr>
              <w:t xml:space="preserve">4.6 </w:t>
            </w:r>
          </w:p>
          <w:p w14:paraId="5B0EEFD3" w14:textId="54844E75" w:rsidR="00937EEC" w:rsidRPr="00E74253" w:rsidRDefault="00937EEC" w:rsidP="00937EEC">
            <w:pPr>
              <w:spacing w:before="20" w:after="20"/>
              <w:jc w:val="center"/>
              <w:rPr>
                <w:rFonts w:ascii="Arial Narrow" w:eastAsiaTheme="majorEastAsia" w:hAnsi="Arial Narrow" w:cstheme="majorBidi"/>
                <w:bCs/>
                <w:sz w:val="20"/>
                <w:vertAlign w:val="superscript"/>
              </w:rPr>
            </w:pPr>
            <w:r w:rsidRPr="00E74253">
              <w:rPr>
                <w:rFonts w:ascii="Arial Narrow" w:eastAsiaTheme="majorEastAsia" w:hAnsi="Arial Narrow" w:cstheme="majorBidi"/>
                <w:bCs/>
                <w:sz w:val="20"/>
              </w:rPr>
              <w:t xml:space="preserve">(3.5, </w:t>
            </w:r>
            <w:proofErr w:type="gramStart"/>
            <w:r w:rsidRPr="00E74253">
              <w:rPr>
                <w:rFonts w:ascii="Arial Narrow" w:eastAsiaTheme="majorEastAsia" w:hAnsi="Arial Narrow" w:cstheme="majorBidi"/>
                <w:bCs/>
                <w:sz w:val="20"/>
              </w:rPr>
              <w:t>5.6)</w:t>
            </w:r>
            <w:r w:rsidR="00A53741" w:rsidRPr="00E74253">
              <w:rPr>
                <w:rFonts w:ascii="Arial Narrow" w:eastAsiaTheme="majorEastAsia" w:hAnsi="Arial Narrow" w:cstheme="majorBidi"/>
                <w:bCs/>
                <w:sz w:val="20"/>
                <w:vertAlign w:val="superscript"/>
              </w:rPr>
              <w:t>a</w:t>
            </w:r>
            <w:proofErr w:type="gramEnd"/>
          </w:p>
        </w:tc>
        <w:tc>
          <w:tcPr>
            <w:tcW w:w="1701" w:type="dxa"/>
            <w:shd w:val="clear" w:color="auto" w:fill="auto"/>
            <w:tcMar>
              <w:left w:w="28" w:type="dxa"/>
              <w:right w:w="28" w:type="dxa"/>
            </w:tcMar>
            <w:vAlign w:val="center"/>
          </w:tcPr>
          <w:p w14:paraId="671345A5" w14:textId="22ADB7F0" w:rsidR="00937EEC" w:rsidRPr="00E74253" w:rsidRDefault="00937EEC" w:rsidP="00937EEC">
            <w:pPr>
              <w:spacing w:before="20" w:after="20"/>
              <w:jc w:val="center"/>
              <w:rPr>
                <w:rFonts w:ascii="Arial Narrow" w:eastAsiaTheme="majorEastAsia" w:hAnsi="Arial Narrow" w:cstheme="majorBidi"/>
                <w:bCs/>
                <w:sz w:val="20"/>
              </w:rPr>
            </w:pPr>
            <w:r w:rsidRPr="00E74253">
              <w:rPr>
                <w:rFonts w:ascii="Arial Narrow" w:eastAsiaTheme="majorEastAsia" w:hAnsi="Arial Narrow" w:cstheme="majorBidi"/>
                <w:bCs/>
                <w:sz w:val="20"/>
              </w:rPr>
              <w:t xml:space="preserve">0.50 (0.40, </w:t>
            </w:r>
            <w:proofErr w:type="gramStart"/>
            <w:r w:rsidRPr="00E74253">
              <w:rPr>
                <w:rFonts w:ascii="Arial Narrow" w:eastAsiaTheme="majorEastAsia" w:hAnsi="Arial Narrow" w:cstheme="majorBidi"/>
                <w:bCs/>
                <w:sz w:val="20"/>
              </w:rPr>
              <w:t>0.62)</w:t>
            </w:r>
            <w:r w:rsidR="00B83BF3" w:rsidRPr="00E74253">
              <w:rPr>
                <w:rFonts w:ascii="Arial Narrow" w:eastAsiaTheme="majorEastAsia" w:hAnsi="Arial Narrow" w:cstheme="majorBidi"/>
                <w:bCs/>
                <w:sz w:val="20"/>
                <w:vertAlign w:val="superscript"/>
              </w:rPr>
              <w:t>b</w:t>
            </w:r>
            <w:proofErr w:type="gramEnd"/>
            <w:r w:rsidRPr="00E74253">
              <w:rPr>
                <w:rFonts w:ascii="Arial Narrow" w:eastAsiaTheme="majorEastAsia" w:hAnsi="Arial Narrow" w:cstheme="majorBidi"/>
                <w:bCs/>
                <w:sz w:val="20"/>
              </w:rPr>
              <w:t>, p&lt;0.0000</w:t>
            </w:r>
            <w:r w:rsidR="00A53741" w:rsidRPr="00E74253">
              <w:rPr>
                <w:rFonts w:ascii="Arial Narrow" w:eastAsiaTheme="majorEastAsia" w:hAnsi="Arial Narrow" w:cstheme="majorBidi"/>
                <w:bCs/>
                <w:sz w:val="20"/>
                <w:vertAlign w:val="superscript"/>
              </w:rPr>
              <w:t>c</w:t>
            </w:r>
          </w:p>
        </w:tc>
      </w:tr>
      <w:tr w:rsidR="00937EEC" w:rsidRPr="00E74253" w14:paraId="0540EFE5" w14:textId="77777777" w:rsidTr="00FF27D1">
        <w:tc>
          <w:tcPr>
            <w:tcW w:w="709" w:type="dxa"/>
            <w:tcMar>
              <w:left w:w="28" w:type="dxa"/>
              <w:right w:w="28" w:type="dxa"/>
            </w:tcMar>
            <w:vAlign w:val="center"/>
          </w:tcPr>
          <w:p w14:paraId="32449555" w14:textId="77777777" w:rsidR="00937EEC" w:rsidRPr="00E74253" w:rsidRDefault="00937EEC" w:rsidP="00937EEC">
            <w:pPr>
              <w:spacing w:before="20" w:after="20"/>
              <w:jc w:val="center"/>
              <w:rPr>
                <w:rFonts w:ascii="Arial Narrow" w:eastAsiaTheme="majorEastAsia" w:hAnsi="Arial Narrow" w:cstheme="majorBidi"/>
                <w:bCs/>
                <w:sz w:val="20"/>
              </w:rPr>
            </w:pPr>
            <w:r w:rsidRPr="00E74253">
              <w:rPr>
                <w:rFonts w:ascii="Arial Narrow" w:eastAsiaTheme="majorEastAsia" w:hAnsi="Arial Narrow" w:cstheme="majorBidi"/>
                <w:bCs/>
                <w:sz w:val="20"/>
              </w:rPr>
              <w:t>B</w:t>
            </w:r>
          </w:p>
        </w:tc>
        <w:tc>
          <w:tcPr>
            <w:tcW w:w="1559" w:type="dxa"/>
            <w:tcMar>
              <w:left w:w="28" w:type="dxa"/>
              <w:right w:w="28" w:type="dxa"/>
            </w:tcMar>
            <w:vAlign w:val="center"/>
          </w:tcPr>
          <w:p w14:paraId="0C21B540" w14:textId="77777777" w:rsidR="00937EEC" w:rsidRPr="00E74253" w:rsidRDefault="00937EEC" w:rsidP="00937EEC">
            <w:pPr>
              <w:spacing w:before="20" w:after="20"/>
              <w:jc w:val="left"/>
              <w:rPr>
                <w:rFonts w:ascii="Arial Narrow" w:eastAsiaTheme="majorEastAsia" w:hAnsi="Arial Narrow" w:cstheme="majorBidi"/>
                <w:bCs/>
                <w:sz w:val="20"/>
              </w:rPr>
            </w:pPr>
            <w:r w:rsidRPr="00E74253">
              <w:rPr>
                <w:rFonts w:ascii="Arial Narrow" w:eastAsiaTheme="majorEastAsia" w:hAnsi="Arial Narrow" w:cstheme="majorBidi"/>
                <w:bCs/>
                <w:sz w:val="20"/>
              </w:rPr>
              <w:t xml:space="preserve">MONALEESA-3 (ITT), </w:t>
            </w:r>
          </w:p>
          <w:p w14:paraId="043303CA" w14:textId="77777777" w:rsidR="00937EEC" w:rsidRPr="00E74253" w:rsidRDefault="00937EEC" w:rsidP="00937EEC">
            <w:pPr>
              <w:spacing w:before="20" w:after="20"/>
              <w:jc w:val="left"/>
              <w:rPr>
                <w:rFonts w:ascii="Arial Narrow" w:eastAsiaTheme="majorEastAsia" w:hAnsi="Arial Narrow" w:cstheme="majorBidi"/>
                <w:bCs/>
                <w:sz w:val="20"/>
              </w:rPr>
            </w:pPr>
            <w:r w:rsidRPr="00E74253">
              <w:rPr>
                <w:rFonts w:ascii="Arial Narrow" w:eastAsiaTheme="majorEastAsia" w:hAnsi="Arial Narrow" w:cstheme="majorBidi"/>
                <w:bCs/>
                <w:sz w:val="20"/>
              </w:rPr>
              <w:t>39.4 months</w:t>
            </w:r>
          </w:p>
        </w:tc>
        <w:tc>
          <w:tcPr>
            <w:tcW w:w="1418" w:type="dxa"/>
            <w:vMerge w:val="restart"/>
            <w:tcMar>
              <w:left w:w="28" w:type="dxa"/>
              <w:right w:w="28" w:type="dxa"/>
            </w:tcMar>
            <w:vAlign w:val="center"/>
          </w:tcPr>
          <w:p w14:paraId="3424FDF4" w14:textId="77777777" w:rsidR="00937EEC" w:rsidRPr="00E74253" w:rsidRDefault="00937EEC" w:rsidP="00937EEC">
            <w:pPr>
              <w:spacing w:before="20" w:after="20"/>
              <w:jc w:val="left"/>
              <w:rPr>
                <w:rFonts w:ascii="Arial Narrow" w:eastAsiaTheme="majorEastAsia" w:hAnsi="Arial Narrow" w:cstheme="majorBidi"/>
                <w:bCs/>
                <w:sz w:val="20"/>
              </w:rPr>
            </w:pPr>
            <w:r w:rsidRPr="00E74253">
              <w:rPr>
                <w:rFonts w:ascii="Arial Narrow" w:eastAsiaTheme="majorEastAsia" w:hAnsi="Arial Narrow" w:cstheme="majorBidi"/>
                <w:bCs/>
                <w:sz w:val="20"/>
              </w:rPr>
              <w:t>RIB + FUL vs. PBO + FUL</w:t>
            </w:r>
          </w:p>
        </w:tc>
        <w:tc>
          <w:tcPr>
            <w:tcW w:w="850" w:type="dxa"/>
            <w:shd w:val="clear" w:color="auto" w:fill="auto"/>
            <w:tcMar>
              <w:left w:w="28" w:type="dxa"/>
              <w:right w:w="28" w:type="dxa"/>
            </w:tcMar>
            <w:vAlign w:val="center"/>
          </w:tcPr>
          <w:p w14:paraId="0A2F3B82" w14:textId="77777777" w:rsidR="00937EEC" w:rsidRPr="00E74253" w:rsidRDefault="00937EEC" w:rsidP="00937EEC">
            <w:pPr>
              <w:spacing w:before="20" w:after="20"/>
              <w:jc w:val="center"/>
              <w:rPr>
                <w:rFonts w:ascii="Arial Narrow" w:eastAsiaTheme="majorEastAsia" w:hAnsi="Arial Narrow" w:cstheme="majorBidi"/>
                <w:bCs/>
                <w:sz w:val="20"/>
              </w:rPr>
            </w:pPr>
            <w:r w:rsidRPr="00E74253">
              <w:rPr>
                <w:rFonts w:ascii="Arial Narrow" w:eastAsiaTheme="majorEastAsia" w:hAnsi="Arial Narrow" w:cstheme="majorBidi"/>
                <w:bCs/>
                <w:sz w:val="20"/>
              </w:rPr>
              <w:t>283/484 (58.5)</w:t>
            </w:r>
          </w:p>
        </w:tc>
        <w:tc>
          <w:tcPr>
            <w:tcW w:w="851" w:type="dxa"/>
            <w:shd w:val="clear" w:color="auto" w:fill="auto"/>
            <w:tcMar>
              <w:left w:w="28" w:type="dxa"/>
              <w:right w:w="28" w:type="dxa"/>
            </w:tcMar>
            <w:vAlign w:val="center"/>
          </w:tcPr>
          <w:p w14:paraId="510A90BD" w14:textId="77777777" w:rsidR="00937EEC" w:rsidRPr="00E74253" w:rsidRDefault="00937EEC" w:rsidP="00937EEC">
            <w:pPr>
              <w:spacing w:before="20" w:after="20"/>
              <w:jc w:val="center"/>
              <w:rPr>
                <w:rFonts w:ascii="Arial Narrow" w:eastAsiaTheme="majorEastAsia" w:hAnsi="Arial Narrow" w:cstheme="majorBidi"/>
                <w:bCs/>
                <w:sz w:val="20"/>
              </w:rPr>
            </w:pPr>
            <w:r w:rsidRPr="00E74253">
              <w:rPr>
                <w:rFonts w:ascii="Arial Narrow" w:eastAsiaTheme="majorEastAsia" w:hAnsi="Arial Narrow" w:cstheme="majorBidi"/>
                <w:bCs/>
                <w:sz w:val="20"/>
              </w:rPr>
              <w:t>193/242 (79.8)</w:t>
            </w:r>
          </w:p>
        </w:tc>
        <w:tc>
          <w:tcPr>
            <w:tcW w:w="992" w:type="dxa"/>
            <w:shd w:val="clear" w:color="auto" w:fill="auto"/>
            <w:tcMar>
              <w:left w:w="28" w:type="dxa"/>
              <w:right w:w="28" w:type="dxa"/>
            </w:tcMar>
            <w:vAlign w:val="center"/>
          </w:tcPr>
          <w:p w14:paraId="1D5F8A70" w14:textId="77777777" w:rsidR="00937EEC" w:rsidRPr="00E74253" w:rsidRDefault="00937EEC" w:rsidP="00937EEC">
            <w:pPr>
              <w:spacing w:before="20" w:after="20"/>
              <w:jc w:val="center"/>
              <w:rPr>
                <w:rFonts w:ascii="Arial Narrow" w:eastAsiaTheme="majorEastAsia" w:hAnsi="Arial Narrow" w:cstheme="majorBidi"/>
                <w:bCs/>
                <w:sz w:val="20"/>
              </w:rPr>
            </w:pPr>
            <w:r w:rsidRPr="00E74253">
              <w:rPr>
                <w:rFonts w:ascii="Arial Narrow" w:eastAsiaTheme="majorEastAsia" w:hAnsi="Arial Narrow" w:cstheme="majorBidi"/>
                <w:bCs/>
                <w:sz w:val="20"/>
              </w:rPr>
              <w:t>20.6</w:t>
            </w:r>
          </w:p>
        </w:tc>
        <w:tc>
          <w:tcPr>
            <w:tcW w:w="992" w:type="dxa"/>
            <w:shd w:val="clear" w:color="auto" w:fill="auto"/>
            <w:tcMar>
              <w:left w:w="28" w:type="dxa"/>
              <w:right w:w="28" w:type="dxa"/>
            </w:tcMar>
            <w:vAlign w:val="center"/>
          </w:tcPr>
          <w:p w14:paraId="754EB41D" w14:textId="77777777" w:rsidR="00937EEC" w:rsidRPr="00E74253" w:rsidRDefault="00937EEC" w:rsidP="00937EEC">
            <w:pPr>
              <w:spacing w:before="20" w:after="20"/>
              <w:jc w:val="center"/>
              <w:rPr>
                <w:rFonts w:ascii="Arial Narrow" w:eastAsiaTheme="majorEastAsia" w:hAnsi="Arial Narrow" w:cstheme="majorBidi"/>
                <w:bCs/>
                <w:sz w:val="20"/>
              </w:rPr>
            </w:pPr>
            <w:r w:rsidRPr="00E74253">
              <w:rPr>
                <w:rFonts w:ascii="Arial Narrow" w:eastAsiaTheme="majorEastAsia" w:hAnsi="Arial Narrow" w:cstheme="majorBidi"/>
                <w:bCs/>
                <w:sz w:val="20"/>
              </w:rPr>
              <w:t>12.8</w:t>
            </w:r>
          </w:p>
        </w:tc>
        <w:tc>
          <w:tcPr>
            <w:tcW w:w="1701" w:type="dxa"/>
            <w:shd w:val="clear" w:color="auto" w:fill="auto"/>
            <w:tcMar>
              <w:left w:w="28" w:type="dxa"/>
              <w:right w:w="28" w:type="dxa"/>
            </w:tcMar>
            <w:vAlign w:val="center"/>
          </w:tcPr>
          <w:p w14:paraId="6760BD09" w14:textId="3AB9DF39" w:rsidR="00937EEC" w:rsidRPr="00E74253" w:rsidRDefault="00937EEC" w:rsidP="00937EEC">
            <w:pPr>
              <w:spacing w:before="20" w:after="20"/>
              <w:jc w:val="center"/>
              <w:rPr>
                <w:rFonts w:ascii="Arial Narrow" w:eastAsiaTheme="majorEastAsia" w:hAnsi="Arial Narrow" w:cstheme="majorBidi"/>
                <w:bCs/>
                <w:sz w:val="20"/>
              </w:rPr>
            </w:pPr>
            <w:r w:rsidRPr="00E74253">
              <w:rPr>
                <w:rFonts w:ascii="Arial Narrow" w:eastAsiaTheme="majorEastAsia" w:hAnsi="Arial Narrow" w:cstheme="majorBidi"/>
                <w:b/>
                <w:sz w:val="20"/>
              </w:rPr>
              <w:t xml:space="preserve">0.59 (0.49, </w:t>
            </w:r>
            <w:proofErr w:type="gramStart"/>
            <w:r w:rsidRPr="00E74253">
              <w:rPr>
                <w:rFonts w:ascii="Arial Narrow" w:eastAsiaTheme="majorEastAsia" w:hAnsi="Arial Narrow" w:cstheme="majorBidi"/>
                <w:b/>
                <w:sz w:val="20"/>
              </w:rPr>
              <w:t>0.71)</w:t>
            </w:r>
            <w:r w:rsidR="00C67565" w:rsidRPr="00E74253">
              <w:rPr>
                <w:rFonts w:ascii="Arial Narrow" w:eastAsiaTheme="majorEastAsia" w:hAnsi="Arial Narrow" w:cstheme="majorBidi"/>
                <w:b/>
                <w:sz w:val="20"/>
                <w:vertAlign w:val="superscript"/>
              </w:rPr>
              <w:t>d</w:t>
            </w:r>
            <w:proofErr w:type="gramEnd"/>
            <w:r w:rsidRPr="00E74253">
              <w:rPr>
                <w:rFonts w:ascii="Arial Narrow" w:eastAsiaTheme="majorEastAsia" w:hAnsi="Arial Narrow" w:cstheme="majorBidi"/>
                <w:b/>
                <w:sz w:val="20"/>
              </w:rPr>
              <w:t>,</w:t>
            </w:r>
            <w:r w:rsidRPr="00E74253">
              <w:rPr>
                <w:rFonts w:ascii="Arial Narrow" w:eastAsiaTheme="majorEastAsia" w:hAnsi="Arial Narrow" w:cstheme="majorBidi"/>
                <w:bCs/>
                <w:sz w:val="20"/>
              </w:rPr>
              <w:t xml:space="preserve"> p&lt;0.0001</w:t>
            </w:r>
          </w:p>
        </w:tc>
      </w:tr>
      <w:tr w:rsidR="00937EEC" w:rsidRPr="00E74253" w14:paraId="36BFF018" w14:textId="77777777" w:rsidTr="00FF27D1">
        <w:tc>
          <w:tcPr>
            <w:tcW w:w="709" w:type="dxa"/>
            <w:tcMar>
              <w:left w:w="28" w:type="dxa"/>
              <w:right w:w="28" w:type="dxa"/>
            </w:tcMar>
            <w:vAlign w:val="center"/>
          </w:tcPr>
          <w:p w14:paraId="273FCDB4" w14:textId="77777777" w:rsidR="00937EEC" w:rsidRPr="00E74253" w:rsidRDefault="00937EEC" w:rsidP="00937EEC">
            <w:pPr>
              <w:spacing w:before="20" w:after="20"/>
              <w:jc w:val="center"/>
              <w:rPr>
                <w:rFonts w:ascii="Arial Narrow" w:eastAsiaTheme="majorEastAsia" w:hAnsi="Arial Narrow" w:cstheme="majorBidi"/>
                <w:sz w:val="20"/>
              </w:rPr>
            </w:pPr>
            <w:r w:rsidRPr="00E74253">
              <w:rPr>
                <w:rFonts w:ascii="Arial Narrow" w:eastAsiaTheme="majorEastAsia" w:hAnsi="Arial Narrow" w:cstheme="majorBidi"/>
                <w:sz w:val="20"/>
              </w:rPr>
              <w:t>C</w:t>
            </w:r>
          </w:p>
        </w:tc>
        <w:tc>
          <w:tcPr>
            <w:tcW w:w="1559" w:type="dxa"/>
            <w:tcMar>
              <w:left w:w="28" w:type="dxa"/>
              <w:right w:w="28" w:type="dxa"/>
            </w:tcMar>
            <w:vAlign w:val="center"/>
          </w:tcPr>
          <w:p w14:paraId="55C33DFE" w14:textId="39F14C86" w:rsidR="00937EEC" w:rsidRPr="00E74253" w:rsidRDefault="00937EEC" w:rsidP="00937EEC">
            <w:pPr>
              <w:spacing w:before="20" w:after="20"/>
              <w:jc w:val="left"/>
              <w:rPr>
                <w:rFonts w:ascii="Arial Narrow" w:eastAsiaTheme="majorEastAsia" w:hAnsi="Arial Narrow" w:cstheme="majorBidi"/>
                <w:sz w:val="20"/>
              </w:rPr>
            </w:pPr>
            <w:r w:rsidRPr="00E74253">
              <w:rPr>
                <w:rFonts w:ascii="Arial Narrow" w:eastAsiaTheme="majorEastAsia" w:hAnsi="Arial Narrow" w:cstheme="majorBidi"/>
                <w:sz w:val="20"/>
              </w:rPr>
              <w:t>MONALEESA-3 (</w:t>
            </w:r>
            <w:proofErr w:type="spellStart"/>
            <w:r w:rsidRPr="00E74253">
              <w:rPr>
                <w:rFonts w:ascii="Arial Narrow" w:eastAsiaTheme="majorEastAsia" w:hAnsi="Arial Narrow" w:cstheme="majorBidi"/>
                <w:sz w:val="20"/>
              </w:rPr>
              <w:t>ER</w:t>
            </w:r>
            <w:r w:rsidR="00B83BF3" w:rsidRPr="00E74253">
              <w:rPr>
                <w:rFonts w:ascii="Arial Narrow" w:eastAsiaTheme="majorEastAsia" w:hAnsi="Arial Narrow" w:cstheme="majorBidi"/>
                <w:sz w:val="20"/>
                <w:vertAlign w:val="superscript"/>
              </w:rPr>
              <w:t>e</w:t>
            </w:r>
            <w:proofErr w:type="spellEnd"/>
            <w:r w:rsidRPr="00E74253">
              <w:rPr>
                <w:rFonts w:ascii="Arial Narrow" w:eastAsiaTheme="majorEastAsia" w:hAnsi="Arial Narrow" w:cstheme="majorBidi"/>
                <w:sz w:val="20"/>
              </w:rPr>
              <w:t xml:space="preserve">) </w:t>
            </w:r>
          </w:p>
          <w:p w14:paraId="3E2E1DAE" w14:textId="77777777" w:rsidR="00937EEC" w:rsidRPr="00E74253" w:rsidRDefault="00937EEC" w:rsidP="00937EEC">
            <w:pPr>
              <w:spacing w:before="20" w:after="20"/>
              <w:jc w:val="left"/>
              <w:rPr>
                <w:rFonts w:ascii="Arial Narrow" w:eastAsiaTheme="majorEastAsia" w:hAnsi="Arial Narrow" w:cstheme="majorBidi"/>
                <w:sz w:val="20"/>
              </w:rPr>
            </w:pPr>
            <w:r w:rsidRPr="00E74253">
              <w:rPr>
                <w:rFonts w:ascii="Arial Narrow" w:eastAsiaTheme="majorEastAsia" w:hAnsi="Arial Narrow" w:cstheme="majorBidi"/>
                <w:sz w:val="20"/>
              </w:rPr>
              <w:t>39.4 months</w:t>
            </w:r>
          </w:p>
        </w:tc>
        <w:tc>
          <w:tcPr>
            <w:tcW w:w="1418" w:type="dxa"/>
            <w:vMerge/>
            <w:tcMar>
              <w:left w:w="28" w:type="dxa"/>
              <w:right w:w="28" w:type="dxa"/>
            </w:tcMar>
            <w:vAlign w:val="center"/>
          </w:tcPr>
          <w:p w14:paraId="0A355EFA" w14:textId="77777777" w:rsidR="00937EEC" w:rsidRPr="00E74253" w:rsidRDefault="00937EEC" w:rsidP="00937EEC">
            <w:pPr>
              <w:spacing w:before="20" w:after="20"/>
              <w:jc w:val="left"/>
              <w:rPr>
                <w:rFonts w:ascii="Arial Narrow" w:eastAsiaTheme="majorEastAsia" w:hAnsi="Arial Narrow" w:cstheme="majorBidi"/>
                <w:bCs/>
                <w:sz w:val="20"/>
              </w:rPr>
            </w:pPr>
          </w:p>
        </w:tc>
        <w:tc>
          <w:tcPr>
            <w:tcW w:w="850" w:type="dxa"/>
            <w:shd w:val="clear" w:color="auto" w:fill="auto"/>
            <w:tcMar>
              <w:left w:w="28" w:type="dxa"/>
              <w:right w:w="28" w:type="dxa"/>
            </w:tcMar>
            <w:vAlign w:val="center"/>
          </w:tcPr>
          <w:p w14:paraId="3C894A3A" w14:textId="77777777" w:rsidR="00937EEC" w:rsidRPr="00E74253" w:rsidRDefault="00937EEC" w:rsidP="00937EEC">
            <w:pPr>
              <w:spacing w:before="20" w:after="20"/>
              <w:jc w:val="center"/>
              <w:rPr>
                <w:rFonts w:ascii="Arial Narrow" w:eastAsiaTheme="majorEastAsia" w:hAnsi="Arial Narrow" w:cstheme="majorBidi"/>
                <w:bCs/>
                <w:sz w:val="20"/>
              </w:rPr>
            </w:pPr>
            <w:r w:rsidRPr="00E74253">
              <w:rPr>
                <w:rFonts w:ascii="Arial Narrow" w:eastAsiaTheme="majorEastAsia" w:hAnsi="Arial Narrow" w:cstheme="majorBidi"/>
                <w:bCs/>
                <w:sz w:val="20"/>
              </w:rPr>
              <w:t>167/237 (70.5)</w:t>
            </w:r>
          </w:p>
        </w:tc>
        <w:tc>
          <w:tcPr>
            <w:tcW w:w="851" w:type="dxa"/>
            <w:shd w:val="clear" w:color="auto" w:fill="auto"/>
            <w:tcMar>
              <w:left w:w="28" w:type="dxa"/>
              <w:right w:w="28" w:type="dxa"/>
            </w:tcMar>
            <w:vAlign w:val="center"/>
          </w:tcPr>
          <w:p w14:paraId="79F16FC1" w14:textId="77777777" w:rsidR="00937EEC" w:rsidRPr="00E74253" w:rsidRDefault="00937EEC" w:rsidP="00937EEC">
            <w:pPr>
              <w:spacing w:before="20" w:after="20"/>
              <w:jc w:val="center"/>
              <w:rPr>
                <w:rFonts w:ascii="Arial Narrow" w:eastAsiaTheme="majorEastAsia" w:hAnsi="Arial Narrow" w:cstheme="majorBidi"/>
                <w:bCs/>
                <w:sz w:val="20"/>
              </w:rPr>
            </w:pPr>
            <w:r w:rsidRPr="00E74253">
              <w:rPr>
                <w:rFonts w:ascii="Arial Narrow" w:eastAsiaTheme="majorEastAsia" w:hAnsi="Arial Narrow" w:cstheme="majorBidi"/>
                <w:bCs/>
                <w:sz w:val="20"/>
              </w:rPr>
              <w:t>95/109 (87.2)</w:t>
            </w:r>
          </w:p>
        </w:tc>
        <w:tc>
          <w:tcPr>
            <w:tcW w:w="992" w:type="dxa"/>
            <w:shd w:val="clear" w:color="auto" w:fill="auto"/>
            <w:tcMar>
              <w:left w:w="28" w:type="dxa"/>
              <w:right w:w="28" w:type="dxa"/>
            </w:tcMar>
            <w:vAlign w:val="center"/>
          </w:tcPr>
          <w:p w14:paraId="3E593367" w14:textId="77777777" w:rsidR="00937EEC" w:rsidRPr="00E74253" w:rsidRDefault="00937EEC" w:rsidP="00937EEC">
            <w:pPr>
              <w:spacing w:before="20" w:after="20"/>
              <w:jc w:val="center"/>
              <w:rPr>
                <w:rFonts w:ascii="Arial Narrow" w:eastAsiaTheme="majorEastAsia" w:hAnsi="Arial Narrow" w:cstheme="majorBidi"/>
                <w:bCs/>
                <w:sz w:val="20"/>
              </w:rPr>
            </w:pPr>
            <w:r w:rsidRPr="00E74253">
              <w:rPr>
                <w:rFonts w:ascii="Arial Narrow" w:eastAsiaTheme="majorEastAsia" w:hAnsi="Arial Narrow" w:cstheme="majorBidi"/>
                <w:bCs/>
                <w:sz w:val="20"/>
              </w:rPr>
              <w:t>14.6</w:t>
            </w:r>
          </w:p>
        </w:tc>
        <w:tc>
          <w:tcPr>
            <w:tcW w:w="992" w:type="dxa"/>
            <w:shd w:val="clear" w:color="auto" w:fill="auto"/>
            <w:tcMar>
              <w:left w:w="28" w:type="dxa"/>
              <w:right w:w="28" w:type="dxa"/>
            </w:tcMar>
            <w:vAlign w:val="center"/>
          </w:tcPr>
          <w:p w14:paraId="7F15CCA8" w14:textId="77777777" w:rsidR="00937EEC" w:rsidRPr="00E74253" w:rsidRDefault="00937EEC" w:rsidP="00937EEC">
            <w:pPr>
              <w:spacing w:before="20" w:after="20"/>
              <w:jc w:val="center"/>
              <w:rPr>
                <w:rFonts w:ascii="Arial Narrow" w:eastAsiaTheme="majorEastAsia" w:hAnsi="Arial Narrow" w:cstheme="majorBidi"/>
                <w:bCs/>
                <w:sz w:val="20"/>
              </w:rPr>
            </w:pPr>
            <w:r w:rsidRPr="00E74253">
              <w:rPr>
                <w:rFonts w:ascii="Arial Narrow" w:eastAsiaTheme="majorEastAsia" w:hAnsi="Arial Narrow" w:cstheme="majorBidi"/>
                <w:bCs/>
                <w:sz w:val="20"/>
              </w:rPr>
              <w:t>9.1</w:t>
            </w:r>
          </w:p>
        </w:tc>
        <w:tc>
          <w:tcPr>
            <w:tcW w:w="1701" w:type="dxa"/>
            <w:shd w:val="clear" w:color="auto" w:fill="auto"/>
            <w:tcMar>
              <w:left w:w="28" w:type="dxa"/>
              <w:right w:w="28" w:type="dxa"/>
            </w:tcMar>
            <w:vAlign w:val="center"/>
          </w:tcPr>
          <w:p w14:paraId="02594BDC" w14:textId="542A3BDB" w:rsidR="00937EEC" w:rsidRPr="00E74253" w:rsidRDefault="00937EEC" w:rsidP="00937EEC">
            <w:pPr>
              <w:spacing w:before="20" w:after="20"/>
              <w:jc w:val="center"/>
              <w:rPr>
                <w:rFonts w:ascii="Arial Narrow" w:eastAsiaTheme="majorEastAsia" w:hAnsi="Arial Narrow" w:cstheme="majorBidi"/>
                <w:bCs/>
                <w:sz w:val="20"/>
              </w:rPr>
            </w:pPr>
            <w:r w:rsidRPr="00E74253">
              <w:rPr>
                <w:rFonts w:ascii="Arial Narrow" w:eastAsiaTheme="majorEastAsia" w:hAnsi="Arial Narrow" w:cstheme="majorBidi"/>
                <w:b/>
                <w:sz w:val="20"/>
              </w:rPr>
              <w:t xml:space="preserve">0.57 (0.44, </w:t>
            </w:r>
            <w:proofErr w:type="gramStart"/>
            <w:r w:rsidRPr="00E74253">
              <w:rPr>
                <w:rFonts w:ascii="Arial Narrow" w:eastAsiaTheme="majorEastAsia" w:hAnsi="Arial Narrow" w:cstheme="majorBidi"/>
                <w:b/>
                <w:sz w:val="20"/>
              </w:rPr>
              <w:t>0.74</w:t>
            </w:r>
            <w:r w:rsidR="00226541" w:rsidRPr="00E74253">
              <w:rPr>
                <w:rFonts w:ascii="Arial Narrow" w:eastAsiaTheme="majorEastAsia" w:hAnsi="Arial Narrow" w:cstheme="majorBidi"/>
                <w:b/>
                <w:sz w:val="20"/>
              </w:rPr>
              <w:t>)</w:t>
            </w:r>
            <w:r w:rsidR="00C67565" w:rsidRPr="00E74253">
              <w:rPr>
                <w:rFonts w:ascii="Arial Narrow" w:eastAsiaTheme="majorEastAsia" w:hAnsi="Arial Narrow" w:cstheme="majorBidi"/>
                <w:b/>
                <w:sz w:val="20"/>
                <w:vertAlign w:val="superscript"/>
              </w:rPr>
              <w:t>d</w:t>
            </w:r>
            <w:proofErr w:type="gramEnd"/>
            <w:r w:rsidRPr="00E74253">
              <w:rPr>
                <w:rFonts w:ascii="Arial Narrow" w:eastAsiaTheme="majorEastAsia" w:hAnsi="Arial Narrow" w:cstheme="majorBidi"/>
                <w:b/>
                <w:sz w:val="20"/>
              </w:rPr>
              <w:t>,</w:t>
            </w:r>
            <w:r w:rsidRPr="00E74253">
              <w:rPr>
                <w:rFonts w:ascii="Arial Narrow" w:eastAsiaTheme="majorEastAsia" w:hAnsi="Arial Narrow" w:cstheme="majorBidi"/>
                <w:bCs/>
                <w:sz w:val="20"/>
              </w:rPr>
              <w:t xml:space="preserve"> p&lt;0.0000</w:t>
            </w:r>
          </w:p>
        </w:tc>
      </w:tr>
      <w:tr w:rsidR="00937EEC" w:rsidRPr="00E74253" w14:paraId="5C55AB1D" w14:textId="77777777" w:rsidTr="00FF27D1">
        <w:tc>
          <w:tcPr>
            <w:tcW w:w="709" w:type="dxa"/>
            <w:tcMar>
              <w:left w:w="28" w:type="dxa"/>
              <w:right w:w="28" w:type="dxa"/>
            </w:tcMar>
            <w:vAlign w:val="center"/>
          </w:tcPr>
          <w:p w14:paraId="7C6A92E6" w14:textId="77777777" w:rsidR="00937EEC" w:rsidRPr="00E74253" w:rsidRDefault="00937EEC" w:rsidP="00937EEC">
            <w:pPr>
              <w:spacing w:before="20" w:after="20"/>
              <w:jc w:val="center"/>
              <w:rPr>
                <w:rFonts w:ascii="Arial Narrow" w:eastAsiaTheme="majorEastAsia" w:hAnsi="Arial Narrow" w:cstheme="majorBidi"/>
                <w:sz w:val="20"/>
              </w:rPr>
            </w:pPr>
            <w:r w:rsidRPr="00E74253">
              <w:rPr>
                <w:rFonts w:ascii="Arial Narrow" w:eastAsiaTheme="majorEastAsia" w:hAnsi="Arial Narrow" w:cstheme="majorBidi"/>
                <w:sz w:val="20"/>
              </w:rPr>
              <w:t>D</w:t>
            </w:r>
          </w:p>
        </w:tc>
        <w:tc>
          <w:tcPr>
            <w:tcW w:w="1559" w:type="dxa"/>
            <w:tcMar>
              <w:left w:w="28" w:type="dxa"/>
              <w:right w:w="28" w:type="dxa"/>
            </w:tcMar>
            <w:vAlign w:val="center"/>
          </w:tcPr>
          <w:p w14:paraId="1F926BA8" w14:textId="57602115" w:rsidR="00937EEC" w:rsidRPr="00E74253" w:rsidRDefault="00937EEC" w:rsidP="00937EEC">
            <w:pPr>
              <w:spacing w:before="20" w:after="20"/>
              <w:jc w:val="left"/>
              <w:rPr>
                <w:rFonts w:ascii="Arial Narrow" w:eastAsiaTheme="majorEastAsia" w:hAnsi="Arial Narrow" w:cstheme="majorBidi"/>
                <w:bCs/>
                <w:sz w:val="20"/>
                <w:vertAlign w:val="superscript"/>
              </w:rPr>
            </w:pPr>
            <w:r w:rsidRPr="00E74253">
              <w:rPr>
                <w:rFonts w:ascii="Arial Narrow" w:eastAsiaTheme="majorEastAsia" w:hAnsi="Arial Narrow" w:cstheme="majorBidi"/>
                <w:bCs/>
                <w:sz w:val="20"/>
              </w:rPr>
              <w:t xml:space="preserve">MONALEESA-3 (ITT), </w:t>
            </w:r>
            <w:r w:rsidR="009B188D" w:rsidRPr="00E74253">
              <w:rPr>
                <w:rFonts w:ascii="Arial Narrow" w:eastAsiaTheme="majorEastAsia" w:hAnsi="Arial Narrow" w:cstheme="majorBidi"/>
                <w:bCs/>
                <w:sz w:val="20"/>
              </w:rPr>
              <w:t>PFS2</w:t>
            </w:r>
            <w:r w:rsidR="00B83BF3" w:rsidRPr="00E74253">
              <w:rPr>
                <w:rFonts w:ascii="Arial Narrow" w:eastAsiaTheme="majorEastAsia" w:hAnsi="Arial Narrow" w:cstheme="majorBidi"/>
                <w:bCs/>
                <w:sz w:val="20"/>
                <w:vertAlign w:val="superscript"/>
              </w:rPr>
              <w:t>f</w:t>
            </w:r>
          </w:p>
          <w:p w14:paraId="4F38C74D" w14:textId="77777777" w:rsidR="00937EEC" w:rsidRPr="00E74253" w:rsidRDefault="00937EEC" w:rsidP="00937EEC">
            <w:pPr>
              <w:spacing w:before="20" w:after="20"/>
              <w:jc w:val="left"/>
              <w:rPr>
                <w:rFonts w:ascii="Arial Narrow" w:eastAsiaTheme="majorEastAsia" w:hAnsi="Arial Narrow" w:cstheme="majorBidi"/>
                <w:sz w:val="20"/>
              </w:rPr>
            </w:pPr>
            <w:r w:rsidRPr="00E74253">
              <w:rPr>
                <w:rFonts w:ascii="Arial Narrow" w:eastAsiaTheme="majorEastAsia" w:hAnsi="Arial Narrow" w:cstheme="majorBidi"/>
                <w:bCs/>
                <w:sz w:val="20"/>
              </w:rPr>
              <w:t>56.3 months</w:t>
            </w:r>
          </w:p>
        </w:tc>
        <w:tc>
          <w:tcPr>
            <w:tcW w:w="1418" w:type="dxa"/>
            <w:vMerge/>
            <w:tcMar>
              <w:left w:w="28" w:type="dxa"/>
              <w:right w:w="28" w:type="dxa"/>
            </w:tcMar>
            <w:vAlign w:val="center"/>
          </w:tcPr>
          <w:p w14:paraId="5042A273" w14:textId="77777777" w:rsidR="00937EEC" w:rsidRPr="00E74253" w:rsidRDefault="00937EEC" w:rsidP="00937EEC">
            <w:pPr>
              <w:spacing w:before="20" w:after="20"/>
              <w:jc w:val="left"/>
              <w:rPr>
                <w:rFonts w:ascii="Arial Narrow" w:eastAsiaTheme="majorEastAsia" w:hAnsi="Arial Narrow" w:cstheme="majorBidi"/>
                <w:bCs/>
                <w:sz w:val="20"/>
              </w:rPr>
            </w:pPr>
          </w:p>
        </w:tc>
        <w:tc>
          <w:tcPr>
            <w:tcW w:w="850" w:type="dxa"/>
            <w:shd w:val="clear" w:color="auto" w:fill="auto"/>
            <w:tcMar>
              <w:left w:w="28" w:type="dxa"/>
              <w:right w:w="28" w:type="dxa"/>
            </w:tcMar>
            <w:vAlign w:val="center"/>
          </w:tcPr>
          <w:p w14:paraId="275EE893" w14:textId="1AD4D6F2" w:rsidR="00937EEC" w:rsidRPr="00E74253" w:rsidRDefault="00937EEC" w:rsidP="00937EEC">
            <w:pPr>
              <w:spacing w:before="20" w:after="20"/>
              <w:jc w:val="center"/>
              <w:rPr>
                <w:rFonts w:ascii="Arial Narrow" w:eastAsiaTheme="majorEastAsia" w:hAnsi="Arial Narrow" w:cstheme="majorBidi"/>
                <w:bCs/>
                <w:sz w:val="20"/>
              </w:rPr>
            </w:pPr>
            <w:r w:rsidRPr="00E74253">
              <w:rPr>
                <w:rFonts w:ascii="Arial Narrow" w:eastAsiaTheme="majorEastAsia" w:hAnsi="Arial Narrow" w:cstheme="majorBidi"/>
                <w:bCs/>
                <w:sz w:val="20"/>
              </w:rPr>
              <w:t>265/484 (54.8)</w:t>
            </w:r>
          </w:p>
        </w:tc>
        <w:tc>
          <w:tcPr>
            <w:tcW w:w="851" w:type="dxa"/>
            <w:shd w:val="clear" w:color="auto" w:fill="auto"/>
            <w:tcMar>
              <w:left w:w="28" w:type="dxa"/>
              <w:right w:w="28" w:type="dxa"/>
            </w:tcMar>
            <w:vAlign w:val="center"/>
          </w:tcPr>
          <w:p w14:paraId="7F0D1E39" w14:textId="77777777" w:rsidR="00937EEC" w:rsidRPr="00E74253" w:rsidRDefault="00937EEC" w:rsidP="00937EEC">
            <w:pPr>
              <w:spacing w:before="20" w:after="20"/>
              <w:jc w:val="center"/>
              <w:rPr>
                <w:rFonts w:ascii="Arial Narrow" w:eastAsiaTheme="majorEastAsia" w:hAnsi="Arial Narrow" w:cstheme="majorBidi"/>
                <w:bCs/>
                <w:sz w:val="20"/>
              </w:rPr>
            </w:pPr>
            <w:r w:rsidRPr="00E74253">
              <w:rPr>
                <w:rFonts w:ascii="Arial Narrow" w:eastAsiaTheme="majorEastAsia" w:hAnsi="Arial Narrow" w:cstheme="majorBidi"/>
                <w:bCs/>
                <w:sz w:val="20"/>
              </w:rPr>
              <w:t>163/242 (67.4)</w:t>
            </w:r>
          </w:p>
        </w:tc>
        <w:tc>
          <w:tcPr>
            <w:tcW w:w="992" w:type="dxa"/>
            <w:shd w:val="clear" w:color="auto" w:fill="auto"/>
            <w:tcMar>
              <w:left w:w="28" w:type="dxa"/>
              <w:right w:w="28" w:type="dxa"/>
            </w:tcMar>
            <w:vAlign w:val="center"/>
          </w:tcPr>
          <w:p w14:paraId="7E0CEC9E" w14:textId="77777777" w:rsidR="001E1321" w:rsidRPr="00E74253" w:rsidRDefault="00937EEC" w:rsidP="00937EEC">
            <w:pPr>
              <w:spacing w:before="20" w:after="20"/>
              <w:jc w:val="center"/>
              <w:rPr>
                <w:rFonts w:ascii="Arial Narrow" w:eastAsiaTheme="majorEastAsia" w:hAnsi="Arial Narrow" w:cstheme="majorBidi"/>
                <w:bCs/>
                <w:sz w:val="20"/>
              </w:rPr>
            </w:pPr>
            <w:r w:rsidRPr="00E74253">
              <w:rPr>
                <w:rFonts w:ascii="Arial Narrow" w:eastAsiaTheme="majorEastAsia" w:hAnsi="Arial Narrow" w:cstheme="majorBidi"/>
                <w:bCs/>
                <w:sz w:val="20"/>
              </w:rPr>
              <w:t xml:space="preserve">37.4 </w:t>
            </w:r>
          </w:p>
          <w:p w14:paraId="354D7435" w14:textId="3CF42A70" w:rsidR="00937EEC" w:rsidRPr="00E74253" w:rsidRDefault="00937EEC" w:rsidP="00937EEC">
            <w:pPr>
              <w:spacing w:before="20" w:after="20"/>
              <w:jc w:val="center"/>
              <w:rPr>
                <w:rFonts w:ascii="Arial Narrow" w:eastAsiaTheme="majorEastAsia" w:hAnsi="Arial Narrow" w:cstheme="majorBidi"/>
                <w:bCs/>
                <w:sz w:val="20"/>
              </w:rPr>
            </w:pPr>
            <w:r w:rsidRPr="00E74253">
              <w:rPr>
                <w:rFonts w:ascii="Arial Narrow" w:eastAsiaTheme="majorEastAsia" w:hAnsi="Arial Narrow" w:cstheme="majorBidi"/>
                <w:bCs/>
                <w:sz w:val="20"/>
              </w:rPr>
              <w:t xml:space="preserve">(31.1, 42.6) </w:t>
            </w:r>
          </w:p>
        </w:tc>
        <w:tc>
          <w:tcPr>
            <w:tcW w:w="992" w:type="dxa"/>
            <w:shd w:val="clear" w:color="auto" w:fill="auto"/>
            <w:tcMar>
              <w:left w:w="28" w:type="dxa"/>
              <w:right w:w="28" w:type="dxa"/>
            </w:tcMar>
            <w:vAlign w:val="center"/>
          </w:tcPr>
          <w:p w14:paraId="3E4D1949" w14:textId="77777777" w:rsidR="001E1321" w:rsidRPr="00E74253" w:rsidRDefault="00937EEC" w:rsidP="00937EEC">
            <w:pPr>
              <w:spacing w:before="20" w:after="20"/>
              <w:jc w:val="center"/>
              <w:rPr>
                <w:rFonts w:ascii="Arial Narrow" w:eastAsiaTheme="majorEastAsia" w:hAnsi="Arial Narrow" w:cstheme="majorBidi"/>
                <w:bCs/>
                <w:sz w:val="20"/>
              </w:rPr>
            </w:pPr>
            <w:r w:rsidRPr="00E74253">
              <w:rPr>
                <w:rFonts w:ascii="Arial Narrow" w:eastAsiaTheme="majorEastAsia" w:hAnsi="Arial Narrow" w:cstheme="majorBidi"/>
                <w:bCs/>
                <w:sz w:val="20"/>
              </w:rPr>
              <w:t xml:space="preserve">28.1 </w:t>
            </w:r>
          </w:p>
          <w:p w14:paraId="776FE6B3" w14:textId="19787C81" w:rsidR="00937EEC" w:rsidRPr="00E74253" w:rsidRDefault="00937EEC" w:rsidP="00937EEC">
            <w:pPr>
              <w:spacing w:before="20" w:after="20"/>
              <w:jc w:val="center"/>
              <w:rPr>
                <w:rFonts w:ascii="Arial Narrow" w:eastAsiaTheme="majorEastAsia" w:hAnsi="Arial Narrow" w:cstheme="majorBidi"/>
                <w:bCs/>
                <w:sz w:val="20"/>
              </w:rPr>
            </w:pPr>
            <w:r w:rsidRPr="00E74253">
              <w:rPr>
                <w:rFonts w:ascii="Arial Narrow" w:eastAsiaTheme="majorEastAsia" w:hAnsi="Arial Narrow" w:cstheme="majorBidi"/>
                <w:bCs/>
                <w:sz w:val="20"/>
              </w:rPr>
              <w:t>(24.0, 31.6)</w:t>
            </w:r>
          </w:p>
        </w:tc>
        <w:tc>
          <w:tcPr>
            <w:tcW w:w="1701" w:type="dxa"/>
            <w:shd w:val="clear" w:color="auto" w:fill="auto"/>
            <w:tcMar>
              <w:left w:w="28" w:type="dxa"/>
              <w:right w:w="28" w:type="dxa"/>
            </w:tcMar>
            <w:vAlign w:val="center"/>
          </w:tcPr>
          <w:p w14:paraId="1AF24BE1" w14:textId="4B46FECD" w:rsidR="00937EEC" w:rsidRPr="00E74253" w:rsidRDefault="00937EEC" w:rsidP="00937EEC">
            <w:pPr>
              <w:spacing w:before="20" w:after="20"/>
              <w:jc w:val="center"/>
              <w:rPr>
                <w:rFonts w:ascii="Arial Narrow" w:eastAsiaTheme="majorEastAsia" w:hAnsi="Arial Narrow" w:cstheme="majorBidi"/>
                <w:bCs/>
                <w:sz w:val="20"/>
              </w:rPr>
            </w:pPr>
            <w:r w:rsidRPr="00E74253">
              <w:rPr>
                <w:rFonts w:ascii="Arial Narrow" w:eastAsiaTheme="majorEastAsia" w:hAnsi="Arial Narrow" w:cstheme="majorBidi"/>
                <w:bCs/>
                <w:sz w:val="20"/>
              </w:rPr>
              <w:t>0.71 (0.57, 0.84), p=0.001</w:t>
            </w:r>
          </w:p>
        </w:tc>
      </w:tr>
      <w:tr w:rsidR="00937EEC" w:rsidRPr="00E74253" w14:paraId="44687C78" w14:textId="77777777" w:rsidTr="00FF27D1">
        <w:tc>
          <w:tcPr>
            <w:tcW w:w="709" w:type="dxa"/>
            <w:tcMar>
              <w:left w:w="28" w:type="dxa"/>
              <w:right w:w="28" w:type="dxa"/>
            </w:tcMar>
            <w:vAlign w:val="center"/>
          </w:tcPr>
          <w:p w14:paraId="5D925019" w14:textId="77777777" w:rsidR="00937EEC" w:rsidRPr="00E74253" w:rsidRDefault="00937EEC" w:rsidP="00937EEC">
            <w:pPr>
              <w:spacing w:before="20" w:after="20"/>
              <w:jc w:val="center"/>
              <w:rPr>
                <w:rFonts w:ascii="Arial Narrow" w:eastAsiaTheme="majorEastAsia" w:hAnsi="Arial Narrow" w:cstheme="majorBidi"/>
                <w:sz w:val="20"/>
              </w:rPr>
            </w:pPr>
            <w:r w:rsidRPr="00E74253">
              <w:rPr>
                <w:rFonts w:ascii="Arial Narrow" w:eastAsiaTheme="majorEastAsia" w:hAnsi="Arial Narrow" w:cstheme="majorBidi"/>
                <w:sz w:val="20"/>
              </w:rPr>
              <w:t>E</w:t>
            </w:r>
          </w:p>
        </w:tc>
        <w:tc>
          <w:tcPr>
            <w:tcW w:w="1559" w:type="dxa"/>
            <w:tcMar>
              <w:left w:w="28" w:type="dxa"/>
              <w:right w:w="28" w:type="dxa"/>
            </w:tcMar>
            <w:vAlign w:val="center"/>
          </w:tcPr>
          <w:p w14:paraId="5117C3BF" w14:textId="551B6CF3" w:rsidR="00937EEC" w:rsidRPr="00E74253" w:rsidRDefault="00937EEC" w:rsidP="00937EEC">
            <w:pPr>
              <w:spacing w:before="20" w:after="20"/>
              <w:jc w:val="left"/>
              <w:rPr>
                <w:rFonts w:ascii="Arial Narrow" w:eastAsiaTheme="majorEastAsia" w:hAnsi="Arial Narrow" w:cstheme="majorBidi"/>
                <w:sz w:val="20"/>
                <w:vertAlign w:val="superscript"/>
              </w:rPr>
            </w:pPr>
            <w:r w:rsidRPr="00E74253">
              <w:rPr>
                <w:rFonts w:ascii="Arial Narrow" w:eastAsiaTheme="majorEastAsia" w:hAnsi="Arial Narrow" w:cstheme="majorBidi"/>
                <w:sz w:val="20"/>
              </w:rPr>
              <w:t>MONALEESA-3 (</w:t>
            </w:r>
            <w:proofErr w:type="spellStart"/>
            <w:r w:rsidRPr="00E74253">
              <w:rPr>
                <w:rFonts w:ascii="Arial Narrow" w:eastAsiaTheme="majorEastAsia" w:hAnsi="Arial Narrow" w:cstheme="majorBidi"/>
                <w:sz w:val="20"/>
              </w:rPr>
              <w:t>ER</w:t>
            </w:r>
            <w:r w:rsidR="004B54A5" w:rsidRPr="00E74253">
              <w:rPr>
                <w:rFonts w:ascii="Arial Narrow" w:eastAsiaTheme="majorEastAsia" w:hAnsi="Arial Narrow" w:cstheme="majorBidi"/>
                <w:sz w:val="20"/>
                <w:vertAlign w:val="superscript"/>
              </w:rPr>
              <w:t>e</w:t>
            </w:r>
            <w:proofErr w:type="spellEnd"/>
            <w:r w:rsidRPr="00E74253">
              <w:rPr>
                <w:rFonts w:ascii="Arial Narrow" w:eastAsiaTheme="majorEastAsia" w:hAnsi="Arial Narrow" w:cstheme="majorBidi"/>
                <w:sz w:val="20"/>
              </w:rPr>
              <w:t xml:space="preserve">) </w:t>
            </w:r>
            <w:proofErr w:type="spellStart"/>
            <w:r w:rsidR="009B188D" w:rsidRPr="00E74253">
              <w:rPr>
                <w:rFonts w:ascii="Arial Narrow" w:eastAsiaTheme="majorEastAsia" w:hAnsi="Arial Narrow" w:cstheme="majorBidi"/>
                <w:sz w:val="20"/>
              </w:rPr>
              <w:t>PFS</w:t>
            </w:r>
            <w:r w:rsidR="004B54A5" w:rsidRPr="00E74253">
              <w:rPr>
                <w:rFonts w:ascii="Arial Narrow" w:eastAsiaTheme="majorEastAsia" w:hAnsi="Arial Narrow" w:cstheme="majorBidi"/>
                <w:sz w:val="20"/>
                <w:vertAlign w:val="superscript"/>
              </w:rPr>
              <w:t>f</w:t>
            </w:r>
            <w:proofErr w:type="spellEnd"/>
          </w:p>
          <w:p w14:paraId="17BD491C" w14:textId="77777777" w:rsidR="00937EEC" w:rsidRPr="00E74253" w:rsidRDefault="00937EEC" w:rsidP="00937EEC">
            <w:pPr>
              <w:spacing w:before="20" w:after="20"/>
              <w:jc w:val="left"/>
              <w:rPr>
                <w:rFonts w:ascii="Arial Narrow" w:eastAsiaTheme="majorEastAsia" w:hAnsi="Arial Narrow" w:cstheme="majorBidi"/>
                <w:sz w:val="20"/>
              </w:rPr>
            </w:pPr>
            <w:r w:rsidRPr="00E74253">
              <w:rPr>
                <w:rFonts w:ascii="Arial Narrow" w:eastAsiaTheme="majorEastAsia" w:hAnsi="Arial Narrow" w:cstheme="majorBidi"/>
                <w:sz w:val="20"/>
              </w:rPr>
              <w:t>56.3 months</w:t>
            </w:r>
          </w:p>
        </w:tc>
        <w:tc>
          <w:tcPr>
            <w:tcW w:w="1418" w:type="dxa"/>
            <w:vMerge/>
            <w:tcMar>
              <w:left w:w="28" w:type="dxa"/>
              <w:right w:w="28" w:type="dxa"/>
            </w:tcMar>
            <w:vAlign w:val="center"/>
          </w:tcPr>
          <w:p w14:paraId="53AA7F07" w14:textId="77777777" w:rsidR="00937EEC" w:rsidRPr="00E74253" w:rsidRDefault="00937EEC" w:rsidP="00937EEC">
            <w:pPr>
              <w:spacing w:before="20" w:after="20"/>
              <w:jc w:val="left"/>
              <w:rPr>
                <w:rFonts w:ascii="Arial Narrow" w:eastAsiaTheme="majorEastAsia" w:hAnsi="Arial Narrow" w:cstheme="majorBidi"/>
                <w:bCs/>
                <w:sz w:val="20"/>
              </w:rPr>
            </w:pPr>
          </w:p>
        </w:tc>
        <w:tc>
          <w:tcPr>
            <w:tcW w:w="850" w:type="dxa"/>
            <w:shd w:val="clear" w:color="auto" w:fill="auto"/>
            <w:tcMar>
              <w:left w:w="28" w:type="dxa"/>
              <w:right w:w="28" w:type="dxa"/>
            </w:tcMar>
            <w:vAlign w:val="center"/>
          </w:tcPr>
          <w:p w14:paraId="4ED810CD" w14:textId="77777777" w:rsidR="00937EEC" w:rsidRPr="00E74253" w:rsidRDefault="00937EEC" w:rsidP="00937EEC">
            <w:pPr>
              <w:spacing w:before="20" w:after="20"/>
              <w:jc w:val="center"/>
              <w:rPr>
                <w:rFonts w:ascii="Arial Narrow" w:eastAsiaTheme="majorEastAsia" w:hAnsi="Arial Narrow" w:cstheme="majorBidi"/>
                <w:bCs/>
                <w:sz w:val="20"/>
              </w:rPr>
            </w:pPr>
            <w:r w:rsidRPr="00E74253">
              <w:rPr>
                <w:rFonts w:ascii="Arial Narrow" w:eastAsiaTheme="majorEastAsia" w:hAnsi="Arial Narrow" w:cstheme="majorBidi"/>
                <w:bCs/>
                <w:sz w:val="20"/>
              </w:rPr>
              <w:t>153/237 (64.6)</w:t>
            </w:r>
          </w:p>
        </w:tc>
        <w:tc>
          <w:tcPr>
            <w:tcW w:w="851" w:type="dxa"/>
            <w:shd w:val="clear" w:color="auto" w:fill="auto"/>
            <w:tcMar>
              <w:left w:w="28" w:type="dxa"/>
              <w:right w:w="28" w:type="dxa"/>
            </w:tcMar>
            <w:vAlign w:val="center"/>
          </w:tcPr>
          <w:p w14:paraId="52095978" w14:textId="77777777" w:rsidR="00937EEC" w:rsidRPr="00E74253" w:rsidRDefault="00937EEC" w:rsidP="00937EEC">
            <w:pPr>
              <w:spacing w:before="20" w:after="20"/>
              <w:jc w:val="center"/>
              <w:rPr>
                <w:rFonts w:ascii="Arial Narrow" w:eastAsiaTheme="majorEastAsia" w:hAnsi="Arial Narrow" w:cstheme="majorBidi"/>
                <w:bCs/>
                <w:sz w:val="20"/>
              </w:rPr>
            </w:pPr>
            <w:r w:rsidRPr="00E74253">
              <w:rPr>
                <w:rFonts w:ascii="Arial Narrow" w:eastAsiaTheme="majorEastAsia" w:hAnsi="Arial Narrow" w:cstheme="majorBidi"/>
                <w:bCs/>
                <w:sz w:val="20"/>
              </w:rPr>
              <w:t>80/110 (73.4)</w:t>
            </w:r>
          </w:p>
        </w:tc>
        <w:tc>
          <w:tcPr>
            <w:tcW w:w="992" w:type="dxa"/>
            <w:shd w:val="clear" w:color="auto" w:fill="auto"/>
            <w:tcMar>
              <w:left w:w="28" w:type="dxa"/>
              <w:right w:w="28" w:type="dxa"/>
            </w:tcMar>
            <w:vAlign w:val="center"/>
          </w:tcPr>
          <w:p w14:paraId="4BBA37FF" w14:textId="77777777" w:rsidR="00937EEC" w:rsidRPr="00E74253" w:rsidRDefault="00937EEC" w:rsidP="00937EEC">
            <w:pPr>
              <w:spacing w:before="20" w:after="20"/>
              <w:jc w:val="center"/>
              <w:rPr>
                <w:rFonts w:ascii="Arial Narrow" w:eastAsiaTheme="majorEastAsia" w:hAnsi="Arial Narrow" w:cstheme="majorBidi"/>
                <w:bCs/>
                <w:sz w:val="20"/>
              </w:rPr>
            </w:pPr>
            <w:r w:rsidRPr="00E74253">
              <w:rPr>
                <w:rFonts w:ascii="Arial Narrow" w:eastAsiaTheme="majorEastAsia" w:hAnsi="Arial Narrow" w:cstheme="majorBidi"/>
                <w:bCs/>
                <w:sz w:val="20"/>
              </w:rPr>
              <w:t>26.0</w:t>
            </w:r>
          </w:p>
        </w:tc>
        <w:tc>
          <w:tcPr>
            <w:tcW w:w="992" w:type="dxa"/>
            <w:shd w:val="clear" w:color="auto" w:fill="auto"/>
            <w:tcMar>
              <w:left w:w="28" w:type="dxa"/>
              <w:right w:w="28" w:type="dxa"/>
            </w:tcMar>
            <w:vAlign w:val="center"/>
          </w:tcPr>
          <w:p w14:paraId="4202FE97" w14:textId="77777777" w:rsidR="00937EEC" w:rsidRPr="00E74253" w:rsidRDefault="00937EEC" w:rsidP="00937EEC">
            <w:pPr>
              <w:spacing w:before="20" w:after="20"/>
              <w:jc w:val="center"/>
              <w:rPr>
                <w:rFonts w:ascii="Arial Narrow" w:eastAsiaTheme="majorEastAsia" w:hAnsi="Arial Narrow" w:cstheme="majorBidi"/>
                <w:bCs/>
                <w:sz w:val="20"/>
              </w:rPr>
            </w:pPr>
            <w:r w:rsidRPr="00E74253">
              <w:rPr>
                <w:rFonts w:ascii="Arial Narrow" w:eastAsiaTheme="majorEastAsia" w:hAnsi="Arial Narrow" w:cstheme="majorBidi"/>
                <w:bCs/>
                <w:sz w:val="20"/>
              </w:rPr>
              <w:t>20.5</w:t>
            </w:r>
          </w:p>
        </w:tc>
        <w:tc>
          <w:tcPr>
            <w:tcW w:w="1701" w:type="dxa"/>
            <w:shd w:val="clear" w:color="auto" w:fill="auto"/>
            <w:tcMar>
              <w:left w:w="28" w:type="dxa"/>
              <w:right w:w="28" w:type="dxa"/>
            </w:tcMar>
            <w:vAlign w:val="center"/>
          </w:tcPr>
          <w:p w14:paraId="07EDAF3D" w14:textId="7DA9CF18" w:rsidR="00937EEC" w:rsidRPr="00E74253" w:rsidRDefault="00937EEC" w:rsidP="00937EEC">
            <w:pPr>
              <w:spacing w:before="20" w:after="20"/>
              <w:jc w:val="center"/>
              <w:rPr>
                <w:rFonts w:ascii="Arial Narrow" w:eastAsiaTheme="majorEastAsia" w:hAnsi="Arial Narrow" w:cstheme="majorBidi"/>
                <w:bCs/>
                <w:sz w:val="20"/>
              </w:rPr>
            </w:pPr>
            <w:r w:rsidRPr="00E74253">
              <w:rPr>
                <w:rFonts w:ascii="Arial Narrow" w:eastAsiaTheme="majorEastAsia" w:hAnsi="Arial Narrow" w:cstheme="majorBidi"/>
                <w:bCs/>
                <w:sz w:val="20"/>
              </w:rPr>
              <w:t>0.73 (0.56, 0.96), p=0.02</w:t>
            </w:r>
          </w:p>
        </w:tc>
      </w:tr>
      <w:tr w:rsidR="00937EEC" w:rsidRPr="00E74253" w14:paraId="098D76D8" w14:textId="77777777" w:rsidTr="00FF27D1">
        <w:tc>
          <w:tcPr>
            <w:tcW w:w="709" w:type="dxa"/>
            <w:tcMar>
              <w:left w:w="28" w:type="dxa"/>
              <w:right w:w="28" w:type="dxa"/>
            </w:tcMar>
            <w:vAlign w:val="center"/>
          </w:tcPr>
          <w:p w14:paraId="777BE21B" w14:textId="77777777" w:rsidR="00937EEC" w:rsidRPr="00E74253" w:rsidRDefault="00937EEC" w:rsidP="00937EEC">
            <w:pPr>
              <w:spacing w:before="20" w:after="20"/>
              <w:jc w:val="center"/>
              <w:rPr>
                <w:rFonts w:ascii="Arial Narrow" w:eastAsiaTheme="majorEastAsia" w:hAnsi="Arial Narrow" w:cstheme="majorBidi"/>
                <w:bCs/>
                <w:sz w:val="20"/>
              </w:rPr>
            </w:pPr>
            <w:r w:rsidRPr="00E74253">
              <w:rPr>
                <w:rFonts w:ascii="Arial Narrow" w:eastAsiaTheme="majorEastAsia" w:hAnsi="Arial Narrow" w:cstheme="majorBidi"/>
                <w:bCs/>
                <w:sz w:val="20"/>
              </w:rPr>
              <w:t>F</w:t>
            </w:r>
          </w:p>
        </w:tc>
        <w:tc>
          <w:tcPr>
            <w:tcW w:w="1559" w:type="dxa"/>
            <w:tcMar>
              <w:left w:w="28" w:type="dxa"/>
              <w:right w:w="28" w:type="dxa"/>
            </w:tcMar>
            <w:vAlign w:val="center"/>
          </w:tcPr>
          <w:p w14:paraId="669E0FD5" w14:textId="77777777" w:rsidR="00937EEC" w:rsidRPr="00E74253" w:rsidRDefault="00937EEC" w:rsidP="00937EEC">
            <w:pPr>
              <w:spacing w:before="20" w:after="20"/>
              <w:jc w:val="left"/>
              <w:rPr>
                <w:rFonts w:ascii="Arial Narrow" w:eastAsiaTheme="majorEastAsia" w:hAnsi="Arial Narrow" w:cstheme="majorBidi"/>
                <w:bCs/>
                <w:sz w:val="20"/>
              </w:rPr>
            </w:pPr>
            <w:r w:rsidRPr="00E74253">
              <w:rPr>
                <w:rFonts w:ascii="Arial Narrow" w:eastAsiaTheme="majorEastAsia" w:hAnsi="Arial Narrow" w:cstheme="majorBidi"/>
                <w:bCs/>
                <w:sz w:val="20"/>
              </w:rPr>
              <w:t xml:space="preserve">MONARCH 2 (ITT) </w:t>
            </w:r>
          </w:p>
          <w:p w14:paraId="58D2391E" w14:textId="77777777" w:rsidR="00937EEC" w:rsidRPr="00E74253" w:rsidRDefault="00937EEC" w:rsidP="00937EEC">
            <w:pPr>
              <w:spacing w:before="20" w:after="20"/>
              <w:jc w:val="left"/>
              <w:rPr>
                <w:rFonts w:ascii="Arial Narrow" w:eastAsiaTheme="majorEastAsia" w:hAnsi="Arial Narrow" w:cstheme="majorBidi"/>
                <w:bCs/>
                <w:sz w:val="20"/>
              </w:rPr>
            </w:pPr>
            <w:r w:rsidRPr="00E74253">
              <w:rPr>
                <w:rFonts w:ascii="Arial Narrow" w:eastAsiaTheme="majorEastAsia" w:hAnsi="Arial Narrow" w:cstheme="majorBidi"/>
                <w:bCs/>
                <w:sz w:val="20"/>
              </w:rPr>
              <w:t>47.7 months</w:t>
            </w:r>
          </w:p>
        </w:tc>
        <w:tc>
          <w:tcPr>
            <w:tcW w:w="1418" w:type="dxa"/>
            <w:tcMar>
              <w:left w:w="28" w:type="dxa"/>
              <w:right w:w="28" w:type="dxa"/>
            </w:tcMar>
            <w:vAlign w:val="center"/>
          </w:tcPr>
          <w:p w14:paraId="13E60C77" w14:textId="77777777" w:rsidR="00937EEC" w:rsidRPr="00E74253" w:rsidRDefault="00937EEC" w:rsidP="00937EEC">
            <w:pPr>
              <w:spacing w:before="20" w:after="20"/>
              <w:jc w:val="left"/>
              <w:rPr>
                <w:rFonts w:ascii="Arial Narrow" w:eastAsiaTheme="majorEastAsia" w:hAnsi="Arial Narrow" w:cstheme="majorBidi"/>
                <w:bCs/>
                <w:sz w:val="20"/>
              </w:rPr>
            </w:pPr>
            <w:r w:rsidRPr="00E74253">
              <w:rPr>
                <w:rFonts w:ascii="Arial Narrow" w:eastAsiaTheme="majorEastAsia" w:hAnsi="Arial Narrow" w:cstheme="majorBidi"/>
                <w:bCs/>
                <w:sz w:val="20"/>
              </w:rPr>
              <w:t>ABE + FUL vs. PBO + FUL</w:t>
            </w:r>
          </w:p>
        </w:tc>
        <w:tc>
          <w:tcPr>
            <w:tcW w:w="850" w:type="dxa"/>
            <w:shd w:val="clear" w:color="auto" w:fill="auto"/>
            <w:tcMar>
              <w:left w:w="28" w:type="dxa"/>
              <w:right w:w="28" w:type="dxa"/>
            </w:tcMar>
            <w:vAlign w:val="center"/>
          </w:tcPr>
          <w:p w14:paraId="7B78FF87" w14:textId="77777777" w:rsidR="00937EEC" w:rsidRPr="00E74253" w:rsidRDefault="00937EEC" w:rsidP="00937EEC">
            <w:pPr>
              <w:spacing w:before="20" w:after="20"/>
              <w:jc w:val="center"/>
              <w:rPr>
                <w:rFonts w:ascii="Arial Narrow" w:eastAsiaTheme="majorEastAsia" w:hAnsi="Arial Narrow" w:cstheme="majorBidi"/>
                <w:bCs/>
                <w:sz w:val="20"/>
              </w:rPr>
            </w:pPr>
            <w:r w:rsidRPr="00E74253">
              <w:rPr>
                <w:rFonts w:ascii="Arial Narrow" w:eastAsiaTheme="majorEastAsia" w:hAnsi="Arial Narrow" w:cstheme="majorBidi"/>
                <w:bCs/>
                <w:sz w:val="20"/>
              </w:rPr>
              <w:t>297/446 (66.6)</w:t>
            </w:r>
          </w:p>
        </w:tc>
        <w:tc>
          <w:tcPr>
            <w:tcW w:w="851" w:type="dxa"/>
            <w:shd w:val="clear" w:color="auto" w:fill="auto"/>
            <w:tcMar>
              <w:left w:w="28" w:type="dxa"/>
              <w:right w:w="28" w:type="dxa"/>
            </w:tcMar>
            <w:vAlign w:val="center"/>
          </w:tcPr>
          <w:p w14:paraId="6BEFD720" w14:textId="77777777" w:rsidR="00937EEC" w:rsidRPr="00E74253" w:rsidRDefault="00937EEC" w:rsidP="00937EEC">
            <w:pPr>
              <w:spacing w:before="20" w:after="20"/>
              <w:jc w:val="center"/>
              <w:rPr>
                <w:rFonts w:ascii="Arial Narrow" w:eastAsiaTheme="majorEastAsia" w:hAnsi="Arial Narrow" w:cstheme="majorBidi"/>
                <w:bCs/>
                <w:sz w:val="20"/>
              </w:rPr>
            </w:pPr>
            <w:r w:rsidRPr="00E74253">
              <w:rPr>
                <w:rFonts w:ascii="Arial Narrow" w:eastAsiaTheme="majorEastAsia" w:hAnsi="Arial Narrow" w:cstheme="majorBidi"/>
                <w:bCs/>
                <w:sz w:val="20"/>
              </w:rPr>
              <w:t>193/223 (86.5)</w:t>
            </w:r>
          </w:p>
        </w:tc>
        <w:tc>
          <w:tcPr>
            <w:tcW w:w="992" w:type="dxa"/>
            <w:shd w:val="clear" w:color="auto" w:fill="auto"/>
            <w:tcMar>
              <w:left w:w="28" w:type="dxa"/>
              <w:right w:w="28" w:type="dxa"/>
            </w:tcMar>
            <w:vAlign w:val="center"/>
          </w:tcPr>
          <w:p w14:paraId="6B1CD4D8" w14:textId="77777777" w:rsidR="00937EEC" w:rsidRPr="00E74253" w:rsidRDefault="00937EEC" w:rsidP="00937EEC">
            <w:pPr>
              <w:spacing w:before="20" w:after="20"/>
              <w:jc w:val="center"/>
              <w:rPr>
                <w:rFonts w:ascii="Arial Narrow" w:eastAsiaTheme="majorEastAsia" w:hAnsi="Arial Narrow" w:cstheme="majorBidi"/>
                <w:bCs/>
                <w:sz w:val="20"/>
              </w:rPr>
            </w:pPr>
            <w:r w:rsidRPr="00E74253">
              <w:rPr>
                <w:rFonts w:ascii="Arial Narrow" w:eastAsiaTheme="majorEastAsia" w:hAnsi="Arial Narrow" w:cstheme="majorBidi"/>
                <w:bCs/>
                <w:sz w:val="20"/>
              </w:rPr>
              <w:t>16.9</w:t>
            </w:r>
          </w:p>
        </w:tc>
        <w:tc>
          <w:tcPr>
            <w:tcW w:w="992" w:type="dxa"/>
            <w:shd w:val="clear" w:color="auto" w:fill="auto"/>
            <w:tcMar>
              <w:left w:w="28" w:type="dxa"/>
              <w:right w:w="28" w:type="dxa"/>
            </w:tcMar>
            <w:vAlign w:val="center"/>
          </w:tcPr>
          <w:p w14:paraId="4C1E43CD" w14:textId="77777777" w:rsidR="00937EEC" w:rsidRPr="00E74253" w:rsidRDefault="00937EEC" w:rsidP="00937EEC">
            <w:pPr>
              <w:spacing w:before="20" w:after="20"/>
              <w:jc w:val="center"/>
              <w:rPr>
                <w:rFonts w:ascii="Arial Narrow" w:eastAsiaTheme="majorEastAsia" w:hAnsi="Arial Narrow" w:cstheme="majorBidi"/>
                <w:bCs/>
                <w:sz w:val="20"/>
              </w:rPr>
            </w:pPr>
            <w:r w:rsidRPr="00E74253">
              <w:rPr>
                <w:rFonts w:ascii="Arial Narrow" w:eastAsiaTheme="majorEastAsia" w:hAnsi="Arial Narrow" w:cstheme="majorBidi"/>
                <w:bCs/>
                <w:sz w:val="20"/>
              </w:rPr>
              <w:t>9.3</w:t>
            </w:r>
          </w:p>
        </w:tc>
        <w:tc>
          <w:tcPr>
            <w:tcW w:w="1701" w:type="dxa"/>
            <w:shd w:val="clear" w:color="auto" w:fill="auto"/>
            <w:tcMar>
              <w:left w:w="28" w:type="dxa"/>
              <w:right w:w="28" w:type="dxa"/>
            </w:tcMar>
            <w:vAlign w:val="center"/>
          </w:tcPr>
          <w:p w14:paraId="401BE784" w14:textId="08BE58E3" w:rsidR="00937EEC" w:rsidRPr="00E74253" w:rsidRDefault="00937EEC" w:rsidP="00937EEC">
            <w:pPr>
              <w:spacing w:before="20" w:after="20"/>
              <w:jc w:val="center"/>
              <w:rPr>
                <w:rFonts w:ascii="Arial Narrow" w:eastAsiaTheme="majorEastAsia" w:hAnsi="Arial Narrow" w:cstheme="majorBidi"/>
                <w:bCs/>
                <w:sz w:val="20"/>
              </w:rPr>
            </w:pPr>
            <w:r w:rsidRPr="00E74253">
              <w:rPr>
                <w:rFonts w:ascii="Arial Narrow" w:eastAsiaTheme="majorEastAsia" w:hAnsi="Arial Narrow" w:cstheme="majorBidi"/>
                <w:b/>
                <w:sz w:val="20"/>
              </w:rPr>
              <w:t xml:space="preserve">0.54 (0.45, </w:t>
            </w:r>
            <w:proofErr w:type="gramStart"/>
            <w:r w:rsidRPr="00E74253">
              <w:rPr>
                <w:rFonts w:ascii="Arial Narrow" w:eastAsiaTheme="majorEastAsia" w:hAnsi="Arial Narrow" w:cstheme="majorBidi"/>
                <w:b/>
                <w:sz w:val="20"/>
              </w:rPr>
              <w:t>0.65</w:t>
            </w:r>
            <w:r w:rsidR="00226541" w:rsidRPr="00E74253">
              <w:rPr>
                <w:rFonts w:ascii="Arial Narrow" w:eastAsiaTheme="majorEastAsia" w:hAnsi="Arial Narrow" w:cstheme="majorBidi"/>
                <w:b/>
                <w:sz w:val="20"/>
              </w:rPr>
              <w:t>)</w:t>
            </w:r>
            <w:r w:rsidR="00C67565" w:rsidRPr="00E74253">
              <w:rPr>
                <w:rFonts w:ascii="Arial Narrow" w:eastAsiaTheme="majorEastAsia" w:hAnsi="Arial Narrow" w:cstheme="majorBidi"/>
                <w:b/>
                <w:sz w:val="20"/>
                <w:vertAlign w:val="superscript"/>
              </w:rPr>
              <w:t>d</w:t>
            </w:r>
            <w:proofErr w:type="gramEnd"/>
            <w:r w:rsidRPr="00E74253">
              <w:rPr>
                <w:rFonts w:ascii="Arial Narrow" w:eastAsiaTheme="majorEastAsia" w:hAnsi="Arial Narrow" w:cstheme="majorBidi"/>
                <w:b/>
                <w:sz w:val="20"/>
              </w:rPr>
              <w:t>,</w:t>
            </w:r>
            <w:r w:rsidRPr="00E74253">
              <w:rPr>
                <w:rFonts w:ascii="Arial Narrow" w:eastAsiaTheme="majorEastAsia" w:hAnsi="Arial Narrow" w:cstheme="majorBidi"/>
                <w:bCs/>
                <w:sz w:val="20"/>
              </w:rPr>
              <w:t xml:space="preserve"> p&lt;0.001</w:t>
            </w:r>
          </w:p>
        </w:tc>
      </w:tr>
      <w:tr w:rsidR="00937EEC" w:rsidRPr="00E74253" w14:paraId="51536E50" w14:textId="77777777" w:rsidTr="00FF27D1">
        <w:tc>
          <w:tcPr>
            <w:tcW w:w="709" w:type="dxa"/>
            <w:tcMar>
              <w:left w:w="28" w:type="dxa"/>
              <w:right w:w="28" w:type="dxa"/>
            </w:tcMar>
            <w:vAlign w:val="center"/>
          </w:tcPr>
          <w:p w14:paraId="1314DF50" w14:textId="77777777" w:rsidR="00937EEC" w:rsidRPr="00E74253" w:rsidRDefault="00937EEC" w:rsidP="00937EEC">
            <w:pPr>
              <w:spacing w:before="20" w:after="20"/>
              <w:jc w:val="center"/>
              <w:rPr>
                <w:rFonts w:ascii="Arial Narrow" w:eastAsiaTheme="majorEastAsia" w:hAnsi="Arial Narrow" w:cstheme="majorBidi"/>
                <w:bCs/>
                <w:sz w:val="20"/>
              </w:rPr>
            </w:pPr>
            <w:r w:rsidRPr="00E74253">
              <w:rPr>
                <w:rFonts w:ascii="Arial Narrow" w:eastAsiaTheme="majorEastAsia" w:hAnsi="Arial Narrow" w:cstheme="majorBidi"/>
                <w:bCs/>
                <w:sz w:val="20"/>
              </w:rPr>
              <w:t>A vs. B</w:t>
            </w:r>
          </w:p>
        </w:tc>
        <w:tc>
          <w:tcPr>
            <w:tcW w:w="6662" w:type="dxa"/>
            <w:gridSpan w:val="6"/>
            <w:tcMar>
              <w:left w:w="28" w:type="dxa"/>
              <w:right w:w="28" w:type="dxa"/>
            </w:tcMar>
            <w:vAlign w:val="center"/>
          </w:tcPr>
          <w:p w14:paraId="22C7C54C" w14:textId="7CA6378A" w:rsidR="00937EEC" w:rsidRPr="00E74253" w:rsidRDefault="00937EEC" w:rsidP="00937EEC">
            <w:pPr>
              <w:spacing w:before="20" w:after="20"/>
              <w:jc w:val="left"/>
              <w:rPr>
                <w:rFonts w:ascii="Arial Narrow" w:eastAsiaTheme="majorEastAsia" w:hAnsi="Arial Narrow" w:cstheme="majorBidi"/>
                <w:bCs/>
                <w:sz w:val="20"/>
              </w:rPr>
            </w:pPr>
            <w:r w:rsidRPr="00E74253">
              <w:rPr>
                <w:rFonts w:ascii="Arial Narrow" w:eastAsiaTheme="majorEastAsia" w:hAnsi="Arial Narrow" w:cstheme="majorBidi"/>
                <w:bCs/>
                <w:sz w:val="20"/>
              </w:rPr>
              <w:t>Indirect comparison PAL+FUL vs. RIBO+FUL: PALOMA-3 (ITT population</w:t>
            </w:r>
            <w:r w:rsidR="006F1978" w:rsidRPr="00E74253">
              <w:rPr>
                <w:rFonts w:ascii="Arial Narrow" w:eastAsiaTheme="majorEastAsia" w:hAnsi="Arial Narrow" w:cstheme="majorBidi"/>
                <w:bCs/>
                <w:sz w:val="20"/>
              </w:rPr>
              <w:t xml:space="preserve">, </w:t>
            </w:r>
            <w:proofErr w:type="spellStart"/>
            <w:r w:rsidR="006F1978" w:rsidRPr="00E74253">
              <w:rPr>
                <w:rFonts w:ascii="Arial Narrow" w:eastAsiaTheme="majorEastAsia" w:hAnsi="Arial Narrow" w:cstheme="majorBidi"/>
                <w:bCs/>
                <w:sz w:val="20"/>
              </w:rPr>
              <w:t>mFU</w:t>
            </w:r>
            <w:proofErr w:type="spellEnd"/>
            <w:r w:rsidR="006F1978" w:rsidRPr="00E74253">
              <w:rPr>
                <w:rFonts w:ascii="Arial Narrow" w:eastAsiaTheme="majorEastAsia" w:hAnsi="Arial Narrow" w:cstheme="majorBidi"/>
                <w:bCs/>
                <w:sz w:val="20"/>
              </w:rPr>
              <w:t xml:space="preserve"> 15.8 months</w:t>
            </w:r>
            <w:r w:rsidRPr="00E74253">
              <w:rPr>
                <w:rFonts w:ascii="Arial Narrow" w:eastAsiaTheme="majorEastAsia" w:hAnsi="Arial Narrow" w:cstheme="majorBidi"/>
                <w:bCs/>
                <w:sz w:val="20"/>
              </w:rPr>
              <w:t xml:space="preserve">) vs. MONALEESA-3 (ITT population, </w:t>
            </w:r>
            <w:proofErr w:type="spellStart"/>
            <w:r w:rsidR="006F1978" w:rsidRPr="00E74253">
              <w:rPr>
                <w:rFonts w:ascii="Arial Narrow" w:eastAsiaTheme="majorEastAsia" w:hAnsi="Arial Narrow" w:cstheme="majorBidi"/>
                <w:bCs/>
                <w:sz w:val="20"/>
              </w:rPr>
              <w:t>mFU</w:t>
            </w:r>
            <w:proofErr w:type="spellEnd"/>
            <w:r w:rsidR="006F1978" w:rsidRPr="00E74253">
              <w:rPr>
                <w:rFonts w:ascii="Arial Narrow" w:eastAsiaTheme="majorEastAsia" w:hAnsi="Arial Narrow" w:cstheme="majorBidi"/>
                <w:bCs/>
                <w:sz w:val="20"/>
              </w:rPr>
              <w:t xml:space="preserve"> </w:t>
            </w:r>
            <w:r w:rsidRPr="00E74253">
              <w:rPr>
                <w:rFonts w:ascii="Arial Narrow" w:eastAsiaTheme="majorEastAsia" w:hAnsi="Arial Narrow" w:cstheme="majorBidi"/>
                <w:bCs/>
                <w:sz w:val="20"/>
              </w:rPr>
              <w:t>39.4 months)</w:t>
            </w:r>
          </w:p>
        </w:tc>
        <w:tc>
          <w:tcPr>
            <w:tcW w:w="1701" w:type="dxa"/>
            <w:shd w:val="clear" w:color="auto" w:fill="auto"/>
            <w:tcMar>
              <w:left w:w="28" w:type="dxa"/>
              <w:right w:w="28" w:type="dxa"/>
            </w:tcMar>
            <w:vAlign w:val="center"/>
          </w:tcPr>
          <w:p w14:paraId="64E8C827" w14:textId="77777777" w:rsidR="00937EEC" w:rsidRPr="00E74253" w:rsidRDefault="00937EEC" w:rsidP="00937EEC">
            <w:pPr>
              <w:spacing w:before="20" w:after="20"/>
              <w:jc w:val="center"/>
              <w:rPr>
                <w:rFonts w:ascii="Arial Narrow" w:eastAsiaTheme="majorEastAsia" w:hAnsi="Arial Narrow" w:cstheme="majorBidi"/>
                <w:bCs/>
                <w:sz w:val="20"/>
              </w:rPr>
            </w:pPr>
            <w:r w:rsidRPr="00E74253">
              <w:rPr>
                <w:rFonts w:ascii="Arial Narrow" w:eastAsiaTheme="majorEastAsia" w:hAnsi="Arial Narrow" w:cstheme="majorBidi"/>
                <w:bCs/>
                <w:sz w:val="20"/>
              </w:rPr>
              <w:t>0.84 (0.63, 1.13), p=0.2447</w:t>
            </w:r>
          </w:p>
        </w:tc>
      </w:tr>
      <w:tr w:rsidR="00937EEC" w:rsidRPr="00E74253" w14:paraId="041B9555" w14:textId="77777777" w:rsidTr="00FF27D1">
        <w:tc>
          <w:tcPr>
            <w:tcW w:w="709" w:type="dxa"/>
            <w:tcMar>
              <w:left w:w="28" w:type="dxa"/>
              <w:right w:w="28" w:type="dxa"/>
            </w:tcMar>
            <w:vAlign w:val="center"/>
          </w:tcPr>
          <w:p w14:paraId="08BBCD5B" w14:textId="77777777" w:rsidR="00937EEC" w:rsidRPr="00E74253" w:rsidRDefault="00937EEC" w:rsidP="00937EEC">
            <w:pPr>
              <w:spacing w:before="20" w:after="20"/>
              <w:jc w:val="center"/>
              <w:rPr>
                <w:rFonts w:ascii="Arial Narrow" w:eastAsiaTheme="majorEastAsia" w:hAnsi="Arial Narrow" w:cstheme="majorBidi"/>
                <w:bCs/>
                <w:sz w:val="20"/>
              </w:rPr>
            </w:pPr>
            <w:r w:rsidRPr="00E74253">
              <w:rPr>
                <w:rFonts w:ascii="Arial Narrow" w:eastAsiaTheme="majorEastAsia" w:hAnsi="Arial Narrow" w:cstheme="majorBidi"/>
                <w:bCs/>
                <w:sz w:val="20"/>
              </w:rPr>
              <w:t>A vs. C</w:t>
            </w:r>
          </w:p>
        </w:tc>
        <w:tc>
          <w:tcPr>
            <w:tcW w:w="6662" w:type="dxa"/>
            <w:gridSpan w:val="6"/>
            <w:tcMar>
              <w:left w:w="28" w:type="dxa"/>
              <w:right w:w="28" w:type="dxa"/>
            </w:tcMar>
            <w:vAlign w:val="center"/>
          </w:tcPr>
          <w:p w14:paraId="27C1CAD1" w14:textId="265F530B" w:rsidR="00937EEC" w:rsidRPr="00E74253" w:rsidRDefault="00937EEC" w:rsidP="00937EEC">
            <w:pPr>
              <w:spacing w:before="20" w:after="20"/>
              <w:jc w:val="left"/>
              <w:rPr>
                <w:rFonts w:ascii="Arial Narrow" w:eastAsiaTheme="majorEastAsia" w:hAnsi="Arial Narrow" w:cstheme="majorBidi"/>
                <w:bCs/>
                <w:sz w:val="20"/>
              </w:rPr>
            </w:pPr>
            <w:r w:rsidRPr="00E74253">
              <w:rPr>
                <w:rFonts w:ascii="Arial Narrow" w:eastAsiaTheme="majorEastAsia" w:hAnsi="Arial Narrow" w:cstheme="majorBidi"/>
                <w:bCs/>
                <w:sz w:val="20"/>
              </w:rPr>
              <w:t>Indirect comparison PAL+FUL vs. RIBO+FUL: PALOMA-3 (ITT population</w:t>
            </w:r>
            <w:r w:rsidR="006F1978" w:rsidRPr="00E74253">
              <w:rPr>
                <w:rFonts w:ascii="Arial Narrow" w:eastAsiaTheme="majorEastAsia" w:hAnsi="Arial Narrow" w:cstheme="majorBidi"/>
                <w:bCs/>
                <w:sz w:val="20"/>
              </w:rPr>
              <w:t xml:space="preserve">, </w:t>
            </w:r>
            <w:proofErr w:type="spellStart"/>
            <w:r w:rsidR="006F1978" w:rsidRPr="00E74253">
              <w:rPr>
                <w:rFonts w:ascii="Arial Narrow" w:eastAsiaTheme="majorEastAsia" w:hAnsi="Arial Narrow" w:cstheme="majorBidi"/>
                <w:bCs/>
                <w:sz w:val="20"/>
              </w:rPr>
              <w:t>mFU</w:t>
            </w:r>
            <w:proofErr w:type="spellEnd"/>
            <w:r w:rsidR="006F1978" w:rsidRPr="00E74253">
              <w:rPr>
                <w:rFonts w:ascii="Arial Narrow" w:eastAsiaTheme="majorEastAsia" w:hAnsi="Arial Narrow" w:cstheme="majorBidi"/>
                <w:bCs/>
                <w:sz w:val="20"/>
              </w:rPr>
              <w:t xml:space="preserve"> 15.8 months</w:t>
            </w:r>
            <w:r w:rsidRPr="00E74253">
              <w:rPr>
                <w:rFonts w:ascii="Arial Narrow" w:eastAsiaTheme="majorEastAsia" w:hAnsi="Arial Narrow" w:cstheme="majorBidi"/>
                <w:bCs/>
                <w:sz w:val="20"/>
              </w:rPr>
              <w:t>) vs. MONALEESA-3 (</w:t>
            </w:r>
            <w:proofErr w:type="spellStart"/>
            <w:proofErr w:type="gramStart"/>
            <w:r w:rsidRPr="00E74253">
              <w:rPr>
                <w:rFonts w:ascii="Arial Narrow" w:eastAsiaTheme="majorEastAsia" w:hAnsi="Arial Narrow" w:cstheme="majorBidi"/>
                <w:bCs/>
                <w:sz w:val="20"/>
              </w:rPr>
              <w:t>ER</w:t>
            </w:r>
            <w:r w:rsidR="004B54A5" w:rsidRPr="00E74253">
              <w:rPr>
                <w:rFonts w:ascii="Arial Narrow" w:eastAsiaTheme="majorEastAsia" w:hAnsi="Arial Narrow" w:cstheme="majorBidi"/>
                <w:bCs/>
                <w:sz w:val="20"/>
                <w:vertAlign w:val="superscript"/>
              </w:rPr>
              <w:t>e</w:t>
            </w:r>
            <w:proofErr w:type="spellEnd"/>
            <w:r w:rsidRPr="00E74253">
              <w:rPr>
                <w:rFonts w:ascii="Arial Narrow" w:eastAsiaTheme="majorEastAsia" w:hAnsi="Arial Narrow" w:cstheme="majorBidi"/>
                <w:bCs/>
                <w:sz w:val="20"/>
              </w:rPr>
              <w:t>,</w:t>
            </w:r>
            <w:proofErr w:type="gramEnd"/>
            <w:r w:rsidRPr="00E74253">
              <w:rPr>
                <w:rFonts w:ascii="Arial Narrow" w:eastAsiaTheme="majorEastAsia" w:hAnsi="Arial Narrow" w:cstheme="majorBidi"/>
                <w:bCs/>
                <w:sz w:val="20"/>
              </w:rPr>
              <w:t xml:space="preserve"> 39.4 months follow up)</w:t>
            </w:r>
          </w:p>
        </w:tc>
        <w:tc>
          <w:tcPr>
            <w:tcW w:w="1701" w:type="dxa"/>
            <w:shd w:val="clear" w:color="auto" w:fill="auto"/>
            <w:tcMar>
              <w:left w:w="28" w:type="dxa"/>
              <w:right w:w="28" w:type="dxa"/>
            </w:tcMar>
            <w:vAlign w:val="center"/>
          </w:tcPr>
          <w:p w14:paraId="508E7497" w14:textId="77777777" w:rsidR="00937EEC" w:rsidRPr="00E74253" w:rsidRDefault="00937EEC" w:rsidP="00937EEC">
            <w:pPr>
              <w:spacing w:before="20" w:after="20"/>
              <w:jc w:val="center"/>
              <w:rPr>
                <w:rFonts w:ascii="Arial Narrow" w:eastAsiaTheme="majorEastAsia" w:hAnsi="Arial Narrow" w:cstheme="majorBidi"/>
                <w:bCs/>
                <w:sz w:val="20"/>
              </w:rPr>
            </w:pPr>
            <w:r w:rsidRPr="00E74253">
              <w:rPr>
                <w:rFonts w:ascii="Arial Narrow" w:eastAsiaTheme="majorEastAsia" w:hAnsi="Arial Narrow" w:cstheme="majorBidi"/>
                <w:bCs/>
                <w:sz w:val="20"/>
              </w:rPr>
              <w:t>0.87 (0.62, 1.23), p=0.4317</w:t>
            </w:r>
          </w:p>
        </w:tc>
      </w:tr>
      <w:tr w:rsidR="00937EEC" w:rsidRPr="00E74253" w14:paraId="7E38F3D3" w14:textId="77777777" w:rsidTr="00FF27D1">
        <w:tc>
          <w:tcPr>
            <w:tcW w:w="709" w:type="dxa"/>
            <w:tcMar>
              <w:left w:w="28" w:type="dxa"/>
              <w:right w:w="28" w:type="dxa"/>
            </w:tcMar>
            <w:vAlign w:val="center"/>
          </w:tcPr>
          <w:p w14:paraId="550DED25" w14:textId="1DD0C4FF" w:rsidR="00937EEC" w:rsidRPr="00E74253" w:rsidRDefault="00937EEC" w:rsidP="00937EEC">
            <w:pPr>
              <w:spacing w:before="20" w:after="20"/>
              <w:jc w:val="center"/>
              <w:rPr>
                <w:rFonts w:ascii="Arial Narrow" w:eastAsiaTheme="majorEastAsia" w:hAnsi="Arial Narrow" w:cstheme="majorBidi"/>
                <w:bCs/>
                <w:sz w:val="20"/>
              </w:rPr>
            </w:pPr>
            <w:r w:rsidRPr="00E74253">
              <w:rPr>
                <w:rFonts w:ascii="Arial Narrow" w:eastAsiaTheme="majorEastAsia" w:hAnsi="Arial Narrow" w:cstheme="majorBidi"/>
                <w:bCs/>
                <w:sz w:val="20"/>
              </w:rPr>
              <w:t xml:space="preserve">A vs. </w:t>
            </w:r>
            <w:r w:rsidR="00F075EF" w:rsidRPr="00E74253">
              <w:rPr>
                <w:rFonts w:ascii="Arial Narrow" w:eastAsiaTheme="majorEastAsia" w:hAnsi="Arial Narrow" w:cstheme="majorBidi"/>
                <w:bCs/>
                <w:sz w:val="20"/>
              </w:rPr>
              <w:t>F</w:t>
            </w:r>
          </w:p>
        </w:tc>
        <w:tc>
          <w:tcPr>
            <w:tcW w:w="6662" w:type="dxa"/>
            <w:gridSpan w:val="6"/>
            <w:tcMar>
              <w:left w:w="28" w:type="dxa"/>
              <w:right w:w="28" w:type="dxa"/>
            </w:tcMar>
            <w:vAlign w:val="center"/>
          </w:tcPr>
          <w:p w14:paraId="124F821B" w14:textId="247B7E2B" w:rsidR="00937EEC" w:rsidRPr="00E74253" w:rsidRDefault="00937EEC" w:rsidP="00937EEC">
            <w:pPr>
              <w:spacing w:before="20" w:after="20"/>
              <w:jc w:val="left"/>
              <w:rPr>
                <w:rFonts w:ascii="Arial Narrow" w:eastAsiaTheme="majorEastAsia" w:hAnsi="Arial Narrow" w:cstheme="majorBidi"/>
                <w:bCs/>
                <w:sz w:val="20"/>
              </w:rPr>
            </w:pPr>
            <w:r w:rsidRPr="00E74253">
              <w:rPr>
                <w:rFonts w:ascii="Arial Narrow" w:eastAsiaTheme="majorEastAsia" w:hAnsi="Arial Narrow" w:cstheme="majorBidi"/>
                <w:bCs/>
                <w:sz w:val="20"/>
              </w:rPr>
              <w:t>Indirect comparison PAL+FUL vs. ABE+FUL: PALOMA-3 (ITT population</w:t>
            </w:r>
            <w:r w:rsidR="006F1978" w:rsidRPr="00E74253">
              <w:rPr>
                <w:rFonts w:ascii="Arial Narrow" w:eastAsiaTheme="majorEastAsia" w:hAnsi="Arial Narrow" w:cstheme="majorBidi"/>
                <w:bCs/>
                <w:sz w:val="20"/>
              </w:rPr>
              <w:t xml:space="preserve">, </w:t>
            </w:r>
            <w:proofErr w:type="spellStart"/>
            <w:r w:rsidR="006F1978" w:rsidRPr="00E74253">
              <w:rPr>
                <w:rFonts w:ascii="Arial Narrow" w:eastAsiaTheme="majorEastAsia" w:hAnsi="Arial Narrow" w:cstheme="majorBidi"/>
                <w:bCs/>
                <w:sz w:val="20"/>
              </w:rPr>
              <w:t>mFU</w:t>
            </w:r>
            <w:proofErr w:type="spellEnd"/>
            <w:r w:rsidR="006F1978" w:rsidRPr="00E74253">
              <w:rPr>
                <w:rFonts w:ascii="Arial Narrow" w:eastAsiaTheme="majorEastAsia" w:hAnsi="Arial Narrow" w:cstheme="majorBidi"/>
                <w:bCs/>
                <w:sz w:val="20"/>
              </w:rPr>
              <w:t xml:space="preserve"> 15.8 months</w:t>
            </w:r>
            <w:r w:rsidRPr="00E74253">
              <w:rPr>
                <w:rFonts w:ascii="Arial Narrow" w:eastAsiaTheme="majorEastAsia" w:hAnsi="Arial Narrow" w:cstheme="majorBidi"/>
                <w:bCs/>
                <w:sz w:val="20"/>
              </w:rPr>
              <w:t>) vs. MONARCH 2 (ITT population</w:t>
            </w:r>
            <w:r w:rsidR="006F1978" w:rsidRPr="00E74253">
              <w:rPr>
                <w:rFonts w:ascii="Arial Narrow" w:eastAsiaTheme="majorEastAsia" w:hAnsi="Arial Narrow" w:cstheme="majorBidi"/>
                <w:bCs/>
                <w:sz w:val="20"/>
              </w:rPr>
              <w:t xml:space="preserve">, </w:t>
            </w:r>
            <w:proofErr w:type="spellStart"/>
            <w:r w:rsidR="006F1978" w:rsidRPr="00E74253">
              <w:rPr>
                <w:rFonts w:ascii="Arial Narrow" w:eastAsiaTheme="majorEastAsia" w:hAnsi="Arial Narrow" w:cstheme="majorBidi"/>
                <w:bCs/>
                <w:sz w:val="20"/>
              </w:rPr>
              <w:t>mFU</w:t>
            </w:r>
            <w:proofErr w:type="spellEnd"/>
            <w:r w:rsidR="006F1978" w:rsidRPr="00E74253">
              <w:rPr>
                <w:rFonts w:ascii="Arial Narrow" w:eastAsiaTheme="majorEastAsia" w:hAnsi="Arial Narrow" w:cstheme="majorBidi"/>
                <w:bCs/>
                <w:sz w:val="20"/>
              </w:rPr>
              <w:t xml:space="preserve"> 47.7 months</w:t>
            </w:r>
            <w:r w:rsidRPr="00E74253">
              <w:rPr>
                <w:rFonts w:ascii="Arial Narrow" w:eastAsiaTheme="majorEastAsia" w:hAnsi="Arial Narrow" w:cstheme="majorBidi"/>
                <w:bCs/>
                <w:sz w:val="20"/>
              </w:rPr>
              <w:t>)</w:t>
            </w:r>
          </w:p>
        </w:tc>
        <w:tc>
          <w:tcPr>
            <w:tcW w:w="1701" w:type="dxa"/>
            <w:shd w:val="clear" w:color="auto" w:fill="auto"/>
            <w:tcMar>
              <w:left w:w="28" w:type="dxa"/>
              <w:right w:w="28" w:type="dxa"/>
            </w:tcMar>
            <w:vAlign w:val="center"/>
          </w:tcPr>
          <w:p w14:paraId="0F3EFB3C" w14:textId="77777777" w:rsidR="00937EEC" w:rsidRPr="00E74253" w:rsidRDefault="00937EEC" w:rsidP="00937EEC">
            <w:pPr>
              <w:spacing w:before="20" w:after="20"/>
              <w:jc w:val="center"/>
              <w:rPr>
                <w:rFonts w:ascii="Arial Narrow" w:eastAsiaTheme="majorEastAsia" w:hAnsi="Arial Narrow" w:cstheme="majorBidi"/>
                <w:bCs/>
                <w:sz w:val="20"/>
              </w:rPr>
            </w:pPr>
            <w:r w:rsidRPr="00E74253">
              <w:rPr>
                <w:rFonts w:ascii="Arial Narrow" w:eastAsiaTheme="majorEastAsia" w:hAnsi="Arial Narrow" w:cstheme="majorBidi"/>
                <w:bCs/>
                <w:sz w:val="20"/>
              </w:rPr>
              <w:t>0.93 (0.69, 1.24), p=0.6085</w:t>
            </w:r>
          </w:p>
        </w:tc>
      </w:tr>
    </w:tbl>
    <w:p w14:paraId="69EEED58" w14:textId="7A5A7D8F" w:rsidR="00937EEC" w:rsidRPr="00937EEC" w:rsidRDefault="00937EEC" w:rsidP="00C924FD">
      <w:pPr>
        <w:pStyle w:val="TableFigureFooter"/>
      </w:pPr>
      <w:r w:rsidRPr="00937EEC">
        <w:t xml:space="preserve">Source: </w:t>
      </w:r>
      <w:r w:rsidRPr="005B0B89">
        <w:t>table constructed during the evaluation</w:t>
      </w:r>
      <w:r w:rsidRPr="00937EEC">
        <w:t xml:space="preserve"> using information from Spreadsheets ‘PFS &amp; OS HR </w:t>
      </w:r>
      <w:proofErr w:type="spellStart"/>
      <w:r w:rsidRPr="00937EEC">
        <w:t>PAL_v_RIB</w:t>
      </w:r>
      <w:proofErr w:type="spellEnd"/>
      <w:r w:rsidRPr="00937EEC">
        <w:t xml:space="preserve">’ and ‘PFS &amp; OS HR </w:t>
      </w:r>
      <w:proofErr w:type="spellStart"/>
      <w:r w:rsidRPr="00937EEC">
        <w:t>PAL_v_ABE</w:t>
      </w:r>
      <w:proofErr w:type="spellEnd"/>
      <w:r w:rsidRPr="00937EEC">
        <w:t xml:space="preserve">’ in Excel workbook titled ‘Attachment 4 Section 2 Indirect Treatment Comparisons’, included as Attachment 4 of the submission; Tables 1023.511.12 and 1023.560.1, pp58-59 in in Palbociclib (A5481023) Final PSF tables (data </w:t>
      </w:r>
      <w:r w:rsidR="00353741" w:rsidRPr="00937EEC">
        <w:t>cut-off</w:t>
      </w:r>
      <w:r w:rsidRPr="00937EEC">
        <w:t xml:space="preserve"> 23 October 2015); Figures 3A and 3C in </w:t>
      </w:r>
      <w:proofErr w:type="spellStart"/>
      <w:r w:rsidRPr="00937EEC">
        <w:t>Slamon</w:t>
      </w:r>
      <w:proofErr w:type="spellEnd"/>
      <w:r w:rsidRPr="00937EEC">
        <w:t xml:space="preserve"> 2020; Sledge 2017; </w:t>
      </w:r>
      <w:proofErr w:type="spellStart"/>
      <w:r w:rsidRPr="00937EEC">
        <w:t>eFigure</w:t>
      </w:r>
      <w:proofErr w:type="spellEnd"/>
      <w:r w:rsidRPr="00937EEC">
        <w:t xml:space="preserve"> 2 in Supplement 2 of Sledge 2020; Table 6, </w:t>
      </w:r>
      <w:proofErr w:type="spellStart"/>
      <w:r w:rsidRPr="00937EEC">
        <w:t>Abemaciclib</w:t>
      </w:r>
      <w:proofErr w:type="spellEnd"/>
      <w:r w:rsidRPr="00937EEC">
        <w:t xml:space="preserve"> PSD, March 2021 PBAC Meeting.</w:t>
      </w:r>
    </w:p>
    <w:p w14:paraId="0E144760" w14:textId="35E63144" w:rsidR="00937EEC" w:rsidRPr="00937EEC" w:rsidRDefault="00937EEC" w:rsidP="00C924FD">
      <w:pPr>
        <w:pStyle w:val="TableFigureFooter"/>
      </w:pPr>
      <w:r w:rsidRPr="00937EEC">
        <w:t xml:space="preserve">ABE = </w:t>
      </w:r>
      <w:proofErr w:type="spellStart"/>
      <w:r w:rsidRPr="00937EEC">
        <w:t>abemaciclib</w:t>
      </w:r>
      <w:proofErr w:type="spellEnd"/>
      <w:r w:rsidRPr="00937EEC">
        <w:t xml:space="preserve">; CI = confidence interval; ER = endocrine-resistant subgroup; FUL = </w:t>
      </w:r>
      <w:proofErr w:type="spellStart"/>
      <w:r w:rsidRPr="00937EEC">
        <w:t>fulvestrant</w:t>
      </w:r>
      <w:proofErr w:type="spellEnd"/>
      <w:r w:rsidRPr="00937EEC">
        <w:t xml:space="preserve">; HR = hazard ratio; ITT = intention-to-treat; </w:t>
      </w:r>
      <w:proofErr w:type="spellStart"/>
      <w:r w:rsidR="006F1978">
        <w:t>mFU</w:t>
      </w:r>
      <w:proofErr w:type="spellEnd"/>
      <w:r w:rsidR="006F1978">
        <w:t xml:space="preserve"> = median follow-up; </w:t>
      </w:r>
      <w:r w:rsidRPr="00937EEC">
        <w:t xml:space="preserve">n = number of participants with event; N = total participants in group; PAL = </w:t>
      </w:r>
      <w:proofErr w:type="spellStart"/>
      <w:r w:rsidRPr="00937EEC">
        <w:t>palbociclib</w:t>
      </w:r>
      <w:proofErr w:type="spellEnd"/>
      <w:r w:rsidRPr="00937EEC">
        <w:t xml:space="preserve">; PBO </w:t>
      </w:r>
      <w:proofErr w:type="gramStart"/>
      <w:r w:rsidRPr="00937EEC">
        <w:t>=  placebo</w:t>
      </w:r>
      <w:proofErr w:type="gramEnd"/>
      <w:r w:rsidRPr="00937EEC">
        <w:t xml:space="preserve">; PFS = progression-free survival; RIB = </w:t>
      </w:r>
      <w:proofErr w:type="spellStart"/>
      <w:r w:rsidRPr="00937EEC">
        <w:t>ribociclib</w:t>
      </w:r>
      <w:proofErr w:type="spellEnd"/>
    </w:p>
    <w:p w14:paraId="44523849" w14:textId="77777777" w:rsidR="00F9777B" w:rsidRPr="00937EEC" w:rsidRDefault="00F9777B" w:rsidP="00F9777B">
      <w:pPr>
        <w:pStyle w:val="TableFigureFooter"/>
      </w:pPr>
      <w:r>
        <w:rPr>
          <w:vertAlign w:val="superscript"/>
        </w:rPr>
        <w:t>a</w:t>
      </w:r>
      <w:r w:rsidRPr="00937EEC">
        <w:t xml:space="preserve"> 50% quartile of Kaplan-Meier estimates of time to event (based on the Brookmeyer and Crowley Method).</w:t>
      </w:r>
    </w:p>
    <w:p w14:paraId="3B02F1C3" w14:textId="471CB891" w:rsidR="00937EEC" w:rsidRPr="00937EEC" w:rsidRDefault="00A53741" w:rsidP="00C924FD">
      <w:pPr>
        <w:pStyle w:val="TableFigureFooter"/>
      </w:pPr>
      <w:r>
        <w:rPr>
          <w:vertAlign w:val="superscript"/>
        </w:rPr>
        <w:t>b</w:t>
      </w:r>
      <w:r w:rsidR="00937EEC" w:rsidRPr="00937EEC">
        <w:t xml:space="preserve"> Hazard ratio less than 1 is in </w:t>
      </w:r>
      <w:r w:rsidR="00353741" w:rsidRPr="00937EEC">
        <w:t>favour</w:t>
      </w:r>
      <w:r w:rsidR="00937EEC" w:rsidRPr="00937EEC">
        <w:t xml:space="preserve"> of </w:t>
      </w:r>
      <w:proofErr w:type="spellStart"/>
      <w:r w:rsidR="00937EEC" w:rsidRPr="00937EEC">
        <w:t>palbociclib</w:t>
      </w:r>
      <w:proofErr w:type="spellEnd"/>
      <w:r w:rsidR="00937EEC" w:rsidRPr="00937EEC">
        <w:t xml:space="preserve"> plus </w:t>
      </w:r>
      <w:proofErr w:type="spellStart"/>
      <w:r w:rsidR="00937EEC" w:rsidRPr="00937EEC">
        <w:t>fulvestrant</w:t>
      </w:r>
      <w:proofErr w:type="spellEnd"/>
      <w:r w:rsidR="00937EEC" w:rsidRPr="00937EEC">
        <w:t>.</w:t>
      </w:r>
    </w:p>
    <w:p w14:paraId="7B018F0B" w14:textId="6B8B246C" w:rsidR="00937EEC" w:rsidRPr="00937EEC" w:rsidRDefault="00A53741" w:rsidP="00C924FD">
      <w:pPr>
        <w:pStyle w:val="TableFigureFooter"/>
      </w:pPr>
      <w:r>
        <w:rPr>
          <w:vertAlign w:val="superscript"/>
        </w:rPr>
        <w:t>c</w:t>
      </w:r>
      <w:r w:rsidR="00937EEC" w:rsidRPr="00937EEC">
        <w:t xml:space="preserve"> 1-sided p-value from the log-rank test stratified by the presence of visceral metastases and sensitivity to prior hormonal therapy per randomisation.</w:t>
      </w:r>
    </w:p>
    <w:p w14:paraId="45908D13" w14:textId="77777777" w:rsidR="00F9777B" w:rsidRDefault="00F9777B" w:rsidP="00F9777B">
      <w:pPr>
        <w:pStyle w:val="TableFigureFooter"/>
      </w:pPr>
      <w:r>
        <w:rPr>
          <w:vertAlign w:val="superscript"/>
        </w:rPr>
        <w:t>d</w:t>
      </w:r>
      <w:r>
        <w:t xml:space="preserve"> </w:t>
      </w:r>
      <w:r w:rsidRPr="00226541">
        <w:t>Data</w:t>
      </w:r>
      <w:r w:rsidRPr="00937EEC">
        <w:t xml:space="preserve"> were previously seen by the PBAC (MONALEESA-3: July 2020, November </w:t>
      </w:r>
      <w:proofErr w:type="gramStart"/>
      <w:r w:rsidRPr="00937EEC">
        <w:t>2020</w:t>
      </w:r>
      <w:proofErr w:type="gramEnd"/>
      <w:r w:rsidRPr="00937EEC">
        <w:t xml:space="preserve"> and March 2021 PBAC Meetings; MONARCH 2: March 2021 PBAC Meeting).</w:t>
      </w:r>
    </w:p>
    <w:p w14:paraId="04C08EC5" w14:textId="59024CCC" w:rsidR="00937EEC" w:rsidRDefault="00B83BF3" w:rsidP="00C924FD">
      <w:pPr>
        <w:pStyle w:val="TableFigureFooter"/>
      </w:pPr>
      <w:r w:rsidRPr="00B83BF3">
        <w:rPr>
          <w:vertAlign w:val="superscript"/>
        </w:rPr>
        <w:t>e</w:t>
      </w:r>
      <w:r w:rsidR="00937EEC" w:rsidRPr="00937EEC">
        <w:t xml:space="preserve"> Patients who received trial treatment as second-line therapy or who had early relapse (within 12 months after completion of adjuvant or neoadjuvant endocrine therapy).</w:t>
      </w:r>
    </w:p>
    <w:p w14:paraId="38C218E9" w14:textId="77777777" w:rsidR="00F9777B" w:rsidRPr="00937EEC" w:rsidRDefault="00F9777B" w:rsidP="00F9777B">
      <w:pPr>
        <w:pStyle w:val="TableFigureFooter"/>
      </w:pPr>
      <w:r>
        <w:rPr>
          <w:vertAlign w:val="superscript"/>
        </w:rPr>
        <w:t>f</w:t>
      </w:r>
      <w:r w:rsidRPr="00937EEC">
        <w:t xml:space="preserve"> PFS2, a prespecified exploratory endpoint, was defined as the time from randomisation to the first documented disease progression following discontinuation from study treatment while the patient was receiving next-line therapy (as reported by the investigator) or death from any cause, whichever occurred first (</w:t>
      </w:r>
      <w:proofErr w:type="spellStart"/>
      <w:r w:rsidRPr="00937EEC">
        <w:t>Slamon</w:t>
      </w:r>
      <w:proofErr w:type="spellEnd"/>
      <w:r w:rsidRPr="00937EEC">
        <w:t xml:space="preserve"> 2021).</w:t>
      </w:r>
    </w:p>
    <w:p w14:paraId="7D2F3FA1" w14:textId="6993D5D4" w:rsidR="009B188D" w:rsidRPr="00937EEC" w:rsidRDefault="009B188D" w:rsidP="009B188D">
      <w:pPr>
        <w:pStyle w:val="TableFigureFooter"/>
      </w:pPr>
      <w:r w:rsidRPr="00937EEC">
        <w:rPr>
          <w:b/>
        </w:rPr>
        <w:t>Bold</w:t>
      </w:r>
      <w:r w:rsidRPr="00937EEC">
        <w:t xml:space="preserve"> indicates statistically significant results from pre-planned analyses </w:t>
      </w:r>
    </w:p>
    <w:p w14:paraId="313182A5" w14:textId="77777777" w:rsidR="009B188D" w:rsidRPr="00937EEC" w:rsidRDefault="009B188D" w:rsidP="00C924FD">
      <w:pPr>
        <w:pStyle w:val="TableFigureFooter"/>
      </w:pPr>
    </w:p>
    <w:p w14:paraId="41E62FC6" w14:textId="77777777" w:rsidR="00315876" w:rsidRDefault="00315876">
      <w:pPr>
        <w:jc w:val="left"/>
        <w:rPr>
          <w:rFonts w:ascii="Arial Narrow" w:eastAsiaTheme="majorEastAsia" w:hAnsi="Arial Narrow" w:cstheme="majorBidi"/>
          <w:b/>
          <w:bCs/>
          <w:sz w:val="20"/>
        </w:rPr>
      </w:pPr>
      <w:bookmarkStart w:id="34" w:name="_Ref90059711"/>
      <w:bookmarkStart w:id="35" w:name="_Ref90274439"/>
      <w:bookmarkEnd w:id="33"/>
      <w:r>
        <w:rPr>
          <w:rFonts w:ascii="Arial Narrow" w:eastAsiaTheme="majorEastAsia" w:hAnsi="Arial Narrow" w:cstheme="majorBidi"/>
          <w:b/>
          <w:bCs/>
          <w:sz w:val="20"/>
        </w:rPr>
        <w:br w:type="page"/>
      </w:r>
    </w:p>
    <w:p w14:paraId="0EC103C1" w14:textId="5572FB27" w:rsidR="00937EEC" w:rsidRPr="00137858" w:rsidRDefault="00937EEC" w:rsidP="00937EEC">
      <w:pPr>
        <w:keepNext/>
        <w:spacing w:before="20" w:after="20"/>
        <w:jc w:val="left"/>
        <w:rPr>
          <w:rFonts w:ascii="Arial Narrow" w:eastAsiaTheme="majorEastAsia" w:hAnsi="Arial Narrow" w:cstheme="majorBidi"/>
          <w:b/>
          <w:bCs/>
          <w:sz w:val="20"/>
        </w:rPr>
      </w:pPr>
      <w:r w:rsidRPr="00937EEC">
        <w:rPr>
          <w:rFonts w:ascii="Arial Narrow" w:eastAsiaTheme="majorEastAsia" w:hAnsi="Arial Narrow" w:cstheme="majorBidi"/>
          <w:b/>
          <w:bCs/>
          <w:sz w:val="20"/>
        </w:rPr>
        <w:lastRenderedPageBreak/>
        <w:t xml:space="preserve">Table </w:t>
      </w:r>
      <w:r w:rsidR="00246AFC">
        <w:rPr>
          <w:rFonts w:ascii="Arial Narrow" w:eastAsiaTheme="majorEastAsia" w:hAnsi="Arial Narrow" w:cstheme="majorBidi"/>
          <w:b/>
          <w:bCs/>
          <w:sz w:val="20"/>
        </w:rPr>
        <w:t>6</w:t>
      </w:r>
      <w:bookmarkEnd w:id="34"/>
      <w:bookmarkEnd w:id="35"/>
      <w:r w:rsidRPr="00937EEC">
        <w:rPr>
          <w:rFonts w:ascii="Arial Narrow" w:eastAsiaTheme="majorEastAsia" w:hAnsi="Arial Narrow" w:cstheme="majorBidi"/>
          <w:b/>
          <w:bCs/>
          <w:sz w:val="20"/>
        </w:rPr>
        <w:t xml:space="preserve">: </w:t>
      </w:r>
      <w:r w:rsidRPr="00137858">
        <w:rPr>
          <w:rFonts w:ascii="Arial Narrow" w:eastAsiaTheme="majorEastAsia" w:hAnsi="Arial Narrow" w:cstheme="majorBidi"/>
          <w:b/>
          <w:bCs/>
          <w:sz w:val="20"/>
        </w:rPr>
        <w:t>Results of the indirect comparison in the submission – OS</w:t>
      </w:r>
    </w:p>
    <w:tbl>
      <w:tblPr>
        <w:tblStyle w:val="TableGrid"/>
        <w:tblW w:w="9072" w:type="dxa"/>
        <w:tblInd w:w="-5" w:type="dxa"/>
        <w:tblLayout w:type="fixed"/>
        <w:tblLook w:val="04A0" w:firstRow="1" w:lastRow="0" w:firstColumn="1" w:lastColumn="0" w:noHBand="0" w:noVBand="1"/>
        <w:tblCaption w:val="Table 6: Results of the indirect comparison in the submission – OS"/>
      </w:tblPr>
      <w:tblGrid>
        <w:gridCol w:w="851"/>
        <w:gridCol w:w="1701"/>
        <w:gridCol w:w="1276"/>
        <w:gridCol w:w="708"/>
        <w:gridCol w:w="709"/>
        <w:gridCol w:w="992"/>
        <w:gridCol w:w="1134"/>
        <w:gridCol w:w="1701"/>
      </w:tblGrid>
      <w:tr w:rsidR="00937EEC" w:rsidRPr="00E74253" w14:paraId="4B4F61B2" w14:textId="77777777" w:rsidTr="00FF27D1">
        <w:trPr>
          <w:tblHeader/>
        </w:trPr>
        <w:tc>
          <w:tcPr>
            <w:tcW w:w="851" w:type="dxa"/>
            <w:tcBorders>
              <w:bottom w:val="nil"/>
            </w:tcBorders>
            <w:tcMar>
              <w:left w:w="28" w:type="dxa"/>
              <w:right w:w="28" w:type="dxa"/>
            </w:tcMar>
            <w:vAlign w:val="center"/>
          </w:tcPr>
          <w:p w14:paraId="1DB9B9BD" w14:textId="77777777" w:rsidR="00937EEC" w:rsidRPr="00E74253" w:rsidRDefault="00937EEC" w:rsidP="00937EEC">
            <w:pPr>
              <w:jc w:val="center"/>
              <w:rPr>
                <w:rFonts w:ascii="Arial Narrow" w:eastAsiaTheme="majorEastAsia" w:hAnsi="Arial Narrow" w:cs="Times New Roman"/>
                <w:b/>
                <w:sz w:val="20"/>
                <w:lang w:val="en-US"/>
              </w:rPr>
            </w:pPr>
          </w:p>
        </w:tc>
        <w:tc>
          <w:tcPr>
            <w:tcW w:w="1701" w:type="dxa"/>
            <w:vMerge w:val="restart"/>
            <w:tcMar>
              <w:left w:w="28" w:type="dxa"/>
              <w:right w:w="28" w:type="dxa"/>
            </w:tcMar>
            <w:vAlign w:val="center"/>
          </w:tcPr>
          <w:p w14:paraId="79174B18" w14:textId="77777777" w:rsidR="00937EEC" w:rsidRPr="00E74253" w:rsidRDefault="00937EEC" w:rsidP="00937EEC">
            <w:pPr>
              <w:jc w:val="left"/>
              <w:rPr>
                <w:rFonts w:ascii="Arial Narrow" w:eastAsiaTheme="majorEastAsia" w:hAnsi="Arial Narrow" w:cs="Times New Roman"/>
                <w:b/>
                <w:sz w:val="20"/>
                <w:lang w:val="en-US"/>
              </w:rPr>
            </w:pPr>
            <w:r w:rsidRPr="00E74253">
              <w:rPr>
                <w:rFonts w:ascii="Arial Narrow" w:eastAsiaTheme="majorEastAsia" w:hAnsi="Arial Narrow" w:cs="Times New Roman"/>
                <w:b/>
                <w:sz w:val="20"/>
                <w:lang w:val="en-US"/>
              </w:rPr>
              <w:t>Trial</w:t>
            </w:r>
          </w:p>
          <w:p w14:paraId="0DA8C3D8" w14:textId="77777777" w:rsidR="00937EEC" w:rsidRPr="00E74253" w:rsidRDefault="00937EEC" w:rsidP="00937EEC">
            <w:pPr>
              <w:jc w:val="left"/>
              <w:rPr>
                <w:rFonts w:ascii="Arial Narrow" w:eastAsiaTheme="majorEastAsia" w:hAnsi="Arial Narrow" w:cs="Times New Roman"/>
                <w:b/>
                <w:sz w:val="20"/>
                <w:lang w:val="en-US"/>
              </w:rPr>
            </w:pPr>
            <w:proofErr w:type="gramStart"/>
            <w:r w:rsidRPr="00E74253">
              <w:rPr>
                <w:rFonts w:ascii="Arial Narrow" w:eastAsiaTheme="majorEastAsia" w:hAnsi="Arial Narrow" w:cs="Times New Roman"/>
                <w:b/>
                <w:sz w:val="20"/>
                <w:lang w:val="en-US"/>
              </w:rPr>
              <w:t>Median</w:t>
            </w:r>
            <w:proofErr w:type="gramEnd"/>
            <w:r w:rsidRPr="00E74253">
              <w:rPr>
                <w:rFonts w:ascii="Arial Narrow" w:eastAsiaTheme="majorEastAsia" w:hAnsi="Arial Narrow" w:cs="Times New Roman"/>
                <w:b/>
                <w:sz w:val="20"/>
                <w:lang w:val="en-US"/>
              </w:rPr>
              <w:t xml:space="preserve"> follow up </w:t>
            </w:r>
          </w:p>
        </w:tc>
        <w:tc>
          <w:tcPr>
            <w:tcW w:w="1276" w:type="dxa"/>
            <w:vMerge w:val="restart"/>
            <w:tcMar>
              <w:left w:w="28" w:type="dxa"/>
              <w:right w:w="28" w:type="dxa"/>
            </w:tcMar>
            <w:vAlign w:val="center"/>
          </w:tcPr>
          <w:p w14:paraId="1E6DED25" w14:textId="77777777" w:rsidR="00937EEC" w:rsidRPr="00E74253" w:rsidRDefault="00937EEC" w:rsidP="00937EEC">
            <w:pPr>
              <w:jc w:val="left"/>
              <w:rPr>
                <w:rFonts w:ascii="Arial Narrow" w:eastAsiaTheme="majorEastAsia" w:hAnsi="Arial Narrow" w:cs="Times New Roman"/>
                <w:b/>
                <w:sz w:val="20"/>
                <w:lang w:val="en-US"/>
              </w:rPr>
            </w:pPr>
            <w:r w:rsidRPr="00E74253">
              <w:rPr>
                <w:rFonts w:ascii="Arial Narrow" w:eastAsiaTheme="majorEastAsia" w:hAnsi="Arial Narrow" w:cs="Times New Roman"/>
                <w:b/>
                <w:sz w:val="20"/>
                <w:lang w:val="en-US"/>
              </w:rPr>
              <w:t>Comparison</w:t>
            </w:r>
          </w:p>
        </w:tc>
        <w:tc>
          <w:tcPr>
            <w:tcW w:w="1417" w:type="dxa"/>
            <w:gridSpan w:val="2"/>
            <w:shd w:val="clear" w:color="auto" w:fill="auto"/>
            <w:tcMar>
              <w:left w:w="28" w:type="dxa"/>
              <w:right w:w="28" w:type="dxa"/>
            </w:tcMar>
            <w:vAlign w:val="center"/>
          </w:tcPr>
          <w:p w14:paraId="7A2F5657" w14:textId="77777777" w:rsidR="00937EEC" w:rsidRPr="00E74253" w:rsidRDefault="00937EEC" w:rsidP="00937EEC">
            <w:pPr>
              <w:jc w:val="center"/>
              <w:rPr>
                <w:rFonts w:ascii="Arial Narrow" w:eastAsiaTheme="majorEastAsia" w:hAnsi="Arial Narrow" w:cs="Times New Roman"/>
                <w:b/>
                <w:sz w:val="20"/>
                <w:lang w:val="en-US"/>
              </w:rPr>
            </w:pPr>
            <w:r w:rsidRPr="00E74253">
              <w:rPr>
                <w:rFonts w:ascii="Arial Narrow" w:eastAsiaTheme="majorEastAsia" w:hAnsi="Arial Narrow" w:cs="Times New Roman"/>
                <w:b/>
                <w:sz w:val="20"/>
                <w:lang w:val="en-US"/>
              </w:rPr>
              <w:t>OS n/N (%)</w:t>
            </w:r>
          </w:p>
        </w:tc>
        <w:tc>
          <w:tcPr>
            <w:tcW w:w="2126" w:type="dxa"/>
            <w:gridSpan w:val="2"/>
            <w:shd w:val="clear" w:color="auto" w:fill="auto"/>
            <w:tcMar>
              <w:left w:w="28" w:type="dxa"/>
              <w:right w:w="28" w:type="dxa"/>
            </w:tcMar>
            <w:vAlign w:val="center"/>
          </w:tcPr>
          <w:p w14:paraId="051046C3" w14:textId="0A012EB6" w:rsidR="00937EEC" w:rsidRPr="00E74253" w:rsidRDefault="00937EEC" w:rsidP="00937EEC">
            <w:pPr>
              <w:jc w:val="center"/>
              <w:rPr>
                <w:rFonts w:ascii="Arial Narrow" w:eastAsiaTheme="majorEastAsia" w:hAnsi="Arial Narrow" w:cs="Times New Roman"/>
                <w:b/>
                <w:sz w:val="20"/>
                <w:lang w:val="en-US"/>
              </w:rPr>
            </w:pPr>
            <w:r w:rsidRPr="00E74253">
              <w:rPr>
                <w:rFonts w:ascii="Arial Narrow" w:eastAsiaTheme="majorEastAsia" w:hAnsi="Arial Narrow" w:cs="Times New Roman"/>
                <w:b/>
                <w:sz w:val="20"/>
                <w:lang w:val="en-US"/>
              </w:rPr>
              <w:t xml:space="preserve">Median OS </w:t>
            </w:r>
            <w:r w:rsidR="00FF27D1">
              <w:rPr>
                <w:rFonts w:ascii="Arial Narrow" w:eastAsiaTheme="majorEastAsia" w:hAnsi="Arial Narrow" w:cs="Times New Roman"/>
                <w:b/>
                <w:sz w:val="20"/>
                <w:lang w:val="en-US"/>
              </w:rPr>
              <w:br/>
            </w:r>
            <w:r w:rsidRPr="00E74253">
              <w:rPr>
                <w:rFonts w:ascii="Arial Narrow" w:eastAsiaTheme="majorEastAsia" w:hAnsi="Arial Narrow" w:cs="Times New Roman"/>
                <w:b/>
                <w:sz w:val="20"/>
                <w:lang w:val="en-US"/>
              </w:rPr>
              <w:t>(95% CI), months</w:t>
            </w:r>
          </w:p>
        </w:tc>
        <w:tc>
          <w:tcPr>
            <w:tcW w:w="1701" w:type="dxa"/>
            <w:vMerge w:val="restart"/>
            <w:tcMar>
              <w:left w:w="28" w:type="dxa"/>
              <w:right w:w="28" w:type="dxa"/>
            </w:tcMar>
            <w:vAlign w:val="center"/>
          </w:tcPr>
          <w:p w14:paraId="5C7763C1" w14:textId="77777777" w:rsidR="00937EEC" w:rsidRPr="00E74253" w:rsidRDefault="00937EEC" w:rsidP="00937EEC">
            <w:pPr>
              <w:jc w:val="center"/>
              <w:rPr>
                <w:rFonts w:ascii="Arial Narrow" w:eastAsiaTheme="majorEastAsia" w:hAnsi="Arial Narrow" w:cs="Times New Roman"/>
                <w:b/>
                <w:sz w:val="20"/>
                <w:lang w:val="en-US"/>
              </w:rPr>
            </w:pPr>
            <w:r w:rsidRPr="00E74253">
              <w:rPr>
                <w:rFonts w:ascii="Arial Narrow" w:eastAsiaTheme="majorEastAsia" w:hAnsi="Arial Narrow" w:cs="Times New Roman"/>
                <w:b/>
                <w:sz w:val="20"/>
                <w:lang w:val="en-US"/>
              </w:rPr>
              <w:t xml:space="preserve">HR (95% CI), </w:t>
            </w:r>
          </w:p>
          <w:p w14:paraId="6B3AD6CD" w14:textId="77777777" w:rsidR="00937EEC" w:rsidRPr="00E74253" w:rsidRDefault="00937EEC" w:rsidP="00937EEC">
            <w:pPr>
              <w:jc w:val="center"/>
              <w:rPr>
                <w:rFonts w:ascii="Arial Narrow" w:eastAsiaTheme="majorEastAsia" w:hAnsi="Arial Narrow" w:cs="Times New Roman"/>
                <w:b/>
                <w:sz w:val="20"/>
                <w:lang w:val="en-US"/>
              </w:rPr>
            </w:pPr>
            <w:r w:rsidRPr="00E74253">
              <w:rPr>
                <w:rFonts w:ascii="Arial Narrow" w:eastAsiaTheme="majorEastAsia" w:hAnsi="Arial Narrow" w:cs="Times New Roman"/>
                <w:b/>
                <w:sz w:val="20"/>
                <w:lang w:val="en-US"/>
              </w:rPr>
              <w:t>p-value</w:t>
            </w:r>
          </w:p>
        </w:tc>
      </w:tr>
      <w:tr w:rsidR="00937EEC" w:rsidRPr="00E74253" w14:paraId="6AEC82CF" w14:textId="77777777" w:rsidTr="00FF27D1">
        <w:trPr>
          <w:tblHeader/>
        </w:trPr>
        <w:tc>
          <w:tcPr>
            <w:tcW w:w="851" w:type="dxa"/>
            <w:tcBorders>
              <w:top w:val="nil"/>
            </w:tcBorders>
            <w:tcMar>
              <w:left w:w="28" w:type="dxa"/>
              <w:right w:w="28" w:type="dxa"/>
            </w:tcMar>
            <w:vAlign w:val="center"/>
          </w:tcPr>
          <w:p w14:paraId="3F63C0CE" w14:textId="77777777" w:rsidR="00937EEC" w:rsidRPr="00E74253" w:rsidRDefault="00937EEC" w:rsidP="00937EEC">
            <w:pPr>
              <w:jc w:val="center"/>
              <w:rPr>
                <w:rFonts w:ascii="Arial Narrow" w:eastAsiaTheme="majorEastAsia" w:hAnsi="Arial Narrow" w:cs="Times New Roman"/>
                <w:b/>
                <w:sz w:val="20"/>
                <w:lang w:val="en-US"/>
              </w:rPr>
            </w:pPr>
          </w:p>
        </w:tc>
        <w:tc>
          <w:tcPr>
            <w:tcW w:w="1701" w:type="dxa"/>
            <w:vMerge/>
            <w:tcMar>
              <w:left w:w="28" w:type="dxa"/>
              <w:right w:w="28" w:type="dxa"/>
            </w:tcMar>
            <w:vAlign w:val="center"/>
          </w:tcPr>
          <w:p w14:paraId="70E88230" w14:textId="77777777" w:rsidR="00937EEC" w:rsidRPr="00E74253" w:rsidRDefault="00937EEC" w:rsidP="00937EEC">
            <w:pPr>
              <w:jc w:val="left"/>
              <w:rPr>
                <w:rFonts w:ascii="Arial Narrow" w:eastAsiaTheme="majorEastAsia" w:hAnsi="Arial Narrow" w:cs="Times New Roman"/>
                <w:b/>
                <w:sz w:val="20"/>
                <w:lang w:val="en-US"/>
              </w:rPr>
            </w:pPr>
          </w:p>
        </w:tc>
        <w:tc>
          <w:tcPr>
            <w:tcW w:w="1276" w:type="dxa"/>
            <w:vMerge/>
            <w:tcMar>
              <w:left w:w="28" w:type="dxa"/>
              <w:right w:w="28" w:type="dxa"/>
            </w:tcMar>
            <w:vAlign w:val="center"/>
          </w:tcPr>
          <w:p w14:paraId="22D76619" w14:textId="77777777" w:rsidR="00937EEC" w:rsidRPr="00E74253" w:rsidRDefault="00937EEC" w:rsidP="00937EEC">
            <w:pPr>
              <w:jc w:val="left"/>
              <w:rPr>
                <w:rFonts w:ascii="Arial Narrow" w:eastAsiaTheme="majorEastAsia" w:hAnsi="Arial Narrow" w:cs="Times New Roman"/>
                <w:b/>
                <w:sz w:val="20"/>
                <w:lang w:val="en-US"/>
              </w:rPr>
            </w:pPr>
          </w:p>
        </w:tc>
        <w:tc>
          <w:tcPr>
            <w:tcW w:w="708" w:type="dxa"/>
            <w:shd w:val="clear" w:color="auto" w:fill="auto"/>
            <w:tcMar>
              <w:left w:w="28" w:type="dxa"/>
              <w:right w:w="28" w:type="dxa"/>
            </w:tcMar>
            <w:vAlign w:val="center"/>
          </w:tcPr>
          <w:p w14:paraId="3C748DE5" w14:textId="77777777" w:rsidR="00937EEC" w:rsidRPr="00E74253" w:rsidRDefault="00937EEC" w:rsidP="00937EEC">
            <w:pPr>
              <w:jc w:val="center"/>
              <w:rPr>
                <w:rFonts w:ascii="Arial Narrow" w:eastAsiaTheme="majorEastAsia" w:hAnsi="Arial Narrow" w:cs="Times New Roman"/>
                <w:b/>
                <w:sz w:val="20"/>
                <w:lang w:val="en-US"/>
              </w:rPr>
            </w:pPr>
            <w:r w:rsidRPr="00E74253">
              <w:rPr>
                <w:rFonts w:ascii="Arial Narrow" w:eastAsiaTheme="majorEastAsia" w:hAnsi="Arial Narrow" w:cs="Times New Roman"/>
                <w:b/>
                <w:sz w:val="20"/>
                <w:lang w:val="en-US"/>
              </w:rPr>
              <w:t>Test</w:t>
            </w:r>
          </w:p>
        </w:tc>
        <w:tc>
          <w:tcPr>
            <w:tcW w:w="709" w:type="dxa"/>
            <w:shd w:val="clear" w:color="auto" w:fill="auto"/>
            <w:tcMar>
              <w:left w:w="28" w:type="dxa"/>
              <w:right w:w="28" w:type="dxa"/>
            </w:tcMar>
            <w:vAlign w:val="center"/>
          </w:tcPr>
          <w:p w14:paraId="5E746899" w14:textId="77777777" w:rsidR="00937EEC" w:rsidRPr="00E74253" w:rsidRDefault="00937EEC" w:rsidP="00937EEC">
            <w:pPr>
              <w:jc w:val="center"/>
              <w:rPr>
                <w:rFonts w:ascii="Arial Narrow" w:eastAsiaTheme="majorEastAsia" w:hAnsi="Arial Narrow" w:cs="Times New Roman"/>
                <w:b/>
                <w:sz w:val="20"/>
                <w:lang w:val="en-US"/>
              </w:rPr>
            </w:pPr>
            <w:r w:rsidRPr="00E74253">
              <w:rPr>
                <w:rFonts w:ascii="Arial Narrow" w:eastAsiaTheme="majorEastAsia" w:hAnsi="Arial Narrow" w:cs="Times New Roman"/>
                <w:b/>
                <w:sz w:val="20"/>
                <w:lang w:val="en-US"/>
              </w:rPr>
              <w:t>Control</w:t>
            </w:r>
          </w:p>
        </w:tc>
        <w:tc>
          <w:tcPr>
            <w:tcW w:w="992" w:type="dxa"/>
            <w:shd w:val="clear" w:color="auto" w:fill="auto"/>
            <w:tcMar>
              <w:left w:w="28" w:type="dxa"/>
              <w:right w:w="28" w:type="dxa"/>
            </w:tcMar>
            <w:vAlign w:val="center"/>
          </w:tcPr>
          <w:p w14:paraId="32DDB0B1" w14:textId="77777777" w:rsidR="00937EEC" w:rsidRPr="00E74253" w:rsidRDefault="00937EEC" w:rsidP="00937EEC">
            <w:pPr>
              <w:jc w:val="center"/>
              <w:rPr>
                <w:rFonts w:ascii="Arial Narrow" w:eastAsiaTheme="majorEastAsia" w:hAnsi="Arial Narrow" w:cs="Times New Roman"/>
                <w:b/>
                <w:sz w:val="20"/>
                <w:lang w:val="en-US"/>
              </w:rPr>
            </w:pPr>
            <w:r w:rsidRPr="00E74253">
              <w:rPr>
                <w:rFonts w:ascii="Arial Narrow" w:eastAsiaTheme="majorEastAsia" w:hAnsi="Arial Narrow" w:cs="Times New Roman"/>
                <w:b/>
                <w:sz w:val="20"/>
                <w:lang w:val="en-US"/>
              </w:rPr>
              <w:t>Test</w:t>
            </w:r>
          </w:p>
        </w:tc>
        <w:tc>
          <w:tcPr>
            <w:tcW w:w="1134" w:type="dxa"/>
            <w:shd w:val="clear" w:color="auto" w:fill="auto"/>
            <w:tcMar>
              <w:left w:w="28" w:type="dxa"/>
              <w:right w:w="28" w:type="dxa"/>
            </w:tcMar>
            <w:vAlign w:val="center"/>
          </w:tcPr>
          <w:p w14:paraId="7DD03A7B" w14:textId="77777777" w:rsidR="00937EEC" w:rsidRPr="00E74253" w:rsidRDefault="00937EEC" w:rsidP="00937EEC">
            <w:pPr>
              <w:jc w:val="center"/>
              <w:rPr>
                <w:rFonts w:ascii="Arial Narrow" w:eastAsiaTheme="majorEastAsia" w:hAnsi="Arial Narrow" w:cs="Times New Roman"/>
                <w:b/>
                <w:sz w:val="20"/>
                <w:lang w:val="en-US"/>
              </w:rPr>
            </w:pPr>
            <w:r w:rsidRPr="00E74253">
              <w:rPr>
                <w:rFonts w:ascii="Arial Narrow" w:eastAsiaTheme="majorEastAsia" w:hAnsi="Arial Narrow" w:cs="Times New Roman"/>
                <w:b/>
                <w:sz w:val="20"/>
                <w:lang w:val="en-US"/>
              </w:rPr>
              <w:t>Control</w:t>
            </w:r>
          </w:p>
        </w:tc>
        <w:tc>
          <w:tcPr>
            <w:tcW w:w="1701" w:type="dxa"/>
            <w:vMerge/>
            <w:tcMar>
              <w:left w:w="28" w:type="dxa"/>
              <w:right w:w="28" w:type="dxa"/>
            </w:tcMar>
            <w:vAlign w:val="center"/>
          </w:tcPr>
          <w:p w14:paraId="38608C20" w14:textId="77777777" w:rsidR="00937EEC" w:rsidRPr="00E74253" w:rsidRDefault="00937EEC" w:rsidP="00937EEC">
            <w:pPr>
              <w:jc w:val="center"/>
              <w:rPr>
                <w:rFonts w:ascii="Arial Narrow" w:eastAsiaTheme="majorEastAsia" w:hAnsi="Arial Narrow" w:cs="Times New Roman"/>
                <w:b/>
                <w:sz w:val="20"/>
                <w:lang w:val="en-US"/>
              </w:rPr>
            </w:pPr>
          </w:p>
        </w:tc>
      </w:tr>
      <w:tr w:rsidR="00937EEC" w:rsidRPr="00E74253" w14:paraId="624B884F" w14:textId="77777777" w:rsidTr="00FF27D1">
        <w:tc>
          <w:tcPr>
            <w:tcW w:w="851" w:type="dxa"/>
            <w:tcMar>
              <w:left w:w="28" w:type="dxa"/>
              <w:right w:w="28" w:type="dxa"/>
            </w:tcMar>
            <w:vAlign w:val="center"/>
          </w:tcPr>
          <w:p w14:paraId="0E634194" w14:textId="77777777" w:rsidR="00937EEC" w:rsidRPr="00E74253" w:rsidRDefault="00937EEC" w:rsidP="00937EEC">
            <w:pPr>
              <w:spacing w:before="20" w:after="20"/>
              <w:jc w:val="center"/>
              <w:rPr>
                <w:rFonts w:ascii="Arial Narrow" w:eastAsiaTheme="majorEastAsia" w:hAnsi="Arial Narrow" w:cstheme="majorBidi"/>
                <w:bCs/>
                <w:sz w:val="20"/>
              </w:rPr>
            </w:pPr>
            <w:r w:rsidRPr="00E74253">
              <w:rPr>
                <w:rFonts w:ascii="Arial Narrow" w:eastAsiaTheme="majorEastAsia" w:hAnsi="Arial Narrow" w:cstheme="majorBidi"/>
                <w:bCs/>
                <w:sz w:val="20"/>
              </w:rPr>
              <w:t>A</w:t>
            </w:r>
          </w:p>
        </w:tc>
        <w:tc>
          <w:tcPr>
            <w:tcW w:w="1701" w:type="dxa"/>
            <w:tcMar>
              <w:left w:w="28" w:type="dxa"/>
              <w:right w:w="28" w:type="dxa"/>
            </w:tcMar>
            <w:vAlign w:val="center"/>
          </w:tcPr>
          <w:p w14:paraId="10D78058" w14:textId="77777777" w:rsidR="00937EEC" w:rsidRPr="00F56A97" w:rsidRDefault="00937EEC" w:rsidP="00937EEC">
            <w:pPr>
              <w:spacing w:before="20" w:after="20"/>
              <w:jc w:val="left"/>
              <w:rPr>
                <w:rFonts w:ascii="Arial Narrow" w:eastAsiaTheme="majorEastAsia" w:hAnsi="Arial Narrow" w:cstheme="majorBidi"/>
                <w:bCs/>
                <w:sz w:val="20"/>
              </w:rPr>
            </w:pPr>
            <w:r w:rsidRPr="00F56A97">
              <w:rPr>
                <w:rFonts w:ascii="Arial Narrow" w:eastAsiaTheme="majorEastAsia" w:hAnsi="Arial Narrow" w:cstheme="majorBidi"/>
                <w:bCs/>
                <w:sz w:val="20"/>
              </w:rPr>
              <w:t xml:space="preserve">PALOMA-3 (ITT), </w:t>
            </w:r>
          </w:p>
          <w:p w14:paraId="36635E93" w14:textId="77777777" w:rsidR="00937EEC" w:rsidRPr="00F56A97" w:rsidRDefault="00937EEC" w:rsidP="00937EEC">
            <w:pPr>
              <w:spacing w:before="20" w:after="20"/>
              <w:jc w:val="left"/>
              <w:rPr>
                <w:rFonts w:ascii="Arial Narrow" w:eastAsiaTheme="majorEastAsia" w:hAnsi="Arial Narrow" w:cstheme="majorBidi"/>
                <w:bCs/>
                <w:sz w:val="20"/>
              </w:rPr>
            </w:pPr>
            <w:r w:rsidRPr="00F56A97">
              <w:rPr>
                <w:rFonts w:ascii="Arial Narrow" w:eastAsiaTheme="majorEastAsia" w:hAnsi="Arial Narrow" w:cstheme="majorBidi"/>
                <w:bCs/>
                <w:sz w:val="20"/>
              </w:rPr>
              <w:t>44.8 months</w:t>
            </w:r>
          </w:p>
        </w:tc>
        <w:tc>
          <w:tcPr>
            <w:tcW w:w="1276" w:type="dxa"/>
            <w:vMerge w:val="restart"/>
            <w:tcMar>
              <w:left w:w="28" w:type="dxa"/>
              <w:right w:w="28" w:type="dxa"/>
            </w:tcMar>
            <w:vAlign w:val="center"/>
          </w:tcPr>
          <w:p w14:paraId="52FBCE1C" w14:textId="77777777" w:rsidR="000F7DA8" w:rsidRPr="00F56A97" w:rsidRDefault="00937EEC" w:rsidP="00937EEC">
            <w:pPr>
              <w:spacing w:before="20" w:after="20"/>
              <w:jc w:val="left"/>
              <w:rPr>
                <w:rFonts w:ascii="Arial Narrow" w:eastAsiaTheme="majorEastAsia" w:hAnsi="Arial Narrow" w:cstheme="majorBidi"/>
                <w:bCs/>
                <w:sz w:val="20"/>
              </w:rPr>
            </w:pPr>
            <w:r w:rsidRPr="00F56A97">
              <w:rPr>
                <w:rFonts w:ascii="Arial Narrow" w:eastAsiaTheme="majorEastAsia" w:hAnsi="Arial Narrow" w:cstheme="majorBidi"/>
                <w:bCs/>
                <w:sz w:val="20"/>
              </w:rPr>
              <w:t>PAL + FUL vs.</w:t>
            </w:r>
          </w:p>
          <w:p w14:paraId="1D30067F" w14:textId="5D7885D6" w:rsidR="00937EEC" w:rsidRPr="00F56A97" w:rsidRDefault="00937EEC" w:rsidP="00937EEC">
            <w:pPr>
              <w:spacing w:before="20" w:after="20"/>
              <w:jc w:val="left"/>
              <w:rPr>
                <w:rFonts w:ascii="Arial Narrow" w:eastAsiaTheme="majorEastAsia" w:hAnsi="Arial Narrow" w:cstheme="majorBidi"/>
                <w:bCs/>
                <w:sz w:val="20"/>
              </w:rPr>
            </w:pPr>
            <w:r w:rsidRPr="00F56A97">
              <w:rPr>
                <w:rFonts w:ascii="Arial Narrow" w:eastAsiaTheme="majorEastAsia" w:hAnsi="Arial Narrow" w:cstheme="majorBidi"/>
                <w:bCs/>
                <w:sz w:val="20"/>
              </w:rPr>
              <w:t>PBO + FUL</w:t>
            </w:r>
          </w:p>
        </w:tc>
        <w:tc>
          <w:tcPr>
            <w:tcW w:w="708" w:type="dxa"/>
            <w:shd w:val="clear" w:color="auto" w:fill="auto"/>
            <w:tcMar>
              <w:left w:w="28" w:type="dxa"/>
              <w:right w:w="28" w:type="dxa"/>
            </w:tcMar>
            <w:vAlign w:val="center"/>
          </w:tcPr>
          <w:p w14:paraId="5675E87D" w14:textId="77777777" w:rsidR="00937EEC" w:rsidRPr="00F56A97" w:rsidRDefault="00937EEC" w:rsidP="00937EEC">
            <w:pPr>
              <w:spacing w:before="20" w:after="20"/>
              <w:jc w:val="center"/>
              <w:rPr>
                <w:rFonts w:ascii="Arial Narrow" w:eastAsiaTheme="majorEastAsia" w:hAnsi="Arial Narrow" w:cstheme="majorBidi"/>
                <w:bCs/>
                <w:sz w:val="20"/>
              </w:rPr>
            </w:pPr>
            <w:r w:rsidRPr="00F56A97">
              <w:rPr>
                <w:rFonts w:ascii="Arial Narrow" w:eastAsiaTheme="majorEastAsia" w:hAnsi="Arial Narrow" w:cstheme="majorBidi"/>
                <w:bCs/>
                <w:sz w:val="20"/>
              </w:rPr>
              <w:t>201/347 (57.9)</w:t>
            </w:r>
          </w:p>
        </w:tc>
        <w:tc>
          <w:tcPr>
            <w:tcW w:w="709" w:type="dxa"/>
            <w:shd w:val="clear" w:color="auto" w:fill="auto"/>
            <w:tcMar>
              <w:left w:w="28" w:type="dxa"/>
              <w:right w:w="28" w:type="dxa"/>
            </w:tcMar>
            <w:vAlign w:val="center"/>
          </w:tcPr>
          <w:p w14:paraId="0464DFA7" w14:textId="77777777" w:rsidR="00937EEC" w:rsidRPr="00F56A97" w:rsidRDefault="00937EEC" w:rsidP="00937EEC">
            <w:pPr>
              <w:spacing w:before="20" w:after="20"/>
              <w:jc w:val="center"/>
              <w:rPr>
                <w:rFonts w:ascii="Arial Narrow" w:eastAsiaTheme="majorEastAsia" w:hAnsi="Arial Narrow" w:cstheme="majorBidi"/>
                <w:bCs/>
                <w:sz w:val="20"/>
              </w:rPr>
            </w:pPr>
            <w:r w:rsidRPr="00F56A97">
              <w:rPr>
                <w:rFonts w:ascii="Arial Narrow" w:eastAsiaTheme="majorEastAsia" w:hAnsi="Arial Narrow" w:cstheme="majorBidi"/>
                <w:bCs/>
                <w:sz w:val="20"/>
              </w:rPr>
              <w:t>109/174 (62.6)</w:t>
            </w:r>
          </w:p>
        </w:tc>
        <w:tc>
          <w:tcPr>
            <w:tcW w:w="992" w:type="dxa"/>
            <w:tcBorders>
              <w:top w:val="nil"/>
              <w:bottom w:val="single" w:sz="4" w:space="0" w:color="auto"/>
            </w:tcBorders>
            <w:shd w:val="clear" w:color="auto" w:fill="auto"/>
            <w:tcMar>
              <w:left w:w="28" w:type="dxa"/>
              <w:right w:w="28" w:type="dxa"/>
            </w:tcMar>
            <w:vAlign w:val="center"/>
          </w:tcPr>
          <w:p w14:paraId="2CE4ADC9" w14:textId="77777777" w:rsidR="00937EEC" w:rsidRPr="00F56A97" w:rsidRDefault="00937EEC" w:rsidP="00937EEC">
            <w:pPr>
              <w:keepNext/>
              <w:spacing w:before="20" w:after="20"/>
              <w:jc w:val="center"/>
              <w:rPr>
                <w:rFonts w:ascii="Arial Narrow" w:eastAsiaTheme="majorEastAsia" w:hAnsi="Arial Narrow" w:cstheme="majorBidi"/>
                <w:bCs/>
                <w:sz w:val="20"/>
              </w:rPr>
            </w:pPr>
            <w:r w:rsidRPr="00F56A97">
              <w:rPr>
                <w:rFonts w:ascii="Arial Narrow" w:eastAsiaTheme="majorEastAsia" w:hAnsi="Arial Narrow" w:cstheme="majorBidi"/>
                <w:bCs/>
                <w:sz w:val="20"/>
              </w:rPr>
              <w:t xml:space="preserve">34.9 </w:t>
            </w:r>
          </w:p>
          <w:p w14:paraId="5BEBC0A0" w14:textId="066CCEA1" w:rsidR="00937EEC" w:rsidRPr="00F56A97" w:rsidRDefault="00937EEC" w:rsidP="00937EEC">
            <w:pPr>
              <w:spacing w:before="20" w:after="20"/>
              <w:jc w:val="center"/>
              <w:rPr>
                <w:rFonts w:ascii="Arial Narrow" w:eastAsiaTheme="majorEastAsia" w:hAnsi="Arial Narrow" w:cstheme="majorBidi"/>
                <w:bCs/>
                <w:sz w:val="20"/>
                <w:vertAlign w:val="superscript"/>
              </w:rPr>
            </w:pPr>
            <w:r w:rsidRPr="00F56A97">
              <w:rPr>
                <w:rFonts w:ascii="Arial Narrow" w:eastAsiaTheme="majorEastAsia" w:hAnsi="Arial Narrow" w:cstheme="majorBidi"/>
                <w:bCs/>
                <w:sz w:val="20"/>
              </w:rPr>
              <w:t xml:space="preserve">(28.8, </w:t>
            </w:r>
            <w:proofErr w:type="gramStart"/>
            <w:r w:rsidRPr="00F56A97">
              <w:rPr>
                <w:rFonts w:ascii="Arial Narrow" w:eastAsiaTheme="majorEastAsia" w:hAnsi="Arial Narrow" w:cstheme="majorBidi"/>
                <w:bCs/>
                <w:sz w:val="20"/>
              </w:rPr>
              <w:t>40.0)</w:t>
            </w:r>
            <w:r w:rsidR="00CF21EB" w:rsidRPr="00F56A97">
              <w:rPr>
                <w:rFonts w:ascii="Arial Narrow" w:eastAsiaTheme="majorEastAsia" w:hAnsi="Arial Narrow" w:cstheme="majorBidi"/>
                <w:bCs/>
                <w:sz w:val="20"/>
                <w:vertAlign w:val="superscript"/>
              </w:rPr>
              <w:t>a</w:t>
            </w:r>
            <w:proofErr w:type="gramEnd"/>
          </w:p>
        </w:tc>
        <w:tc>
          <w:tcPr>
            <w:tcW w:w="1134" w:type="dxa"/>
            <w:tcBorders>
              <w:top w:val="nil"/>
              <w:bottom w:val="single" w:sz="4" w:space="0" w:color="auto"/>
            </w:tcBorders>
            <w:shd w:val="clear" w:color="auto" w:fill="auto"/>
            <w:tcMar>
              <w:left w:w="28" w:type="dxa"/>
              <w:right w:w="28" w:type="dxa"/>
            </w:tcMar>
            <w:vAlign w:val="center"/>
          </w:tcPr>
          <w:p w14:paraId="7E499456" w14:textId="77777777" w:rsidR="00937EEC" w:rsidRPr="00F56A97" w:rsidRDefault="00937EEC" w:rsidP="00937EEC">
            <w:pPr>
              <w:keepNext/>
              <w:spacing w:before="20" w:after="20"/>
              <w:jc w:val="center"/>
              <w:rPr>
                <w:rFonts w:ascii="Arial Narrow" w:eastAsiaTheme="majorEastAsia" w:hAnsi="Arial Narrow" w:cstheme="majorBidi"/>
                <w:bCs/>
                <w:sz w:val="20"/>
              </w:rPr>
            </w:pPr>
            <w:r w:rsidRPr="00F56A97">
              <w:rPr>
                <w:rFonts w:ascii="Arial Narrow" w:eastAsiaTheme="majorEastAsia" w:hAnsi="Arial Narrow" w:cstheme="majorBidi"/>
                <w:bCs/>
                <w:sz w:val="20"/>
              </w:rPr>
              <w:t xml:space="preserve">28.0 </w:t>
            </w:r>
          </w:p>
          <w:p w14:paraId="67CC9BC1" w14:textId="7E31F3E0" w:rsidR="00937EEC" w:rsidRPr="00F56A97" w:rsidRDefault="00937EEC" w:rsidP="00937EEC">
            <w:pPr>
              <w:spacing w:before="20" w:after="20"/>
              <w:jc w:val="center"/>
              <w:rPr>
                <w:rFonts w:ascii="Arial Narrow" w:eastAsiaTheme="majorEastAsia" w:hAnsi="Arial Narrow" w:cstheme="majorBidi"/>
                <w:bCs/>
                <w:sz w:val="20"/>
                <w:vertAlign w:val="superscript"/>
              </w:rPr>
            </w:pPr>
            <w:r w:rsidRPr="00F56A97">
              <w:rPr>
                <w:rFonts w:ascii="Arial Narrow" w:eastAsiaTheme="majorEastAsia" w:hAnsi="Arial Narrow" w:cstheme="majorBidi"/>
                <w:bCs/>
                <w:sz w:val="20"/>
              </w:rPr>
              <w:t xml:space="preserve">(23.6, </w:t>
            </w:r>
            <w:proofErr w:type="gramStart"/>
            <w:r w:rsidRPr="00F56A97">
              <w:rPr>
                <w:rFonts w:ascii="Arial Narrow" w:eastAsiaTheme="majorEastAsia" w:hAnsi="Arial Narrow" w:cstheme="majorBidi"/>
                <w:bCs/>
                <w:sz w:val="20"/>
              </w:rPr>
              <w:t>34.6)</w:t>
            </w:r>
            <w:r w:rsidR="00CF21EB" w:rsidRPr="00F56A97">
              <w:rPr>
                <w:rFonts w:ascii="Arial Narrow" w:eastAsiaTheme="majorEastAsia" w:hAnsi="Arial Narrow" w:cstheme="majorBidi"/>
                <w:bCs/>
                <w:sz w:val="20"/>
                <w:vertAlign w:val="superscript"/>
              </w:rPr>
              <w:t>a</w:t>
            </w:r>
            <w:proofErr w:type="gramEnd"/>
          </w:p>
        </w:tc>
        <w:tc>
          <w:tcPr>
            <w:tcW w:w="1701" w:type="dxa"/>
            <w:shd w:val="clear" w:color="auto" w:fill="auto"/>
            <w:tcMar>
              <w:left w:w="28" w:type="dxa"/>
              <w:right w:w="28" w:type="dxa"/>
            </w:tcMar>
            <w:vAlign w:val="center"/>
          </w:tcPr>
          <w:p w14:paraId="2F802656" w14:textId="2F0C5152" w:rsidR="00937EEC" w:rsidRPr="00F56A97" w:rsidRDefault="00937EEC" w:rsidP="00937EEC">
            <w:pPr>
              <w:spacing w:before="20" w:after="20"/>
              <w:jc w:val="center"/>
              <w:rPr>
                <w:rFonts w:ascii="Arial Narrow" w:eastAsiaTheme="majorEastAsia" w:hAnsi="Arial Narrow" w:cstheme="majorBidi"/>
                <w:bCs/>
                <w:sz w:val="20"/>
              </w:rPr>
            </w:pPr>
            <w:r w:rsidRPr="00F56A97">
              <w:rPr>
                <w:rFonts w:ascii="Arial Narrow" w:eastAsiaTheme="majorEastAsia" w:hAnsi="Arial Narrow" w:cstheme="majorBidi"/>
                <w:bCs/>
                <w:sz w:val="20"/>
              </w:rPr>
              <w:t xml:space="preserve">0.81 (0.64, </w:t>
            </w:r>
            <w:proofErr w:type="gramStart"/>
            <w:r w:rsidRPr="00F56A97">
              <w:rPr>
                <w:rFonts w:ascii="Arial Narrow" w:eastAsiaTheme="majorEastAsia" w:hAnsi="Arial Narrow" w:cstheme="majorBidi"/>
                <w:bCs/>
                <w:sz w:val="20"/>
              </w:rPr>
              <w:t>1.03)</w:t>
            </w:r>
            <w:r w:rsidR="00CF21EB" w:rsidRPr="00F56A97">
              <w:rPr>
                <w:rFonts w:ascii="Arial Narrow" w:eastAsiaTheme="majorEastAsia" w:hAnsi="Arial Narrow" w:cstheme="majorBidi"/>
                <w:bCs/>
                <w:sz w:val="20"/>
                <w:vertAlign w:val="superscript"/>
              </w:rPr>
              <w:t>b</w:t>
            </w:r>
            <w:proofErr w:type="gramEnd"/>
            <w:r w:rsidRPr="00F56A97">
              <w:rPr>
                <w:rFonts w:ascii="Arial Narrow" w:eastAsiaTheme="majorEastAsia" w:hAnsi="Arial Narrow" w:cstheme="majorBidi"/>
                <w:bCs/>
                <w:sz w:val="20"/>
              </w:rPr>
              <w:t>, p=0.0429</w:t>
            </w:r>
            <w:r w:rsidR="00CF21EB" w:rsidRPr="00F56A97">
              <w:rPr>
                <w:rFonts w:ascii="Arial Narrow" w:eastAsiaTheme="majorEastAsia" w:hAnsi="Arial Narrow" w:cstheme="majorBidi"/>
                <w:bCs/>
                <w:sz w:val="20"/>
                <w:vertAlign w:val="superscript"/>
              </w:rPr>
              <w:t>c</w:t>
            </w:r>
          </w:p>
        </w:tc>
      </w:tr>
      <w:tr w:rsidR="00937EEC" w:rsidRPr="00E74253" w14:paraId="04E64A16" w14:textId="77777777" w:rsidTr="00FF27D1">
        <w:tc>
          <w:tcPr>
            <w:tcW w:w="851" w:type="dxa"/>
            <w:tcMar>
              <w:left w:w="28" w:type="dxa"/>
              <w:right w:w="28" w:type="dxa"/>
            </w:tcMar>
            <w:vAlign w:val="center"/>
          </w:tcPr>
          <w:p w14:paraId="06B91B17" w14:textId="77777777" w:rsidR="00937EEC" w:rsidRPr="00E74253" w:rsidRDefault="00937EEC" w:rsidP="00937EEC">
            <w:pPr>
              <w:spacing w:before="20" w:after="20"/>
              <w:jc w:val="center"/>
              <w:rPr>
                <w:rFonts w:ascii="Arial Narrow" w:eastAsiaTheme="majorEastAsia" w:hAnsi="Arial Narrow" w:cstheme="majorBidi"/>
                <w:bCs/>
                <w:sz w:val="20"/>
              </w:rPr>
            </w:pPr>
            <w:r w:rsidRPr="00E74253">
              <w:rPr>
                <w:rFonts w:ascii="Arial Narrow" w:eastAsiaTheme="majorEastAsia" w:hAnsi="Arial Narrow" w:cstheme="majorBidi"/>
                <w:bCs/>
                <w:sz w:val="20"/>
              </w:rPr>
              <w:t>B</w:t>
            </w:r>
          </w:p>
        </w:tc>
        <w:tc>
          <w:tcPr>
            <w:tcW w:w="1701" w:type="dxa"/>
            <w:tcMar>
              <w:left w:w="28" w:type="dxa"/>
              <w:right w:w="28" w:type="dxa"/>
            </w:tcMar>
            <w:vAlign w:val="center"/>
          </w:tcPr>
          <w:p w14:paraId="0650F369" w14:textId="77777777" w:rsidR="00937EEC" w:rsidRPr="00F56A97" w:rsidRDefault="00937EEC" w:rsidP="00937EEC">
            <w:pPr>
              <w:spacing w:before="20" w:after="20"/>
              <w:jc w:val="left"/>
              <w:rPr>
                <w:rFonts w:ascii="Arial Narrow" w:eastAsiaTheme="majorEastAsia" w:hAnsi="Arial Narrow" w:cstheme="majorBidi"/>
                <w:bCs/>
                <w:sz w:val="20"/>
              </w:rPr>
            </w:pPr>
            <w:r w:rsidRPr="00F56A97">
              <w:rPr>
                <w:rFonts w:ascii="Arial Narrow" w:eastAsiaTheme="majorEastAsia" w:hAnsi="Arial Narrow" w:cstheme="majorBidi"/>
                <w:bCs/>
                <w:sz w:val="20"/>
              </w:rPr>
              <w:t xml:space="preserve">PALOMA-3 (ITT), </w:t>
            </w:r>
          </w:p>
          <w:p w14:paraId="6A96C381" w14:textId="6E52FC57" w:rsidR="00937EEC" w:rsidRPr="00F56A97" w:rsidRDefault="00937EEC" w:rsidP="00937EEC">
            <w:pPr>
              <w:spacing w:before="20" w:after="20"/>
              <w:jc w:val="left"/>
              <w:rPr>
                <w:rFonts w:ascii="Arial Narrow" w:eastAsiaTheme="majorEastAsia" w:hAnsi="Arial Narrow" w:cstheme="majorBidi"/>
                <w:bCs/>
                <w:sz w:val="20"/>
                <w:vertAlign w:val="superscript"/>
              </w:rPr>
            </w:pPr>
            <w:r w:rsidRPr="00F56A97">
              <w:rPr>
                <w:rFonts w:ascii="Arial Narrow" w:eastAsiaTheme="majorEastAsia" w:hAnsi="Arial Narrow" w:cstheme="majorBidi"/>
                <w:bCs/>
                <w:sz w:val="20"/>
              </w:rPr>
              <w:t xml:space="preserve">73.3 </w:t>
            </w:r>
            <w:proofErr w:type="spellStart"/>
            <w:r w:rsidRPr="00F56A97">
              <w:rPr>
                <w:rFonts w:ascii="Arial Narrow" w:eastAsiaTheme="majorEastAsia" w:hAnsi="Arial Narrow" w:cstheme="majorBidi"/>
                <w:bCs/>
                <w:sz w:val="20"/>
              </w:rPr>
              <w:t>months</w:t>
            </w:r>
            <w:r w:rsidR="00727FA7" w:rsidRPr="00F56A97">
              <w:rPr>
                <w:rFonts w:ascii="Arial Narrow" w:eastAsiaTheme="majorEastAsia" w:hAnsi="Arial Narrow" w:cstheme="majorBidi"/>
                <w:bCs/>
                <w:sz w:val="20"/>
                <w:vertAlign w:val="superscript"/>
              </w:rPr>
              <w:t>d</w:t>
            </w:r>
            <w:proofErr w:type="spellEnd"/>
          </w:p>
        </w:tc>
        <w:tc>
          <w:tcPr>
            <w:tcW w:w="1276" w:type="dxa"/>
            <w:vMerge/>
            <w:tcMar>
              <w:left w:w="28" w:type="dxa"/>
              <w:right w:w="28" w:type="dxa"/>
            </w:tcMar>
            <w:vAlign w:val="center"/>
          </w:tcPr>
          <w:p w14:paraId="34D72D31" w14:textId="77777777" w:rsidR="00937EEC" w:rsidRPr="00F56A97" w:rsidRDefault="00937EEC" w:rsidP="00937EEC">
            <w:pPr>
              <w:spacing w:before="20" w:after="20"/>
              <w:jc w:val="left"/>
              <w:rPr>
                <w:rFonts w:ascii="Arial Narrow" w:eastAsiaTheme="majorEastAsia" w:hAnsi="Arial Narrow" w:cstheme="majorBidi"/>
                <w:bCs/>
                <w:sz w:val="20"/>
              </w:rPr>
            </w:pPr>
          </w:p>
        </w:tc>
        <w:tc>
          <w:tcPr>
            <w:tcW w:w="708" w:type="dxa"/>
            <w:shd w:val="clear" w:color="auto" w:fill="auto"/>
            <w:tcMar>
              <w:left w:w="28" w:type="dxa"/>
              <w:right w:w="28" w:type="dxa"/>
            </w:tcMar>
            <w:vAlign w:val="center"/>
          </w:tcPr>
          <w:p w14:paraId="3DED77E8" w14:textId="77777777" w:rsidR="00937EEC" w:rsidRPr="00F56A97" w:rsidRDefault="00937EEC" w:rsidP="00937EEC">
            <w:pPr>
              <w:spacing w:before="20" w:after="20"/>
              <w:jc w:val="center"/>
              <w:rPr>
                <w:rFonts w:ascii="Arial Narrow" w:eastAsiaTheme="majorEastAsia" w:hAnsi="Arial Narrow" w:cstheme="majorBidi"/>
                <w:bCs/>
                <w:sz w:val="20"/>
              </w:rPr>
            </w:pPr>
            <w:r w:rsidRPr="00F56A97">
              <w:rPr>
                <w:rFonts w:ascii="Arial Narrow" w:eastAsiaTheme="majorEastAsia" w:hAnsi="Arial Narrow" w:cstheme="majorBidi"/>
                <w:bCs/>
                <w:sz w:val="20"/>
              </w:rPr>
              <w:t>NR</w:t>
            </w:r>
          </w:p>
        </w:tc>
        <w:tc>
          <w:tcPr>
            <w:tcW w:w="709" w:type="dxa"/>
            <w:shd w:val="clear" w:color="auto" w:fill="auto"/>
            <w:tcMar>
              <w:left w:w="28" w:type="dxa"/>
              <w:right w:w="28" w:type="dxa"/>
            </w:tcMar>
            <w:vAlign w:val="center"/>
          </w:tcPr>
          <w:p w14:paraId="5A1DE795" w14:textId="77777777" w:rsidR="00937EEC" w:rsidRPr="00F56A97" w:rsidRDefault="00937EEC" w:rsidP="00937EEC">
            <w:pPr>
              <w:spacing w:before="20" w:after="20"/>
              <w:jc w:val="center"/>
              <w:rPr>
                <w:rFonts w:ascii="Arial Narrow" w:eastAsiaTheme="majorEastAsia" w:hAnsi="Arial Narrow" w:cstheme="majorBidi"/>
                <w:bCs/>
                <w:sz w:val="20"/>
              </w:rPr>
            </w:pPr>
            <w:r w:rsidRPr="00F56A97">
              <w:rPr>
                <w:rFonts w:ascii="Arial Narrow" w:eastAsiaTheme="majorEastAsia" w:hAnsi="Arial Narrow" w:cstheme="majorBidi"/>
                <w:bCs/>
                <w:sz w:val="20"/>
              </w:rPr>
              <w:t>NR</w:t>
            </w:r>
          </w:p>
        </w:tc>
        <w:tc>
          <w:tcPr>
            <w:tcW w:w="992" w:type="dxa"/>
            <w:tcBorders>
              <w:top w:val="nil"/>
              <w:bottom w:val="single" w:sz="4" w:space="0" w:color="auto"/>
            </w:tcBorders>
            <w:shd w:val="clear" w:color="auto" w:fill="auto"/>
            <w:tcMar>
              <w:left w:w="28" w:type="dxa"/>
              <w:right w:w="28" w:type="dxa"/>
            </w:tcMar>
            <w:vAlign w:val="center"/>
          </w:tcPr>
          <w:p w14:paraId="484A12F9" w14:textId="77777777" w:rsidR="00937EEC" w:rsidRPr="00F56A97" w:rsidRDefault="00937EEC" w:rsidP="00937EEC">
            <w:pPr>
              <w:keepNext/>
              <w:spacing w:before="20" w:after="20"/>
              <w:jc w:val="center"/>
              <w:rPr>
                <w:rFonts w:ascii="Arial Narrow" w:eastAsiaTheme="majorEastAsia" w:hAnsi="Arial Narrow" w:cstheme="majorBidi"/>
                <w:bCs/>
                <w:sz w:val="20"/>
              </w:rPr>
            </w:pPr>
            <w:r w:rsidRPr="00F56A97">
              <w:rPr>
                <w:rFonts w:ascii="Arial Narrow" w:eastAsiaTheme="majorEastAsia" w:hAnsi="Arial Narrow" w:cstheme="majorBidi"/>
                <w:bCs/>
                <w:sz w:val="20"/>
              </w:rPr>
              <w:t xml:space="preserve">34.8 </w:t>
            </w:r>
          </w:p>
          <w:p w14:paraId="5CC6BE1C" w14:textId="77777777" w:rsidR="00937EEC" w:rsidRPr="00F56A97" w:rsidRDefault="00937EEC" w:rsidP="00937EEC">
            <w:pPr>
              <w:spacing w:before="20" w:after="20"/>
              <w:jc w:val="center"/>
              <w:rPr>
                <w:rFonts w:ascii="Arial Narrow" w:eastAsiaTheme="majorEastAsia" w:hAnsi="Arial Narrow" w:cstheme="majorBidi"/>
                <w:bCs/>
                <w:sz w:val="20"/>
                <w:vertAlign w:val="superscript"/>
              </w:rPr>
            </w:pPr>
            <w:r w:rsidRPr="00F56A97">
              <w:rPr>
                <w:rFonts w:ascii="Arial Narrow" w:eastAsiaTheme="majorEastAsia" w:hAnsi="Arial Narrow" w:cstheme="majorBidi"/>
                <w:bCs/>
                <w:sz w:val="20"/>
              </w:rPr>
              <w:t>(28.8, 39.9)</w:t>
            </w:r>
          </w:p>
        </w:tc>
        <w:tc>
          <w:tcPr>
            <w:tcW w:w="1134" w:type="dxa"/>
            <w:tcBorders>
              <w:top w:val="nil"/>
              <w:bottom w:val="single" w:sz="4" w:space="0" w:color="auto"/>
            </w:tcBorders>
            <w:shd w:val="clear" w:color="auto" w:fill="auto"/>
            <w:tcMar>
              <w:left w:w="28" w:type="dxa"/>
              <w:right w:w="28" w:type="dxa"/>
            </w:tcMar>
            <w:vAlign w:val="center"/>
          </w:tcPr>
          <w:p w14:paraId="4F782857" w14:textId="77777777" w:rsidR="00937EEC" w:rsidRPr="00F56A97" w:rsidRDefault="00937EEC" w:rsidP="00937EEC">
            <w:pPr>
              <w:keepNext/>
              <w:spacing w:before="20" w:after="20"/>
              <w:jc w:val="center"/>
              <w:rPr>
                <w:rFonts w:ascii="Arial Narrow" w:eastAsiaTheme="majorEastAsia" w:hAnsi="Arial Narrow" w:cstheme="majorBidi"/>
                <w:bCs/>
                <w:sz w:val="20"/>
              </w:rPr>
            </w:pPr>
            <w:r w:rsidRPr="00F56A97">
              <w:rPr>
                <w:rFonts w:ascii="Arial Narrow" w:eastAsiaTheme="majorEastAsia" w:hAnsi="Arial Narrow" w:cstheme="majorBidi"/>
                <w:bCs/>
                <w:sz w:val="20"/>
              </w:rPr>
              <w:t xml:space="preserve">28.0 </w:t>
            </w:r>
          </w:p>
          <w:p w14:paraId="4FB06839" w14:textId="77777777" w:rsidR="00937EEC" w:rsidRPr="00F56A97" w:rsidRDefault="00937EEC" w:rsidP="00937EEC">
            <w:pPr>
              <w:spacing w:before="20" w:after="20"/>
              <w:jc w:val="center"/>
              <w:rPr>
                <w:rFonts w:ascii="Arial Narrow" w:eastAsiaTheme="majorEastAsia" w:hAnsi="Arial Narrow" w:cstheme="majorBidi"/>
                <w:bCs/>
                <w:sz w:val="20"/>
                <w:vertAlign w:val="superscript"/>
              </w:rPr>
            </w:pPr>
            <w:r w:rsidRPr="00F56A97">
              <w:rPr>
                <w:rFonts w:ascii="Arial Narrow" w:eastAsiaTheme="majorEastAsia" w:hAnsi="Arial Narrow" w:cstheme="majorBidi"/>
                <w:bCs/>
                <w:sz w:val="20"/>
              </w:rPr>
              <w:t>(23.5, 33.8)</w:t>
            </w:r>
          </w:p>
        </w:tc>
        <w:tc>
          <w:tcPr>
            <w:tcW w:w="1701" w:type="dxa"/>
            <w:shd w:val="clear" w:color="auto" w:fill="auto"/>
            <w:tcMar>
              <w:left w:w="28" w:type="dxa"/>
              <w:right w:w="28" w:type="dxa"/>
            </w:tcMar>
            <w:vAlign w:val="center"/>
          </w:tcPr>
          <w:p w14:paraId="3D9B2BA6" w14:textId="355A98B1" w:rsidR="00937EEC" w:rsidRPr="00F56A97" w:rsidRDefault="00937EEC" w:rsidP="00937EEC">
            <w:pPr>
              <w:spacing w:before="20" w:after="20"/>
              <w:jc w:val="center"/>
              <w:rPr>
                <w:rFonts w:ascii="Arial Narrow" w:eastAsiaTheme="majorEastAsia" w:hAnsi="Arial Narrow" w:cstheme="majorBidi"/>
                <w:bCs/>
                <w:sz w:val="20"/>
              </w:rPr>
            </w:pPr>
            <w:r w:rsidRPr="00F56A97">
              <w:rPr>
                <w:rFonts w:ascii="Arial Narrow" w:eastAsiaTheme="majorEastAsia" w:hAnsi="Arial Narrow" w:cstheme="majorBidi"/>
                <w:bCs/>
                <w:sz w:val="20"/>
              </w:rPr>
              <w:t xml:space="preserve">0.81 (0.65, </w:t>
            </w:r>
            <w:proofErr w:type="gramStart"/>
            <w:r w:rsidRPr="00F56A97">
              <w:rPr>
                <w:rFonts w:ascii="Arial Narrow" w:eastAsiaTheme="majorEastAsia" w:hAnsi="Arial Narrow" w:cstheme="majorBidi"/>
                <w:bCs/>
                <w:sz w:val="20"/>
              </w:rPr>
              <w:t>0.99)</w:t>
            </w:r>
            <w:r w:rsidR="00CF21EB" w:rsidRPr="00F56A97">
              <w:rPr>
                <w:rFonts w:ascii="Arial Narrow" w:eastAsiaTheme="majorEastAsia" w:hAnsi="Arial Narrow" w:cstheme="majorBidi"/>
                <w:bCs/>
                <w:sz w:val="20"/>
                <w:vertAlign w:val="superscript"/>
              </w:rPr>
              <w:t>b</w:t>
            </w:r>
            <w:proofErr w:type="gramEnd"/>
            <w:r w:rsidRPr="00F56A97">
              <w:rPr>
                <w:rFonts w:ascii="Arial Narrow" w:eastAsiaTheme="majorEastAsia" w:hAnsi="Arial Narrow" w:cstheme="majorBidi"/>
                <w:bCs/>
                <w:sz w:val="20"/>
              </w:rPr>
              <w:t>, p=0.0221</w:t>
            </w:r>
            <w:r w:rsidR="00CF21EB" w:rsidRPr="00F56A97">
              <w:rPr>
                <w:rFonts w:ascii="Arial Narrow" w:eastAsiaTheme="majorEastAsia" w:hAnsi="Arial Narrow" w:cstheme="majorBidi"/>
                <w:bCs/>
                <w:sz w:val="20"/>
                <w:vertAlign w:val="superscript"/>
              </w:rPr>
              <w:t>c</w:t>
            </w:r>
          </w:p>
        </w:tc>
      </w:tr>
      <w:tr w:rsidR="00F33AB0" w:rsidRPr="00E74253" w14:paraId="494B5ED5" w14:textId="77777777" w:rsidTr="00FF27D1">
        <w:tc>
          <w:tcPr>
            <w:tcW w:w="851" w:type="dxa"/>
            <w:tcMar>
              <w:left w:w="28" w:type="dxa"/>
              <w:right w:w="28" w:type="dxa"/>
            </w:tcMar>
            <w:vAlign w:val="center"/>
          </w:tcPr>
          <w:p w14:paraId="11B4EC1C" w14:textId="77777777" w:rsidR="00F33AB0" w:rsidRPr="00E74253" w:rsidRDefault="00F33AB0" w:rsidP="00937EEC">
            <w:pPr>
              <w:spacing w:before="20" w:after="20"/>
              <w:jc w:val="center"/>
              <w:rPr>
                <w:rFonts w:ascii="Arial Narrow" w:eastAsiaTheme="majorEastAsia" w:hAnsi="Arial Narrow" w:cstheme="majorBidi"/>
                <w:bCs/>
                <w:sz w:val="20"/>
              </w:rPr>
            </w:pPr>
            <w:r w:rsidRPr="00E74253">
              <w:rPr>
                <w:rFonts w:ascii="Arial Narrow" w:eastAsiaTheme="majorEastAsia" w:hAnsi="Arial Narrow" w:cstheme="majorBidi"/>
                <w:bCs/>
                <w:sz w:val="20"/>
              </w:rPr>
              <w:t>C</w:t>
            </w:r>
          </w:p>
        </w:tc>
        <w:tc>
          <w:tcPr>
            <w:tcW w:w="1701" w:type="dxa"/>
            <w:tcMar>
              <w:left w:w="28" w:type="dxa"/>
              <w:right w:w="28" w:type="dxa"/>
            </w:tcMar>
            <w:vAlign w:val="center"/>
          </w:tcPr>
          <w:p w14:paraId="64D2B7E6" w14:textId="5E30B0FF" w:rsidR="00F33AB0" w:rsidRPr="00E74253" w:rsidRDefault="00F33AB0" w:rsidP="00937EEC">
            <w:pPr>
              <w:spacing w:before="20" w:after="20"/>
              <w:jc w:val="left"/>
              <w:rPr>
                <w:rFonts w:ascii="Arial Narrow" w:eastAsiaTheme="majorEastAsia" w:hAnsi="Arial Narrow" w:cstheme="majorBidi"/>
                <w:bCs/>
                <w:sz w:val="20"/>
              </w:rPr>
            </w:pPr>
            <w:r w:rsidRPr="00E74253">
              <w:rPr>
                <w:rFonts w:ascii="Arial Narrow" w:eastAsiaTheme="majorEastAsia" w:hAnsi="Arial Narrow" w:cstheme="majorBidi"/>
                <w:bCs/>
                <w:sz w:val="20"/>
              </w:rPr>
              <w:t>MONALEESA-3 (ITT), Final OS</w:t>
            </w:r>
          </w:p>
          <w:p w14:paraId="02E5E892" w14:textId="77777777" w:rsidR="00F33AB0" w:rsidRPr="00E74253" w:rsidRDefault="00F33AB0" w:rsidP="00937EEC">
            <w:pPr>
              <w:spacing w:before="20" w:after="20"/>
              <w:jc w:val="left"/>
              <w:rPr>
                <w:rFonts w:ascii="Arial Narrow" w:eastAsiaTheme="majorEastAsia" w:hAnsi="Arial Narrow" w:cstheme="majorBidi"/>
                <w:bCs/>
                <w:sz w:val="20"/>
              </w:rPr>
            </w:pPr>
            <w:r w:rsidRPr="00E74253">
              <w:rPr>
                <w:rFonts w:ascii="Arial Narrow" w:eastAsiaTheme="majorEastAsia" w:hAnsi="Arial Narrow" w:cstheme="majorBidi"/>
                <w:bCs/>
                <w:sz w:val="20"/>
              </w:rPr>
              <w:t>39.4 months</w:t>
            </w:r>
          </w:p>
        </w:tc>
        <w:tc>
          <w:tcPr>
            <w:tcW w:w="1276" w:type="dxa"/>
            <w:vMerge w:val="restart"/>
            <w:tcMar>
              <w:left w:w="28" w:type="dxa"/>
              <w:right w:w="28" w:type="dxa"/>
            </w:tcMar>
            <w:vAlign w:val="center"/>
          </w:tcPr>
          <w:p w14:paraId="016EAC85" w14:textId="77777777" w:rsidR="000F7DA8" w:rsidRPr="00E74253" w:rsidRDefault="00F33AB0" w:rsidP="00F577A8">
            <w:pPr>
              <w:spacing w:before="20" w:after="20"/>
              <w:jc w:val="left"/>
              <w:rPr>
                <w:rFonts w:ascii="Arial Narrow" w:eastAsiaTheme="majorEastAsia" w:hAnsi="Arial Narrow" w:cstheme="majorBidi"/>
                <w:bCs/>
                <w:sz w:val="20"/>
              </w:rPr>
            </w:pPr>
            <w:r w:rsidRPr="00E74253">
              <w:rPr>
                <w:rFonts w:ascii="Arial Narrow" w:eastAsiaTheme="majorEastAsia" w:hAnsi="Arial Narrow" w:cstheme="majorBidi"/>
                <w:bCs/>
                <w:sz w:val="20"/>
              </w:rPr>
              <w:t xml:space="preserve">RIB + FUL vs. </w:t>
            </w:r>
          </w:p>
          <w:p w14:paraId="4917DFBD" w14:textId="73B35441" w:rsidR="00F33AB0" w:rsidRPr="00E74253" w:rsidRDefault="00F33AB0" w:rsidP="00F577A8">
            <w:pPr>
              <w:spacing w:before="20" w:after="20"/>
              <w:jc w:val="left"/>
              <w:rPr>
                <w:rFonts w:ascii="Arial Narrow" w:eastAsiaTheme="majorEastAsia" w:hAnsi="Arial Narrow" w:cstheme="majorBidi"/>
                <w:bCs/>
                <w:sz w:val="20"/>
              </w:rPr>
            </w:pPr>
            <w:r w:rsidRPr="00E74253">
              <w:rPr>
                <w:rFonts w:ascii="Arial Narrow" w:eastAsiaTheme="majorEastAsia" w:hAnsi="Arial Narrow" w:cstheme="majorBidi"/>
                <w:bCs/>
                <w:sz w:val="20"/>
              </w:rPr>
              <w:t>PBO + FUL</w:t>
            </w:r>
          </w:p>
        </w:tc>
        <w:tc>
          <w:tcPr>
            <w:tcW w:w="708" w:type="dxa"/>
            <w:tcBorders>
              <w:bottom w:val="nil"/>
            </w:tcBorders>
            <w:shd w:val="clear" w:color="auto" w:fill="auto"/>
            <w:tcMar>
              <w:left w:w="28" w:type="dxa"/>
              <w:right w:w="28" w:type="dxa"/>
            </w:tcMar>
            <w:vAlign w:val="center"/>
          </w:tcPr>
          <w:p w14:paraId="33EF2011" w14:textId="77777777" w:rsidR="00F33AB0" w:rsidRPr="00E74253" w:rsidRDefault="00F33AB0" w:rsidP="00937EEC">
            <w:pPr>
              <w:spacing w:before="20" w:after="20"/>
              <w:jc w:val="center"/>
              <w:rPr>
                <w:rFonts w:ascii="Arial Narrow" w:eastAsiaTheme="majorEastAsia" w:hAnsi="Arial Narrow" w:cstheme="majorBidi"/>
                <w:bCs/>
                <w:sz w:val="20"/>
              </w:rPr>
            </w:pPr>
            <w:r w:rsidRPr="00E74253">
              <w:rPr>
                <w:rFonts w:ascii="Arial Narrow" w:eastAsiaTheme="majorEastAsia" w:hAnsi="Arial Narrow" w:cstheme="majorBidi"/>
                <w:bCs/>
                <w:sz w:val="20"/>
              </w:rPr>
              <w:t>167/484 (34.5)</w:t>
            </w:r>
          </w:p>
        </w:tc>
        <w:tc>
          <w:tcPr>
            <w:tcW w:w="709" w:type="dxa"/>
            <w:tcBorders>
              <w:bottom w:val="nil"/>
            </w:tcBorders>
            <w:shd w:val="clear" w:color="auto" w:fill="auto"/>
            <w:tcMar>
              <w:left w:w="28" w:type="dxa"/>
              <w:right w:w="28" w:type="dxa"/>
            </w:tcMar>
            <w:vAlign w:val="center"/>
          </w:tcPr>
          <w:p w14:paraId="77AE04D0" w14:textId="77777777" w:rsidR="00F33AB0" w:rsidRPr="00E74253" w:rsidRDefault="00F33AB0" w:rsidP="00937EEC">
            <w:pPr>
              <w:spacing w:before="20" w:after="20"/>
              <w:jc w:val="center"/>
              <w:rPr>
                <w:rFonts w:ascii="Arial Narrow" w:eastAsiaTheme="majorEastAsia" w:hAnsi="Arial Narrow" w:cstheme="majorBidi"/>
                <w:bCs/>
                <w:sz w:val="20"/>
              </w:rPr>
            </w:pPr>
            <w:r w:rsidRPr="00E74253">
              <w:rPr>
                <w:rFonts w:ascii="Arial Narrow" w:eastAsiaTheme="majorEastAsia" w:hAnsi="Arial Narrow" w:cstheme="majorBidi"/>
                <w:bCs/>
                <w:sz w:val="20"/>
              </w:rPr>
              <w:t>108/242 (44.6)</w:t>
            </w:r>
          </w:p>
        </w:tc>
        <w:tc>
          <w:tcPr>
            <w:tcW w:w="992" w:type="dxa"/>
            <w:tcBorders>
              <w:top w:val="nil"/>
            </w:tcBorders>
            <w:shd w:val="clear" w:color="auto" w:fill="auto"/>
            <w:tcMar>
              <w:left w:w="28" w:type="dxa"/>
              <w:right w:w="28" w:type="dxa"/>
            </w:tcMar>
            <w:vAlign w:val="center"/>
          </w:tcPr>
          <w:p w14:paraId="69FB9B31" w14:textId="41B448EF" w:rsidR="00F33AB0" w:rsidRPr="00E74253" w:rsidRDefault="00F33AB0" w:rsidP="00937EEC">
            <w:pPr>
              <w:keepNext/>
              <w:spacing w:before="20" w:after="20"/>
              <w:jc w:val="center"/>
              <w:rPr>
                <w:rFonts w:ascii="Arial Narrow" w:eastAsiaTheme="majorEastAsia" w:hAnsi="Arial Narrow" w:cstheme="majorBidi"/>
                <w:bCs/>
                <w:sz w:val="20"/>
              </w:rPr>
            </w:pPr>
            <w:r w:rsidRPr="00E74253">
              <w:rPr>
                <w:rFonts w:ascii="Arial Narrow" w:eastAsiaTheme="majorEastAsia" w:hAnsi="Arial Narrow" w:cstheme="majorBidi"/>
                <w:bCs/>
                <w:sz w:val="20"/>
              </w:rPr>
              <w:t xml:space="preserve">NE </w:t>
            </w:r>
          </w:p>
          <w:p w14:paraId="747D9BE9" w14:textId="77777777" w:rsidR="00F33AB0" w:rsidRPr="00E74253" w:rsidRDefault="00F33AB0" w:rsidP="00937EEC">
            <w:pPr>
              <w:spacing w:before="20" w:after="20"/>
              <w:jc w:val="center"/>
              <w:rPr>
                <w:rFonts w:ascii="Arial Narrow" w:eastAsiaTheme="majorEastAsia" w:hAnsi="Arial Narrow" w:cstheme="majorBidi"/>
                <w:bCs/>
                <w:sz w:val="20"/>
              </w:rPr>
            </w:pPr>
            <w:r w:rsidRPr="00E74253">
              <w:rPr>
                <w:rFonts w:ascii="Arial Narrow" w:eastAsiaTheme="majorEastAsia" w:hAnsi="Arial Narrow" w:cstheme="majorBidi"/>
                <w:bCs/>
                <w:sz w:val="20"/>
              </w:rPr>
              <w:t>(42.5, NE)</w:t>
            </w:r>
          </w:p>
        </w:tc>
        <w:tc>
          <w:tcPr>
            <w:tcW w:w="1134" w:type="dxa"/>
            <w:tcBorders>
              <w:top w:val="nil"/>
            </w:tcBorders>
            <w:shd w:val="clear" w:color="auto" w:fill="auto"/>
            <w:tcMar>
              <w:left w:w="28" w:type="dxa"/>
              <w:right w:w="28" w:type="dxa"/>
            </w:tcMar>
            <w:vAlign w:val="center"/>
          </w:tcPr>
          <w:p w14:paraId="11D3362E" w14:textId="77777777" w:rsidR="00F33AB0" w:rsidRPr="00E74253" w:rsidRDefault="00F33AB0" w:rsidP="00937EEC">
            <w:pPr>
              <w:keepNext/>
              <w:spacing w:before="20" w:after="20"/>
              <w:jc w:val="center"/>
              <w:rPr>
                <w:rFonts w:ascii="Arial Narrow" w:eastAsiaTheme="majorEastAsia" w:hAnsi="Arial Narrow" w:cstheme="majorBidi"/>
                <w:bCs/>
                <w:sz w:val="20"/>
              </w:rPr>
            </w:pPr>
            <w:r w:rsidRPr="00E74253">
              <w:rPr>
                <w:rFonts w:ascii="Arial Narrow" w:eastAsiaTheme="majorEastAsia" w:hAnsi="Arial Narrow" w:cstheme="majorBidi"/>
                <w:bCs/>
                <w:sz w:val="20"/>
              </w:rPr>
              <w:t>40.0</w:t>
            </w:r>
          </w:p>
          <w:p w14:paraId="6ED231FD" w14:textId="77777777" w:rsidR="00F33AB0" w:rsidRPr="00E74253" w:rsidRDefault="00F33AB0" w:rsidP="00937EEC">
            <w:pPr>
              <w:spacing w:before="20" w:after="20"/>
              <w:jc w:val="center"/>
              <w:rPr>
                <w:rFonts w:ascii="Arial Narrow" w:eastAsiaTheme="majorEastAsia" w:hAnsi="Arial Narrow" w:cstheme="majorBidi"/>
                <w:bCs/>
                <w:sz w:val="20"/>
              </w:rPr>
            </w:pPr>
            <w:r w:rsidRPr="00E74253">
              <w:rPr>
                <w:rFonts w:ascii="Arial Narrow" w:eastAsiaTheme="majorEastAsia" w:hAnsi="Arial Narrow" w:cstheme="majorBidi"/>
                <w:bCs/>
                <w:sz w:val="20"/>
              </w:rPr>
              <w:t>(37.0, NE)</w:t>
            </w:r>
          </w:p>
        </w:tc>
        <w:tc>
          <w:tcPr>
            <w:tcW w:w="1701" w:type="dxa"/>
            <w:shd w:val="clear" w:color="auto" w:fill="auto"/>
            <w:tcMar>
              <w:left w:w="28" w:type="dxa"/>
              <w:right w:w="28" w:type="dxa"/>
            </w:tcMar>
            <w:vAlign w:val="center"/>
          </w:tcPr>
          <w:p w14:paraId="10D4A85B" w14:textId="32F74D73" w:rsidR="00F33AB0" w:rsidRPr="00E74253" w:rsidRDefault="00F33AB0" w:rsidP="00937EEC">
            <w:pPr>
              <w:spacing w:before="20" w:after="20"/>
              <w:jc w:val="center"/>
              <w:rPr>
                <w:rFonts w:ascii="Arial Narrow" w:eastAsiaTheme="majorEastAsia" w:hAnsi="Arial Narrow" w:cstheme="majorBidi"/>
                <w:bCs/>
                <w:sz w:val="20"/>
              </w:rPr>
            </w:pPr>
            <w:r w:rsidRPr="00E74253">
              <w:rPr>
                <w:rFonts w:ascii="Arial Narrow" w:eastAsiaTheme="majorEastAsia" w:hAnsi="Arial Narrow" w:cstheme="majorBidi"/>
                <w:b/>
                <w:sz w:val="20"/>
              </w:rPr>
              <w:t xml:space="preserve">0.72 (0.57, </w:t>
            </w:r>
            <w:proofErr w:type="gramStart"/>
            <w:r w:rsidRPr="00E74253">
              <w:rPr>
                <w:rFonts w:ascii="Arial Narrow" w:eastAsiaTheme="majorEastAsia" w:hAnsi="Arial Narrow" w:cstheme="majorBidi"/>
                <w:b/>
                <w:sz w:val="20"/>
              </w:rPr>
              <w:t>0.92)</w:t>
            </w:r>
            <w:r w:rsidR="00D116C3" w:rsidRPr="00E74253">
              <w:rPr>
                <w:rFonts w:ascii="Arial Narrow" w:eastAsiaTheme="majorEastAsia" w:hAnsi="Arial Narrow" w:cstheme="majorBidi"/>
                <w:b/>
                <w:sz w:val="20"/>
                <w:vertAlign w:val="superscript"/>
              </w:rPr>
              <w:t>e</w:t>
            </w:r>
            <w:proofErr w:type="gramEnd"/>
            <w:r w:rsidRPr="00E74253">
              <w:rPr>
                <w:rFonts w:ascii="Arial Narrow" w:eastAsiaTheme="majorEastAsia" w:hAnsi="Arial Narrow" w:cstheme="majorBidi"/>
                <w:b/>
                <w:sz w:val="20"/>
              </w:rPr>
              <w:t>,</w:t>
            </w:r>
            <w:r w:rsidRPr="00E74253">
              <w:rPr>
                <w:rFonts w:ascii="Arial Narrow" w:eastAsiaTheme="majorEastAsia" w:hAnsi="Arial Narrow" w:cstheme="majorBidi"/>
                <w:bCs/>
                <w:sz w:val="20"/>
              </w:rPr>
              <w:t xml:space="preserve"> p=0.0086</w:t>
            </w:r>
          </w:p>
        </w:tc>
      </w:tr>
      <w:tr w:rsidR="00F33AB0" w:rsidRPr="00E74253" w14:paraId="6A92ED21" w14:textId="77777777" w:rsidTr="00FF27D1">
        <w:tc>
          <w:tcPr>
            <w:tcW w:w="851" w:type="dxa"/>
            <w:tcMar>
              <w:left w:w="28" w:type="dxa"/>
              <w:right w:w="28" w:type="dxa"/>
            </w:tcMar>
            <w:vAlign w:val="center"/>
          </w:tcPr>
          <w:p w14:paraId="6B81FEEC" w14:textId="77777777" w:rsidR="00F33AB0" w:rsidRPr="00E74253" w:rsidRDefault="00F33AB0" w:rsidP="00937EEC">
            <w:pPr>
              <w:spacing w:before="20" w:after="20"/>
              <w:jc w:val="center"/>
              <w:rPr>
                <w:rFonts w:ascii="Arial Narrow" w:eastAsiaTheme="majorEastAsia" w:hAnsi="Arial Narrow" w:cstheme="majorBidi"/>
                <w:sz w:val="20"/>
              </w:rPr>
            </w:pPr>
            <w:r w:rsidRPr="00E74253">
              <w:rPr>
                <w:rFonts w:ascii="Arial Narrow" w:eastAsiaTheme="majorEastAsia" w:hAnsi="Arial Narrow" w:cstheme="majorBidi"/>
                <w:sz w:val="20"/>
              </w:rPr>
              <w:t>D</w:t>
            </w:r>
          </w:p>
        </w:tc>
        <w:tc>
          <w:tcPr>
            <w:tcW w:w="1701" w:type="dxa"/>
            <w:tcMar>
              <w:left w:w="28" w:type="dxa"/>
              <w:right w:w="28" w:type="dxa"/>
            </w:tcMar>
            <w:vAlign w:val="center"/>
          </w:tcPr>
          <w:p w14:paraId="751D9300" w14:textId="29D6516C" w:rsidR="00F33AB0" w:rsidRPr="00E74253" w:rsidRDefault="00F33AB0" w:rsidP="00937EEC">
            <w:pPr>
              <w:spacing w:before="20" w:after="20"/>
              <w:jc w:val="left"/>
              <w:rPr>
                <w:rFonts w:ascii="Arial Narrow" w:eastAsiaTheme="majorEastAsia" w:hAnsi="Arial Narrow" w:cstheme="majorBidi"/>
                <w:sz w:val="20"/>
              </w:rPr>
            </w:pPr>
            <w:r w:rsidRPr="00E74253">
              <w:rPr>
                <w:rFonts w:ascii="Arial Narrow" w:eastAsiaTheme="majorEastAsia" w:hAnsi="Arial Narrow" w:cstheme="majorBidi"/>
                <w:sz w:val="20"/>
              </w:rPr>
              <w:t>MONALEESA-3 (</w:t>
            </w:r>
            <w:proofErr w:type="spellStart"/>
            <w:r w:rsidRPr="00E74253">
              <w:rPr>
                <w:rFonts w:ascii="Arial Narrow" w:eastAsiaTheme="majorEastAsia" w:hAnsi="Arial Narrow" w:cstheme="majorBidi"/>
                <w:sz w:val="20"/>
              </w:rPr>
              <w:t>ER</w:t>
            </w:r>
            <w:r w:rsidR="00D116C3" w:rsidRPr="00E74253">
              <w:rPr>
                <w:rFonts w:ascii="Arial Narrow" w:eastAsiaTheme="majorEastAsia" w:hAnsi="Arial Narrow" w:cstheme="majorBidi"/>
                <w:sz w:val="20"/>
                <w:vertAlign w:val="superscript"/>
              </w:rPr>
              <w:t>f</w:t>
            </w:r>
            <w:proofErr w:type="spellEnd"/>
            <w:r w:rsidRPr="00E74253">
              <w:rPr>
                <w:rFonts w:ascii="Arial Narrow" w:eastAsiaTheme="majorEastAsia" w:hAnsi="Arial Narrow" w:cstheme="majorBidi"/>
                <w:sz w:val="20"/>
              </w:rPr>
              <w:t>), Final OS</w:t>
            </w:r>
          </w:p>
          <w:p w14:paraId="0A9D5D2A" w14:textId="77777777" w:rsidR="00F33AB0" w:rsidRPr="00E74253" w:rsidRDefault="00F33AB0" w:rsidP="00937EEC">
            <w:pPr>
              <w:spacing w:before="20" w:after="20"/>
              <w:jc w:val="left"/>
              <w:rPr>
                <w:rFonts w:ascii="Arial Narrow" w:eastAsiaTheme="majorEastAsia" w:hAnsi="Arial Narrow" w:cstheme="majorBidi"/>
                <w:sz w:val="20"/>
              </w:rPr>
            </w:pPr>
            <w:r w:rsidRPr="00E74253">
              <w:rPr>
                <w:rFonts w:ascii="Arial Narrow" w:eastAsiaTheme="majorEastAsia" w:hAnsi="Arial Narrow" w:cstheme="majorBidi"/>
                <w:sz w:val="20"/>
              </w:rPr>
              <w:t>39.4 months</w:t>
            </w:r>
          </w:p>
        </w:tc>
        <w:tc>
          <w:tcPr>
            <w:tcW w:w="1276" w:type="dxa"/>
            <w:vMerge/>
            <w:tcMar>
              <w:left w:w="28" w:type="dxa"/>
              <w:right w:w="28" w:type="dxa"/>
            </w:tcMar>
            <w:vAlign w:val="center"/>
          </w:tcPr>
          <w:p w14:paraId="520BD8F7" w14:textId="7CA49C87" w:rsidR="00F33AB0" w:rsidRPr="00E74253" w:rsidRDefault="00F33AB0" w:rsidP="00F577A8">
            <w:pPr>
              <w:spacing w:before="20" w:after="20"/>
              <w:jc w:val="left"/>
              <w:rPr>
                <w:rFonts w:ascii="Arial Narrow" w:eastAsiaTheme="majorEastAsia" w:hAnsi="Arial Narrow" w:cstheme="majorBidi"/>
                <w:bCs/>
                <w:sz w:val="20"/>
              </w:rPr>
            </w:pPr>
          </w:p>
        </w:tc>
        <w:tc>
          <w:tcPr>
            <w:tcW w:w="708" w:type="dxa"/>
            <w:tcBorders>
              <w:bottom w:val="nil"/>
            </w:tcBorders>
            <w:shd w:val="clear" w:color="auto" w:fill="auto"/>
            <w:tcMar>
              <w:left w:w="28" w:type="dxa"/>
              <w:right w:w="28" w:type="dxa"/>
            </w:tcMar>
            <w:vAlign w:val="center"/>
          </w:tcPr>
          <w:p w14:paraId="2B8F6B3A" w14:textId="77777777" w:rsidR="00F33AB0" w:rsidRPr="00E74253" w:rsidRDefault="00F33AB0" w:rsidP="00937EEC">
            <w:pPr>
              <w:spacing w:before="20" w:after="20"/>
              <w:jc w:val="center"/>
              <w:rPr>
                <w:rFonts w:ascii="Arial Narrow" w:eastAsiaTheme="majorEastAsia" w:hAnsi="Arial Narrow" w:cstheme="majorBidi"/>
                <w:bCs/>
                <w:sz w:val="20"/>
              </w:rPr>
            </w:pPr>
            <w:r w:rsidRPr="00E74253">
              <w:rPr>
                <w:rFonts w:ascii="Arial Narrow" w:eastAsiaTheme="majorEastAsia" w:hAnsi="Arial Narrow" w:cstheme="majorBidi"/>
                <w:bCs/>
                <w:sz w:val="20"/>
              </w:rPr>
              <w:t>102/237 (43.0)</w:t>
            </w:r>
          </w:p>
        </w:tc>
        <w:tc>
          <w:tcPr>
            <w:tcW w:w="709" w:type="dxa"/>
            <w:tcBorders>
              <w:bottom w:val="nil"/>
            </w:tcBorders>
            <w:shd w:val="clear" w:color="auto" w:fill="auto"/>
            <w:tcMar>
              <w:left w:w="28" w:type="dxa"/>
              <w:right w:w="28" w:type="dxa"/>
            </w:tcMar>
            <w:vAlign w:val="center"/>
          </w:tcPr>
          <w:p w14:paraId="38114E56" w14:textId="77777777" w:rsidR="00F33AB0" w:rsidRPr="00E74253" w:rsidRDefault="00F33AB0" w:rsidP="00937EEC">
            <w:pPr>
              <w:spacing w:before="20" w:after="20"/>
              <w:jc w:val="center"/>
              <w:rPr>
                <w:rFonts w:ascii="Arial Narrow" w:eastAsiaTheme="majorEastAsia" w:hAnsi="Arial Narrow" w:cstheme="majorBidi"/>
                <w:bCs/>
                <w:sz w:val="20"/>
              </w:rPr>
            </w:pPr>
            <w:r w:rsidRPr="00E74253">
              <w:rPr>
                <w:rFonts w:ascii="Arial Narrow" w:eastAsiaTheme="majorEastAsia" w:hAnsi="Arial Narrow" w:cstheme="majorBidi"/>
                <w:bCs/>
                <w:sz w:val="20"/>
              </w:rPr>
              <w:t>60/109 (55.0)</w:t>
            </w:r>
          </w:p>
        </w:tc>
        <w:tc>
          <w:tcPr>
            <w:tcW w:w="992" w:type="dxa"/>
            <w:tcBorders>
              <w:top w:val="nil"/>
            </w:tcBorders>
            <w:shd w:val="clear" w:color="auto" w:fill="auto"/>
            <w:tcMar>
              <w:left w:w="28" w:type="dxa"/>
              <w:right w:w="28" w:type="dxa"/>
            </w:tcMar>
            <w:vAlign w:val="center"/>
          </w:tcPr>
          <w:p w14:paraId="0AF710E9" w14:textId="77777777" w:rsidR="00F33AB0" w:rsidRPr="00E74253" w:rsidRDefault="00F33AB0" w:rsidP="00937EEC">
            <w:pPr>
              <w:spacing w:before="20" w:after="20"/>
              <w:jc w:val="center"/>
              <w:rPr>
                <w:rFonts w:ascii="Arial Narrow" w:eastAsiaTheme="majorEastAsia" w:hAnsi="Arial Narrow" w:cstheme="majorBidi"/>
                <w:bCs/>
                <w:sz w:val="20"/>
              </w:rPr>
            </w:pPr>
            <w:r w:rsidRPr="00E74253">
              <w:rPr>
                <w:rFonts w:ascii="Arial Narrow" w:eastAsiaTheme="majorEastAsia" w:hAnsi="Arial Narrow" w:cstheme="majorBidi"/>
                <w:bCs/>
                <w:sz w:val="20"/>
              </w:rPr>
              <w:t>40.2</w:t>
            </w:r>
          </w:p>
        </w:tc>
        <w:tc>
          <w:tcPr>
            <w:tcW w:w="1134" w:type="dxa"/>
            <w:tcBorders>
              <w:top w:val="nil"/>
            </w:tcBorders>
            <w:shd w:val="clear" w:color="auto" w:fill="auto"/>
            <w:tcMar>
              <w:left w:w="28" w:type="dxa"/>
              <w:right w:w="28" w:type="dxa"/>
            </w:tcMar>
            <w:vAlign w:val="center"/>
          </w:tcPr>
          <w:p w14:paraId="4350820D" w14:textId="77777777" w:rsidR="00F33AB0" w:rsidRPr="00E74253" w:rsidRDefault="00F33AB0" w:rsidP="00937EEC">
            <w:pPr>
              <w:spacing w:before="20" w:after="20"/>
              <w:jc w:val="center"/>
              <w:rPr>
                <w:rFonts w:ascii="Arial Narrow" w:eastAsiaTheme="majorEastAsia" w:hAnsi="Arial Narrow" w:cstheme="majorBidi"/>
                <w:bCs/>
                <w:sz w:val="20"/>
              </w:rPr>
            </w:pPr>
            <w:r w:rsidRPr="00E74253">
              <w:rPr>
                <w:rFonts w:ascii="Arial Narrow" w:eastAsiaTheme="majorEastAsia" w:hAnsi="Arial Narrow" w:cstheme="majorBidi"/>
                <w:bCs/>
                <w:sz w:val="20"/>
              </w:rPr>
              <w:t>32.5</w:t>
            </w:r>
          </w:p>
        </w:tc>
        <w:tc>
          <w:tcPr>
            <w:tcW w:w="1701" w:type="dxa"/>
            <w:shd w:val="clear" w:color="auto" w:fill="auto"/>
            <w:tcMar>
              <w:left w:w="28" w:type="dxa"/>
              <w:right w:w="28" w:type="dxa"/>
            </w:tcMar>
            <w:vAlign w:val="center"/>
          </w:tcPr>
          <w:p w14:paraId="029A0A89" w14:textId="72E4C6BB" w:rsidR="00F33AB0" w:rsidRPr="00E74253" w:rsidRDefault="00F33AB0" w:rsidP="00937EEC">
            <w:pPr>
              <w:spacing w:before="20" w:after="20"/>
              <w:jc w:val="center"/>
              <w:rPr>
                <w:rFonts w:ascii="Arial Narrow" w:eastAsiaTheme="majorEastAsia" w:hAnsi="Arial Narrow" w:cstheme="majorBidi"/>
                <w:bCs/>
                <w:sz w:val="20"/>
              </w:rPr>
            </w:pPr>
            <w:r w:rsidRPr="00E74253">
              <w:rPr>
                <w:rFonts w:ascii="Arial Narrow" w:eastAsiaTheme="majorEastAsia" w:hAnsi="Arial Narrow" w:cstheme="majorBidi"/>
                <w:bCs/>
                <w:sz w:val="20"/>
              </w:rPr>
              <w:t xml:space="preserve">0.73 (0.53, </w:t>
            </w:r>
            <w:proofErr w:type="gramStart"/>
            <w:r w:rsidRPr="00E74253">
              <w:rPr>
                <w:rFonts w:ascii="Arial Narrow" w:eastAsiaTheme="majorEastAsia" w:hAnsi="Arial Narrow" w:cstheme="majorBidi"/>
                <w:bCs/>
                <w:sz w:val="20"/>
              </w:rPr>
              <w:t>1.00)</w:t>
            </w:r>
            <w:r w:rsidR="00D116C3" w:rsidRPr="00E74253">
              <w:rPr>
                <w:rFonts w:ascii="Arial Narrow" w:eastAsiaTheme="majorEastAsia" w:hAnsi="Arial Narrow" w:cstheme="majorBidi"/>
                <w:bCs/>
                <w:sz w:val="20"/>
                <w:vertAlign w:val="superscript"/>
              </w:rPr>
              <w:t>e</w:t>
            </w:r>
            <w:proofErr w:type="gramEnd"/>
            <w:r w:rsidR="00137858" w:rsidRPr="00E74253">
              <w:rPr>
                <w:rFonts w:ascii="Arial Narrow" w:eastAsiaTheme="majorEastAsia" w:hAnsi="Arial Narrow" w:cstheme="majorBidi"/>
                <w:bCs/>
                <w:sz w:val="20"/>
              </w:rPr>
              <w:t>,</w:t>
            </w:r>
            <w:r w:rsidR="007A065B" w:rsidRPr="00E74253">
              <w:rPr>
                <w:rFonts w:ascii="Arial Narrow" w:eastAsiaTheme="majorEastAsia" w:hAnsi="Arial Narrow" w:cstheme="majorBidi"/>
                <w:bCs/>
                <w:sz w:val="20"/>
              </w:rPr>
              <w:t xml:space="preserve"> p=NR</w:t>
            </w:r>
          </w:p>
        </w:tc>
      </w:tr>
      <w:tr w:rsidR="00F33AB0" w:rsidRPr="00E74253" w14:paraId="1CB4BACC" w14:textId="77777777" w:rsidTr="00FF27D1">
        <w:tc>
          <w:tcPr>
            <w:tcW w:w="851" w:type="dxa"/>
            <w:tcMar>
              <w:left w:w="28" w:type="dxa"/>
              <w:right w:w="28" w:type="dxa"/>
            </w:tcMar>
            <w:vAlign w:val="center"/>
          </w:tcPr>
          <w:p w14:paraId="75ADF44B" w14:textId="3B9FC17B" w:rsidR="00F33AB0" w:rsidRPr="00E74253" w:rsidRDefault="00F33AB0" w:rsidP="00F577A8">
            <w:pPr>
              <w:spacing w:before="20" w:after="20"/>
              <w:jc w:val="center"/>
              <w:rPr>
                <w:rFonts w:ascii="Arial Narrow" w:eastAsiaTheme="majorEastAsia" w:hAnsi="Arial Narrow" w:cstheme="majorBidi"/>
                <w:bCs/>
                <w:sz w:val="20"/>
              </w:rPr>
            </w:pPr>
            <w:r w:rsidRPr="00E74253">
              <w:rPr>
                <w:rFonts w:ascii="Arial Narrow" w:eastAsiaTheme="majorEastAsia" w:hAnsi="Arial Narrow" w:cstheme="majorBidi"/>
                <w:bCs/>
                <w:sz w:val="20"/>
              </w:rPr>
              <w:t>E</w:t>
            </w:r>
          </w:p>
        </w:tc>
        <w:tc>
          <w:tcPr>
            <w:tcW w:w="1701" w:type="dxa"/>
            <w:tcMar>
              <w:left w:w="28" w:type="dxa"/>
              <w:right w:w="28" w:type="dxa"/>
            </w:tcMar>
            <w:vAlign w:val="center"/>
          </w:tcPr>
          <w:p w14:paraId="2D81E6D8" w14:textId="192ED34B" w:rsidR="00F33AB0" w:rsidRPr="00E74253" w:rsidRDefault="00F33AB0" w:rsidP="00F577A8">
            <w:pPr>
              <w:spacing w:before="20" w:after="20"/>
              <w:jc w:val="left"/>
              <w:rPr>
                <w:rFonts w:ascii="Arial Narrow" w:eastAsiaTheme="majorEastAsia" w:hAnsi="Arial Narrow" w:cstheme="majorBidi"/>
                <w:bCs/>
                <w:sz w:val="20"/>
              </w:rPr>
            </w:pPr>
            <w:r w:rsidRPr="00E74253">
              <w:rPr>
                <w:rFonts w:ascii="Arial Narrow" w:eastAsiaTheme="majorEastAsia" w:hAnsi="Arial Narrow" w:cstheme="majorBidi"/>
                <w:bCs/>
                <w:sz w:val="20"/>
              </w:rPr>
              <w:t>MONALEESA-3 (ITT), Exploratory OS</w:t>
            </w:r>
          </w:p>
          <w:p w14:paraId="6B81C136" w14:textId="0A848927" w:rsidR="00F33AB0" w:rsidRPr="00E74253" w:rsidRDefault="00F33AB0" w:rsidP="00F577A8">
            <w:pPr>
              <w:spacing w:before="20" w:after="20"/>
              <w:jc w:val="left"/>
              <w:rPr>
                <w:rFonts w:ascii="Arial Narrow" w:eastAsiaTheme="majorEastAsia" w:hAnsi="Arial Narrow" w:cstheme="majorBidi"/>
                <w:bCs/>
                <w:sz w:val="20"/>
              </w:rPr>
            </w:pPr>
            <w:r w:rsidRPr="00E74253">
              <w:rPr>
                <w:rFonts w:ascii="Arial Narrow" w:eastAsiaTheme="majorEastAsia" w:hAnsi="Arial Narrow" w:cstheme="majorBidi"/>
                <w:bCs/>
                <w:sz w:val="20"/>
              </w:rPr>
              <w:t>56.3 months</w:t>
            </w:r>
          </w:p>
        </w:tc>
        <w:tc>
          <w:tcPr>
            <w:tcW w:w="1276" w:type="dxa"/>
            <w:vMerge/>
            <w:tcMar>
              <w:left w:w="28" w:type="dxa"/>
              <w:right w:w="28" w:type="dxa"/>
            </w:tcMar>
            <w:vAlign w:val="center"/>
          </w:tcPr>
          <w:p w14:paraId="6BDE1F2A" w14:textId="47FCE96A" w:rsidR="00F33AB0" w:rsidRPr="00E74253" w:rsidRDefault="00F33AB0" w:rsidP="00F577A8">
            <w:pPr>
              <w:spacing w:before="20" w:after="20"/>
              <w:jc w:val="left"/>
              <w:rPr>
                <w:rFonts w:ascii="Arial Narrow" w:eastAsiaTheme="majorEastAsia" w:hAnsi="Arial Narrow" w:cstheme="majorBidi"/>
                <w:bCs/>
                <w:sz w:val="20"/>
              </w:rPr>
            </w:pPr>
          </w:p>
        </w:tc>
        <w:tc>
          <w:tcPr>
            <w:tcW w:w="708" w:type="dxa"/>
            <w:tcBorders>
              <w:bottom w:val="nil"/>
            </w:tcBorders>
            <w:shd w:val="clear" w:color="auto" w:fill="auto"/>
            <w:tcMar>
              <w:left w:w="28" w:type="dxa"/>
              <w:right w:w="28" w:type="dxa"/>
            </w:tcMar>
            <w:vAlign w:val="center"/>
          </w:tcPr>
          <w:p w14:paraId="435E737C" w14:textId="62DF7C05" w:rsidR="00F33AB0" w:rsidRPr="00E74253" w:rsidRDefault="00F33AB0" w:rsidP="00F577A8">
            <w:pPr>
              <w:spacing w:before="20" w:after="20"/>
              <w:jc w:val="center"/>
              <w:rPr>
                <w:rFonts w:ascii="Arial Narrow" w:eastAsiaTheme="majorEastAsia" w:hAnsi="Arial Narrow" w:cstheme="majorBidi"/>
                <w:bCs/>
                <w:sz w:val="20"/>
              </w:rPr>
            </w:pPr>
            <w:r w:rsidRPr="00E74253">
              <w:rPr>
                <w:rFonts w:ascii="Arial Narrow" w:eastAsiaTheme="majorEastAsia" w:hAnsi="Arial Narrow" w:cstheme="majorBidi"/>
                <w:bCs/>
                <w:sz w:val="20"/>
              </w:rPr>
              <w:t>222/484 (45.9)</w:t>
            </w:r>
          </w:p>
        </w:tc>
        <w:tc>
          <w:tcPr>
            <w:tcW w:w="709" w:type="dxa"/>
            <w:tcBorders>
              <w:bottom w:val="nil"/>
            </w:tcBorders>
            <w:shd w:val="clear" w:color="auto" w:fill="auto"/>
            <w:tcMar>
              <w:left w:w="28" w:type="dxa"/>
              <w:right w:w="28" w:type="dxa"/>
            </w:tcMar>
            <w:vAlign w:val="center"/>
          </w:tcPr>
          <w:p w14:paraId="1981452D" w14:textId="7FC98F7C" w:rsidR="00F33AB0" w:rsidRPr="00E74253" w:rsidRDefault="00F33AB0" w:rsidP="00F577A8">
            <w:pPr>
              <w:spacing w:before="20" w:after="20"/>
              <w:jc w:val="center"/>
              <w:rPr>
                <w:rFonts w:ascii="Arial Narrow" w:eastAsiaTheme="majorEastAsia" w:hAnsi="Arial Narrow" w:cstheme="majorBidi"/>
                <w:bCs/>
                <w:sz w:val="20"/>
              </w:rPr>
            </w:pPr>
            <w:r w:rsidRPr="00E74253">
              <w:rPr>
                <w:rFonts w:ascii="Arial Narrow" w:eastAsiaTheme="majorEastAsia" w:hAnsi="Arial Narrow" w:cstheme="majorBidi"/>
                <w:bCs/>
                <w:sz w:val="20"/>
              </w:rPr>
              <w:t>142/242 (58.7)</w:t>
            </w:r>
          </w:p>
        </w:tc>
        <w:tc>
          <w:tcPr>
            <w:tcW w:w="992" w:type="dxa"/>
            <w:tcBorders>
              <w:top w:val="nil"/>
            </w:tcBorders>
            <w:shd w:val="clear" w:color="auto" w:fill="auto"/>
            <w:tcMar>
              <w:left w:w="28" w:type="dxa"/>
              <w:right w:w="28" w:type="dxa"/>
            </w:tcMar>
            <w:vAlign w:val="center"/>
          </w:tcPr>
          <w:p w14:paraId="0F477CC2" w14:textId="3AE83868" w:rsidR="00F33AB0" w:rsidRPr="00E74253" w:rsidRDefault="00F33AB0" w:rsidP="00F577A8">
            <w:pPr>
              <w:keepNext/>
              <w:spacing w:before="20" w:after="20"/>
              <w:jc w:val="center"/>
              <w:rPr>
                <w:rFonts w:ascii="Arial Narrow" w:eastAsiaTheme="majorEastAsia" w:hAnsi="Arial Narrow" w:cstheme="majorBidi"/>
                <w:bCs/>
                <w:sz w:val="20"/>
              </w:rPr>
            </w:pPr>
            <w:r w:rsidRPr="00E74253">
              <w:rPr>
                <w:rFonts w:ascii="Arial Narrow" w:eastAsiaTheme="majorEastAsia" w:hAnsi="Arial Narrow" w:cstheme="majorBidi"/>
                <w:bCs/>
                <w:sz w:val="20"/>
              </w:rPr>
              <w:t xml:space="preserve">53.7 </w:t>
            </w:r>
          </w:p>
          <w:p w14:paraId="4489D4CD" w14:textId="71035806" w:rsidR="00F33AB0" w:rsidRPr="00E74253" w:rsidRDefault="00F33AB0" w:rsidP="00F577A8">
            <w:pPr>
              <w:spacing w:before="20" w:after="20"/>
              <w:jc w:val="center"/>
              <w:rPr>
                <w:rFonts w:ascii="Arial Narrow" w:eastAsiaTheme="majorEastAsia" w:hAnsi="Arial Narrow" w:cstheme="majorBidi"/>
                <w:bCs/>
                <w:sz w:val="20"/>
              </w:rPr>
            </w:pPr>
            <w:r w:rsidRPr="00E74253">
              <w:rPr>
                <w:rFonts w:ascii="Arial Narrow" w:eastAsiaTheme="majorEastAsia" w:hAnsi="Arial Narrow" w:cstheme="majorBidi"/>
                <w:bCs/>
                <w:sz w:val="20"/>
              </w:rPr>
              <w:t>(46.9, NE)</w:t>
            </w:r>
          </w:p>
        </w:tc>
        <w:tc>
          <w:tcPr>
            <w:tcW w:w="1134" w:type="dxa"/>
            <w:tcBorders>
              <w:top w:val="nil"/>
            </w:tcBorders>
            <w:shd w:val="clear" w:color="auto" w:fill="auto"/>
            <w:tcMar>
              <w:left w:w="28" w:type="dxa"/>
              <w:right w:w="28" w:type="dxa"/>
            </w:tcMar>
            <w:vAlign w:val="center"/>
          </w:tcPr>
          <w:p w14:paraId="76B58A65" w14:textId="7B74E0FD" w:rsidR="00F33AB0" w:rsidRPr="00E74253" w:rsidRDefault="00F33AB0" w:rsidP="00F577A8">
            <w:pPr>
              <w:keepNext/>
              <w:spacing w:before="20" w:after="20"/>
              <w:jc w:val="center"/>
              <w:rPr>
                <w:rFonts w:ascii="Arial Narrow" w:eastAsiaTheme="majorEastAsia" w:hAnsi="Arial Narrow" w:cstheme="majorBidi"/>
                <w:bCs/>
                <w:sz w:val="20"/>
              </w:rPr>
            </w:pPr>
            <w:r w:rsidRPr="00E74253">
              <w:rPr>
                <w:rFonts w:ascii="Arial Narrow" w:eastAsiaTheme="majorEastAsia" w:hAnsi="Arial Narrow" w:cstheme="majorBidi"/>
                <w:bCs/>
                <w:sz w:val="20"/>
              </w:rPr>
              <w:t>41.5</w:t>
            </w:r>
          </w:p>
          <w:p w14:paraId="2D8B414C" w14:textId="21514F40" w:rsidR="00F33AB0" w:rsidRPr="00E74253" w:rsidRDefault="00F33AB0" w:rsidP="00F577A8">
            <w:pPr>
              <w:spacing w:before="20" w:after="20"/>
              <w:jc w:val="center"/>
              <w:rPr>
                <w:rFonts w:ascii="Arial Narrow" w:eastAsiaTheme="majorEastAsia" w:hAnsi="Arial Narrow" w:cstheme="majorBidi"/>
                <w:bCs/>
                <w:sz w:val="20"/>
              </w:rPr>
            </w:pPr>
            <w:r w:rsidRPr="00E74253">
              <w:rPr>
                <w:rFonts w:ascii="Arial Narrow" w:eastAsiaTheme="majorEastAsia" w:hAnsi="Arial Narrow" w:cstheme="majorBidi"/>
                <w:bCs/>
                <w:sz w:val="20"/>
              </w:rPr>
              <w:t>(37.4, 49.0)</w:t>
            </w:r>
          </w:p>
        </w:tc>
        <w:tc>
          <w:tcPr>
            <w:tcW w:w="1701" w:type="dxa"/>
            <w:shd w:val="clear" w:color="auto" w:fill="auto"/>
            <w:tcMar>
              <w:left w:w="28" w:type="dxa"/>
              <w:right w:w="28" w:type="dxa"/>
            </w:tcMar>
            <w:vAlign w:val="center"/>
          </w:tcPr>
          <w:p w14:paraId="5254DD25" w14:textId="21D2C797" w:rsidR="00F33AB0" w:rsidRPr="00E74253" w:rsidRDefault="00F33AB0" w:rsidP="00F577A8">
            <w:pPr>
              <w:spacing w:before="20" w:after="20"/>
              <w:jc w:val="center"/>
              <w:rPr>
                <w:rFonts w:ascii="Arial Narrow" w:eastAsiaTheme="majorEastAsia" w:hAnsi="Arial Narrow" w:cstheme="majorBidi"/>
                <w:bCs/>
                <w:sz w:val="20"/>
              </w:rPr>
            </w:pPr>
            <w:r w:rsidRPr="00E74253">
              <w:rPr>
                <w:rFonts w:ascii="Arial Narrow" w:eastAsiaTheme="majorEastAsia" w:hAnsi="Arial Narrow" w:cstheme="majorBidi"/>
                <w:b/>
                <w:sz w:val="20"/>
              </w:rPr>
              <w:t>0.73 (0.59, 0.90),</w:t>
            </w:r>
            <w:r w:rsidRPr="00E74253">
              <w:rPr>
                <w:rFonts w:ascii="Arial Narrow" w:eastAsiaTheme="majorEastAsia" w:hAnsi="Arial Narrow" w:cstheme="majorBidi"/>
                <w:bCs/>
                <w:sz w:val="20"/>
              </w:rPr>
              <w:t xml:space="preserve"> p=NR</w:t>
            </w:r>
          </w:p>
        </w:tc>
      </w:tr>
      <w:tr w:rsidR="00F33AB0" w:rsidRPr="00E74253" w14:paraId="17B29849" w14:textId="77777777" w:rsidTr="00FF27D1">
        <w:tc>
          <w:tcPr>
            <w:tcW w:w="851" w:type="dxa"/>
            <w:tcMar>
              <w:left w:w="28" w:type="dxa"/>
              <w:right w:w="28" w:type="dxa"/>
            </w:tcMar>
            <w:vAlign w:val="center"/>
          </w:tcPr>
          <w:p w14:paraId="5C6EDC3B" w14:textId="76DF248D" w:rsidR="00F33AB0" w:rsidRPr="00E74253" w:rsidRDefault="00F33AB0" w:rsidP="00F577A8">
            <w:pPr>
              <w:spacing w:before="20" w:after="20"/>
              <w:jc w:val="center"/>
              <w:rPr>
                <w:rFonts w:ascii="Arial Narrow" w:eastAsiaTheme="majorEastAsia" w:hAnsi="Arial Narrow" w:cstheme="majorBidi"/>
                <w:sz w:val="20"/>
              </w:rPr>
            </w:pPr>
            <w:r w:rsidRPr="00E74253">
              <w:rPr>
                <w:rFonts w:ascii="Arial Narrow" w:eastAsiaTheme="majorEastAsia" w:hAnsi="Arial Narrow" w:cstheme="majorBidi"/>
                <w:sz w:val="20"/>
              </w:rPr>
              <w:t>F</w:t>
            </w:r>
          </w:p>
        </w:tc>
        <w:tc>
          <w:tcPr>
            <w:tcW w:w="1701" w:type="dxa"/>
            <w:tcMar>
              <w:left w:w="28" w:type="dxa"/>
              <w:right w:w="28" w:type="dxa"/>
            </w:tcMar>
            <w:vAlign w:val="center"/>
          </w:tcPr>
          <w:p w14:paraId="24039F26" w14:textId="44D6B627" w:rsidR="00F33AB0" w:rsidRPr="00E74253" w:rsidRDefault="00F33AB0" w:rsidP="00F577A8">
            <w:pPr>
              <w:spacing w:before="20" w:after="20"/>
              <w:jc w:val="left"/>
              <w:rPr>
                <w:rFonts w:ascii="Arial Narrow" w:eastAsiaTheme="majorEastAsia" w:hAnsi="Arial Narrow" w:cstheme="majorBidi"/>
                <w:sz w:val="20"/>
              </w:rPr>
            </w:pPr>
            <w:r w:rsidRPr="00E74253">
              <w:rPr>
                <w:rFonts w:ascii="Arial Narrow" w:eastAsiaTheme="majorEastAsia" w:hAnsi="Arial Narrow" w:cstheme="majorBidi"/>
                <w:sz w:val="20"/>
              </w:rPr>
              <w:t>MONALEESA-3 (</w:t>
            </w:r>
            <w:proofErr w:type="spellStart"/>
            <w:r w:rsidRPr="00E74253">
              <w:rPr>
                <w:rFonts w:ascii="Arial Narrow" w:eastAsiaTheme="majorEastAsia" w:hAnsi="Arial Narrow" w:cstheme="majorBidi"/>
                <w:sz w:val="20"/>
              </w:rPr>
              <w:t>ER</w:t>
            </w:r>
            <w:r w:rsidR="00D116C3" w:rsidRPr="00E74253">
              <w:rPr>
                <w:rFonts w:ascii="Arial Narrow" w:eastAsiaTheme="majorEastAsia" w:hAnsi="Arial Narrow" w:cstheme="majorBidi"/>
                <w:sz w:val="20"/>
                <w:vertAlign w:val="superscript"/>
              </w:rPr>
              <w:t>f</w:t>
            </w:r>
            <w:proofErr w:type="spellEnd"/>
            <w:r w:rsidRPr="00E74253">
              <w:rPr>
                <w:rFonts w:ascii="Arial Narrow" w:eastAsiaTheme="majorEastAsia" w:hAnsi="Arial Narrow" w:cstheme="majorBidi"/>
                <w:sz w:val="20"/>
              </w:rPr>
              <w:t>), Exploratory OS</w:t>
            </w:r>
          </w:p>
          <w:p w14:paraId="39FD34DE" w14:textId="1C4283D5" w:rsidR="00F33AB0" w:rsidRPr="00E74253" w:rsidRDefault="00F33AB0" w:rsidP="00F577A8">
            <w:pPr>
              <w:spacing w:before="20" w:after="20"/>
              <w:jc w:val="left"/>
              <w:rPr>
                <w:rFonts w:ascii="Arial Narrow" w:eastAsiaTheme="majorEastAsia" w:hAnsi="Arial Narrow" w:cstheme="majorBidi"/>
                <w:sz w:val="20"/>
              </w:rPr>
            </w:pPr>
            <w:r w:rsidRPr="00E74253">
              <w:rPr>
                <w:rFonts w:ascii="Arial Narrow" w:eastAsiaTheme="majorEastAsia" w:hAnsi="Arial Narrow" w:cstheme="majorBidi"/>
                <w:sz w:val="20"/>
              </w:rPr>
              <w:t>56.3 months</w:t>
            </w:r>
          </w:p>
        </w:tc>
        <w:tc>
          <w:tcPr>
            <w:tcW w:w="1276" w:type="dxa"/>
            <w:vMerge/>
            <w:tcMar>
              <w:left w:w="28" w:type="dxa"/>
              <w:right w:w="28" w:type="dxa"/>
            </w:tcMar>
            <w:vAlign w:val="center"/>
          </w:tcPr>
          <w:p w14:paraId="41E20E1A" w14:textId="77777777" w:rsidR="00F33AB0" w:rsidRPr="00E74253" w:rsidRDefault="00F33AB0" w:rsidP="00F577A8">
            <w:pPr>
              <w:spacing w:before="20" w:after="20"/>
              <w:jc w:val="left"/>
              <w:rPr>
                <w:rFonts w:ascii="Arial Narrow" w:eastAsiaTheme="majorEastAsia" w:hAnsi="Arial Narrow" w:cstheme="majorBidi"/>
                <w:bCs/>
                <w:sz w:val="20"/>
              </w:rPr>
            </w:pPr>
          </w:p>
        </w:tc>
        <w:tc>
          <w:tcPr>
            <w:tcW w:w="708" w:type="dxa"/>
            <w:tcBorders>
              <w:bottom w:val="nil"/>
            </w:tcBorders>
            <w:shd w:val="clear" w:color="auto" w:fill="auto"/>
            <w:tcMar>
              <w:left w:w="28" w:type="dxa"/>
              <w:right w:w="28" w:type="dxa"/>
            </w:tcMar>
            <w:vAlign w:val="center"/>
          </w:tcPr>
          <w:p w14:paraId="1843D30A" w14:textId="7AED42F3" w:rsidR="00F33AB0" w:rsidRPr="00E74253" w:rsidRDefault="00F33AB0" w:rsidP="00F577A8">
            <w:pPr>
              <w:spacing w:before="20" w:after="20"/>
              <w:jc w:val="center"/>
              <w:rPr>
                <w:rFonts w:ascii="Arial Narrow" w:eastAsiaTheme="majorEastAsia" w:hAnsi="Arial Narrow" w:cstheme="majorBidi"/>
                <w:bCs/>
                <w:sz w:val="20"/>
              </w:rPr>
            </w:pPr>
            <w:r w:rsidRPr="00E74253">
              <w:rPr>
                <w:rFonts w:ascii="Arial Narrow" w:eastAsiaTheme="majorEastAsia" w:hAnsi="Arial Narrow" w:cstheme="majorBidi"/>
                <w:bCs/>
                <w:sz w:val="20"/>
              </w:rPr>
              <w:t>134/237 (56.5)</w:t>
            </w:r>
          </w:p>
        </w:tc>
        <w:tc>
          <w:tcPr>
            <w:tcW w:w="709" w:type="dxa"/>
            <w:tcBorders>
              <w:bottom w:val="nil"/>
            </w:tcBorders>
            <w:shd w:val="clear" w:color="auto" w:fill="auto"/>
            <w:tcMar>
              <w:left w:w="28" w:type="dxa"/>
              <w:right w:w="28" w:type="dxa"/>
            </w:tcMar>
            <w:vAlign w:val="center"/>
          </w:tcPr>
          <w:p w14:paraId="7D03E711" w14:textId="484FA21F" w:rsidR="00F33AB0" w:rsidRPr="00E74253" w:rsidRDefault="00F33AB0" w:rsidP="00F577A8">
            <w:pPr>
              <w:spacing w:before="20" w:after="20"/>
              <w:jc w:val="center"/>
              <w:rPr>
                <w:rFonts w:ascii="Arial Narrow" w:eastAsiaTheme="majorEastAsia" w:hAnsi="Arial Narrow" w:cstheme="majorBidi"/>
                <w:bCs/>
                <w:sz w:val="20"/>
              </w:rPr>
            </w:pPr>
            <w:r w:rsidRPr="00E74253">
              <w:rPr>
                <w:rFonts w:ascii="Arial Narrow" w:eastAsiaTheme="majorEastAsia" w:hAnsi="Arial Narrow" w:cstheme="majorBidi"/>
                <w:bCs/>
                <w:sz w:val="20"/>
              </w:rPr>
              <w:t>74/110 (67.3)</w:t>
            </w:r>
          </w:p>
        </w:tc>
        <w:tc>
          <w:tcPr>
            <w:tcW w:w="992" w:type="dxa"/>
            <w:tcBorders>
              <w:top w:val="nil"/>
            </w:tcBorders>
            <w:shd w:val="clear" w:color="auto" w:fill="auto"/>
            <w:tcMar>
              <w:left w:w="28" w:type="dxa"/>
              <w:right w:w="28" w:type="dxa"/>
            </w:tcMar>
            <w:vAlign w:val="center"/>
          </w:tcPr>
          <w:p w14:paraId="4723C6EE" w14:textId="77777777" w:rsidR="00F33AB0" w:rsidRPr="00E74253" w:rsidRDefault="00F33AB0" w:rsidP="00F577A8">
            <w:pPr>
              <w:spacing w:before="20" w:after="20"/>
              <w:jc w:val="center"/>
              <w:rPr>
                <w:rFonts w:ascii="Arial Narrow" w:eastAsiaTheme="majorEastAsia" w:hAnsi="Arial Narrow" w:cstheme="majorBidi"/>
                <w:bCs/>
                <w:sz w:val="20"/>
              </w:rPr>
            </w:pPr>
            <w:r w:rsidRPr="00E74253">
              <w:rPr>
                <w:rFonts w:ascii="Arial Narrow" w:eastAsiaTheme="majorEastAsia" w:hAnsi="Arial Narrow" w:cstheme="majorBidi"/>
                <w:bCs/>
                <w:sz w:val="20"/>
              </w:rPr>
              <w:t>39.7</w:t>
            </w:r>
          </w:p>
          <w:p w14:paraId="19C47F79" w14:textId="27A9F21C" w:rsidR="00F33AB0" w:rsidRPr="00E74253" w:rsidRDefault="00F33AB0" w:rsidP="00F577A8">
            <w:pPr>
              <w:spacing w:before="20" w:after="20"/>
              <w:jc w:val="center"/>
              <w:rPr>
                <w:rFonts w:ascii="Arial Narrow" w:eastAsiaTheme="majorEastAsia" w:hAnsi="Arial Narrow" w:cstheme="majorBidi"/>
                <w:bCs/>
                <w:sz w:val="20"/>
              </w:rPr>
            </w:pPr>
            <w:r w:rsidRPr="00E74253">
              <w:rPr>
                <w:rFonts w:ascii="Arial Narrow" w:eastAsiaTheme="majorEastAsia" w:hAnsi="Arial Narrow" w:cstheme="majorBidi"/>
                <w:bCs/>
                <w:sz w:val="20"/>
              </w:rPr>
              <w:t>(37.4, 46.9)</w:t>
            </w:r>
          </w:p>
        </w:tc>
        <w:tc>
          <w:tcPr>
            <w:tcW w:w="1134" w:type="dxa"/>
            <w:tcBorders>
              <w:top w:val="nil"/>
            </w:tcBorders>
            <w:shd w:val="clear" w:color="auto" w:fill="auto"/>
            <w:tcMar>
              <w:left w:w="28" w:type="dxa"/>
              <w:right w:w="28" w:type="dxa"/>
            </w:tcMar>
            <w:vAlign w:val="center"/>
          </w:tcPr>
          <w:p w14:paraId="5C44ADFA" w14:textId="77777777" w:rsidR="00F33AB0" w:rsidRPr="00E74253" w:rsidRDefault="00F33AB0" w:rsidP="00F577A8">
            <w:pPr>
              <w:spacing w:before="20" w:after="20"/>
              <w:jc w:val="center"/>
              <w:rPr>
                <w:rFonts w:ascii="Arial Narrow" w:eastAsiaTheme="majorEastAsia" w:hAnsi="Arial Narrow" w:cstheme="majorBidi"/>
                <w:bCs/>
                <w:sz w:val="20"/>
              </w:rPr>
            </w:pPr>
            <w:r w:rsidRPr="00E74253">
              <w:rPr>
                <w:rFonts w:ascii="Arial Narrow" w:eastAsiaTheme="majorEastAsia" w:hAnsi="Arial Narrow" w:cstheme="majorBidi"/>
                <w:bCs/>
                <w:sz w:val="20"/>
              </w:rPr>
              <w:t>33.7</w:t>
            </w:r>
          </w:p>
          <w:p w14:paraId="225B0805" w14:textId="23DE5B6A" w:rsidR="00F33AB0" w:rsidRPr="00E74253" w:rsidRDefault="00F33AB0" w:rsidP="00F577A8">
            <w:pPr>
              <w:spacing w:before="20" w:after="20"/>
              <w:jc w:val="center"/>
              <w:rPr>
                <w:rFonts w:ascii="Arial Narrow" w:eastAsiaTheme="majorEastAsia" w:hAnsi="Arial Narrow" w:cstheme="majorBidi"/>
                <w:bCs/>
                <w:sz w:val="20"/>
              </w:rPr>
            </w:pPr>
            <w:r w:rsidRPr="00E74253">
              <w:rPr>
                <w:rFonts w:ascii="Arial Narrow" w:eastAsiaTheme="majorEastAsia" w:hAnsi="Arial Narrow" w:cstheme="majorBidi"/>
                <w:bCs/>
                <w:sz w:val="20"/>
              </w:rPr>
              <w:t>(27.8, 41.3)</w:t>
            </w:r>
          </w:p>
        </w:tc>
        <w:tc>
          <w:tcPr>
            <w:tcW w:w="1701" w:type="dxa"/>
            <w:shd w:val="clear" w:color="auto" w:fill="auto"/>
            <w:tcMar>
              <w:left w:w="28" w:type="dxa"/>
              <w:right w:w="28" w:type="dxa"/>
            </w:tcMar>
            <w:vAlign w:val="center"/>
          </w:tcPr>
          <w:p w14:paraId="194F7119" w14:textId="7361F9E9" w:rsidR="00F33AB0" w:rsidRPr="00E74253" w:rsidRDefault="00F33AB0" w:rsidP="00F577A8">
            <w:pPr>
              <w:spacing w:before="20" w:after="20"/>
              <w:jc w:val="center"/>
              <w:rPr>
                <w:rFonts w:ascii="Arial Narrow" w:eastAsiaTheme="majorEastAsia" w:hAnsi="Arial Narrow" w:cstheme="majorBidi"/>
                <w:bCs/>
                <w:sz w:val="20"/>
                <w:vertAlign w:val="superscript"/>
              </w:rPr>
            </w:pPr>
            <w:r w:rsidRPr="00E74253">
              <w:rPr>
                <w:rFonts w:ascii="Arial Narrow" w:eastAsiaTheme="majorEastAsia" w:hAnsi="Arial Narrow" w:cstheme="majorBidi"/>
                <w:bCs/>
                <w:sz w:val="20"/>
              </w:rPr>
              <w:t>0.78 (0.59, 1.04), p=NR</w:t>
            </w:r>
          </w:p>
        </w:tc>
      </w:tr>
      <w:tr w:rsidR="00937EEC" w:rsidRPr="00E74253" w14:paraId="7D7E89CD" w14:textId="77777777" w:rsidTr="00FF27D1">
        <w:tc>
          <w:tcPr>
            <w:tcW w:w="851" w:type="dxa"/>
            <w:tcMar>
              <w:left w:w="28" w:type="dxa"/>
              <w:right w:w="28" w:type="dxa"/>
            </w:tcMar>
            <w:vAlign w:val="center"/>
          </w:tcPr>
          <w:p w14:paraId="219FF025" w14:textId="3C5ED476" w:rsidR="00937EEC" w:rsidRPr="00E74253" w:rsidRDefault="00200AED" w:rsidP="00937EEC">
            <w:pPr>
              <w:spacing w:before="20" w:after="20"/>
              <w:jc w:val="center"/>
              <w:rPr>
                <w:rFonts w:ascii="Arial Narrow" w:eastAsiaTheme="majorEastAsia" w:hAnsi="Arial Narrow" w:cstheme="majorBidi"/>
                <w:bCs/>
                <w:sz w:val="20"/>
              </w:rPr>
            </w:pPr>
            <w:r w:rsidRPr="00E74253">
              <w:rPr>
                <w:rFonts w:ascii="Arial Narrow" w:eastAsiaTheme="majorEastAsia" w:hAnsi="Arial Narrow" w:cstheme="majorBidi"/>
                <w:bCs/>
                <w:sz w:val="20"/>
              </w:rPr>
              <w:t>G</w:t>
            </w:r>
          </w:p>
        </w:tc>
        <w:tc>
          <w:tcPr>
            <w:tcW w:w="1701" w:type="dxa"/>
            <w:tcMar>
              <w:left w:w="28" w:type="dxa"/>
              <w:right w:w="28" w:type="dxa"/>
            </w:tcMar>
            <w:vAlign w:val="center"/>
          </w:tcPr>
          <w:p w14:paraId="0FCC8E2A" w14:textId="77777777" w:rsidR="00937EEC" w:rsidRPr="00E74253" w:rsidRDefault="00937EEC" w:rsidP="00937EEC">
            <w:pPr>
              <w:spacing w:before="20" w:after="20"/>
              <w:jc w:val="left"/>
              <w:rPr>
                <w:rFonts w:ascii="Arial Narrow" w:eastAsiaTheme="majorEastAsia" w:hAnsi="Arial Narrow" w:cstheme="majorBidi"/>
                <w:bCs/>
                <w:sz w:val="20"/>
              </w:rPr>
            </w:pPr>
            <w:r w:rsidRPr="00E74253">
              <w:rPr>
                <w:rFonts w:ascii="Arial Narrow" w:eastAsiaTheme="majorEastAsia" w:hAnsi="Arial Narrow" w:cstheme="majorBidi"/>
                <w:bCs/>
                <w:sz w:val="20"/>
              </w:rPr>
              <w:t xml:space="preserve">MONARCH 2 (ITT) </w:t>
            </w:r>
          </w:p>
          <w:p w14:paraId="3576A91D" w14:textId="77777777" w:rsidR="00937EEC" w:rsidRPr="00E74253" w:rsidRDefault="00937EEC" w:rsidP="00937EEC">
            <w:pPr>
              <w:spacing w:before="20" w:after="20"/>
              <w:jc w:val="left"/>
              <w:rPr>
                <w:rFonts w:ascii="Arial Narrow" w:eastAsiaTheme="majorEastAsia" w:hAnsi="Arial Narrow" w:cstheme="majorBidi"/>
                <w:bCs/>
                <w:sz w:val="20"/>
              </w:rPr>
            </w:pPr>
            <w:r w:rsidRPr="00E74253">
              <w:rPr>
                <w:rFonts w:ascii="Arial Narrow" w:eastAsiaTheme="majorEastAsia" w:hAnsi="Arial Narrow" w:cstheme="majorBidi"/>
                <w:bCs/>
                <w:sz w:val="20"/>
              </w:rPr>
              <w:t>47.7 months</w:t>
            </w:r>
          </w:p>
        </w:tc>
        <w:tc>
          <w:tcPr>
            <w:tcW w:w="1276" w:type="dxa"/>
            <w:tcMar>
              <w:left w:w="28" w:type="dxa"/>
              <w:right w:w="28" w:type="dxa"/>
            </w:tcMar>
            <w:vAlign w:val="center"/>
          </w:tcPr>
          <w:p w14:paraId="74A1FF60" w14:textId="77777777" w:rsidR="000F7DA8" w:rsidRPr="00E74253" w:rsidRDefault="00937EEC" w:rsidP="00937EEC">
            <w:pPr>
              <w:spacing w:before="20" w:after="20"/>
              <w:jc w:val="left"/>
              <w:rPr>
                <w:rFonts w:ascii="Arial Narrow" w:eastAsiaTheme="majorEastAsia" w:hAnsi="Arial Narrow" w:cstheme="majorBidi"/>
                <w:bCs/>
                <w:sz w:val="20"/>
              </w:rPr>
            </w:pPr>
            <w:r w:rsidRPr="00E74253">
              <w:rPr>
                <w:rFonts w:ascii="Arial Narrow" w:eastAsiaTheme="majorEastAsia" w:hAnsi="Arial Narrow" w:cstheme="majorBidi"/>
                <w:bCs/>
                <w:sz w:val="20"/>
              </w:rPr>
              <w:t xml:space="preserve">ABE + FUL vs. </w:t>
            </w:r>
          </w:p>
          <w:p w14:paraId="24429ECB" w14:textId="0DDD0F56" w:rsidR="00937EEC" w:rsidRPr="00E74253" w:rsidRDefault="00937EEC" w:rsidP="00937EEC">
            <w:pPr>
              <w:spacing w:before="20" w:after="20"/>
              <w:jc w:val="left"/>
              <w:rPr>
                <w:rFonts w:ascii="Arial Narrow" w:eastAsiaTheme="majorEastAsia" w:hAnsi="Arial Narrow" w:cstheme="majorBidi"/>
                <w:bCs/>
                <w:sz w:val="20"/>
              </w:rPr>
            </w:pPr>
            <w:r w:rsidRPr="00E74253">
              <w:rPr>
                <w:rFonts w:ascii="Arial Narrow" w:eastAsiaTheme="majorEastAsia" w:hAnsi="Arial Narrow" w:cstheme="majorBidi"/>
                <w:bCs/>
                <w:sz w:val="20"/>
              </w:rPr>
              <w:t>PBO + FUL</w:t>
            </w:r>
          </w:p>
        </w:tc>
        <w:tc>
          <w:tcPr>
            <w:tcW w:w="708" w:type="dxa"/>
            <w:tcBorders>
              <w:bottom w:val="nil"/>
            </w:tcBorders>
            <w:shd w:val="clear" w:color="auto" w:fill="auto"/>
            <w:tcMar>
              <w:left w:w="28" w:type="dxa"/>
              <w:right w:w="28" w:type="dxa"/>
            </w:tcMar>
            <w:vAlign w:val="center"/>
          </w:tcPr>
          <w:p w14:paraId="2AD2A2BF" w14:textId="77777777" w:rsidR="00937EEC" w:rsidRPr="00E74253" w:rsidRDefault="00937EEC" w:rsidP="00937EEC">
            <w:pPr>
              <w:spacing w:before="20" w:after="20"/>
              <w:jc w:val="center"/>
              <w:rPr>
                <w:rFonts w:ascii="Arial Narrow" w:eastAsiaTheme="majorEastAsia" w:hAnsi="Arial Narrow" w:cstheme="majorBidi"/>
                <w:bCs/>
                <w:sz w:val="20"/>
              </w:rPr>
            </w:pPr>
            <w:r w:rsidRPr="00E74253">
              <w:rPr>
                <w:rFonts w:ascii="Arial Narrow" w:eastAsiaTheme="majorEastAsia" w:hAnsi="Arial Narrow" w:cstheme="majorBidi"/>
                <w:bCs/>
                <w:sz w:val="20"/>
              </w:rPr>
              <w:t>211/446 (47.3)</w:t>
            </w:r>
          </w:p>
        </w:tc>
        <w:tc>
          <w:tcPr>
            <w:tcW w:w="709" w:type="dxa"/>
            <w:tcBorders>
              <w:bottom w:val="nil"/>
            </w:tcBorders>
            <w:shd w:val="clear" w:color="auto" w:fill="auto"/>
            <w:tcMar>
              <w:left w:w="28" w:type="dxa"/>
              <w:right w:w="28" w:type="dxa"/>
            </w:tcMar>
            <w:vAlign w:val="center"/>
          </w:tcPr>
          <w:p w14:paraId="6DBA3A6C" w14:textId="77777777" w:rsidR="00937EEC" w:rsidRPr="00E74253" w:rsidRDefault="00937EEC" w:rsidP="00937EEC">
            <w:pPr>
              <w:spacing w:before="20" w:after="20"/>
              <w:jc w:val="center"/>
              <w:rPr>
                <w:rFonts w:ascii="Arial Narrow" w:eastAsiaTheme="majorEastAsia" w:hAnsi="Arial Narrow" w:cstheme="majorBidi"/>
                <w:bCs/>
                <w:sz w:val="20"/>
              </w:rPr>
            </w:pPr>
            <w:r w:rsidRPr="00E74253">
              <w:rPr>
                <w:rFonts w:ascii="Arial Narrow" w:eastAsiaTheme="majorEastAsia" w:hAnsi="Arial Narrow" w:cstheme="majorBidi"/>
                <w:bCs/>
                <w:sz w:val="20"/>
              </w:rPr>
              <w:t>127/223 (57.0)</w:t>
            </w:r>
          </w:p>
        </w:tc>
        <w:tc>
          <w:tcPr>
            <w:tcW w:w="992" w:type="dxa"/>
            <w:tcBorders>
              <w:top w:val="nil"/>
            </w:tcBorders>
            <w:shd w:val="clear" w:color="auto" w:fill="auto"/>
            <w:tcMar>
              <w:left w:w="28" w:type="dxa"/>
              <w:right w:w="28" w:type="dxa"/>
            </w:tcMar>
            <w:vAlign w:val="center"/>
          </w:tcPr>
          <w:p w14:paraId="1C60348D" w14:textId="77777777" w:rsidR="00937EEC" w:rsidRPr="00E74253" w:rsidRDefault="00937EEC" w:rsidP="00937EEC">
            <w:pPr>
              <w:spacing w:before="20" w:after="20"/>
              <w:jc w:val="center"/>
              <w:rPr>
                <w:rFonts w:ascii="Arial Narrow" w:eastAsiaTheme="majorEastAsia" w:hAnsi="Arial Narrow" w:cstheme="majorBidi"/>
                <w:bCs/>
                <w:sz w:val="20"/>
              </w:rPr>
            </w:pPr>
            <w:r w:rsidRPr="00E74253">
              <w:rPr>
                <w:rFonts w:ascii="Arial Narrow" w:eastAsiaTheme="majorEastAsia" w:hAnsi="Arial Narrow" w:cstheme="majorBidi"/>
                <w:bCs/>
                <w:sz w:val="20"/>
              </w:rPr>
              <w:t>46.7</w:t>
            </w:r>
          </w:p>
        </w:tc>
        <w:tc>
          <w:tcPr>
            <w:tcW w:w="1134" w:type="dxa"/>
            <w:tcBorders>
              <w:top w:val="nil"/>
            </w:tcBorders>
            <w:shd w:val="clear" w:color="auto" w:fill="auto"/>
            <w:tcMar>
              <w:left w:w="28" w:type="dxa"/>
              <w:right w:w="28" w:type="dxa"/>
            </w:tcMar>
            <w:vAlign w:val="center"/>
          </w:tcPr>
          <w:p w14:paraId="31CCCDAE" w14:textId="77777777" w:rsidR="00937EEC" w:rsidRPr="00E74253" w:rsidRDefault="00937EEC" w:rsidP="00937EEC">
            <w:pPr>
              <w:spacing w:before="20" w:after="20"/>
              <w:jc w:val="center"/>
              <w:rPr>
                <w:rFonts w:ascii="Arial Narrow" w:eastAsiaTheme="majorEastAsia" w:hAnsi="Arial Narrow" w:cstheme="majorBidi"/>
                <w:bCs/>
                <w:sz w:val="20"/>
              </w:rPr>
            </w:pPr>
            <w:r w:rsidRPr="00E74253">
              <w:rPr>
                <w:rFonts w:ascii="Arial Narrow" w:eastAsiaTheme="majorEastAsia" w:hAnsi="Arial Narrow" w:cstheme="majorBidi"/>
                <w:bCs/>
                <w:sz w:val="20"/>
              </w:rPr>
              <w:t>37.3</w:t>
            </w:r>
          </w:p>
        </w:tc>
        <w:tc>
          <w:tcPr>
            <w:tcW w:w="1701" w:type="dxa"/>
            <w:shd w:val="clear" w:color="auto" w:fill="auto"/>
            <w:tcMar>
              <w:left w:w="28" w:type="dxa"/>
              <w:right w:w="28" w:type="dxa"/>
            </w:tcMar>
            <w:vAlign w:val="center"/>
          </w:tcPr>
          <w:p w14:paraId="18FB587E" w14:textId="6149A6E6" w:rsidR="00937EEC" w:rsidRPr="00E74253" w:rsidRDefault="00937EEC" w:rsidP="00937EEC">
            <w:pPr>
              <w:spacing w:before="20" w:after="20"/>
              <w:jc w:val="center"/>
              <w:rPr>
                <w:rFonts w:ascii="Arial Narrow" w:eastAsiaTheme="majorEastAsia" w:hAnsi="Arial Narrow" w:cstheme="majorBidi"/>
                <w:bCs/>
                <w:sz w:val="20"/>
              </w:rPr>
            </w:pPr>
            <w:r w:rsidRPr="00E74253">
              <w:rPr>
                <w:rFonts w:ascii="Arial Narrow" w:eastAsiaTheme="majorEastAsia" w:hAnsi="Arial Narrow" w:cstheme="majorBidi"/>
                <w:b/>
                <w:sz w:val="20"/>
              </w:rPr>
              <w:t xml:space="preserve">0.76 (0.62, </w:t>
            </w:r>
            <w:proofErr w:type="gramStart"/>
            <w:r w:rsidRPr="00E74253">
              <w:rPr>
                <w:rFonts w:ascii="Arial Narrow" w:eastAsiaTheme="majorEastAsia" w:hAnsi="Arial Narrow" w:cstheme="majorBidi"/>
                <w:b/>
                <w:sz w:val="20"/>
              </w:rPr>
              <w:t>0.95</w:t>
            </w:r>
            <w:r w:rsidR="0086130D" w:rsidRPr="00E74253">
              <w:rPr>
                <w:rFonts w:ascii="Arial Narrow" w:eastAsiaTheme="majorEastAsia" w:hAnsi="Arial Narrow" w:cstheme="majorBidi"/>
                <w:b/>
                <w:sz w:val="20"/>
              </w:rPr>
              <w:t>)</w:t>
            </w:r>
            <w:r w:rsidR="00D116C3" w:rsidRPr="00E74253">
              <w:rPr>
                <w:rFonts w:ascii="Arial Narrow" w:eastAsiaTheme="majorEastAsia" w:hAnsi="Arial Narrow" w:cstheme="majorBidi"/>
                <w:b/>
                <w:sz w:val="20"/>
                <w:vertAlign w:val="superscript"/>
              </w:rPr>
              <w:t>e</w:t>
            </w:r>
            <w:proofErr w:type="gramEnd"/>
            <w:r w:rsidRPr="00E74253">
              <w:rPr>
                <w:rFonts w:ascii="Arial Narrow" w:eastAsiaTheme="majorEastAsia" w:hAnsi="Arial Narrow" w:cstheme="majorBidi"/>
                <w:bCs/>
                <w:sz w:val="20"/>
              </w:rPr>
              <w:t>, p=0.0139</w:t>
            </w:r>
          </w:p>
        </w:tc>
      </w:tr>
      <w:tr w:rsidR="00937EEC" w:rsidRPr="00E74253" w14:paraId="16968CD9" w14:textId="77777777" w:rsidTr="00FF27D1">
        <w:tc>
          <w:tcPr>
            <w:tcW w:w="851" w:type="dxa"/>
            <w:tcMar>
              <w:left w:w="28" w:type="dxa"/>
              <w:right w:w="28" w:type="dxa"/>
            </w:tcMar>
            <w:vAlign w:val="center"/>
          </w:tcPr>
          <w:p w14:paraId="7A7967DE" w14:textId="77777777" w:rsidR="00937EEC" w:rsidRPr="00E74253" w:rsidRDefault="00937EEC" w:rsidP="00937EEC">
            <w:pPr>
              <w:spacing w:before="20" w:after="20"/>
              <w:jc w:val="center"/>
              <w:rPr>
                <w:rFonts w:ascii="Arial Narrow" w:eastAsiaTheme="majorEastAsia" w:hAnsi="Arial Narrow" w:cstheme="majorBidi"/>
                <w:bCs/>
                <w:sz w:val="20"/>
              </w:rPr>
            </w:pPr>
            <w:r w:rsidRPr="00E74253">
              <w:rPr>
                <w:rFonts w:ascii="Arial Narrow" w:eastAsiaTheme="majorEastAsia" w:hAnsi="Arial Narrow" w:cstheme="majorBidi"/>
                <w:bCs/>
                <w:sz w:val="20"/>
              </w:rPr>
              <w:t>A vs. C</w:t>
            </w:r>
          </w:p>
        </w:tc>
        <w:tc>
          <w:tcPr>
            <w:tcW w:w="6520" w:type="dxa"/>
            <w:gridSpan w:val="6"/>
            <w:tcMar>
              <w:left w:w="28" w:type="dxa"/>
              <w:right w:w="28" w:type="dxa"/>
            </w:tcMar>
            <w:vAlign w:val="center"/>
          </w:tcPr>
          <w:p w14:paraId="1E92AD28" w14:textId="1D099254" w:rsidR="00937EEC" w:rsidRPr="00E74253" w:rsidRDefault="00937EEC" w:rsidP="00937EEC">
            <w:pPr>
              <w:spacing w:before="20" w:after="20"/>
              <w:jc w:val="left"/>
              <w:rPr>
                <w:rFonts w:ascii="Arial Narrow" w:eastAsiaTheme="majorEastAsia" w:hAnsi="Arial Narrow" w:cstheme="majorBidi"/>
                <w:bCs/>
                <w:sz w:val="20"/>
              </w:rPr>
            </w:pPr>
            <w:r w:rsidRPr="00E74253">
              <w:rPr>
                <w:rFonts w:ascii="Arial Narrow" w:eastAsiaTheme="majorEastAsia" w:hAnsi="Arial Narrow" w:cstheme="majorBidi"/>
                <w:bCs/>
                <w:sz w:val="20"/>
              </w:rPr>
              <w:t xml:space="preserve">Indirect comparison PAL+FUL vs. RIBO+FUL: PALOMA-3 (ITT population, 44.8 months </w:t>
            </w:r>
            <w:proofErr w:type="spellStart"/>
            <w:r w:rsidR="007A065B" w:rsidRPr="00E74253">
              <w:rPr>
                <w:rFonts w:ascii="Arial Narrow" w:eastAsiaTheme="majorEastAsia" w:hAnsi="Arial Narrow" w:cstheme="majorBidi"/>
                <w:bCs/>
                <w:sz w:val="20"/>
              </w:rPr>
              <w:t>mFU</w:t>
            </w:r>
            <w:proofErr w:type="spellEnd"/>
            <w:r w:rsidRPr="00E74253">
              <w:rPr>
                <w:rFonts w:ascii="Arial Narrow" w:eastAsiaTheme="majorEastAsia" w:hAnsi="Arial Narrow" w:cstheme="majorBidi"/>
                <w:bCs/>
                <w:sz w:val="20"/>
              </w:rPr>
              <w:t>) vs. MONALEESA-3 (ITT population</w:t>
            </w:r>
            <w:r w:rsidR="007A065B" w:rsidRPr="00E74253">
              <w:rPr>
                <w:rFonts w:ascii="Arial Narrow" w:eastAsiaTheme="majorEastAsia" w:hAnsi="Arial Narrow" w:cstheme="majorBidi"/>
                <w:bCs/>
                <w:sz w:val="20"/>
              </w:rPr>
              <w:t xml:space="preserve">, 39.4 months </w:t>
            </w:r>
            <w:proofErr w:type="spellStart"/>
            <w:r w:rsidR="007A065B" w:rsidRPr="00E74253">
              <w:rPr>
                <w:rFonts w:ascii="Arial Narrow" w:eastAsiaTheme="majorEastAsia" w:hAnsi="Arial Narrow" w:cstheme="majorBidi"/>
                <w:bCs/>
                <w:sz w:val="20"/>
              </w:rPr>
              <w:t>mFU</w:t>
            </w:r>
            <w:proofErr w:type="spellEnd"/>
            <w:r w:rsidRPr="00E74253">
              <w:rPr>
                <w:rFonts w:ascii="Arial Narrow" w:eastAsiaTheme="majorEastAsia" w:hAnsi="Arial Narrow" w:cstheme="majorBidi"/>
                <w:bCs/>
                <w:sz w:val="20"/>
              </w:rPr>
              <w:t>)</w:t>
            </w:r>
          </w:p>
        </w:tc>
        <w:tc>
          <w:tcPr>
            <w:tcW w:w="1701" w:type="dxa"/>
            <w:shd w:val="clear" w:color="auto" w:fill="auto"/>
            <w:tcMar>
              <w:left w:w="28" w:type="dxa"/>
              <w:right w:w="28" w:type="dxa"/>
            </w:tcMar>
            <w:vAlign w:val="center"/>
          </w:tcPr>
          <w:p w14:paraId="7C099498" w14:textId="77777777" w:rsidR="00937EEC" w:rsidRPr="00E74253" w:rsidRDefault="00937EEC" w:rsidP="00937EEC">
            <w:pPr>
              <w:spacing w:before="20" w:after="20"/>
              <w:jc w:val="center"/>
              <w:rPr>
                <w:rFonts w:ascii="Arial Narrow" w:eastAsiaTheme="majorEastAsia" w:hAnsi="Arial Narrow" w:cstheme="majorBidi"/>
                <w:bCs/>
                <w:sz w:val="20"/>
              </w:rPr>
            </w:pPr>
            <w:r w:rsidRPr="00E74253">
              <w:rPr>
                <w:rFonts w:ascii="Arial Narrow" w:eastAsiaTheme="majorEastAsia" w:hAnsi="Arial Narrow" w:cstheme="majorBidi"/>
                <w:bCs/>
                <w:sz w:val="20"/>
              </w:rPr>
              <w:t>1.13 (0.81, 1.58) p=0.4728</w:t>
            </w:r>
          </w:p>
        </w:tc>
      </w:tr>
      <w:tr w:rsidR="00937EEC" w:rsidRPr="00E74253" w14:paraId="6B5D3249" w14:textId="77777777" w:rsidTr="00FF27D1">
        <w:tc>
          <w:tcPr>
            <w:tcW w:w="851" w:type="dxa"/>
            <w:tcMar>
              <w:left w:w="28" w:type="dxa"/>
              <w:right w:w="28" w:type="dxa"/>
            </w:tcMar>
            <w:vAlign w:val="center"/>
          </w:tcPr>
          <w:p w14:paraId="28A61D9A" w14:textId="77777777" w:rsidR="00937EEC" w:rsidRPr="00E74253" w:rsidRDefault="00937EEC" w:rsidP="00937EEC">
            <w:pPr>
              <w:spacing w:before="20" w:after="20"/>
              <w:jc w:val="center"/>
              <w:rPr>
                <w:rFonts w:ascii="Arial Narrow" w:eastAsiaTheme="majorEastAsia" w:hAnsi="Arial Narrow" w:cstheme="majorBidi"/>
                <w:bCs/>
                <w:sz w:val="20"/>
              </w:rPr>
            </w:pPr>
            <w:r w:rsidRPr="00E74253">
              <w:rPr>
                <w:rFonts w:ascii="Arial Narrow" w:eastAsiaTheme="majorEastAsia" w:hAnsi="Arial Narrow" w:cstheme="majorBidi"/>
                <w:bCs/>
                <w:sz w:val="20"/>
              </w:rPr>
              <w:t>A vs. D</w:t>
            </w:r>
          </w:p>
        </w:tc>
        <w:tc>
          <w:tcPr>
            <w:tcW w:w="6520" w:type="dxa"/>
            <w:gridSpan w:val="6"/>
            <w:tcMar>
              <w:left w:w="28" w:type="dxa"/>
              <w:right w:w="28" w:type="dxa"/>
            </w:tcMar>
            <w:vAlign w:val="center"/>
          </w:tcPr>
          <w:p w14:paraId="07CA5C57" w14:textId="62A0A749" w:rsidR="00937EEC" w:rsidRPr="00E74253" w:rsidRDefault="00937EEC" w:rsidP="00937EEC">
            <w:pPr>
              <w:spacing w:before="20" w:after="20"/>
              <w:jc w:val="left"/>
              <w:rPr>
                <w:rFonts w:ascii="Arial Narrow" w:eastAsiaTheme="majorEastAsia" w:hAnsi="Arial Narrow" w:cstheme="majorBidi"/>
                <w:bCs/>
                <w:sz w:val="20"/>
              </w:rPr>
            </w:pPr>
            <w:r w:rsidRPr="00E74253">
              <w:rPr>
                <w:rFonts w:ascii="Arial Narrow" w:eastAsiaTheme="majorEastAsia" w:hAnsi="Arial Narrow" w:cstheme="majorBidi"/>
                <w:bCs/>
                <w:sz w:val="20"/>
              </w:rPr>
              <w:t xml:space="preserve">Indirect comparison PAL+FUL vs. RIBO+FUL: PALOMA-3 (ITT population, 44.8 months </w:t>
            </w:r>
            <w:proofErr w:type="spellStart"/>
            <w:r w:rsidR="007A065B" w:rsidRPr="00E74253">
              <w:rPr>
                <w:rFonts w:ascii="Arial Narrow" w:eastAsiaTheme="majorEastAsia" w:hAnsi="Arial Narrow" w:cstheme="majorBidi"/>
                <w:bCs/>
                <w:sz w:val="20"/>
              </w:rPr>
              <w:t>mFU</w:t>
            </w:r>
            <w:proofErr w:type="spellEnd"/>
            <w:r w:rsidRPr="00E74253">
              <w:rPr>
                <w:rFonts w:ascii="Arial Narrow" w:eastAsiaTheme="majorEastAsia" w:hAnsi="Arial Narrow" w:cstheme="majorBidi"/>
                <w:bCs/>
                <w:sz w:val="20"/>
              </w:rPr>
              <w:t>) vs. MONALEESA-3 (</w:t>
            </w:r>
            <w:proofErr w:type="spellStart"/>
            <w:r w:rsidRPr="00E74253">
              <w:rPr>
                <w:rFonts w:ascii="Arial Narrow" w:eastAsiaTheme="majorEastAsia" w:hAnsi="Arial Narrow" w:cstheme="majorBidi"/>
                <w:bCs/>
                <w:sz w:val="20"/>
              </w:rPr>
              <w:t>ER</w:t>
            </w:r>
            <w:r w:rsidR="00D116C3" w:rsidRPr="00E74253">
              <w:rPr>
                <w:rFonts w:ascii="Arial Narrow" w:eastAsiaTheme="majorEastAsia" w:hAnsi="Arial Narrow" w:cstheme="majorBidi"/>
                <w:bCs/>
                <w:sz w:val="20"/>
                <w:vertAlign w:val="superscript"/>
              </w:rPr>
              <w:t>f</w:t>
            </w:r>
            <w:proofErr w:type="spellEnd"/>
            <w:r w:rsidR="00D116C3" w:rsidRPr="00E74253">
              <w:rPr>
                <w:rFonts w:ascii="Arial Narrow" w:eastAsiaTheme="majorEastAsia" w:hAnsi="Arial Narrow" w:cstheme="majorBidi"/>
                <w:bCs/>
                <w:sz w:val="20"/>
              </w:rPr>
              <w:t>,</w:t>
            </w:r>
            <w:r w:rsidR="007A065B" w:rsidRPr="00E74253">
              <w:rPr>
                <w:rFonts w:ascii="Arial Narrow" w:eastAsiaTheme="majorEastAsia" w:hAnsi="Arial Narrow" w:cstheme="majorBidi"/>
                <w:bCs/>
                <w:sz w:val="20"/>
              </w:rPr>
              <w:t xml:space="preserve"> </w:t>
            </w:r>
            <w:proofErr w:type="spellStart"/>
            <w:r w:rsidR="007A065B" w:rsidRPr="00E74253">
              <w:rPr>
                <w:rFonts w:ascii="Arial Narrow" w:eastAsiaTheme="majorEastAsia" w:hAnsi="Arial Narrow" w:cstheme="majorBidi"/>
                <w:bCs/>
                <w:sz w:val="20"/>
              </w:rPr>
              <w:t>mFU</w:t>
            </w:r>
            <w:proofErr w:type="spellEnd"/>
            <w:r w:rsidR="007A065B" w:rsidRPr="00E74253">
              <w:rPr>
                <w:rFonts w:ascii="Arial Narrow" w:eastAsiaTheme="majorEastAsia" w:hAnsi="Arial Narrow" w:cstheme="majorBidi"/>
                <w:bCs/>
                <w:sz w:val="20"/>
              </w:rPr>
              <w:t xml:space="preserve"> 39.4 months</w:t>
            </w:r>
            <w:r w:rsidRPr="00E74253">
              <w:rPr>
                <w:rFonts w:ascii="Arial Narrow" w:eastAsiaTheme="majorEastAsia" w:hAnsi="Arial Narrow" w:cstheme="majorBidi"/>
                <w:bCs/>
                <w:sz w:val="20"/>
              </w:rPr>
              <w:t>)</w:t>
            </w:r>
          </w:p>
        </w:tc>
        <w:tc>
          <w:tcPr>
            <w:tcW w:w="1701" w:type="dxa"/>
            <w:shd w:val="clear" w:color="auto" w:fill="auto"/>
            <w:tcMar>
              <w:left w:w="28" w:type="dxa"/>
              <w:right w:w="28" w:type="dxa"/>
            </w:tcMar>
            <w:vAlign w:val="center"/>
          </w:tcPr>
          <w:p w14:paraId="79451C57" w14:textId="77777777" w:rsidR="00937EEC" w:rsidRPr="00E74253" w:rsidRDefault="00937EEC" w:rsidP="00937EEC">
            <w:pPr>
              <w:spacing w:before="20" w:after="20"/>
              <w:jc w:val="center"/>
              <w:rPr>
                <w:rFonts w:ascii="Arial Narrow" w:eastAsiaTheme="majorEastAsia" w:hAnsi="Arial Narrow" w:cstheme="majorBidi"/>
                <w:bCs/>
                <w:sz w:val="20"/>
              </w:rPr>
            </w:pPr>
            <w:r w:rsidRPr="00E74253">
              <w:rPr>
                <w:rFonts w:ascii="Arial Narrow" w:eastAsiaTheme="majorEastAsia" w:hAnsi="Arial Narrow" w:cstheme="majorBidi"/>
                <w:bCs/>
                <w:sz w:val="20"/>
              </w:rPr>
              <w:t>1.12 (0.75, 1.65) p=0.5885</w:t>
            </w:r>
          </w:p>
        </w:tc>
      </w:tr>
      <w:tr w:rsidR="008F5F0B" w:rsidRPr="00F56A97" w14:paraId="75872B91" w14:textId="77777777" w:rsidTr="00FF27D1">
        <w:tc>
          <w:tcPr>
            <w:tcW w:w="851" w:type="dxa"/>
            <w:tcMar>
              <w:left w:w="28" w:type="dxa"/>
              <w:right w:w="28" w:type="dxa"/>
            </w:tcMar>
            <w:vAlign w:val="center"/>
          </w:tcPr>
          <w:p w14:paraId="485CBA12" w14:textId="7E737138" w:rsidR="008F5F0B" w:rsidRPr="00F56A97" w:rsidRDefault="008F5F0B" w:rsidP="00F577A8">
            <w:pPr>
              <w:spacing w:before="20" w:after="20"/>
              <w:jc w:val="center"/>
              <w:rPr>
                <w:rFonts w:ascii="Arial Narrow" w:eastAsiaTheme="majorEastAsia" w:hAnsi="Arial Narrow" w:cstheme="majorBidi"/>
                <w:bCs/>
                <w:sz w:val="20"/>
              </w:rPr>
            </w:pPr>
            <w:r w:rsidRPr="00F56A97">
              <w:rPr>
                <w:rFonts w:ascii="Arial Narrow" w:eastAsiaTheme="majorEastAsia" w:hAnsi="Arial Narrow" w:cstheme="majorBidi"/>
                <w:bCs/>
                <w:sz w:val="20"/>
              </w:rPr>
              <w:t>A vs. E</w:t>
            </w:r>
          </w:p>
        </w:tc>
        <w:tc>
          <w:tcPr>
            <w:tcW w:w="6520" w:type="dxa"/>
            <w:gridSpan w:val="6"/>
            <w:tcMar>
              <w:left w:w="28" w:type="dxa"/>
              <w:right w:w="28" w:type="dxa"/>
            </w:tcMar>
            <w:vAlign w:val="center"/>
          </w:tcPr>
          <w:p w14:paraId="285B26EC" w14:textId="00C43E60" w:rsidR="008F5F0B" w:rsidRPr="00F56A97" w:rsidRDefault="008F5F0B" w:rsidP="00F577A8">
            <w:pPr>
              <w:spacing w:before="20" w:after="20"/>
              <w:jc w:val="left"/>
              <w:rPr>
                <w:rFonts w:ascii="Arial Narrow" w:eastAsiaTheme="majorEastAsia" w:hAnsi="Arial Narrow" w:cstheme="majorBidi"/>
                <w:bCs/>
                <w:sz w:val="20"/>
              </w:rPr>
            </w:pPr>
            <w:r w:rsidRPr="00F56A97">
              <w:rPr>
                <w:rFonts w:ascii="Arial Narrow" w:eastAsiaTheme="majorEastAsia" w:hAnsi="Arial Narrow" w:cstheme="majorBidi"/>
                <w:bCs/>
                <w:sz w:val="20"/>
              </w:rPr>
              <w:t>Indirect comparison PAL+FUL vs. RIBO+FUL: PALOMA-3 (ITT population</w:t>
            </w:r>
            <w:r w:rsidR="007A065B" w:rsidRPr="00F56A97">
              <w:rPr>
                <w:rFonts w:ascii="Arial Narrow" w:eastAsiaTheme="majorEastAsia" w:hAnsi="Arial Narrow" w:cstheme="majorBidi"/>
                <w:bCs/>
                <w:sz w:val="20"/>
              </w:rPr>
              <w:t xml:space="preserve">, 44.8 months </w:t>
            </w:r>
            <w:proofErr w:type="spellStart"/>
            <w:r w:rsidR="007A065B" w:rsidRPr="00F56A97">
              <w:rPr>
                <w:rFonts w:ascii="Arial Narrow" w:eastAsiaTheme="majorEastAsia" w:hAnsi="Arial Narrow" w:cstheme="majorBidi"/>
                <w:bCs/>
                <w:sz w:val="20"/>
              </w:rPr>
              <w:t>mFU</w:t>
            </w:r>
            <w:proofErr w:type="spellEnd"/>
            <w:r w:rsidRPr="00F56A97">
              <w:rPr>
                <w:rFonts w:ascii="Arial Narrow" w:eastAsiaTheme="majorEastAsia" w:hAnsi="Arial Narrow" w:cstheme="majorBidi"/>
                <w:bCs/>
                <w:sz w:val="20"/>
              </w:rPr>
              <w:t>) vs. MONALEESA-3 (ITT population</w:t>
            </w:r>
            <w:r w:rsidR="007A065B" w:rsidRPr="00F56A97">
              <w:rPr>
                <w:rFonts w:ascii="Arial Narrow" w:eastAsiaTheme="majorEastAsia" w:hAnsi="Arial Narrow" w:cstheme="majorBidi"/>
                <w:bCs/>
                <w:sz w:val="20"/>
              </w:rPr>
              <w:t xml:space="preserve">, 56.3 months </w:t>
            </w:r>
            <w:proofErr w:type="spellStart"/>
            <w:r w:rsidR="007A065B" w:rsidRPr="00F56A97">
              <w:rPr>
                <w:rFonts w:ascii="Arial Narrow" w:eastAsiaTheme="majorEastAsia" w:hAnsi="Arial Narrow" w:cstheme="majorBidi"/>
                <w:bCs/>
                <w:sz w:val="20"/>
              </w:rPr>
              <w:t>mFU</w:t>
            </w:r>
            <w:proofErr w:type="spellEnd"/>
            <w:r w:rsidRPr="00F56A97">
              <w:rPr>
                <w:rFonts w:ascii="Arial Narrow" w:eastAsiaTheme="majorEastAsia" w:hAnsi="Arial Narrow" w:cstheme="majorBidi"/>
                <w:bCs/>
                <w:sz w:val="20"/>
              </w:rPr>
              <w:t xml:space="preserve">) </w:t>
            </w:r>
            <w:r w:rsidR="007A065B" w:rsidRPr="00F56A97">
              <w:rPr>
                <w:rFonts w:ascii="Arial Narrow" w:eastAsiaTheme="majorEastAsia" w:hAnsi="Arial Narrow" w:cstheme="majorBidi"/>
                <w:bCs/>
                <w:sz w:val="20"/>
              </w:rPr>
              <w:t>Exploratory</w:t>
            </w:r>
            <w:r w:rsidRPr="00F56A97">
              <w:rPr>
                <w:rFonts w:ascii="Arial Narrow" w:eastAsiaTheme="majorEastAsia" w:hAnsi="Arial Narrow" w:cstheme="majorBidi"/>
                <w:bCs/>
                <w:sz w:val="20"/>
              </w:rPr>
              <w:t xml:space="preserve"> OS </w:t>
            </w:r>
          </w:p>
        </w:tc>
        <w:tc>
          <w:tcPr>
            <w:tcW w:w="1701" w:type="dxa"/>
            <w:shd w:val="clear" w:color="auto" w:fill="auto"/>
            <w:tcMar>
              <w:left w:w="28" w:type="dxa"/>
              <w:right w:w="28" w:type="dxa"/>
            </w:tcMar>
            <w:vAlign w:val="center"/>
          </w:tcPr>
          <w:p w14:paraId="4BF0F22B" w14:textId="517FB1BD" w:rsidR="008F5F0B" w:rsidRPr="00F56A97" w:rsidRDefault="008F5F0B" w:rsidP="00F577A8">
            <w:pPr>
              <w:spacing w:before="20" w:after="20"/>
              <w:jc w:val="center"/>
              <w:rPr>
                <w:rFonts w:ascii="Arial Narrow" w:eastAsiaTheme="majorEastAsia" w:hAnsi="Arial Narrow" w:cstheme="majorBidi"/>
                <w:bCs/>
                <w:sz w:val="20"/>
              </w:rPr>
            </w:pPr>
            <w:r w:rsidRPr="00F56A97">
              <w:rPr>
                <w:rFonts w:ascii="Arial Narrow" w:eastAsiaTheme="majorEastAsia" w:hAnsi="Arial Narrow" w:cstheme="majorBidi"/>
                <w:bCs/>
                <w:sz w:val="20"/>
              </w:rPr>
              <w:t>1.1</w:t>
            </w:r>
            <w:r w:rsidR="007A065B" w:rsidRPr="00F56A97">
              <w:rPr>
                <w:rFonts w:ascii="Arial Narrow" w:eastAsiaTheme="majorEastAsia" w:hAnsi="Arial Narrow" w:cstheme="majorBidi"/>
                <w:bCs/>
                <w:sz w:val="20"/>
              </w:rPr>
              <w:t>1</w:t>
            </w:r>
            <w:r w:rsidRPr="00F56A97">
              <w:rPr>
                <w:rFonts w:ascii="Arial Narrow" w:eastAsiaTheme="majorEastAsia" w:hAnsi="Arial Narrow" w:cstheme="majorBidi"/>
                <w:bCs/>
                <w:sz w:val="20"/>
              </w:rPr>
              <w:t xml:space="preserve"> (0.81, 1.5</w:t>
            </w:r>
            <w:r w:rsidR="007A065B" w:rsidRPr="00F56A97">
              <w:rPr>
                <w:rFonts w:ascii="Arial Narrow" w:eastAsiaTheme="majorEastAsia" w:hAnsi="Arial Narrow" w:cstheme="majorBidi"/>
                <w:bCs/>
                <w:sz w:val="20"/>
              </w:rPr>
              <w:t>3</w:t>
            </w:r>
            <w:r w:rsidRPr="00F56A97">
              <w:rPr>
                <w:rFonts w:ascii="Arial Narrow" w:eastAsiaTheme="majorEastAsia" w:hAnsi="Arial Narrow" w:cstheme="majorBidi"/>
                <w:bCs/>
                <w:sz w:val="20"/>
              </w:rPr>
              <w:t>) p=0.</w:t>
            </w:r>
            <w:r w:rsidR="007A065B" w:rsidRPr="00F56A97">
              <w:rPr>
                <w:rFonts w:ascii="Arial Narrow" w:eastAsiaTheme="majorEastAsia" w:hAnsi="Arial Narrow" w:cstheme="majorBidi"/>
                <w:bCs/>
                <w:sz w:val="20"/>
              </w:rPr>
              <w:t>522</w:t>
            </w:r>
          </w:p>
        </w:tc>
      </w:tr>
      <w:tr w:rsidR="007A065B" w:rsidRPr="00F56A97" w14:paraId="081F1690" w14:textId="77777777" w:rsidTr="00FF27D1">
        <w:tc>
          <w:tcPr>
            <w:tcW w:w="851" w:type="dxa"/>
            <w:tcMar>
              <w:left w:w="28" w:type="dxa"/>
              <w:right w:w="28" w:type="dxa"/>
            </w:tcMar>
            <w:vAlign w:val="center"/>
          </w:tcPr>
          <w:p w14:paraId="6337A158" w14:textId="0537C930" w:rsidR="007A065B" w:rsidRPr="00F56A97" w:rsidRDefault="007A065B" w:rsidP="00F577A8">
            <w:pPr>
              <w:spacing w:before="20" w:after="20"/>
              <w:jc w:val="center"/>
              <w:rPr>
                <w:rFonts w:ascii="Arial Narrow" w:eastAsiaTheme="majorEastAsia" w:hAnsi="Arial Narrow" w:cstheme="majorBidi"/>
                <w:bCs/>
                <w:sz w:val="20"/>
              </w:rPr>
            </w:pPr>
            <w:r w:rsidRPr="00F56A97">
              <w:rPr>
                <w:rFonts w:ascii="Arial Narrow" w:eastAsiaTheme="majorEastAsia" w:hAnsi="Arial Narrow" w:cstheme="majorBidi"/>
                <w:bCs/>
                <w:sz w:val="20"/>
              </w:rPr>
              <w:t>A vs. F</w:t>
            </w:r>
          </w:p>
        </w:tc>
        <w:tc>
          <w:tcPr>
            <w:tcW w:w="6520" w:type="dxa"/>
            <w:gridSpan w:val="6"/>
            <w:tcMar>
              <w:left w:w="28" w:type="dxa"/>
              <w:right w:w="28" w:type="dxa"/>
            </w:tcMar>
            <w:vAlign w:val="center"/>
          </w:tcPr>
          <w:p w14:paraId="6835A4DA" w14:textId="7C1D65C1" w:rsidR="007A065B" w:rsidRPr="00F56A97" w:rsidRDefault="007A065B" w:rsidP="00F577A8">
            <w:pPr>
              <w:spacing w:before="20" w:after="20"/>
              <w:jc w:val="left"/>
              <w:rPr>
                <w:rFonts w:ascii="Arial Narrow" w:eastAsiaTheme="majorEastAsia" w:hAnsi="Arial Narrow" w:cstheme="majorBidi"/>
                <w:bCs/>
                <w:sz w:val="20"/>
              </w:rPr>
            </w:pPr>
            <w:r w:rsidRPr="00F56A97">
              <w:rPr>
                <w:rFonts w:ascii="Arial Narrow" w:eastAsiaTheme="majorEastAsia" w:hAnsi="Arial Narrow" w:cstheme="majorBidi"/>
                <w:bCs/>
                <w:sz w:val="20"/>
              </w:rPr>
              <w:t>Indirect comparison PAL+FUL vs. RIBO+FUL: PALOMA-3 (ITT population) vs. MONALEESA-3 (</w:t>
            </w:r>
            <w:proofErr w:type="spellStart"/>
            <w:r w:rsidRPr="00F56A97">
              <w:rPr>
                <w:rFonts w:ascii="Arial Narrow" w:eastAsiaTheme="majorEastAsia" w:hAnsi="Arial Narrow" w:cstheme="majorBidi"/>
                <w:bCs/>
                <w:sz w:val="20"/>
              </w:rPr>
              <w:t>ER</w:t>
            </w:r>
            <w:r w:rsidR="00BB2444" w:rsidRPr="00F56A97">
              <w:rPr>
                <w:rFonts w:ascii="Arial Narrow" w:eastAsiaTheme="majorEastAsia" w:hAnsi="Arial Narrow" w:cstheme="majorBidi"/>
                <w:bCs/>
                <w:sz w:val="20"/>
                <w:vertAlign w:val="superscript"/>
              </w:rPr>
              <w:t>f</w:t>
            </w:r>
            <w:proofErr w:type="spellEnd"/>
            <w:r w:rsidR="00BB2444" w:rsidRPr="00F56A97">
              <w:rPr>
                <w:rFonts w:ascii="Arial Narrow" w:eastAsiaTheme="majorEastAsia" w:hAnsi="Arial Narrow" w:cstheme="majorBidi"/>
                <w:bCs/>
                <w:sz w:val="20"/>
              </w:rPr>
              <w:t>,</w:t>
            </w:r>
            <w:r w:rsidRPr="00F56A97">
              <w:rPr>
                <w:rFonts w:ascii="Arial Narrow" w:eastAsiaTheme="majorEastAsia" w:hAnsi="Arial Narrow" w:cstheme="majorBidi"/>
                <w:bCs/>
                <w:sz w:val="20"/>
              </w:rPr>
              <w:t xml:space="preserve"> 56.3 months </w:t>
            </w:r>
            <w:proofErr w:type="spellStart"/>
            <w:r w:rsidRPr="00F56A97">
              <w:rPr>
                <w:rFonts w:ascii="Arial Narrow" w:eastAsiaTheme="majorEastAsia" w:hAnsi="Arial Narrow" w:cstheme="majorBidi"/>
                <w:bCs/>
                <w:sz w:val="20"/>
              </w:rPr>
              <w:t>mFU</w:t>
            </w:r>
            <w:proofErr w:type="spellEnd"/>
            <w:r w:rsidRPr="00F56A97">
              <w:rPr>
                <w:rFonts w:ascii="Arial Narrow" w:eastAsiaTheme="majorEastAsia" w:hAnsi="Arial Narrow" w:cstheme="majorBidi"/>
                <w:bCs/>
                <w:sz w:val="20"/>
              </w:rPr>
              <w:t xml:space="preserve">) Exploratory OS </w:t>
            </w:r>
          </w:p>
        </w:tc>
        <w:tc>
          <w:tcPr>
            <w:tcW w:w="1701" w:type="dxa"/>
            <w:shd w:val="clear" w:color="auto" w:fill="auto"/>
            <w:tcMar>
              <w:left w:w="28" w:type="dxa"/>
              <w:right w:w="28" w:type="dxa"/>
            </w:tcMar>
            <w:vAlign w:val="center"/>
          </w:tcPr>
          <w:p w14:paraId="6D023102" w14:textId="14AA6E41" w:rsidR="007A065B" w:rsidRPr="00F56A97" w:rsidRDefault="007A065B" w:rsidP="00F577A8">
            <w:pPr>
              <w:spacing w:before="20" w:after="20"/>
              <w:jc w:val="center"/>
              <w:rPr>
                <w:rFonts w:ascii="Arial Narrow" w:eastAsiaTheme="majorEastAsia" w:hAnsi="Arial Narrow" w:cstheme="majorBidi"/>
                <w:bCs/>
                <w:sz w:val="20"/>
              </w:rPr>
            </w:pPr>
            <w:r w:rsidRPr="00F56A97">
              <w:rPr>
                <w:rFonts w:ascii="Arial Narrow" w:eastAsiaTheme="majorEastAsia" w:hAnsi="Arial Narrow" w:cstheme="majorBidi"/>
                <w:bCs/>
                <w:sz w:val="20"/>
              </w:rPr>
              <w:t>1.04 (0.72, 1.50) p=0.842</w:t>
            </w:r>
          </w:p>
        </w:tc>
      </w:tr>
      <w:tr w:rsidR="00937EEC" w:rsidRPr="00F56A97" w14:paraId="0835451E" w14:textId="77777777" w:rsidTr="00FF27D1">
        <w:tc>
          <w:tcPr>
            <w:tcW w:w="851" w:type="dxa"/>
            <w:tcMar>
              <w:left w:w="28" w:type="dxa"/>
              <w:right w:w="28" w:type="dxa"/>
            </w:tcMar>
            <w:vAlign w:val="center"/>
          </w:tcPr>
          <w:p w14:paraId="715EFDF2" w14:textId="77777777" w:rsidR="00937EEC" w:rsidRPr="00F56A97" w:rsidRDefault="00937EEC" w:rsidP="00937EEC">
            <w:pPr>
              <w:spacing w:before="20" w:after="20"/>
              <w:jc w:val="center"/>
              <w:rPr>
                <w:rFonts w:ascii="Arial Narrow" w:eastAsiaTheme="majorEastAsia" w:hAnsi="Arial Narrow" w:cstheme="majorBidi"/>
                <w:bCs/>
                <w:sz w:val="20"/>
              </w:rPr>
            </w:pPr>
            <w:r w:rsidRPr="00F56A97">
              <w:rPr>
                <w:rFonts w:ascii="Arial Narrow" w:eastAsiaTheme="majorEastAsia" w:hAnsi="Arial Narrow" w:cstheme="majorBidi"/>
                <w:bCs/>
                <w:sz w:val="20"/>
              </w:rPr>
              <w:t>B vs. C</w:t>
            </w:r>
          </w:p>
        </w:tc>
        <w:tc>
          <w:tcPr>
            <w:tcW w:w="6520" w:type="dxa"/>
            <w:gridSpan w:val="6"/>
            <w:tcMar>
              <w:left w:w="28" w:type="dxa"/>
              <w:right w:w="28" w:type="dxa"/>
            </w:tcMar>
            <w:vAlign w:val="center"/>
          </w:tcPr>
          <w:p w14:paraId="64412E9D" w14:textId="01E1ADCA" w:rsidR="00937EEC" w:rsidRPr="00F56A97" w:rsidRDefault="00937EEC" w:rsidP="00937EEC">
            <w:pPr>
              <w:spacing w:before="20" w:after="20"/>
              <w:jc w:val="left"/>
              <w:rPr>
                <w:rFonts w:ascii="Arial Narrow" w:eastAsiaTheme="majorEastAsia" w:hAnsi="Arial Narrow" w:cstheme="majorBidi"/>
                <w:bCs/>
                <w:sz w:val="20"/>
              </w:rPr>
            </w:pPr>
            <w:r w:rsidRPr="00F56A97">
              <w:rPr>
                <w:rFonts w:ascii="Arial Narrow" w:eastAsiaTheme="majorEastAsia" w:hAnsi="Arial Narrow" w:cstheme="majorBidi"/>
                <w:bCs/>
                <w:sz w:val="20"/>
              </w:rPr>
              <w:t xml:space="preserve">Indirect comparison PAL+FUL vs. RIBO+FUL: PALOMA-3 (ITT population, 73.3 months </w:t>
            </w:r>
            <w:proofErr w:type="spellStart"/>
            <w:r w:rsidR="004D65C4" w:rsidRPr="00F56A97">
              <w:rPr>
                <w:rFonts w:ascii="Arial Narrow" w:eastAsiaTheme="majorEastAsia" w:hAnsi="Arial Narrow" w:cstheme="majorBidi"/>
                <w:bCs/>
                <w:sz w:val="20"/>
              </w:rPr>
              <w:t>mFU</w:t>
            </w:r>
            <w:proofErr w:type="spellEnd"/>
            <w:r w:rsidRPr="00F56A97">
              <w:rPr>
                <w:rFonts w:ascii="Arial Narrow" w:eastAsiaTheme="majorEastAsia" w:hAnsi="Arial Narrow" w:cstheme="majorBidi"/>
                <w:bCs/>
                <w:sz w:val="20"/>
              </w:rPr>
              <w:t>) vs. MONALEESA-3 (ITT population</w:t>
            </w:r>
            <w:r w:rsidR="004D65C4" w:rsidRPr="00F56A97">
              <w:rPr>
                <w:rFonts w:ascii="Arial Narrow" w:eastAsiaTheme="majorEastAsia" w:hAnsi="Arial Narrow" w:cstheme="majorBidi"/>
                <w:bCs/>
                <w:sz w:val="20"/>
              </w:rPr>
              <w:t xml:space="preserve">, 39.4 months </w:t>
            </w:r>
            <w:proofErr w:type="spellStart"/>
            <w:r w:rsidR="004D65C4" w:rsidRPr="00F56A97">
              <w:rPr>
                <w:rFonts w:ascii="Arial Narrow" w:eastAsiaTheme="majorEastAsia" w:hAnsi="Arial Narrow" w:cstheme="majorBidi"/>
                <w:bCs/>
                <w:sz w:val="20"/>
              </w:rPr>
              <w:t>mFU</w:t>
            </w:r>
            <w:proofErr w:type="spellEnd"/>
            <w:r w:rsidRPr="00F56A97">
              <w:rPr>
                <w:rFonts w:ascii="Arial Narrow" w:eastAsiaTheme="majorEastAsia" w:hAnsi="Arial Narrow" w:cstheme="majorBidi"/>
                <w:bCs/>
                <w:sz w:val="20"/>
              </w:rPr>
              <w:t>)</w:t>
            </w:r>
          </w:p>
        </w:tc>
        <w:tc>
          <w:tcPr>
            <w:tcW w:w="1701" w:type="dxa"/>
            <w:shd w:val="clear" w:color="auto" w:fill="auto"/>
            <w:tcMar>
              <w:left w:w="28" w:type="dxa"/>
              <w:right w:w="28" w:type="dxa"/>
            </w:tcMar>
            <w:vAlign w:val="center"/>
          </w:tcPr>
          <w:p w14:paraId="33A6270F" w14:textId="77777777" w:rsidR="00937EEC" w:rsidRPr="00F56A97" w:rsidRDefault="00937EEC" w:rsidP="00937EEC">
            <w:pPr>
              <w:spacing w:before="20" w:after="20"/>
              <w:jc w:val="center"/>
              <w:rPr>
                <w:rFonts w:ascii="Arial Narrow" w:eastAsiaTheme="majorEastAsia" w:hAnsi="Arial Narrow" w:cstheme="majorBidi"/>
                <w:bCs/>
                <w:sz w:val="20"/>
              </w:rPr>
            </w:pPr>
            <w:r w:rsidRPr="00F56A97">
              <w:rPr>
                <w:rFonts w:ascii="Arial Narrow" w:eastAsiaTheme="majorEastAsia" w:hAnsi="Arial Narrow" w:cstheme="majorBidi"/>
                <w:bCs/>
                <w:sz w:val="20"/>
              </w:rPr>
              <w:t>1.11 (0.83, 1.50) p=0.4908</w:t>
            </w:r>
          </w:p>
        </w:tc>
      </w:tr>
      <w:tr w:rsidR="00937EEC" w:rsidRPr="00F56A97" w14:paraId="2974162C" w14:textId="77777777" w:rsidTr="00FF27D1">
        <w:tc>
          <w:tcPr>
            <w:tcW w:w="851" w:type="dxa"/>
            <w:tcMar>
              <w:left w:w="28" w:type="dxa"/>
              <w:right w:w="28" w:type="dxa"/>
            </w:tcMar>
            <w:vAlign w:val="center"/>
          </w:tcPr>
          <w:p w14:paraId="7EA93B21" w14:textId="77777777" w:rsidR="00937EEC" w:rsidRPr="00F56A97" w:rsidRDefault="00937EEC" w:rsidP="00937EEC">
            <w:pPr>
              <w:spacing w:before="20" w:after="20"/>
              <w:jc w:val="center"/>
              <w:rPr>
                <w:rFonts w:ascii="Arial Narrow" w:eastAsiaTheme="majorEastAsia" w:hAnsi="Arial Narrow" w:cstheme="majorBidi"/>
                <w:bCs/>
                <w:sz w:val="20"/>
              </w:rPr>
            </w:pPr>
            <w:r w:rsidRPr="00F56A97">
              <w:rPr>
                <w:rFonts w:ascii="Arial Narrow" w:eastAsiaTheme="majorEastAsia" w:hAnsi="Arial Narrow" w:cstheme="majorBidi"/>
                <w:bCs/>
                <w:sz w:val="20"/>
              </w:rPr>
              <w:t>B vs. D</w:t>
            </w:r>
          </w:p>
        </w:tc>
        <w:tc>
          <w:tcPr>
            <w:tcW w:w="6520" w:type="dxa"/>
            <w:gridSpan w:val="6"/>
            <w:tcMar>
              <w:left w:w="28" w:type="dxa"/>
              <w:right w:w="28" w:type="dxa"/>
            </w:tcMar>
            <w:vAlign w:val="center"/>
          </w:tcPr>
          <w:p w14:paraId="3D4E59C6" w14:textId="33ADA200" w:rsidR="00937EEC" w:rsidRPr="00F56A97" w:rsidRDefault="00937EEC" w:rsidP="00937EEC">
            <w:pPr>
              <w:spacing w:before="20" w:after="20"/>
              <w:jc w:val="left"/>
              <w:rPr>
                <w:rFonts w:ascii="Arial Narrow" w:eastAsiaTheme="majorEastAsia" w:hAnsi="Arial Narrow" w:cstheme="majorBidi"/>
                <w:bCs/>
                <w:sz w:val="20"/>
              </w:rPr>
            </w:pPr>
            <w:r w:rsidRPr="00F56A97">
              <w:rPr>
                <w:rFonts w:ascii="Arial Narrow" w:eastAsiaTheme="majorEastAsia" w:hAnsi="Arial Narrow" w:cstheme="majorBidi"/>
                <w:bCs/>
                <w:sz w:val="20"/>
              </w:rPr>
              <w:t xml:space="preserve">Indirect comparison PAL+FUL vs. RIBO+FUL: PALOMA-3 (ITT population, 73.3 months </w:t>
            </w:r>
            <w:proofErr w:type="spellStart"/>
            <w:r w:rsidR="004D65C4" w:rsidRPr="00F56A97">
              <w:rPr>
                <w:rFonts w:ascii="Arial Narrow" w:eastAsiaTheme="majorEastAsia" w:hAnsi="Arial Narrow" w:cstheme="majorBidi"/>
                <w:bCs/>
                <w:sz w:val="20"/>
              </w:rPr>
              <w:t>mFU</w:t>
            </w:r>
            <w:proofErr w:type="spellEnd"/>
            <w:r w:rsidRPr="00F56A97">
              <w:rPr>
                <w:rFonts w:ascii="Arial Narrow" w:eastAsiaTheme="majorEastAsia" w:hAnsi="Arial Narrow" w:cstheme="majorBidi"/>
                <w:bCs/>
                <w:sz w:val="20"/>
              </w:rPr>
              <w:t>) vs. MONALEESA-3 (</w:t>
            </w:r>
            <w:proofErr w:type="spellStart"/>
            <w:r w:rsidRPr="00F56A97">
              <w:rPr>
                <w:rFonts w:ascii="Arial Narrow" w:eastAsiaTheme="majorEastAsia" w:hAnsi="Arial Narrow" w:cstheme="majorBidi"/>
                <w:bCs/>
                <w:sz w:val="20"/>
              </w:rPr>
              <w:t>ER</w:t>
            </w:r>
            <w:r w:rsidR="00BB2444" w:rsidRPr="00F56A97">
              <w:rPr>
                <w:rFonts w:ascii="Arial Narrow" w:eastAsiaTheme="majorEastAsia" w:hAnsi="Arial Narrow" w:cstheme="majorBidi"/>
                <w:bCs/>
                <w:sz w:val="20"/>
                <w:vertAlign w:val="superscript"/>
              </w:rPr>
              <w:t>f</w:t>
            </w:r>
            <w:proofErr w:type="spellEnd"/>
            <w:r w:rsidR="004D65C4" w:rsidRPr="00F56A97">
              <w:rPr>
                <w:rFonts w:ascii="Arial Narrow" w:eastAsiaTheme="majorEastAsia" w:hAnsi="Arial Narrow" w:cstheme="majorBidi"/>
                <w:bCs/>
                <w:sz w:val="20"/>
              </w:rPr>
              <w:t xml:space="preserve">, 39.4 months </w:t>
            </w:r>
            <w:proofErr w:type="spellStart"/>
            <w:r w:rsidR="004D65C4" w:rsidRPr="00F56A97">
              <w:rPr>
                <w:rFonts w:ascii="Arial Narrow" w:eastAsiaTheme="majorEastAsia" w:hAnsi="Arial Narrow" w:cstheme="majorBidi"/>
                <w:bCs/>
                <w:sz w:val="20"/>
              </w:rPr>
              <w:t>mFU</w:t>
            </w:r>
            <w:proofErr w:type="spellEnd"/>
            <w:r w:rsidRPr="00F56A97">
              <w:rPr>
                <w:rFonts w:ascii="Arial Narrow" w:eastAsiaTheme="majorEastAsia" w:hAnsi="Arial Narrow" w:cstheme="majorBidi"/>
                <w:bCs/>
                <w:sz w:val="20"/>
              </w:rPr>
              <w:t>)</w:t>
            </w:r>
          </w:p>
        </w:tc>
        <w:tc>
          <w:tcPr>
            <w:tcW w:w="1701" w:type="dxa"/>
            <w:shd w:val="clear" w:color="auto" w:fill="auto"/>
            <w:tcMar>
              <w:left w:w="28" w:type="dxa"/>
              <w:right w:w="28" w:type="dxa"/>
            </w:tcMar>
            <w:vAlign w:val="center"/>
          </w:tcPr>
          <w:p w14:paraId="01D6D348" w14:textId="77777777" w:rsidR="00937EEC" w:rsidRPr="00F56A97" w:rsidRDefault="00937EEC" w:rsidP="00937EEC">
            <w:pPr>
              <w:spacing w:before="20" w:after="20"/>
              <w:jc w:val="center"/>
              <w:rPr>
                <w:rFonts w:ascii="Arial Narrow" w:eastAsiaTheme="majorEastAsia" w:hAnsi="Arial Narrow" w:cstheme="majorBidi"/>
                <w:bCs/>
                <w:sz w:val="20"/>
              </w:rPr>
            </w:pPr>
            <w:r w:rsidRPr="00F56A97">
              <w:rPr>
                <w:rFonts w:ascii="Arial Narrow" w:eastAsiaTheme="majorEastAsia" w:hAnsi="Arial Narrow" w:cstheme="majorBidi"/>
                <w:bCs/>
                <w:sz w:val="20"/>
              </w:rPr>
              <w:t>1.03 (0.73, 1.47) p=0.8556</w:t>
            </w:r>
          </w:p>
        </w:tc>
      </w:tr>
      <w:tr w:rsidR="007A065B" w:rsidRPr="00F56A97" w14:paraId="196E8CA9" w14:textId="77777777" w:rsidTr="00FF27D1">
        <w:tc>
          <w:tcPr>
            <w:tcW w:w="851" w:type="dxa"/>
            <w:tcMar>
              <w:left w:w="28" w:type="dxa"/>
              <w:right w:w="28" w:type="dxa"/>
            </w:tcMar>
            <w:vAlign w:val="center"/>
          </w:tcPr>
          <w:p w14:paraId="78BA03AB" w14:textId="029899F2" w:rsidR="007A065B" w:rsidRPr="00F56A97" w:rsidRDefault="007A065B" w:rsidP="00F577A8">
            <w:pPr>
              <w:spacing w:before="20" w:after="20"/>
              <w:jc w:val="center"/>
              <w:rPr>
                <w:rFonts w:ascii="Arial Narrow" w:eastAsiaTheme="majorEastAsia" w:hAnsi="Arial Narrow" w:cstheme="majorBidi"/>
                <w:bCs/>
                <w:sz w:val="20"/>
              </w:rPr>
            </w:pPr>
            <w:r w:rsidRPr="00F56A97">
              <w:rPr>
                <w:rFonts w:ascii="Arial Narrow" w:eastAsiaTheme="majorEastAsia" w:hAnsi="Arial Narrow" w:cstheme="majorBidi"/>
                <w:bCs/>
                <w:sz w:val="20"/>
              </w:rPr>
              <w:t>B vs. E</w:t>
            </w:r>
          </w:p>
        </w:tc>
        <w:tc>
          <w:tcPr>
            <w:tcW w:w="6520" w:type="dxa"/>
            <w:gridSpan w:val="6"/>
            <w:tcMar>
              <w:left w:w="28" w:type="dxa"/>
              <w:right w:w="28" w:type="dxa"/>
            </w:tcMar>
            <w:vAlign w:val="center"/>
          </w:tcPr>
          <w:p w14:paraId="132BB155" w14:textId="478E222B" w:rsidR="007A065B" w:rsidRPr="00F56A97" w:rsidRDefault="007A065B" w:rsidP="00F577A8">
            <w:pPr>
              <w:spacing w:before="20" w:after="20"/>
              <w:jc w:val="left"/>
              <w:rPr>
                <w:rFonts w:ascii="Arial Narrow" w:eastAsiaTheme="majorEastAsia" w:hAnsi="Arial Narrow" w:cstheme="majorBidi"/>
                <w:bCs/>
                <w:sz w:val="20"/>
              </w:rPr>
            </w:pPr>
            <w:r w:rsidRPr="00F56A97">
              <w:rPr>
                <w:rFonts w:ascii="Arial Narrow" w:eastAsiaTheme="majorEastAsia" w:hAnsi="Arial Narrow" w:cstheme="majorBidi"/>
                <w:bCs/>
                <w:sz w:val="20"/>
              </w:rPr>
              <w:t xml:space="preserve">Indirect comparison PAL+FUL vs. RIBO+FUL: PALOMA-3 (ITT population, 73.3 months </w:t>
            </w:r>
            <w:proofErr w:type="spellStart"/>
            <w:r w:rsidRPr="00F56A97">
              <w:rPr>
                <w:rFonts w:ascii="Arial Narrow" w:eastAsiaTheme="majorEastAsia" w:hAnsi="Arial Narrow" w:cstheme="majorBidi"/>
                <w:bCs/>
                <w:sz w:val="20"/>
              </w:rPr>
              <w:t>mFU</w:t>
            </w:r>
            <w:proofErr w:type="spellEnd"/>
            <w:r w:rsidRPr="00F56A97">
              <w:rPr>
                <w:rFonts w:ascii="Arial Narrow" w:eastAsiaTheme="majorEastAsia" w:hAnsi="Arial Narrow" w:cstheme="majorBidi"/>
                <w:bCs/>
                <w:sz w:val="20"/>
              </w:rPr>
              <w:t xml:space="preserve">) vs. MONALEESA-3 (ITT population, 56.3 months </w:t>
            </w:r>
            <w:proofErr w:type="spellStart"/>
            <w:r w:rsidRPr="00F56A97">
              <w:rPr>
                <w:rFonts w:ascii="Arial Narrow" w:eastAsiaTheme="majorEastAsia" w:hAnsi="Arial Narrow" w:cstheme="majorBidi"/>
                <w:bCs/>
                <w:sz w:val="20"/>
              </w:rPr>
              <w:t>mFU</w:t>
            </w:r>
            <w:proofErr w:type="spellEnd"/>
            <w:r w:rsidRPr="00F56A97">
              <w:rPr>
                <w:rFonts w:ascii="Arial Narrow" w:eastAsiaTheme="majorEastAsia" w:hAnsi="Arial Narrow" w:cstheme="majorBidi"/>
                <w:bCs/>
                <w:sz w:val="20"/>
              </w:rPr>
              <w:t xml:space="preserve">) Exploratory OS </w:t>
            </w:r>
          </w:p>
        </w:tc>
        <w:tc>
          <w:tcPr>
            <w:tcW w:w="1701" w:type="dxa"/>
            <w:shd w:val="clear" w:color="auto" w:fill="auto"/>
            <w:tcMar>
              <w:left w:w="28" w:type="dxa"/>
              <w:right w:w="28" w:type="dxa"/>
            </w:tcMar>
            <w:vAlign w:val="center"/>
          </w:tcPr>
          <w:p w14:paraId="0E3EC740" w14:textId="7074A153" w:rsidR="007A065B" w:rsidRPr="00F56A97" w:rsidRDefault="007A065B" w:rsidP="00F577A8">
            <w:pPr>
              <w:spacing w:before="20" w:after="20"/>
              <w:jc w:val="center"/>
              <w:rPr>
                <w:rFonts w:ascii="Arial Narrow" w:eastAsiaTheme="majorEastAsia" w:hAnsi="Arial Narrow" w:cstheme="majorBidi"/>
                <w:bCs/>
                <w:sz w:val="20"/>
              </w:rPr>
            </w:pPr>
            <w:r w:rsidRPr="00F56A97">
              <w:rPr>
                <w:rFonts w:ascii="Arial Narrow" w:eastAsiaTheme="majorEastAsia" w:hAnsi="Arial Narrow" w:cstheme="majorBidi"/>
                <w:bCs/>
                <w:sz w:val="20"/>
              </w:rPr>
              <w:t>1.11 (0.82, 1.49) p=0.494</w:t>
            </w:r>
          </w:p>
        </w:tc>
      </w:tr>
      <w:tr w:rsidR="007A065B" w:rsidRPr="00F56A97" w14:paraId="441495E7" w14:textId="77777777" w:rsidTr="00FF27D1">
        <w:tc>
          <w:tcPr>
            <w:tcW w:w="851" w:type="dxa"/>
            <w:tcMar>
              <w:left w:w="28" w:type="dxa"/>
              <w:right w:w="28" w:type="dxa"/>
            </w:tcMar>
            <w:vAlign w:val="center"/>
          </w:tcPr>
          <w:p w14:paraId="411701E4" w14:textId="1494ACA4" w:rsidR="007A065B" w:rsidRPr="00F56A97" w:rsidRDefault="007A065B" w:rsidP="00F577A8">
            <w:pPr>
              <w:spacing w:before="20" w:after="20"/>
              <w:jc w:val="center"/>
              <w:rPr>
                <w:rFonts w:ascii="Arial Narrow" w:eastAsiaTheme="majorEastAsia" w:hAnsi="Arial Narrow" w:cstheme="majorBidi"/>
                <w:bCs/>
                <w:sz w:val="20"/>
              </w:rPr>
            </w:pPr>
            <w:r w:rsidRPr="00F56A97">
              <w:rPr>
                <w:rFonts w:ascii="Arial Narrow" w:eastAsiaTheme="majorEastAsia" w:hAnsi="Arial Narrow" w:cstheme="majorBidi"/>
                <w:bCs/>
                <w:sz w:val="20"/>
              </w:rPr>
              <w:t>B vs. F</w:t>
            </w:r>
          </w:p>
        </w:tc>
        <w:tc>
          <w:tcPr>
            <w:tcW w:w="6520" w:type="dxa"/>
            <w:gridSpan w:val="6"/>
            <w:tcMar>
              <w:left w:w="28" w:type="dxa"/>
              <w:right w:w="28" w:type="dxa"/>
            </w:tcMar>
            <w:vAlign w:val="center"/>
          </w:tcPr>
          <w:p w14:paraId="2AB06125" w14:textId="2AE2DF09" w:rsidR="007A065B" w:rsidRPr="00F56A97" w:rsidRDefault="007A065B" w:rsidP="00F577A8">
            <w:pPr>
              <w:spacing w:before="20" w:after="20"/>
              <w:jc w:val="left"/>
              <w:rPr>
                <w:rFonts w:ascii="Arial Narrow" w:eastAsiaTheme="majorEastAsia" w:hAnsi="Arial Narrow" w:cstheme="majorBidi"/>
                <w:bCs/>
                <w:sz w:val="20"/>
              </w:rPr>
            </w:pPr>
            <w:r w:rsidRPr="00F56A97">
              <w:rPr>
                <w:rFonts w:ascii="Arial Narrow" w:eastAsiaTheme="majorEastAsia" w:hAnsi="Arial Narrow" w:cstheme="majorBidi"/>
                <w:bCs/>
                <w:sz w:val="20"/>
              </w:rPr>
              <w:t xml:space="preserve">Indirect comparison PAL+FUL vs. RIBO+FUL: PALOMA-3 (ITT population, 73.3 months </w:t>
            </w:r>
            <w:proofErr w:type="spellStart"/>
            <w:r w:rsidRPr="00F56A97">
              <w:rPr>
                <w:rFonts w:ascii="Arial Narrow" w:eastAsiaTheme="majorEastAsia" w:hAnsi="Arial Narrow" w:cstheme="majorBidi"/>
                <w:bCs/>
                <w:sz w:val="20"/>
              </w:rPr>
              <w:t>mFU</w:t>
            </w:r>
            <w:proofErr w:type="spellEnd"/>
            <w:r w:rsidRPr="00F56A97">
              <w:rPr>
                <w:rFonts w:ascii="Arial Narrow" w:eastAsiaTheme="majorEastAsia" w:hAnsi="Arial Narrow" w:cstheme="majorBidi"/>
                <w:bCs/>
                <w:sz w:val="20"/>
              </w:rPr>
              <w:t>) vs. MONALEESA-3 (</w:t>
            </w:r>
            <w:proofErr w:type="spellStart"/>
            <w:r w:rsidRPr="00F56A97">
              <w:rPr>
                <w:rFonts w:ascii="Arial Narrow" w:eastAsiaTheme="majorEastAsia" w:hAnsi="Arial Narrow" w:cstheme="majorBidi"/>
                <w:bCs/>
                <w:sz w:val="20"/>
              </w:rPr>
              <w:t>E</w:t>
            </w:r>
            <w:r w:rsidR="00BB2444" w:rsidRPr="00F56A97">
              <w:rPr>
                <w:rFonts w:ascii="Arial Narrow" w:eastAsiaTheme="majorEastAsia" w:hAnsi="Arial Narrow" w:cstheme="majorBidi"/>
                <w:bCs/>
                <w:sz w:val="20"/>
              </w:rPr>
              <w:t>R</w:t>
            </w:r>
            <w:r w:rsidR="00BB2444" w:rsidRPr="00F56A97">
              <w:rPr>
                <w:rFonts w:ascii="Arial Narrow" w:eastAsiaTheme="majorEastAsia" w:hAnsi="Arial Narrow" w:cstheme="majorBidi"/>
                <w:bCs/>
                <w:sz w:val="20"/>
                <w:vertAlign w:val="superscript"/>
              </w:rPr>
              <w:t>f</w:t>
            </w:r>
            <w:proofErr w:type="spellEnd"/>
            <w:r w:rsidR="00BB2444" w:rsidRPr="00F56A97">
              <w:rPr>
                <w:rFonts w:ascii="Arial Narrow" w:eastAsiaTheme="majorEastAsia" w:hAnsi="Arial Narrow" w:cstheme="majorBidi"/>
                <w:bCs/>
                <w:sz w:val="20"/>
              </w:rPr>
              <w:t>,</w:t>
            </w:r>
            <w:r w:rsidRPr="00F56A97">
              <w:rPr>
                <w:rFonts w:ascii="Arial Narrow" w:eastAsiaTheme="majorEastAsia" w:hAnsi="Arial Narrow" w:cstheme="majorBidi"/>
                <w:bCs/>
                <w:sz w:val="20"/>
              </w:rPr>
              <w:t xml:space="preserve"> 56.3 months </w:t>
            </w:r>
            <w:proofErr w:type="spellStart"/>
            <w:r w:rsidRPr="00F56A97">
              <w:rPr>
                <w:rFonts w:ascii="Arial Narrow" w:eastAsiaTheme="majorEastAsia" w:hAnsi="Arial Narrow" w:cstheme="majorBidi"/>
                <w:bCs/>
                <w:sz w:val="20"/>
              </w:rPr>
              <w:t>mFU</w:t>
            </w:r>
            <w:proofErr w:type="spellEnd"/>
            <w:r w:rsidRPr="00F56A97">
              <w:rPr>
                <w:rFonts w:ascii="Arial Narrow" w:eastAsiaTheme="majorEastAsia" w:hAnsi="Arial Narrow" w:cstheme="majorBidi"/>
                <w:bCs/>
                <w:sz w:val="20"/>
              </w:rPr>
              <w:t xml:space="preserve">) Exploratory OS </w:t>
            </w:r>
          </w:p>
        </w:tc>
        <w:tc>
          <w:tcPr>
            <w:tcW w:w="1701" w:type="dxa"/>
            <w:shd w:val="clear" w:color="auto" w:fill="auto"/>
            <w:tcMar>
              <w:left w:w="28" w:type="dxa"/>
              <w:right w:w="28" w:type="dxa"/>
            </w:tcMar>
            <w:vAlign w:val="center"/>
          </w:tcPr>
          <w:p w14:paraId="4B8B8FB3" w14:textId="44F8F5D0" w:rsidR="007A065B" w:rsidRPr="00F56A97" w:rsidRDefault="007A065B" w:rsidP="00F577A8">
            <w:pPr>
              <w:spacing w:before="20" w:after="20"/>
              <w:jc w:val="center"/>
              <w:rPr>
                <w:rFonts w:ascii="Arial Narrow" w:eastAsiaTheme="majorEastAsia" w:hAnsi="Arial Narrow" w:cstheme="majorBidi"/>
                <w:bCs/>
                <w:sz w:val="20"/>
              </w:rPr>
            </w:pPr>
            <w:r w:rsidRPr="00F56A97">
              <w:rPr>
                <w:rFonts w:ascii="Arial Narrow" w:eastAsiaTheme="majorEastAsia" w:hAnsi="Arial Narrow" w:cstheme="majorBidi"/>
                <w:bCs/>
                <w:sz w:val="20"/>
              </w:rPr>
              <w:t>1.04 (0.73, 1.48) p=0.834</w:t>
            </w:r>
          </w:p>
        </w:tc>
      </w:tr>
      <w:tr w:rsidR="00937EEC" w:rsidRPr="00F56A97" w14:paraId="07520354" w14:textId="77777777" w:rsidTr="00FF27D1">
        <w:tc>
          <w:tcPr>
            <w:tcW w:w="851" w:type="dxa"/>
            <w:tcMar>
              <w:left w:w="28" w:type="dxa"/>
              <w:right w:w="28" w:type="dxa"/>
            </w:tcMar>
            <w:vAlign w:val="center"/>
          </w:tcPr>
          <w:p w14:paraId="6583657C" w14:textId="06FC1A26" w:rsidR="00937EEC" w:rsidRPr="00F56A97" w:rsidRDefault="00937EEC" w:rsidP="00937EEC">
            <w:pPr>
              <w:spacing w:before="20" w:after="20"/>
              <w:jc w:val="center"/>
              <w:rPr>
                <w:rFonts w:ascii="Arial Narrow" w:eastAsiaTheme="majorEastAsia" w:hAnsi="Arial Narrow" w:cstheme="majorBidi"/>
                <w:bCs/>
                <w:sz w:val="20"/>
              </w:rPr>
            </w:pPr>
            <w:r w:rsidRPr="00F56A97">
              <w:rPr>
                <w:rFonts w:ascii="Arial Narrow" w:eastAsiaTheme="majorEastAsia" w:hAnsi="Arial Narrow" w:cstheme="majorBidi"/>
                <w:bCs/>
                <w:sz w:val="20"/>
              </w:rPr>
              <w:t xml:space="preserve">A vs. </w:t>
            </w:r>
            <w:r w:rsidR="00200AED" w:rsidRPr="00F56A97">
              <w:rPr>
                <w:rFonts w:ascii="Arial Narrow" w:eastAsiaTheme="majorEastAsia" w:hAnsi="Arial Narrow" w:cstheme="majorBidi"/>
                <w:bCs/>
                <w:sz w:val="20"/>
              </w:rPr>
              <w:t>G</w:t>
            </w:r>
          </w:p>
        </w:tc>
        <w:tc>
          <w:tcPr>
            <w:tcW w:w="6520" w:type="dxa"/>
            <w:gridSpan w:val="6"/>
            <w:tcMar>
              <w:left w:w="28" w:type="dxa"/>
              <w:right w:w="28" w:type="dxa"/>
            </w:tcMar>
            <w:vAlign w:val="center"/>
          </w:tcPr>
          <w:p w14:paraId="7CD92C2C" w14:textId="036DAEC8" w:rsidR="00937EEC" w:rsidRPr="00F56A97" w:rsidRDefault="00937EEC" w:rsidP="00937EEC">
            <w:pPr>
              <w:spacing w:before="20" w:after="20"/>
              <w:jc w:val="left"/>
              <w:rPr>
                <w:rFonts w:ascii="Arial Narrow" w:eastAsiaTheme="majorEastAsia" w:hAnsi="Arial Narrow" w:cstheme="majorBidi"/>
                <w:bCs/>
                <w:sz w:val="20"/>
              </w:rPr>
            </w:pPr>
            <w:r w:rsidRPr="00F56A97">
              <w:rPr>
                <w:rFonts w:ascii="Arial Narrow" w:eastAsiaTheme="majorEastAsia" w:hAnsi="Arial Narrow" w:cstheme="majorBidi"/>
                <w:bCs/>
                <w:sz w:val="20"/>
              </w:rPr>
              <w:t>Indirect comparison PAL+FUL vs. ABE+FUL: PALOMA-3 (ITT population</w:t>
            </w:r>
            <w:r w:rsidR="004D65C4" w:rsidRPr="00F56A97">
              <w:rPr>
                <w:rFonts w:ascii="Arial Narrow" w:eastAsiaTheme="majorEastAsia" w:hAnsi="Arial Narrow" w:cstheme="majorBidi"/>
                <w:bCs/>
                <w:sz w:val="20"/>
              </w:rPr>
              <w:t xml:space="preserve">, 44.8 months </w:t>
            </w:r>
            <w:proofErr w:type="spellStart"/>
            <w:r w:rsidR="004D65C4" w:rsidRPr="00F56A97">
              <w:rPr>
                <w:rFonts w:ascii="Arial Narrow" w:eastAsiaTheme="majorEastAsia" w:hAnsi="Arial Narrow" w:cstheme="majorBidi"/>
                <w:bCs/>
                <w:sz w:val="20"/>
              </w:rPr>
              <w:t>mFU</w:t>
            </w:r>
            <w:proofErr w:type="spellEnd"/>
            <w:r w:rsidRPr="00F56A97">
              <w:rPr>
                <w:rFonts w:ascii="Arial Narrow" w:eastAsiaTheme="majorEastAsia" w:hAnsi="Arial Narrow" w:cstheme="majorBidi"/>
                <w:bCs/>
                <w:sz w:val="20"/>
              </w:rPr>
              <w:t>) vs. MONARCH 2 (ITT population</w:t>
            </w:r>
            <w:r w:rsidR="004D65C4" w:rsidRPr="00F56A97">
              <w:rPr>
                <w:rFonts w:ascii="Arial Narrow" w:eastAsiaTheme="majorEastAsia" w:hAnsi="Arial Narrow" w:cstheme="majorBidi"/>
                <w:bCs/>
                <w:sz w:val="20"/>
              </w:rPr>
              <w:t xml:space="preserve">, 47.7 months </w:t>
            </w:r>
            <w:proofErr w:type="spellStart"/>
            <w:r w:rsidR="004D65C4" w:rsidRPr="00F56A97">
              <w:rPr>
                <w:rFonts w:ascii="Arial Narrow" w:eastAsiaTheme="majorEastAsia" w:hAnsi="Arial Narrow" w:cstheme="majorBidi"/>
                <w:bCs/>
                <w:sz w:val="20"/>
              </w:rPr>
              <w:t>mFU</w:t>
            </w:r>
            <w:proofErr w:type="spellEnd"/>
            <w:r w:rsidRPr="00F56A97">
              <w:rPr>
                <w:rFonts w:ascii="Arial Narrow" w:eastAsiaTheme="majorEastAsia" w:hAnsi="Arial Narrow" w:cstheme="majorBidi"/>
                <w:bCs/>
                <w:sz w:val="20"/>
              </w:rPr>
              <w:t>)</w:t>
            </w:r>
          </w:p>
        </w:tc>
        <w:tc>
          <w:tcPr>
            <w:tcW w:w="1701" w:type="dxa"/>
            <w:shd w:val="clear" w:color="auto" w:fill="auto"/>
            <w:tcMar>
              <w:left w:w="28" w:type="dxa"/>
              <w:right w:w="28" w:type="dxa"/>
            </w:tcMar>
            <w:vAlign w:val="center"/>
          </w:tcPr>
          <w:p w14:paraId="328083EE" w14:textId="77777777" w:rsidR="00937EEC" w:rsidRPr="00F56A97" w:rsidRDefault="00937EEC" w:rsidP="00937EEC">
            <w:pPr>
              <w:spacing w:before="20" w:after="20"/>
              <w:jc w:val="center"/>
              <w:rPr>
                <w:rFonts w:ascii="Arial Narrow" w:eastAsiaTheme="majorEastAsia" w:hAnsi="Arial Narrow" w:cstheme="majorBidi"/>
                <w:bCs/>
                <w:sz w:val="20"/>
              </w:rPr>
            </w:pPr>
            <w:r w:rsidRPr="00F56A97">
              <w:rPr>
                <w:rFonts w:ascii="Arial Narrow" w:eastAsiaTheme="majorEastAsia" w:hAnsi="Arial Narrow" w:cstheme="majorBidi"/>
                <w:bCs/>
                <w:sz w:val="20"/>
              </w:rPr>
              <w:t>1.08 (0.78, 1.49), p=0.6595</w:t>
            </w:r>
          </w:p>
        </w:tc>
      </w:tr>
    </w:tbl>
    <w:p w14:paraId="70565407" w14:textId="654D7631" w:rsidR="00937EEC" w:rsidRPr="00937EEC" w:rsidRDefault="00937EEC" w:rsidP="00C924FD">
      <w:pPr>
        <w:pStyle w:val="TableFigureFooter"/>
      </w:pPr>
      <w:r w:rsidRPr="00F56A97">
        <w:t xml:space="preserve">Source: table constructed during the evaluation using information from Spreadsheets ‘PFS &amp; OS HR </w:t>
      </w:r>
      <w:proofErr w:type="spellStart"/>
      <w:r w:rsidRPr="00F56A97">
        <w:t>PAL_v_RIB</w:t>
      </w:r>
      <w:proofErr w:type="spellEnd"/>
      <w:r w:rsidRPr="00F56A97">
        <w:t xml:space="preserve">’ and ‘PFS &amp; OS HR </w:t>
      </w:r>
      <w:proofErr w:type="spellStart"/>
      <w:r w:rsidRPr="00F56A97">
        <w:t>PAL_v_ABE</w:t>
      </w:r>
      <w:proofErr w:type="spellEnd"/>
      <w:r w:rsidRPr="00F56A97">
        <w:t xml:space="preserve">’ in Excel workbook titled ‘Attachment 4 Section 2 Indirect Treatment Comparisons’, included as Attachment 4 of the submission; Table 15, p58 in Palbociclib (A5481023) CSR Main Body Abbreviated (data </w:t>
      </w:r>
      <w:r w:rsidR="00353741" w:rsidRPr="00F56A97">
        <w:t>cut-off</w:t>
      </w:r>
      <w:r w:rsidRPr="00F56A97">
        <w:t xml:space="preserve"> 13 April 2018), 19 September 2018; ‘A5481026 – Updated OS </w:t>
      </w:r>
      <w:proofErr w:type="spellStart"/>
      <w:r w:rsidRPr="00F56A97">
        <w:t>TLS_Jan</w:t>
      </w:r>
      <w:proofErr w:type="spellEnd"/>
      <w:r w:rsidRPr="00F56A97">
        <w:t xml:space="preserve"> 2021’ included as part of large files with the submission; Table 1, Figures 1A and 1C in </w:t>
      </w:r>
      <w:proofErr w:type="spellStart"/>
      <w:r w:rsidRPr="00F56A97">
        <w:t>Slamon</w:t>
      </w:r>
      <w:proofErr w:type="spellEnd"/>
      <w:r w:rsidRPr="00F56A97">
        <w:t xml:space="preserve"> 2020; </w:t>
      </w:r>
      <w:r w:rsidR="00CB37F0" w:rsidRPr="00F56A97">
        <w:t xml:space="preserve">Figures 1A and 1C in </w:t>
      </w:r>
      <w:proofErr w:type="spellStart"/>
      <w:r w:rsidR="00CB37F0" w:rsidRPr="00F56A97">
        <w:t>Slamon</w:t>
      </w:r>
      <w:proofErr w:type="spellEnd"/>
      <w:r w:rsidR="00CB37F0" w:rsidRPr="00F56A97">
        <w:t xml:space="preserve"> 2021; </w:t>
      </w:r>
      <w:r w:rsidRPr="00F56A97">
        <w:t xml:space="preserve">Sledge 2020; Table 7, </w:t>
      </w:r>
      <w:proofErr w:type="spellStart"/>
      <w:r w:rsidRPr="00F56A97">
        <w:t>Abemaciclib</w:t>
      </w:r>
      <w:proofErr w:type="spellEnd"/>
      <w:r w:rsidRPr="00F56A97">
        <w:t xml:space="preserve"> PSD, March 2021 PBAC Meeting.</w:t>
      </w:r>
    </w:p>
    <w:p w14:paraId="3AE27852" w14:textId="1083D58F" w:rsidR="00937EEC" w:rsidRPr="00937EEC" w:rsidRDefault="00937EEC" w:rsidP="00C924FD">
      <w:pPr>
        <w:pStyle w:val="TableFigureFooter"/>
      </w:pPr>
      <w:r w:rsidRPr="00937EEC">
        <w:t xml:space="preserve">ABE = </w:t>
      </w:r>
      <w:proofErr w:type="spellStart"/>
      <w:r w:rsidRPr="00937EEC">
        <w:t>abemaciclib</w:t>
      </w:r>
      <w:proofErr w:type="spellEnd"/>
      <w:r w:rsidRPr="00937EEC">
        <w:t xml:space="preserve">; CI = confidence interval; ER = endocrine-resistant subgroup; FUL = </w:t>
      </w:r>
      <w:proofErr w:type="spellStart"/>
      <w:r w:rsidRPr="00937EEC">
        <w:t>fulvestrant</w:t>
      </w:r>
      <w:proofErr w:type="spellEnd"/>
      <w:r w:rsidRPr="00937EEC">
        <w:t xml:space="preserve">; HR = hazard ratio; ITT = intention-to-treat; </w:t>
      </w:r>
      <w:proofErr w:type="spellStart"/>
      <w:r w:rsidR="007A065B">
        <w:t>mFU</w:t>
      </w:r>
      <w:proofErr w:type="spellEnd"/>
      <w:r w:rsidR="007A065B">
        <w:t xml:space="preserve"> = median follow-up; </w:t>
      </w:r>
      <w:r w:rsidRPr="00937EEC">
        <w:t>n = number of participants with event; N = total participants in group;</w:t>
      </w:r>
      <w:r w:rsidR="007A065B">
        <w:t xml:space="preserve"> NR = not reported;</w:t>
      </w:r>
      <w:r w:rsidRPr="00937EEC">
        <w:t xml:space="preserve"> OS = overall survival; PAL = </w:t>
      </w:r>
      <w:proofErr w:type="spellStart"/>
      <w:r w:rsidRPr="00937EEC">
        <w:t>palbociclib</w:t>
      </w:r>
      <w:proofErr w:type="spellEnd"/>
      <w:r w:rsidRPr="00937EEC">
        <w:t xml:space="preserve">; PBO = placebo; RIB = </w:t>
      </w:r>
      <w:proofErr w:type="spellStart"/>
      <w:r w:rsidRPr="00937EEC">
        <w:t>ribociclib</w:t>
      </w:r>
      <w:proofErr w:type="spellEnd"/>
    </w:p>
    <w:p w14:paraId="303244CD" w14:textId="77777777" w:rsidR="00CF21EB" w:rsidRPr="00937EEC" w:rsidRDefault="00CF21EB" w:rsidP="00CF21EB">
      <w:pPr>
        <w:pStyle w:val="TableFigureFooter"/>
      </w:pPr>
      <w:r>
        <w:rPr>
          <w:vertAlign w:val="superscript"/>
        </w:rPr>
        <w:t>a</w:t>
      </w:r>
      <w:r w:rsidRPr="00937EEC">
        <w:t xml:space="preserve"> 50% quartile of Kaplan-Meier estimates of time to event (based on the Brookmeyer and Crowley Method).</w:t>
      </w:r>
    </w:p>
    <w:p w14:paraId="1D2EAB4C" w14:textId="12B2EF65" w:rsidR="00937EEC" w:rsidRPr="00937EEC" w:rsidRDefault="00CF21EB" w:rsidP="00C924FD">
      <w:pPr>
        <w:pStyle w:val="TableFigureFooter"/>
      </w:pPr>
      <w:r>
        <w:rPr>
          <w:vertAlign w:val="superscript"/>
        </w:rPr>
        <w:t>b</w:t>
      </w:r>
      <w:r w:rsidR="00937EEC" w:rsidRPr="00937EEC">
        <w:t xml:space="preserve"> Hazard ratio less than 1 is in </w:t>
      </w:r>
      <w:r w:rsidR="00353741" w:rsidRPr="00937EEC">
        <w:t>favour</w:t>
      </w:r>
      <w:r w:rsidR="00937EEC" w:rsidRPr="00937EEC">
        <w:t xml:space="preserve"> of </w:t>
      </w:r>
      <w:proofErr w:type="spellStart"/>
      <w:r w:rsidR="00937EEC" w:rsidRPr="00937EEC">
        <w:t>palbociclib</w:t>
      </w:r>
      <w:proofErr w:type="spellEnd"/>
      <w:r w:rsidR="00937EEC" w:rsidRPr="00937EEC">
        <w:t xml:space="preserve"> plus </w:t>
      </w:r>
      <w:proofErr w:type="spellStart"/>
      <w:r w:rsidR="00937EEC" w:rsidRPr="00937EEC">
        <w:t>fulvestrant</w:t>
      </w:r>
      <w:proofErr w:type="spellEnd"/>
      <w:r w:rsidR="00937EEC" w:rsidRPr="00937EEC">
        <w:t>.</w:t>
      </w:r>
    </w:p>
    <w:p w14:paraId="226E3D5B" w14:textId="312C7B28" w:rsidR="00937EEC" w:rsidRDefault="00CF21EB" w:rsidP="00C924FD">
      <w:pPr>
        <w:pStyle w:val="TableFigureFooter"/>
      </w:pPr>
      <w:r>
        <w:rPr>
          <w:vertAlign w:val="superscript"/>
        </w:rPr>
        <w:lastRenderedPageBreak/>
        <w:t>c</w:t>
      </w:r>
      <w:r w:rsidR="00937EEC" w:rsidRPr="00937EEC">
        <w:t xml:space="preserve"> 1-sided p-value from the log-rank test stratified by the presence of visceral metastases and sensitivity to prior hormonal therapy per randomisation.</w:t>
      </w:r>
    </w:p>
    <w:p w14:paraId="73A845BA" w14:textId="77777777" w:rsidR="00424005" w:rsidRPr="00937EEC" w:rsidRDefault="00424005" w:rsidP="00424005">
      <w:pPr>
        <w:pStyle w:val="TableFigureFooter"/>
      </w:pPr>
      <w:r>
        <w:rPr>
          <w:vertAlign w:val="superscript"/>
        </w:rPr>
        <w:t>d</w:t>
      </w:r>
      <w:r w:rsidRPr="00937EEC">
        <w:t xml:space="preserve"> Unplanned updated OS analysis performed in Q4 2020 with 393 events (75% of 521 total randomised patients) based on August 17, 2020 data cut-off </w:t>
      </w:r>
      <w:proofErr w:type="gramStart"/>
      <w:r w:rsidRPr="00937EEC">
        <w:t>in order to</w:t>
      </w:r>
      <w:proofErr w:type="gramEnd"/>
      <w:r w:rsidRPr="00937EEC">
        <w:t xml:space="preserve"> support country level HTA negotiations and provide more mature results as the study team prepares for final study closure.</w:t>
      </w:r>
    </w:p>
    <w:p w14:paraId="1987DA12" w14:textId="77777777" w:rsidR="00424005" w:rsidRDefault="00424005" w:rsidP="00424005">
      <w:pPr>
        <w:pStyle w:val="TableFigureFooter"/>
        <w:rPr>
          <w:b/>
        </w:rPr>
      </w:pPr>
      <w:r>
        <w:rPr>
          <w:vertAlign w:val="superscript"/>
        </w:rPr>
        <w:t>e</w:t>
      </w:r>
      <w:r>
        <w:t xml:space="preserve"> </w:t>
      </w:r>
      <w:r w:rsidRPr="0086130D">
        <w:t>Data</w:t>
      </w:r>
      <w:r w:rsidRPr="00937EEC">
        <w:t xml:space="preserve"> were previously seen by the PBAC (MONALEESA-3: July 2020, November </w:t>
      </w:r>
      <w:proofErr w:type="gramStart"/>
      <w:r w:rsidRPr="00937EEC">
        <w:t>2020</w:t>
      </w:r>
      <w:proofErr w:type="gramEnd"/>
      <w:r w:rsidRPr="00937EEC">
        <w:t xml:space="preserve"> and March 2021 PBAC Meetings; MONARCH 2: March 2021 PBAC Meeting).</w:t>
      </w:r>
      <w:r w:rsidRPr="003C0595">
        <w:rPr>
          <w:b/>
        </w:rPr>
        <w:t xml:space="preserve"> </w:t>
      </w:r>
    </w:p>
    <w:p w14:paraId="4D63618B" w14:textId="63B09743" w:rsidR="00937EEC" w:rsidRPr="00937EEC" w:rsidRDefault="00D116C3" w:rsidP="00C924FD">
      <w:pPr>
        <w:pStyle w:val="TableFigureFooter"/>
      </w:pPr>
      <w:r>
        <w:rPr>
          <w:vertAlign w:val="superscript"/>
        </w:rPr>
        <w:t>f</w:t>
      </w:r>
      <w:r w:rsidR="00937EEC" w:rsidRPr="00937EEC">
        <w:t xml:space="preserve"> Patients who received trial treatment as second-line therapy or who had early relapse (within 12 months after completion of adjuvant or neoadjuvant endocrine therapy).</w:t>
      </w:r>
    </w:p>
    <w:p w14:paraId="515C5D3A" w14:textId="232C41C7" w:rsidR="00937EEC" w:rsidRPr="00937EEC" w:rsidRDefault="003C0595" w:rsidP="00C924FD">
      <w:pPr>
        <w:pStyle w:val="TableFigureFooter"/>
      </w:pPr>
      <w:r w:rsidRPr="00937EEC">
        <w:rPr>
          <w:b/>
        </w:rPr>
        <w:t>Bold</w:t>
      </w:r>
      <w:r w:rsidRPr="00937EEC">
        <w:t xml:space="preserve"> indicates statistically significant results</w:t>
      </w:r>
    </w:p>
    <w:p w14:paraId="2465CAD5" w14:textId="13C5A0C2" w:rsidR="000115F5" w:rsidRDefault="000115F5" w:rsidP="00C924FD">
      <w:pPr>
        <w:pStyle w:val="3-BodyText"/>
      </w:pPr>
      <w:r w:rsidRPr="000115F5">
        <w:t xml:space="preserve">All three placebo-controlled trials met their primary efficacy endpoint, demonstrating a statistically significant improvement in PFS with the addition of either </w:t>
      </w:r>
      <w:proofErr w:type="spellStart"/>
      <w:r w:rsidRPr="000115F5">
        <w:t>palbociclib</w:t>
      </w:r>
      <w:proofErr w:type="spellEnd"/>
      <w:r w:rsidRPr="000115F5">
        <w:t xml:space="preserve"> to </w:t>
      </w:r>
      <w:proofErr w:type="spellStart"/>
      <w:r w:rsidRPr="000115F5">
        <w:t>fulvestrant</w:t>
      </w:r>
      <w:proofErr w:type="spellEnd"/>
      <w:r w:rsidRPr="000115F5">
        <w:t xml:space="preserve"> (PALOMA-3), </w:t>
      </w:r>
      <w:proofErr w:type="spellStart"/>
      <w:r w:rsidRPr="000115F5">
        <w:t>ribociclib</w:t>
      </w:r>
      <w:proofErr w:type="spellEnd"/>
      <w:r w:rsidRPr="000115F5">
        <w:t xml:space="preserve"> to </w:t>
      </w:r>
      <w:proofErr w:type="spellStart"/>
      <w:r w:rsidRPr="000115F5">
        <w:t>fulvestrant</w:t>
      </w:r>
      <w:proofErr w:type="spellEnd"/>
      <w:r w:rsidRPr="000115F5">
        <w:t xml:space="preserve"> (MONALEESA-3), or </w:t>
      </w:r>
      <w:proofErr w:type="spellStart"/>
      <w:r w:rsidRPr="000115F5">
        <w:t>abemaciclib</w:t>
      </w:r>
      <w:proofErr w:type="spellEnd"/>
      <w:r w:rsidRPr="000115F5">
        <w:t xml:space="preserve"> to </w:t>
      </w:r>
      <w:proofErr w:type="spellStart"/>
      <w:r w:rsidRPr="000115F5">
        <w:t>fulvestrant</w:t>
      </w:r>
      <w:proofErr w:type="spellEnd"/>
      <w:r w:rsidRPr="000115F5">
        <w:t xml:space="preserve"> (MONARCH-2).</w:t>
      </w:r>
    </w:p>
    <w:p w14:paraId="1FB4DF70" w14:textId="687B5330" w:rsidR="008612F7" w:rsidRPr="000115F5" w:rsidRDefault="009D56CA" w:rsidP="00C924FD">
      <w:pPr>
        <w:pStyle w:val="3-BodyText"/>
      </w:pPr>
      <w:r>
        <w:t>For PFS, t</w:t>
      </w:r>
      <w:r w:rsidR="008612F7">
        <w:t xml:space="preserve">he submission reported that the results of indirect comparison analyses were in favour of </w:t>
      </w:r>
      <w:proofErr w:type="spellStart"/>
      <w:r w:rsidR="008612F7">
        <w:t>palbociclib</w:t>
      </w:r>
      <w:proofErr w:type="spellEnd"/>
      <w:r w:rsidR="008612F7">
        <w:t xml:space="preserve"> over </w:t>
      </w:r>
      <w:proofErr w:type="spellStart"/>
      <w:r w:rsidR="008612F7">
        <w:t>ribociclib</w:t>
      </w:r>
      <w:proofErr w:type="spellEnd"/>
      <w:r w:rsidR="008612F7">
        <w:t xml:space="preserve">, </w:t>
      </w:r>
      <w:r>
        <w:t xml:space="preserve">numerically, </w:t>
      </w:r>
      <w:r w:rsidR="008612F7">
        <w:t>irrespective of whether the ITT population (indirect HR</w:t>
      </w:r>
      <w:r w:rsidR="0066685B">
        <w:t xml:space="preserve"> =</w:t>
      </w:r>
      <w:r w:rsidR="008612F7">
        <w:t xml:space="preserve"> 0.84</w:t>
      </w:r>
      <w:r w:rsidR="0066685B">
        <w:t>;</w:t>
      </w:r>
      <w:r w:rsidR="008612F7">
        <w:t xml:space="preserve"> 95%</w:t>
      </w:r>
      <w:r w:rsidR="0066685B">
        <w:t>:</w:t>
      </w:r>
      <w:r w:rsidR="008612F7">
        <w:t xml:space="preserve"> CI 0.63</w:t>
      </w:r>
      <w:r w:rsidR="0066685B">
        <w:t>,</w:t>
      </w:r>
      <w:r w:rsidR="008612F7">
        <w:t xml:space="preserve"> 1.13) or the endocrine-resistant subgroup (indirect HR </w:t>
      </w:r>
      <w:r w:rsidR="0066685B">
        <w:t xml:space="preserve">= </w:t>
      </w:r>
      <w:r w:rsidR="008612F7">
        <w:t>0.87</w:t>
      </w:r>
      <w:r w:rsidR="0066685B">
        <w:t>;</w:t>
      </w:r>
      <w:r w:rsidR="008612F7">
        <w:t xml:space="preserve"> 95% CI</w:t>
      </w:r>
      <w:r w:rsidR="0066685B">
        <w:t>:</w:t>
      </w:r>
      <w:r w:rsidR="008612F7">
        <w:t xml:space="preserve"> 0.62</w:t>
      </w:r>
      <w:r w:rsidR="0066685B">
        <w:t xml:space="preserve">, </w:t>
      </w:r>
      <w:r w:rsidR="008612F7">
        <w:t>1.23) of the MONALEESA-3 trial was used.</w:t>
      </w:r>
      <w:r w:rsidR="00E367A4">
        <w:t xml:space="preserve"> The median PFS of the </w:t>
      </w:r>
      <w:r w:rsidR="002A1BA3">
        <w:t>control</w:t>
      </w:r>
      <w:r w:rsidR="00E367A4">
        <w:t xml:space="preserve"> group in the PALOMA-3 trial (4.6 months) was shorter than the median PFS </w:t>
      </w:r>
      <w:r w:rsidR="002A1BA3">
        <w:t xml:space="preserve">of the control group in the MONALEESA-3 trial (12.8 months and 9.1 months for the ITT and endocrine-resistant subgroup respectively). </w:t>
      </w:r>
      <w:r w:rsidR="00730DA3">
        <w:t xml:space="preserve">The submission suggested the difference in median PFS between the two trials (shorter in PALOMA-3) was most likely explained by the inclusion of de novo metastatic disease in the MONALEESA-3 trial. </w:t>
      </w:r>
    </w:p>
    <w:p w14:paraId="5F715F99" w14:textId="02CA1536" w:rsidR="00937EEC" w:rsidRPr="00B23460" w:rsidRDefault="00937EEC" w:rsidP="00C924FD">
      <w:pPr>
        <w:pStyle w:val="3-BodyText"/>
      </w:pPr>
      <w:r w:rsidRPr="00937EEC">
        <w:rPr>
          <w:lang w:val="en-US"/>
        </w:rPr>
        <w:t xml:space="preserve">The submission </w:t>
      </w:r>
      <w:r w:rsidR="00C71CDB" w:rsidRPr="00C71CDB">
        <w:rPr>
          <w:lang w:val="en-US"/>
        </w:rPr>
        <w:t xml:space="preserve">reported that </w:t>
      </w:r>
      <w:proofErr w:type="gramStart"/>
      <w:r w:rsidR="00C71CDB">
        <w:rPr>
          <w:lang w:val="en-US"/>
        </w:rPr>
        <w:t xml:space="preserve">both </w:t>
      </w:r>
      <w:r w:rsidR="00C71CDB" w:rsidRPr="00C71CDB">
        <w:rPr>
          <w:lang w:val="en-US"/>
        </w:rPr>
        <w:t>the</w:t>
      </w:r>
      <w:proofErr w:type="gramEnd"/>
      <w:r w:rsidR="00C71CDB" w:rsidRPr="00C71CDB">
        <w:rPr>
          <w:lang w:val="en-US"/>
        </w:rPr>
        <w:t xml:space="preserve"> upper 95% CIs of the indirect estimates met </w:t>
      </w:r>
      <w:r w:rsidR="00C71CDB">
        <w:rPr>
          <w:lang w:val="en-US"/>
        </w:rPr>
        <w:t>a</w:t>
      </w:r>
      <w:r w:rsidR="00C71CDB" w:rsidRPr="00C71CDB">
        <w:rPr>
          <w:lang w:val="en-US"/>
        </w:rPr>
        <w:t xml:space="preserve"> non-inferiority margin of 1.4</w:t>
      </w:r>
      <w:r w:rsidR="00C71CDB">
        <w:rPr>
          <w:lang w:val="en-US"/>
        </w:rPr>
        <w:t xml:space="preserve">. The submission </w:t>
      </w:r>
      <w:r w:rsidRPr="00937EEC">
        <w:rPr>
          <w:lang w:val="en-US"/>
        </w:rPr>
        <w:t xml:space="preserve">noted a non-inferiority margin of 1.4 was previously accepted by the PBAC during consideration of </w:t>
      </w:r>
      <w:proofErr w:type="spellStart"/>
      <w:r w:rsidRPr="00937EEC">
        <w:rPr>
          <w:lang w:val="en-US"/>
        </w:rPr>
        <w:t>palbociclib</w:t>
      </w:r>
      <w:proofErr w:type="spellEnd"/>
      <w:r w:rsidRPr="00937EEC">
        <w:rPr>
          <w:lang w:val="en-US"/>
        </w:rPr>
        <w:t xml:space="preserve"> (para</w:t>
      </w:r>
      <w:r w:rsidR="00A12B78">
        <w:rPr>
          <w:lang w:val="en-US"/>
        </w:rPr>
        <w:t>graph</w:t>
      </w:r>
      <w:r w:rsidRPr="00937EEC">
        <w:rPr>
          <w:lang w:val="en-US"/>
        </w:rPr>
        <w:t xml:space="preserve"> 5.11, </w:t>
      </w:r>
      <w:proofErr w:type="spellStart"/>
      <w:r w:rsidRPr="00937EEC">
        <w:rPr>
          <w:lang w:val="en-US"/>
        </w:rPr>
        <w:t>palbociclib</w:t>
      </w:r>
      <w:proofErr w:type="spellEnd"/>
      <w:r w:rsidRPr="00937EEC">
        <w:rPr>
          <w:lang w:val="en-US"/>
        </w:rPr>
        <w:t xml:space="preserve"> PSD, March 2018) and </w:t>
      </w:r>
      <w:proofErr w:type="spellStart"/>
      <w:r w:rsidRPr="00937EEC">
        <w:rPr>
          <w:lang w:val="en-US"/>
        </w:rPr>
        <w:t>abemaciclib</w:t>
      </w:r>
      <w:proofErr w:type="spellEnd"/>
      <w:r w:rsidRPr="00937EEC">
        <w:rPr>
          <w:lang w:val="en-US"/>
        </w:rPr>
        <w:t xml:space="preserve"> for use in conjunction with a non-steroidal aromatase inhibitor </w:t>
      </w:r>
      <w:r w:rsidR="00C71CDB" w:rsidRPr="00937EEC">
        <w:rPr>
          <w:lang w:val="en-US"/>
        </w:rPr>
        <w:t>(para</w:t>
      </w:r>
      <w:r w:rsidR="00A12B78">
        <w:rPr>
          <w:lang w:val="en-US"/>
        </w:rPr>
        <w:t>graph</w:t>
      </w:r>
      <w:r w:rsidR="00C71CDB" w:rsidRPr="00937EEC">
        <w:rPr>
          <w:lang w:val="en-US"/>
        </w:rPr>
        <w:t xml:space="preserve"> 6.13, </w:t>
      </w:r>
      <w:proofErr w:type="spellStart"/>
      <w:r w:rsidR="00A12B78">
        <w:rPr>
          <w:lang w:val="en-US"/>
        </w:rPr>
        <w:t>a</w:t>
      </w:r>
      <w:r w:rsidR="00C71CDB" w:rsidRPr="00937EEC">
        <w:rPr>
          <w:lang w:val="en-US"/>
        </w:rPr>
        <w:t>bemaciclib</w:t>
      </w:r>
      <w:proofErr w:type="spellEnd"/>
      <w:r w:rsidR="00C71CDB" w:rsidRPr="00937EEC">
        <w:rPr>
          <w:lang w:val="en-US"/>
        </w:rPr>
        <w:t xml:space="preserve"> PSD, March 2019) </w:t>
      </w:r>
      <w:r w:rsidR="00C71CDB">
        <w:rPr>
          <w:lang w:val="en-US"/>
        </w:rPr>
        <w:t xml:space="preserve">or with </w:t>
      </w:r>
      <w:proofErr w:type="spellStart"/>
      <w:r w:rsidR="00C71CDB">
        <w:rPr>
          <w:lang w:val="en-US"/>
        </w:rPr>
        <w:t>fulvestrant</w:t>
      </w:r>
      <w:proofErr w:type="spellEnd"/>
      <w:r w:rsidR="00C71CDB">
        <w:rPr>
          <w:lang w:val="en-US"/>
        </w:rPr>
        <w:t xml:space="preserve"> (para</w:t>
      </w:r>
      <w:r w:rsidR="00A12B78">
        <w:rPr>
          <w:lang w:val="en-US"/>
        </w:rPr>
        <w:t>graph</w:t>
      </w:r>
      <w:r w:rsidR="00C71CDB">
        <w:rPr>
          <w:lang w:val="en-US"/>
        </w:rPr>
        <w:t xml:space="preserve"> 6.18, </w:t>
      </w:r>
      <w:proofErr w:type="spellStart"/>
      <w:r w:rsidR="00A12B78">
        <w:rPr>
          <w:lang w:val="en-US"/>
        </w:rPr>
        <w:t>a</w:t>
      </w:r>
      <w:r w:rsidR="00C71CDB">
        <w:rPr>
          <w:lang w:val="en-US"/>
        </w:rPr>
        <w:t>bemaciclib</w:t>
      </w:r>
      <w:proofErr w:type="spellEnd"/>
      <w:r w:rsidR="00C71CDB">
        <w:rPr>
          <w:lang w:val="en-US"/>
        </w:rPr>
        <w:t xml:space="preserve"> PSD, March 2021) </w:t>
      </w:r>
      <w:r w:rsidRPr="00937EEC">
        <w:rPr>
          <w:lang w:val="en-US"/>
        </w:rPr>
        <w:t xml:space="preserve">in HR+/HER2- advanced breast cancer. </w:t>
      </w:r>
    </w:p>
    <w:p w14:paraId="56B43949" w14:textId="05E1A3F7" w:rsidR="00B23460" w:rsidRPr="00081A39" w:rsidRDefault="00B23460" w:rsidP="00C924FD">
      <w:pPr>
        <w:pStyle w:val="3-BodyText"/>
      </w:pPr>
      <w:r w:rsidRPr="00081A39">
        <w:t>There was statistically significant improvement in median OS with the treatment groups in the MONARCH 2 (9.5 months</w:t>
      </w:r>
      <w:r w:rsidR="00E87A68" w:rsidRPr="00081A39">
        <w:t>,</w:t>
      </w:r>
      <w:r w:rsidRPr="00081A39">
        <w:t xml:space="preserve"> favouring </w:t>
      </w:r>
      <w:proofErr w:type="spellStart"/>
      <w:r w:rsidRPr="00081A39">
        <w:t>abemaciclib</w:t>
      </w:r>
      <w:proofErr w:type="spellEnd"/>
      <w:r w:rsidRPr="00081A39">
        <w:t xml:space="preserve"> group, ITT population) and MONALEESA-3 trial (</w:t>
      </w:r>
      <w:r w:rsidR="00E87A68" w:rsidRPr="00081A39">
        <w:t xml:space="preserve">favouring </w:t>
      </w:r>
      <w:proofErr w:type="spellStart"/>
      <w:r w:rsidR="00E87A68" w:rsidRPr="00081A39">
        <w:t>ribociclib</w:t>
      </w:r>
      <w:proofErr w:type="spellEnd"/>
      <w:r w:rsidR="00E87A68" w:rsidRPr="00081A39">
        <w:t xml:space="preserve"> group, </w:t>
      </w:r>
      <w:r w:rsidRPr="00081A39">
        <w:t>ITT population) but not in the PALOMA-3 trial</w:t>
      </w:r>
      <w:r w:rsidR="00E87A68" w:rsidRPr="00081A39">
        <w:t xml:space="preserve"> (6.9 months, favouring </w:t>
      </w:r>
      <w:proofErr w:type="spellStart"/>
      <w:r w:rsidR="00E87A68" w:rsidRPr="00081A39">
        <w:t>palbociclib</w:t>
      </w:r>
      <w:proofErr w:type="spellEnd"/>
      <w:r w:rsidR="00E87A68" w:rsidRPr="00081A39">
        <w:t>)</w:t>
      </w:r>
      <w:r w:rsidRPr="00081A39">
        <w:t>.</w:t>
      </w:r>
    </w:p>
    <w:p w14:paraId="3C5BDE06" w14:textId="00321EDD" w:rsidR="009D56CA" w:rsidRPr="00E74253" w:rsidRDefault="009D56CA" w:rsidP="00C924FD">
      <w:pPr>
        <w:pStyle w:val="3-BodyText"/>
      </w:pPr>
      <w:r w:rsidRPr="00081A39">
        <w:t xml:space="preserve">For OS, the submission reported that the results of indirect comparison analyses were numerically in favour of </w:t>
      </w:r>
      <w:proofErr w:type="spellStart"/>
      <w:r w:rsidRPr="00081A39">
        <w:t>ribociclib</w:t>
      </w:r>
      <w:proofErr w:type="spellEnd"/>
      <w:r w:rsidRPr="00081A39">
        <w:t xml:space="preserve"> over </w:t>
      </w:r>
      <w:proofErr w:type="spellStart"/>
      <w:r w:rsidRPr="00081A39">
        <w:t>palbociclib</w:t>
      </w:r>
      <w:proofErr w:type="spellEnd"/>
      <w:r w:rsidRPr="00081A39">
        <w:t xml:space="preserve"> when considering the ITT populations of the PALOMA-3 (at median 73 months follow-up) and the MONALEESA-3 (at median 56 months </w:t>
      </w:r>
      <w:r w:rsidR="00137858" w:rsidRPr="00081A39">
        <w:t xml:space="preserve">follow-up) </w:t>
      </w:r>
      <w:r w:rsidRPr="00081A39">
        <w:t>trials (indirect HR</w:t>
      </w:r>
      <w:r w:rsidR="0066685B" w:rsidRPr="00081A39">
        <w:t xml:space="preserve"> =</w:t>
      </w:r>
      <w:r w:rsidRPr="00081A39">
        <w:t xml:space="preserve"> 1.11</w:t>
      </w:r>
      <w:r w:rsidR="0066685B" w:rsidRPr="00081A39">
        <w:t>;</w:t>
      </w:r>
      <w:r w:rsidRPr="00081A39">
        <w:t xml:space="preserve"> 95% CI</w:t>
      </w:r>
      <w:r w:rsidR="0066685B" w:rsidRPr="00081A39">
        <w:t>:</w:t>
      </w:r>
      <w:r w:rsidRPr="00081A39">
        <w:t xml:space="preserve"> 0.82</w:t>
      </w:r>
      <w:r w:rsidR="0066685B" w:rsidRPr="00081A39">
        <w:t xml:space="preserve">, </w:t>
      </w:r>
      <w:r w:rsidRPr="00081A39">
        <w:t xml:space="preserve">1.50). </w:t>
      </w:r>
      <w:r w:rsidR="00E22C74" w:rsidRPr="00081A39">
        <w:t xml:space="preserve">However, when the endocrine-resistant subgroup of the MONALEESA-3 trial was used, the submission reported that </w:t>
      </w:r>
      <w:proofErr w:type="spellStart"/>
      <w:r w:rsidR="00E22C74" w:rsidRPr="00081A39">
        <w:t>palbociclib</w:t>
      </w:r>
      <w:proofErr w:type="spellEnd"/>
      <w:r w:rsidR="00E22C74" w:rsidRPr="00081A39">
        <w:t xml:space="preserve"> and </w:t>
      </w:r>
      <w:proofErr w:type="spellStart"/>
      <w:r w:rsidR="00E22C74" w:rsidRPr="00081A39">
        <w:t>ribociclib</w:t>
      </w:r>
      <w:proofErr w:type="spellEnd"/>
      <w:r w:rsidR="00E22C74" w:rsidRPr="00081A39">
        <w:t xml:space="preserve"> had similar effectiveness in OS, as the indirect HR estimate </w:t>
      </w:r>
      <w:r w:rsidR="00691067">
        <w:t>was close to</w:t>
      </w:r>
      <w:r w:rsidR="00E22C74" w:rsidRPr="00081A39">
        <w:t xml:space="preserve"> 1 (indirect HR</w:t>
      </w:r>
      <w:r w:rsidR="0066685B" w:rsidRPr="00081A39">
        <w:t xml:space="preserve"> = </w:t>
      </w:r>
      <w:r w:rsidR="00E22C74" w:rsidRPr="00081A39">
        <w:t>1.04</w:t>
      </w:r>
      <w:r w:rsidR="0066685B" w:rsidRPr="00081A39">
        <w:t>;</w:t>
      </w:r>
      <w:r w:rsidR="00E22C74" w:rsidRPr="00081A39">
        <w:t xml:space="preserve"> </w:t>
      </w:r>
      <w:r w:rsidRPr="00081A39">
        <w:t>95% CI</w:t>
      </w:r>
      <w:r w:rsidR="0066685B" w:rsidRPr="00081A39">
        <w:t xml:space="preserve">: </w:t>
      </w:r>
      <w:r w:rsidRPr="00081A39">
        <w:t>0.</w:t>
      </w:r>
      <w:r w:rsidR="00E22C74" w:rsidRPr="00081A39">
        <w:t>73</w:t>
      </w:r>
      <w:r w:rsidR="0066685B" w:rsidRPr="00081A39">
        <w:t xml:space="preserve">, </w:t>
      </w:r>
      <w:r w:rsidRPr="00081A39">
        <w:t>1.</w:t>
      </w:r>
      <w:r w:rsidR="00E22C74" w:rsidRPr="00081A39">
        <w:t>48</w:t>
      </w:r>
      <w:r w:rsidRPr="00081A39">
        <w:t>).</w:t>
      </w:r>
      <w:r w:rsidR="006038C5" w:rsidRPr="00081A39">
        <w:t xml:space="preserve"> The submission reported that </w:t>
      </w:r>
      <w:proofErr w:type="gramStart"/>
      <w:r w:rsidR="006038C5" w:rsidRPr="00081A39">
        <w:t>both of the upper</w:t>
      </w:r>
      <w:proofErr w:type="gramEnd"/>
      <w:r w:rsidR="006038C5" w:rsidRPr="00081A39">
        <w:t xml:space="preserve"> 95% CIs </w:t>
      </w:r>
      <w:r w:rsidR="00691067">
        <w:t>were marginally higher than</w:t>
      </w:r>
      <w:r w:rsidR="006038C5" w:rsidRPr="00081A39">
        <w:t xml:space="preserve"> the </w:t>
      </w:r>
      <w:r w:rsidR="006038C5" w:rsidRPr="00081A39">
        <w:lastRenderedPageBreak/>
        <w:t>non-inferiority margin of 1.4.</w:t>
      </w:r>
      <w:r w:rsidR="00217670">
        <w:t xml:space="preserve"> </w:t>
      </w:r>
      <w:r w:rsidR="00217670" w:rsidRPr="00E74253">
        <w:t xml:space="preserve">The </w:t>
      </w:r>
      <w:r w:rsidR="00102519">
        <w:t>Pre-Sub-Committee Response (</w:t>
      </w:r>
      <w:r w:rsidR="00217670" w:rsidRPr="00E74253">
        <w:t>PSCR</w:t>
      </w:r>
      <w:r w:rsidR="00102519">
        <w:t>)</w:t>
      </w:r>
      <w:r w:rsidR="00217670" w:rsidRPr="00E74253">
        <w:t xml:space="preserve"> noted that for the comparison between </w:t>
      </w:r>
      <w:proofErr w:type="spellStart"/>
      <w:r w:rsidR="00217670" w:rsidRPr="00E74253">
        <w:t>abemaciclib</w:t>
      </w:r>
      <w:proofErr w:type="spellEnd"/>
      <w:r w:rsidR="00217670" w:rsidRPr="00E74253">
        <w:t xml:space="preserve"> plus </w:t>
      </w:r>
      <w:proofErr w:type="spellStart"/>
      <w:r w:rsidR="00217670" w:rsidRPr="00E74253">
        <w:t>fulvestrant</w:t>
      </w:r>
      <w:proofErr w:type="spellEnd"/>
      <w:r w:rsidR="00217670" w:rsidRPr="00E74253">
        <w:t xml:space="preserve"> and </w:t>
      </w:r>
      <w:proofErr w:type="spellStart"/>
      <w:r w:rsidR="00217670" w:rsidRPr="00E74253">
        <w:t>ribociclib</w:t>
      </w:r>
      <w:proofErr w:type="spellEnd"/>
      <w:r w:rsidR="00217670" w:rsidRPr="00E74253">
        <w:t xml:space="preserve"> plus </w:t>
      </w:r>
      <w:proofErr w:type="spellStart"/>
      <w:r w:rsidR="00217670" w:rsidRPr="00E74253">
        <w:t>fulvestrant</w:t>
      </w:r>
      <w:proofErr w:type="spellEnd"/>
      <w:r w:rsidR="00217670" w:rsidRPr="00E74253">
        <w:t xml:space="preserve">, the non-inferiority margin of 1.4 was also not met for OS in the ITT (upper 95% CI = 1.46) and ER (upper 95% CI = 1.52) populations. The PSCR stated that the non-inferiority of </w:t>
      </w:r>
      <w:proofErr w:type="spellStart"/>
      <w:r w:rsidR="00217670" w:rsidRPr="00E74253">
        <w:t>abemaciclib</w:t>
      </w:r>
      <w:proofErr w:type="spellEnd"/>
      <w:r w:rsidR="00217670" w:rsidRPr="00E74253">
        <w:t xml:space="preserve"> to </w:t>
      </w:r>
      <w:proofErr w:type="spellStart"/>
      <w:r w:rsidR="00217670" w:rsidRPr="00E74253">
        <w:t>ribociclib</w:t>
      </w:r>
      <w:proofErr w:type="spellEnd"/>
      <w:r w:rsidR="00217670" w:rsidRPr="00E74253">
        <w:t xml:space="preserve"> was accepted by the PBAC. </w:t>
      </w:r>
    </w:p>
    <w:p w14:paraId="7D6B39B0" w14:textId="24ECC8B6" w:rsidR="0028418B" w:rsidRPr="00081A39" w:rsidRDefault="0028418B" w:rsidP="00F577A8">
      <w:pPr>
        <w:pStyle w:val="3-BodyText"/>
      </w:pPr>
      <w:r w:rsidRPr="00081A39">
        <w:t>Several factors may potentially violate the transitivity assumption of the indirect comparison</w:t>
      </w:r>
      <w:r w:rsidR="001C6F09" w:rsidRPr="00081A39">
        <w:t>s</w:t>
      </w:r>
      <w:r w:rsidR="004A2BE2" w:rsidRPr="00081A39">
        <w:t>, including</w:t>
      </w:r>
      <w:r w:rsidRPr="00081A39">
        <w:t xml:space="preserve">: </w:t>
      </w:r>
    </w:p>
    <w:p w14:paraId="75258599" w14:textId="5FD899D3" w:rsidR="0028418B" w:rsidRPr="00081A39" w:rsidRDefault="004333AA" w:rsidP="0066685B">
      <w:pPr>
        <w:pStyle w:val="ListParagraph"/>
        <w:ind w:left="1077" w:hanging="357"/>
      </w:pPr>
      <w:r w:rsidRPr="00081A39">
        <w:t>D</w:t>
      </w:r>
      <w:r w:rsidR="0028418B" w:rsidRPr="00081A39">
        <w:t xml:space="preserve">ifferent </w:t>
      </w:r>
      <w:r w:rsidR="0088195B" w:rsidRPr="00081A39">
        <w:t xml:space="preserve">eligibility criteria and </w:t>
      </w:r>
      <w:r w:rsidR="0028418B" w:rsidRPr="00081A39">
        <w:t>patient baseline characteristics</w:t>
      </w:r>
      <w:r w:rsidR="0088195B" w:rsidRPr="00081A39">
        <w:t xml:space="preserve">, </w:t>
      </w:r>
      <w:proofErr w:type="gramStart"/>
      <w:r w:rsidR="0088195B" w:rsidRPr="00081A39">
        <w:t>e.g.</w:t>
      </w:r>
      <w:proofErr w:type="gramEnd"/>
      <w:r w:rsidR="0088195B" w:rsidRPr="00081A39">
        <w:t xml:space="preserve"> </w:t>
      </w:r>
      <w:r w:rsidR="00D25311" w:rsidRPr="00081A39">
        <w:t>2</w:t>
      </w:r>
      <w:r w:rsidR="001C6F09" w:rsidRPr="00081A39">
        <w:t>1</w:t>
      </w:r>
      <w:r w:rsidR="00D25311" w:rsidRPr="00081A39">
        <w:t xml:space="preserve">% of the patients in the PALOMA-3 trial were pre/perimenopausal </w:t>
      </w:r>
      <w:r w:rsidR="004A2BE2" w:rsidRPr="00081A39">
        <w:t xml:space="preserve">compared to </w:t>
      </w:r>
      <w:r w:rsidR="00D25311" w:rsidRPr="00081A39">
        <w:t>0% and 1</w:t>
      </w:r>
      <w:r w:rsidR="001C6F09" w:rsidRPr="00081A39">
        <w:t>8</w:t>
      </w:r>
      <w:r w:rsidR="00D25311" w:rsidRPr="00081A39">
        <w:t>% in the MONALEESA-3 and MONARCH 2 trials respectively;</w:t>
      </w:r>
    </w:p>
    <w:p w14:paraId="12A3DFFF" w14:textId="1538AFC5" w:rsidR="0028418B" w:rsidRPr="00081A39" w:rsidRDefault="004333AA" w:rsidP="0066685B">
      <w:pPr>
        <w:pStyle w:val="ListParagraph"/>
        <w:ind w:left="1077" w:hanging="357"/>
      </w:pPr>
      <w:r w:rsidRPr="00081A39">
        <w:t>D</w:t>
      </w:r>
      <w:r w:rsidR="0028418B" w:rsidRPr="00081A39">
        <w:t>ifferent prior therapies</w:t>
      </w:r>
      <w:r w:rsidR="001C6F09" w:rsidRPr="00081A39">
        <w:t xml:space="preserve">, </w:t>
      </w:r>
      <w:proofErr w:type="gramStart"/>
      <w:r w:rsidR="001C6F09" w:rsidRPr="00081A39">
        <w:t>e.g.</w:t>
      </w:r>
      <w:proofErr w:type="gramEnd"/>
      <w:r w:rsidR="001C6F09" w:rsidRPr="00081A39">
        <w:t xml:space="preserve"> all patients in the PALOMA-3 trial received prior endocrine therapy for primary diagnosis (60% more than one regimen) but half of the patients (51%) in the MONALEESA-3 trial were treatment-naïve. More than two-thirds (70%) of the patients in the MONARCH 2 trial </w:t>
      </w:r>
      <w:r w:rsidR="004A2BE2" w:rsidRPr="00081A39">
        <w:t xml:space="preserve">received a </w:t>
      </w:r>
      <w:r w:rsidR="001C6F09" w:rsidRPr="00081A39">
        <w:t xml:space="preserve">prior </w:t>
      </w:r>
      <w:r w:rsidR="004A2BE2" w:rsidRPr="00081A39">
        <w:t>aromatase inhibitor</w:t>
      </w:r>
      <w:r w:rsidRPr="00081A39">
        <w:t>.</w:t>
      </w:r>
      <w:r w:rsidR="001C6F09" w:rsidRPr="00081A39">
        <w:t xml:space="preserve"> </w:t>
      </w:r>
      <w:r w:rsidRPr="00081A39">
        <w:t xml:space="preserve">One-third of the patients in the PALOMA-3 trial received previous chemotherapy in the advanced/metastatic setting but none in the other two comparator </w:t>
      </w:r>
      <w:proofErr w:type="gramStart"/>
      <w:r w:rsidRPr="00081A39">
        <w:t>trials</w:t>
      </w:r>
      <w:r w:rsidR="004A2BE2" w:rsidRPr="00081A39">
        <w:t>;</w:t>
      </w:r>
      <w:proofErr w:type="gramEnd"/>
      <w:r w:rsidR="001C6F09" w:rsidRPr="00081A39">
        <w:t xml:space="preserve"> </w:t>
      </w:r>
    </w:p>
    <w:p w14:paraId="33D8A99F" w14:textId="4FCEADF1" w:rsidR="0028418B" w:rsidRPr="00081A39" w:rsidRDefault="004333AA" w:rsidP="0066685B">
      <w:pPr>
        <w:pStyle w:val="ListParagraph"/>
        <w:ind w:left="1077" w:hanging="357"/>
      </w:pPr>
      <w:r w:rsidRPr="00081A39">
        <w:t>D</w:t>
      </w:r>
      <w:r w:rsidR="0028418B" w:rsidRPr="00081A39">
        <w:t>ifferent post-discontinuation subsequent therapies</w:t>
      </w:r>
      <w:r w:rsidR="004A2BE2" w:rsidRPr="00081A39">
        <w:t xml:space="preserve">. </w:t>
      </w:r>
      <w:r w:rsidR="004A2BE2" w:rsidRPr="00081A39">
        <w:rPr>
          <w:lang w:val="en-US"/>
        </w:rPr>
        <w:t xml:space="preserve">The direction and magnitude of any bias due to imbalances in subsequent treatments for </w:t>
      </w:r>
      <w:proofErr w:type="spellStart"/>
      <w:r w:rsidR="004A2BE2" w:rsidRPr="00081A39">
        <w:rPr>
          <w:lang w:val="en-US"/>
        </w:rPr>
        <w:t>palbociclib</w:t>
      </w:r>
      <w:proofErr w:type="spellEnd"/>
      <w:r w:rsidR="004A2BE2" w:rsidRPr="00081A39">
        <w:rPr>
          <w:lang w:val="en-US"/>
        </w:rPr>
        <w:t xml:space="preserve"> plus </w:t>
      </w:r>
      <w:proofErr w:type="spellStart"/>
      <w:r w:rsidR="004A2BE2" w:rsidRPr="00081A39">
        <w:rPr>
          <w:lang w:val="en-US"/>
        </w:rPr>
        <w:t>fulvestrant</w:t>
      </w:r>
      <w:proofErr w:type="spellEnd"/>
      <w:r w:rsidR="004A2BE2" w:rsidRPr="00081A39">
        <w:rPr>
          <w:lang w:val="en-US"/>
        </w:rPr>
        <w:t xml:space="preserve"> vs. </w:t>
      </w:r>
      <w:proofErr w:type="spellStart"/>
      <w:r w:rsidR="004A2BE2" w:rsidRPr="00081A39">
        <w:rPr>
          <w:lang w:val="en-US"/>
        </w:rPr>
        <w:t>ribociclib</w:t>
      </w:r>
      <w:proofErr w:type="spellEnd"/>
      <w:r w:rsidR="004A2BE2" w:rsidRPr="00081A39">
        <w:rPr>
          <w:lang w:val="en-US"/>
        </w:rPr>
        <w:t xml:space="preserve"> plus </w:t>
      </w:r>
      <w:proofErr w:type="spellStart"/>
      <w:r w:rsidR="004A2BE2" w:rsidRPr="00081A39">
        <w:rPr>
          <w:lang w:val="en-US"/>
        </w:rPr>
        <w:t>fulvestrant</w:t>
      </w:r>
      <w:proofErr w:type="spellEnd"/>
      <w:r w:rsidR="004A2BE2" w:rsidRPr="00081A39">
        <w:rPr>
          <w:lang w:val="en-US"/>
        </w:rPr>
        <w:t xml:space="preserve"> is not clear</w:t>
      </w:r>
      <w:r w:rsidR="004A2BE2" w:rsidRPr="00081A39">
        <w:t>;</w:t>
      </w:r>
      <w:r w:rsidR="0028418B" w:rsidRPr="00081A39">
        <w:t xml:space="preserve"> and </w:t>
      </w:r>
    </w:p>
    <w:p w14:paraId="313B283C" w14:textId="6E843E6A" w:rsidR="0028418B" w:rsidRPr="00081A39" w:rsidRDefault="004333AA" w:rsidP="004A2BE2">
      <w:pPr>
        <w:pStyle w:val="ListParagraph"/>
        <w:spacing w:after="120"/>
        <w:ind w:left="1077" w:hanging="357"/>
      </w:pPr>
      <w:r w:rsidRPr="00081A39">
        <w:t>V</w:t>
      </w:r>
      <w:r w:rsidR="0028418B" w:rsidRPr="00081A39">
        <w:t>arying duration of follow-up</w:t>
      </w:r>
      <w:r w:rsidR="00FC1C23" w:rsidRPr="00081A39">
        <w:t xml:space="preserve"> across trials</w:t>
      </w:r>
      <w:r w:rsidR="0028418B" w:rsidRPr="00081A39">
        <w:t>, especially for PFS outcomes</w:t>
      </w:r>
      <w:r w:rsidR="00FC1C23" w:rsidRPr="00081A39">
        <w:t xml:space="preserve"> (median follow-up 15 months in the PALOMA-3 trial, v</w:t>
      </w:r>
      <w:r w:rsidR="004A2BE2" w:rsidRPr="00081A39">
        <w:t>ersu</w:t>
      </w:r>
      <w:r w:rsidR="00FC1C23" w:rsidRPr="00081A39">
        <w:t xml:space="preserve">s 39.4 </w:t>
      </w:r>
      <w:r w:rsidR="004A2BE2" w:rsidRPr="00081A39">
        <w:t>and</w:t>
      </w:r>
      <w:r w:rsidR="00FC1C23" w:rsidRPr="00081A39">
        <w:t xml:space="preserve"> 47.7 months in the MONALEESA-3 or MONARCH 2 trial respectively)</w:t>
      </w:r>
      <w:r w:rsidR="0028418B" w:rsidRPr="00081A39">
        <w:t xml:space="preserve">. </w:t>
      </w:r>
    </w:p>
    <w:p w14:paraId="547DC6C8" w14:textId="77777777" w:rsidR="00937EEC" w:rsidRPr="00937EEC" w:rsidRDefault="00937EEC" w:rsidP="00C924FD">
      <w:pPr>
        <w:pStyle w:val="4-SubsectionHeading"/>
      </w:pPr>
      <w:bookmarkStart w:id="36" w:name="_Toc22897642"/>
      <w:bookmarkStart w:id="37" w:name="_Toc93397667"/>
      <w:r w:rsidRPr="00937EEC">
        <w:t>Comparative harms</w:t>
      </w:r>
      <w:bookmarkEnd w:id="36"/>
      <w:bookmarkEnd w:id="37"/>
    </w:p>
    <w:p w14:paraId="783FCC7B" w14:textId="3A5A9AE0" w:rsidR="00937EEC" w:rsidRPr="00937EEC" w:rsidRDefault="00937EEC" w:rsidP="00C924FD">
      <w:pPr>
        <w:pStyle w:val="3-BodyText"/>
      </w:pPr>
      <w:r w:rsidRPr="00937EEC">
        <w:t xml:space="preserve">The submission acknowledged that there </w:t>
      </w:r>
      <w:r w:rsidR="004A2BE2">
        <w:t>we</w:t>
      </w:r>
      <w:r w:rsidRPr="00937EEC">
        <w:t xml:space="preserve">re some differences in the safety profiles of </w:t>
      </w:r>
      <w:proofErr w:type="spellStart"/>
      <w:r w:rsidRPr="00937EEC">
        <w:t>palbociclib</w:t>
      </w:r>
      <w:proofErr w:type="spellEnd"/>
      <w:r w:rsidRPr="00937EEC">
        <w:t xml:space="preserve">, </w:t>
      </w:r>
      <w:proofErr w:type="spellStart"/>
      <w:r w:rsidRPr="00937EEC">
        <w:t>ribociclib</w:t>
      </w:r>
      <w:proofErr w:type="spellEnd"/>
      <w:r w:rsidRPr="00937EEC">
        <w:t xml:space="preserve"> and </w:t>
      </w:r>
      <w:proofErr w:type="spellStart"/>
      <w:r w:rsidRPr="00937EEC">
        <w:t>abemaciclib</w:t>
      </w:r>
      <w:proofErr w:type="spellEnd"/>
      <w:r w:rsidRPr="00937EEC">
        <w:t>.</w:t>
      </w:r>
      <w:r w:rsidR="00B96B74">
        <w:t xml:space="preserve"> </w:t>
      </w:r>
      <w:r w:rsidR="00EC6035" w:rsidRPr="00EC6035">
        <w:rPr>
          <w:rFonts w:ascii="Calibri" w:hAnsi="Calibri" w:cs="Calibri"/>
        </w:rPr>
        <w:fldChar w:fldCharType="begin"/>
      </w:r>
      <w:r w:rsidR="00EC6035" w:rsidRPr="00EC6035">
        <w:rPr>
          <w:rFonts w:ascii="Calibri" w:hAnsi="Calibri" w:cs="Calibri"/>
        </w:rPr>
        <w:instrText xml:space="preserve"> REF _Ref90059800 \h  \* MERGEFORMAT </w:instrText>
      </w:r>
      <w:r w:rsidR="00EC6035" w:rsidRPr="00EC6035">
        <w:rPr>
          <w:rFonts w:ascii="Calibri" w:hAnsi="Calibri" w:cs="Calibri"/>
        </w:rPr>
      </w:r>
      <w:r w:rsidR="00EC6035" w:rsidRPr="00EC6035">
        <w:rPr>
          <w:rFonts w:ascii="Calibri" w:hAnsi="Calibri" w:cs="Calibri"/>
        </w:rPr>
        <w:fldChar w:fldCharType="separate"/>
      </w:r>
      <w:r w:rsidR="009728EB" w:rsidRPr="009728EB">
        <w:rPr>
          <w:rFonts w:ascii="Calibri" w:eastAsiaTheme="majorEastAsia" w:hAnsi="Calibri" w:cs="Calibri"/>
        </w:rPr>
        <w:t xml:space="preserve">Table </w:t>
      </w:r>
      <w:r w:rsidR="00EC6035" w:rsidRPr="00EC6035">
        <w:rPr>
          <w:rFonts w:ascii="Calibri" w:hAnsi="Calibri" w:cs="Calibri"/>
        </w:rPr>
        <w:fldChar w:fldCharType="end"/>
      </w:r>
      <w:r w:rsidR="00246AFC">
        <w:rPr>
          <w:rFonts w:ascii="Calibri" w:hAnsi="Calibri" w:cs="Calibri"/>
        </w:rPr>
        <w:t>7</w:t>
      </w:r>
      <w:r w:rsidR="00B96B74" w:rsidRPr="00EC6035">
        <w:rPr>
          <w:rFonts w:ascii="Calibri" w:hAnsi="Calibri" w:cs="Calibri"/>
        </w:rPr>
        <w:t xml:space="preserve"> </w:t>
      </w:r>
      <w:r w:rsidR="00B96B74" w:rsidRPr="00B96B74">
        <w:rPr>
          <w:rFonts w:cstheme="minorHAnsi"/>
        </w:rPr>
        <w:t>p</w:t>
      </w:r>
      <w:r w:rsidR="00B96B74">
        <w:t>resents a summary of selected treatment-emergent adverse events (TEAEs) in the included trials.</w:t>
      </w:r>
    </w:p>
    <w:p w14:paraId="4294851E" w14:textId="582B670B" w:rsidR="00937EEC" w:rsidRPr="00937EEC" w:rsidRDefault="00937EEC" w:rsidP="00F075EF">
      <w:pPr>
        <w:numPr>
          <w:ilvl w:val="0"/>
          <w:numId w:val="3"/>
        </w:numPr>
        <w:spacing w:after="120"/>
        <w:ind w:left="1077" w:hanging="357"/>
        <w:rPr>
          <w:rFonts w:asciiTheme="minorHAnsi" w:hAnsiTheme="minorHAnsi"/>
          <w:snapToGrid w:val="0"/>
          <w:color w:val="000000" w:themeColor="text1"/>
        </w:rPr>
      </w:pPr>
      <w:r w:rsidRPr="00937EEC">
        <w:rPr>
          <w:rFonts w:asciiTheme="minorHAnsi" w:hAnsiTheme="minorHAnsi"/>
          <w:snapToGrid w:val="0"/>
          <w:color w:val="000000" w:themeColor="text1"/>
        </w:rPr>
        <w:t>In the PALOMA-3 trial, the most frequently (&gt;25% of patients) reported treatment-related A</w:t>
      </w:r>
      <w:r w:rsidR="00F075EF">
        <w:rPr>
          <w:rFonts w:asciiTheme="minorHAnsi" w:hAnsiTheme="minorHAnsi"/>
          <w:snapToGrid w:val="0"/>
          <w:color w:val="000000" w:themeColor="text1"/>
        </w:rPr>
        <w:t>E</w:t>
      </w:r>
      <w:r w:rsidRPr="00937EEC">
        <w:rPr>
          <w:rFonts w:asciiTheme="minorHAnsi" w:hAnsiTheme="minorHAnsi"/>
          <w:snapToGrid w:val="0"/>
          <w:color w:val="000000" w:themeColor="text1"/>
        </w:rPr>
        <w:t xml:space="preserve">s in the </w:t>
      </w:r>
      <w:proofErr w:type="spellStart"/>
      <w:r w:rsidRPr="00937EEC">
        <w:rPr>
          <w:rFonts w:asciiTheme="minorHAnsi" w:hAnsiTheme="minorHAnsi"/>
          <w:snapToGrid w:val="0"/>
          <w:color w:val="000000" w:themeColor="text1"/>
        </w:rPr>
        <w:t>palbociclib</w:t>
      </w:r>
      <w:proofErr w:type="spellEnd"/>
      <w:r w:rsidRPr="00937EEC">
        <w:rPr>
          <w:rFonts w:asciiTheme="minorHAnsi" w:hAnsiTheme="minorHAnsi"/>
          <w:snapToGrid w:val="0"/>
          <w:color w:val="000000" w:themeColor="text1"/>
        </w:rPr>
        <w:t xml:space="preserve"> plus </w:t>
      </w:r>
      <w:proofErr w:type="spellStart"/>
      <w:r w:rsidRPr="00937EEC">
        <w:rPr>
          <w:rFonts w:asciiTheme="minorHAnsi" w:hAnsiTheme="minorHAnsi"/>
          <w:snapToGrid w:val="0"/>
          <w:color w:val="000000" w:themeColor="text1"/>
        </w:rPr>
        <w:t>fulvestrant</w:t>
      </w:r>
      <w:proofErr w:type="spellEnd"/>
      <w:r w:rsidRPr="00937EEC">
        <w:rPr>
          <w:rFonts w:asciiTheme="minorHAnsi" w:hAnsiTheme="minorHAnsi"/>
          <w:snapToGrid w:val="0"/>
          <w:color w:val="000000" w:themeColor="text1"/>
        </w:rPr>
        <w:t xml:space="preserve"> treatment group were neutropenia (84.1%), leukopenia (60.0%), infections (54.5%), fatigue (44.1%%), nausea (35.9%), anaemia (31.6%), stomatitis (30.1%), diarrhoea (27.2%) and thrombocytopenia (25.5%), at a median follow-up of 44.8 months. The most frequent grade 3 or 4 AE was neutropenia (69.6%, </w:t>
      </w:r>
      <w:proofErr w:type="spellStart"/>
      <w:r w:rsidRPr="00937EEC">
        <w:rPr>
          <w:rFonts w:asciiTheme="minorHAnsi" w:hAnsiTheme="minorHAnsi"/>
          <w:snapToGrid w:val="0"/>
          <w:color w:val="000000" w:themeColor="text1"/>
        </w:rPr>
        <w:t>palbociclib</w:t>
      </w:r>
      <w:proofErr w:type="spellEnd"/>
      <w:r w:rsidRPr="00937EEC">
        <w:rPr>
          <w:rFonts w:asciiTheme="minorHAnsi" w:hAnsiTheme="minorHAnsi"/>
          <w:snapToGrid w:val="0"/>
          <w:color w:val="000000" w:themeColor="text1"/>
        </w:rPr>
        <w:t xml:space="preserve">; 0%, placebo) and leukopenia (38.3%, </w:t>
      </w:r>
      <w:proofErr w:type="spellStart"/>
      <w:r w:rsidRPr="00937EEC">
        <w:rPr>
          <w:rFonts w:asciiTheme="minorHAnsi" w:hAnsiTheme="minorHAnsi"/>
          <w:snapToGrid w:val="0"/>
          <w:color w:val="000000" w:themeColor="text1"/>
        </w:rPr>
        <w:t>palbociclib</w:t>
      </w:r>
      <w:proofErr w:type="spellEnd"/>
      <w:r w:rsidRPr="00937EEC">
        <w:rPr>
          <w:rFonts w:asciiTheme="minorHAnsi" w:hAnsiTheme="minorHAnsi"/>
          <w:snapToGrid w:val="0"/>
          <w:color w:val="000000" w:themeColor="text1"/>
        </w:rPr>
        <w:t xml:space="preserve">; 0.6%, placebo). The toxicity of </w:t>
      </w:r>
      <w:proofErr w:type="spellStart"/>
      <w:r w:rsidRPr="00937EEC">
        <w:rPr>
          <w:rFonts w:asciiTheme="minorHAnsi" w:hAnsiTheme="minorHAnsi"/>
          <w:snapToGrid w:val="0"/>
          <w:color w:val="000000" w:themeColor="text1"/>
        </w:rPr>
        <w:t>palbociclib</w:t>
      </w:r>
      <w:proofErr w:type="spellEnd"/>
      <w:r w:rsidRPr="00937EEC">
        <w:rPr>
          <w:rFonts w:asciiTheme="minorHAnsi" w:hAnsiTheme="minorHAnsi"/>
          <w:snapToGrid w:val="0"/>
          <w:color w:val="000000" w:themeColor="text1"/>
        </w:rPr>
        <w:t xml:space="preserve"> plus </w:t>
      </w:r>
      <w:proofErr w:type="spellStart"/>
      <w:r w:rsidRPr="00937EEC">
        <w:rPr>
          <w:rFonts w:asciiTheme="minorHAnsi" w:hAnsiTheme="minorHAnsi"/>
          <w:snapToGrid w:val="0"/>
          <w:color w:val="000000" w:themeColor="text1"/>
        </w:rPr>
        <w:t>fulvestrant</w:t>
      </w:r>
      <w:proofErr w:type="spellEnd"/>
      <w:r w:rsidRPr="00937EEC">
        <w:rPr>
          <w:rFonts w:asciiTheme="minorHAnsi" w:hAnsiTheme="minorHAnsi"/>
          <w:snapToGrid w:val="0"/>
          <w:color w:val="000000" w:themeColor="text1"/>
        </w:rPr>
        <w:t xml:space="preserve"> was manageable by dosing interruptions, dose reductions, and/or standard medical care.</w:t>
      </w:r>
    </w:p>
    <w:p w14:paraId="56C3A23E" w14:textId="77777777" w:rsidR="00937EEC" w:rsidRPr="00937EEC" w:rsidRDefault="00937EEC" w:rsidP="00F075EF">
      <w:pPr>
        <w:numPr>
          <w:ilvl w:val="0"/>
          <w:numId w:val="3"/>
        </w:numPr>
        <w:spacing w:after="120"/>
        <w:ind w:left="1077" w:hanging="357"/>
        <w:rPr>
          <w:rFonts w:asciiTheme="minorHAnsi" w:hAnsiTheme="minorHAnsi"/>
          <w:snapToGrid w:val="0"/>
          <w:color w:val="000000" w:themeColor="text1"/>
        </w:rPr>
      </w:pPr>
      <w:r w:rsidRPr="00937EEC">
        <w:rPr>
          <w:rFonts w:asciiTheme="minorHAnsi" w:hAnsiTheme="minorHAnsi"/>
          <w:snapToGrid w:val="0"/>
          <w:color w:val="000000" w:themeColor="text1"/>
        </w:rPr>
        <w:t xml:space="preserve">In the MONALEESA-3 trial, the most frequently reported TEAEs in the </w:t>
      </w:r>
      <w:proofErr w:type="spellStart"/>
      <w:r w:rsidRPr="00937EEC">
        <w:rPr>
          <w:rFonts w:asciiTheme="minorHAnsi" w:hAnsiTheme="minorHAnsi"/>
          <w:snapToGrid w:val="0"/>
          <w:color w:val="000000" w:themeColor="text1"/>
        </w:rPr>
        <w:t>ribociclib</w:t>
      </w:r>
      <w:proofErr w:type="spellEnd"/>
      <w:r w:rsidRPr="00937EEC">
        <w:rPr>
          <w:rFonts w:asciiTheme="minorHAnsi" w:hAnsiTheme="minorHAnsi"/>
          <w:snapToGrid w:val="0"/>
          <w:color w:val="000000" w:themeColor="text1"/>
        </w:rPr>
        <w:t xml:space="preserve"> plus </w:t>
      </w:r>
      <w:proofErr w:type="spellStart"/>
      <w:r w:rsidRPr="00937EEC">
        <w:rPr>
          <w:rFonts w:asciiTheme="minorHAnsi" w:hAnsiTheme="minorHAnsi"/>
          <w:snapToGrid w:val="0"/>
          <w:color w:val="000000" w:themeColor="text1"/>
        </w:rPr>
        <w:t>fulvestrant</w:t>
      </w:r>
      <w:proofErr w:type="spellEnd"/>
      <w:r w:rsidRPr="00937EEC">
        <w:rPr>
          <w:rFonts w:asciiTheme="minorHAnsi" w:hAnsiTheme="minorHAnsi"/>
          <w:snapToGrid w:val="0"/>
          <w:color w:val="000000" w:themeColor="text1"/>
        </w:rPr>
        <w:t xml:space="preserve"> arm were neutropenia (72.0%), infections (58.6%), leukopenia (32.5%) and diarrhoea (29.0%), at a median follow-up of 56.3 months. The most </w:t>
      </w:r>
      <w:r w:rsidRPr="00937EEC">
        <w:rPr>
          <w:rFonts w:asciiTheme="minorHAnsi" w:hAnsiTheme="minorHAnsi"/>
          <w:snapToGrid w:val="0"/>
          <w:color w:val="000000" w:themeColor="text1"/>
        </w:rPr>
        <w:lastRenderedPageBreak/>
        <w:t xml:space="preserve">frequent grade 3 or 4 AE was neutropenia (58.2%, </w:t>
      </w:r>
      <w:proofErr w:type="spellStart"/>
      <w:r w:rsidRPr="00937EEC">
        <w:rPr>
          <w:rFonts w:asciiTheme="minorHAnsi" w:hAnsiTheme="minorHAnsi"/>
          <w:snapToGrid w:val="0"/>
          <w:color w:val="000000" w:themeColor="text1"/>
        </w:rPr>
        <w:t>ribociclib</w:t>
      </w:r>
      <w:proofErr w:type="spellEnd"/>
      <w:r w:rsidRPr="00937EEC">
        <w:rPr>
          <w:rFonts w:asciiTheme="minorHAnsi" w:hAnsiTheme="minorHAnsi"/>
          <w:snapToGrid w:val="0"/>
          <w:color w:val="000000" w:themeColor="text1"/>
        </w:rPr>
        <w:t xml:space="preserve">; 0.8%, placebo). Grade 3 or 4 adverse events of special interest included hepatobiliary toxicity (13.9%, </w:t>
      </w:r>
      <w:proofErr w:type="spellStart"/>
      <w:r w:rsidRPr="00937EEC">
        <w:rPr>
          <w:rFonts w:asciiTheme="minorHAnsi" w:hAnsiTheme="minorHAnsi"/>
          <w:snapToGrid w:val="0"/>
          <w:color w:val="000000" w:themeColor="text1"/>
        </w:rPr>
        <w:t>ribociclib</w:t>
      </w:r>
      <w:proofErr w:type="spellEnd"/>
      <w:r w:rsidRPr="00937EEC">
        <w:rPr>
          <w:rFonts w:asciiTheme="minorHAnsi" w:hAnsiTheme="minorHAnsi"/>
          <w:snapToGrid w:val="0"/>
          <w:color w:val="000000" w:themeColor="text1"/>
        </w:rPr>
        <w:t xml:space="preserve">; 6.2%, placebo) and prolonged QT interval (3.1%, </w:t>
      </w:r>
      <w:proofErr w:type="spellStart"/>
      <w:r w:rsidRPr="00937EEC">
        <w:rPr>
          <w:rFonts w:asciiTheme="minorHAnsi" w:hAnsiTheme="minorHAnsi"/>
          <w:snapToGrid w:val="0"/>
          <w:color w:val="000000" w:themeColor="text1"/>
        </w:rPr>
        <w:t>ribociclib</w:t>
      </w:r>
      <w:proofErr w:type="spellEnd"/>
      <w:r w:rsidRPr="00937EEC">
        <w:rPr>
          <w:rFonts w:asciiTheme="minorHAnsi" w:hAnsiTheme="minorHAnsi"/>
          <w:snapToGrid w:val="0"/>
          <w:color w:val="000000" w:themeColor="text1"/>
        </w:rPr>
        <w:t>; 1.2%, placebo) (</w:t>
      </w:r>
      <w:proofErr w:type="spellStart"/>
      <w:r w:rsidRPr="00937EEC">
        <w:rPr>
          <w:rFonts w:asciiTheme="minorHAnsi" w:hAnsiTheme="minorHAnsi"/>
          <w:snapToGrid w:val="0"/>
          <w:color w:val="000000" w:themeColor="text1"/>
        </w:rPr>
        <w:t>Slamon</w:t>
      </w:r>
      <w:proofErr w:type="spellEnd"/>
      <w:r w:rsidRPr="00937EEC">
        <w:rPr>
          <w:rFonts w:asciiTheme="minorHAnsi" w:hAnsiTheme="minorHAnsi"/>
          <w:snapToGrid w:val="0"/>
          <w:color w:val="000000" w:themeColor="text1"/>
        </w:rPr>
        <w:t xml:space="preserve"> 2021).</w:t>
      </w:r>
    </w:p>
    <w:p w14:paraId="2A341644" w14:textId="77777777" w:rsidR="00937EEC" w:rsidRPr="00937EEC" w:rsidRDefault="00937EEC" w:rsidP="00F075EF">
      <w:pPr>
        <w:numPr>
          <w:ilvl w:val="0"/>
          <w:numId w:val="3"/>
        </w:numPr>
        <w:spacing w:after="120"/>
        <w:ind w:left="1077" w:hanging="357"/>
        <w:rPr>
          <w:rFonts w:asciiTheme="minorHAnsi" w:hAnsiTheme="minorHAnsi"/>
          <w:snapToGrid w:val="0"/>
        </w:rPr>
      </w:pPr>
      <w:r w:rsidRPr="00937EEC">
        <w:rPr>
          <w:rFonts w:asciiTheme="minorHAnsi" w:hAnsiTheme="minorHAnsi"/>
          <w:snapToGrid w:val="0"/>
        </w:rPr>
        <w:t xml:space="preserve">In the MONARCH 2 trial, the most frequently reported TEAEs in the </w:t>
      </w:r>
      <w:proofErr w:type="spellStart"/>
      <w:r w:rsidRPr="00937EEC">
        <w:rPr>
          <w:rFonts w:asciiTheme="minorHAnsi" w:hAnsiTheme="minorHAnsi"/>
          <w:snapToGrid w:val="0"/>
        </w:rPr>
        <w:t>abemaciclib</w:t>
      </w:r>
      <w:proofErr w:type="spellEnd"/>
      <w:r w:rsidRPr="00937EEC">
        <w:rPr>
          <w:rFonts w:asciiTheme="minorHAnsi" w:hAnsiTheme="minorHAnsi"/>
          <w:snapToGrid w:val="0"/>
        </w:rPr>
        <w:t xml:space="preserve"> plus </w:t>
      </w:r>
      <w:proofErr w:type="spellStart"/>
      <w:r w:rsidRPr="00937EEC">
        <w:rPr>
          <w:rFonts w:asciiTheme="minorHAnsi" w:hAnsiTheme="minorHAnsi"/>
          <w:snapToGrid w:val="0"/>
        </w:rPr>
        <w:t>fulvestrant</w:t>
      </w:r>
      <w:proofErr w:type="spellEnd"/>
      <w:r w:rsidRPr="00937EEC">
        <w:rPr>
          <w:rFonts w:asciiTheme="minorHAnsi" w:hAnsiTheme="minorHAnsi"/>
          <w:snapToGrid w:val="0"/>
        </w:rPr>
        <w:t xml:space="preserve"> arm were diarrhoea (87.1%), neutropenia (49.7%), nausea (49.2%), fatigue (42.9%), anaemia (34.7%) and leukopenia (33.1%), at a median follow-up of 47.7 months. The most frequent grade 3 or 4 AE was neutropenia (29.7%, </w:t>
      </w:r>
      <w:proofErr w:type="spellStart"/>
      <w:r w:rsidRPr="00937EEC">
        <w:rPr>
          <w:rFonts w:asciiTheme="minorHAnsi" w:hAnsiTheme="minorHAnsi"/>
          <w:snapToGrid w:val="0"/>
        </w:rPr>
        <w:t>abemaciclib</w:t>
      </w:r>
      <w:proofErr w:type="spellEnd"/>
      <w:r w:rsidRPr="00937EEC">
        <w:rPr>
          <w:rFonts w:asciiTheme="minorHAnsi" w:hAnsiTheme="minorHAnsi"/>
          <w:snapToGrid w:val="0"/>
        </w:rPr>
        <w:t xml:space="preserve">; 1.8%, placebo), leukopenia (13.4%, </w:t>
      </w:r>
      <w:proofErr w:type="spellStart"/>
      <w:r w:rsidRPr="00937EEC">
        <w:rPr>
          <w:rFonts w:asciiTheme="minorHAnsi" w:hAnsiTheme="minorHAnsi"/>
          <w:snapToGrid w:val="0"/>
        </w:rPr>
        <w:t>abemaciclib</w:t>
      </w:r>
      <w:proofErr w:type="spellEnd"/>
      <w:r w:rsidRPr="00937EEC">
        <w:rPr>
          <w:rFonts w:asciiTheme="minorHAnsi" w:hAnsiTheme="minorHAnsi"/>
          <w:snapToGrid w:val="0"/>
        </w:rPr>
        <w:t xml:space="preserve">; 0%, placebo) and diarrhoea (14.5%, </w:t>
      </w:r>
      <w:proofErr w:type="spellStart"/>
      <w:r w:rsidRPr="00937EEC">
        <w:rPr>
          <w:rFonts w:asciiTheme="minorHAnsi" w:hAnsiTheme="minorHAnsi"/>
          <w:snapToGrid w:val="0"/>
        </w:rPr>
        <w:t>abemaciclib</w:t>
      </w:r>
      <w:proofErr w:type="spellEnd"/>
      <w:r w:rsidRPr="00937EEC">
        <w:rPr>
          <w:rFonts w:asciiTheme="minorHAnsi" w:hAnsiTheme="minorHAnsi"/>
          <w:snapToGrid w:val="0"/>
        </w:rPr>
        <w:t>; 0.4%, placebo).</w:t>
      </w:r>
    </w:p>
    <w:p w14:paraId="2B46FE34" w14:textId="442FD76A" w:rsidR="00937EEC" w:rsidRPr="00081A39" w:rsidRDefault="00937EEC" w:rsidP="00C924FD">
      <w:pPr>
        <w:pStyle w:val="3-BodyText"/>
      </w:pPr>
      <w:r w:rsidRPr="00937EEC">
        <w:t xml:space="preserve">Overall, the submission concluded that </w:t>
      </w:r>
      <w:proofErr w:type="spellStart"/>
      <w:r w:rsidRPr="00937EEC">
        <w:t>palbociclib</w:t>
      </w:r>
      <w:proofErr w:type="spellEnd"/>
      <w:r w:rsidRPr="00937EEC">
        <w:t xml:space="preserve"> plus </w:t>
      </w:r>
      <w:proofErr w:type="spellStart"/>
      <w:r w:rsidRPr="00937EEC">
        <w:t>fulvestrant</w:t>
      </w:r>
      <w:proofErr w:type="spellEnd"/>
      <w:r w:rsidRPr="00937EEC">
        <w:t xml:space="preserve"> is similar in terms of safety compared with </w:t>
      </w:r>
      <w:proofErr w:type="spellStart"/>
      <w:r w:rsidRPr="00937EEC">
        <w:t>ribociclib</w:t>
      </w:r>
      <w:proofErr w:type="spellEnd"/>
      <w:r w:rsidRPr="00937EEC">
        <w:t xml:space="preserve"> plus </w:t>
      </w:r>
      <w:proofErr w:type="spellStart"/>
      <w:r w:rsidRPr="00937EEC">
        <w:t>fulvestrant</w:t>
      </w:r>
      <w:proofErr w:type="spellEnd"/>
      <w:r w:rsidRPr="00937EEC">
        <w:t xml:space="preserve"> and </w:t>
      </w:r>
      <w:proofErr w:type="spellStart"/>
      <w:r w:rsidRPr="00937EEC">
        <w:t>abemaciclib</w:t>
      </w:r>
      <w:proofErr w:type="spellEnd"/>
      <w:r w:rsidRPr="00937EEC">
        <w:t xml:space="preserve"> plus </w:t>
      </w:r>
      <w:proofErr w:type="spellStart"/>
      <w:r w:rsidRPr="00937EEC">
        <w:t>fulvestrant</w:t>
      </w:r>
      <w:proofErr w:type="spellEnd"/>
      <w:r w:rsidRPr="00937EEC">
        <w:t xml:space="preserve">. </w:t>
      </w:r>
    </w:p>
    <w:p w14:paraId="5D92E003" w14:textId="13653DC5" w:rsidR="00937EEC" w:rsidRPr="00937EEC" w:rsidRDefault="00937EEC" w:rsidP="00937EEC">
      <w:pPr>
        <w:keepNext/>
        <w:spacing w:before="20" w:after="20"/>
        <w:jc w:val="left"/>
        <w:rPr>
          <w:rFonts w:ascii="Arial Narrow" w:eastAsiaTheme="majorEastAsia" w:hAnsi="Arial Narrow" w:cstheme="majorBidi"/>
          <w:b/>
          <w:bCs/>
          <w:sz w:val="20"/>
        </w:rPr>
      </w:pPr>
      <w:bookmarkStart w:id="38" w:name="_Ref90059800"/>
      <w:r w:rsidRPr="00937EEC">
        <w:rPr>
          <w:rFonts w:ascii="Arial Narrow" w:eastAsiaTheme="majorEastAsia" w:hAnsi="Arial Narrow" w:cstheme="majorBidi"/>
          <w:b/>
          <w:bCs/>
          <w:sz w:val="20"/>
        </w:rPr>
        <w:t xml:space="preserve">Table </w:t>
      </w:r>
      <w:bookmarkEnd w:id="38"/>
      <w:r w:rsidR="00246AFC">
        <w:rPr>
          <w:rFonts w:ascii="Arial Narrow" w:eastAsiaTheme="majorEastAsia" w:hAnsi="Arial Narrow" w:cstheme="majorBidi"/>
          <w:b/>
          <w:bCs/>
          <w:sz w:val="20"/>
        </w:rPr>
        <w:t>7</w:t>
      </w:r>
      <w:r w:rsidRPr="00937EEC">
        <w:rPr>
          <w:rFonts w:ascii="Arial Narrow" w:eastAsiaTheme="majorEastAsia" w:hAnsi="Arial Narrow" w:cstheme="majorBidi"/>
          <w:b/>
          <w:bCs/>
          <w:sz w:val="20"/>
        </w:rPr>
        <w:t xml:space="preserve">: Selected TEAEs in the included trials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7: Selected TEAEs in the included trials "/>
      </w:tblPr>
      <w:tblGrid>
        <w:gridCol w:w="2263"/>
        <w:gridCol w:w="1134"/>
        <w:gridCol w:w="1134"/>
        <w:gridCol w:w="1134"/>
        <w:gridCol w:w="1134"/>
        <w:gridCol w:w="1134"/>
        <w:gridCol w:w="1134"/>
      </w:tblGrid>
      <w:tr w:rsidR="004A2BE2" w:rsidRPr="00937EEC" w14:paraId="2A2DE870" w14:textId="77777777" w:rsidTr="002402D7">
        <w:trPr>
          <w:tblHeader/>
        </w:trPr>
        <w:tc>
          <w:tcPr>
            <w:tcW w:w="2263" w:type="dxa"/>
            <w:vMerge w:val="restart"/>
            <w:vAlign w:val="center"/>
          </w:tcPr>
          <w:p w14:paraId="66A8CC19" w14:textId="463C3C37" w:rsidR="004A2BE2" w:rsidRPr="00937EEC" w:rsidRDefault="004A2BE2" w:rsidP="00937EEC">
            <w:pPr>
              <w:keepNext/>
              <w:jc w:val="left"/>
              <w:rPr>
                <w:rFonts w:ascii="Arial Narrow" w:eastAsiaTheme="majorEastAsia" w:hAnsi="Arial Narrow" w:cs="Times New Roman"/>
                <w:b/>
                <w:sz w:val="20"/>
                <w:lang w:val="en-US"/>
              </w:rPr>
            </w:pPr>
            <w:r w:rsidRPr="00937EEC">
              <w:rPr>
                <w:rFonts w:ascii="Arial Narrow" w:eastAsiaTheme="majorEastAsia" w:hAnsi="Arial Narrow" w:cs="Times New Roman"/>
                <w:b/>
                <w:sz w:val="20"/>
                <w:lang w:val="en-US"/>
              </w:rPr>
              <w:t>TEAE</w:t>
            </w:r>
          </w:p>
        </w:tc>
        <w:tc>
          <w:tcPr>
            <w:tcW w:w="2268" w:type="dxa"/>
            <w:gridSpan w:val="2"/>
            <w:tcBorders>
              <w:bottom w:val="single" w:sz="4" w:space="0" w:color="auto"/>
            </w:tcBorders>
            <w:vAlign w:val="center"/>
          </w:tcPr>
          <w:p w14:paraId="74AAC255" w14:textId="77777777" w:rsidR="004A2BE2" w:rsidRPr="00937EEC" w:rsidRDefault="004A2BE2" w:rsidP="00937EEC">
            <w:pPr>
              <w:keepNext/>
              <w:jc w:val="center"/>
              <w:rPr>
                <w:rFonts w:ascii="Arial Narrow" w:eastAsiaTheme="majorEastAsia" w:hAnsi="Arial Narrow" w:cs="Times New Roman"/>
                <w:b/>
                <w:sz w:val="20"/>
                <w:lang w:val="en-US"/>
              </w:rPr>
            </w:pPr>
            <w:r w:rsidRPr="00937EEC">
              <w:rPr>
                <w:rFonts w:ascii="Arial Narrow" w:eastAsiaTheme="majorEastAsia" w:hAnsi="Arial Narrow" w:cs="Times New Roman"/>
                <w:b/>
                <w:sz w:val="20"/>
                <w:lang w:val="en-US"/>
              </w:rPr>
              <w:t>PALOMA-3</w:t>
            </w:r>
            <w:r w:rsidRPr="00937EEC">
              <w:rPr>
                <w:rFonts w:ascii="Arial Narrow" w:eastAsiaTheme="majorEastAsia" w:hAnsi="Arial Narrow" w:cs="Times New Roman"/>
                <w:b/>
                <w:sz w:val="20"/>
                <w:vertAlign w:val="superscript"/>
                <w:lang w:val="en-US"/>
              </w:rPr>
              <w:t>a</w:t>
            </w:r>
          </w:p>
          <w:p w14:paraId="55EE1C42" w14:textId="6A187949" w:rsidR="004A2BE2" w:rsidRPr="00937EEC" w:rsidRDefault="004A2BE2" w:rsidP="00937EEC">
            <w:pPr>
              <w:keepNext/>
              <w:jc w:val="center"/>
              <w:rPr>
                <w:rFonts w:ascii="Arial Narrow" w:eastAsiaTheme="majorEastAsia" w:hAnsi="Arial Narrow" w:cs="Times New Roman"/>
                <w:b/>
                <w:sz w:val="20"/>
                <w:lang w:val="en-US"/>
              </w:rPr>
            </w:pPr>
            <w:r w:rsidRPr="00937EEC">
              <w:rPr>
                <w:rFonts w:ascii="Arial Narrow" w:eastAsiaTheme="majorEastAsia" w:hAnsi="Arial Narrow" w:cs="Times New Roman"/>
                <w:b/>
                <w:sz w:val="20"/>
                <w:lang w:val="en-US"/>
              </w:rPr>
              <w:t>(data cut</w:t>
            </w:r>
            <w:r w:rsidR="00353741">
              <w:rPr>
                <w:rFonts w:ascii="Arial Narrow" w:eastAsiaTheme="majorEastAsia" w:hAnsi="Arial Narrow" w:cs="Times New Roman"/>
                <w:b/>
                <w:sz w:val="20"/>
                <w:lang w:val="en-US"/>
              </w:rPr>
              <w:t>-</w:t>
            </w:r>
            <w:r w:rsidRPr="00937EEC">
              <w:rPr>
                <w:rFonts w:ascii="Arial Narrow" w:eastAsiaTheme="majorEastAsia" w:hAnsi="Arial Narrow" w:cs="Times New Roman"/>
                <w:b/>
                <w:sz w:val="20"/>
                <w:lang w:val="en-US"/>
              </w:rPr>
              <w:t xml:space="preserve">off 13 Apr </w:t>
            </w:r>
            <w:proofErr w:type="gramStart"/>
            <w:r w:rsidRPr="00937EEC">
              <w:rPr>
                <w:rFonts w:ascii="Arial Narrow" w:eastAsiaTheme="majorEastAsia" w:hAnsi="Arial Narrow" w:cs="Times New Roman"/>
                <w:b/>
                <w:sz w:val="20"/>
                <w:lang w:val="en-US"/>
              </w:rPr>
              <w:t>2018;</w:t>
            </w:r>
            <w:proofErr w:type="gramEnd"/>
          </w:p>
          <w:p w14:paraId="2ABEE0AD" w14:textId="77777777" w:rsidR="004A2BE2" w:rsidRPr="00937EEC" w:rsidRDefault="004A2BE2" w:rsidP="00937EEC">
            <w:pPr>
              <w:keepNext/>
              <w:jc w:val="center"/>
              <w:rPr>
                <w:rFonts w:ascii="Arial Narrow" w:eastAsiaTheme="majorEastAsia" w:hAnsi="Arial Narrow" w:cs="Times New Roman"/>
                <w:b/>
                <w:sz w:val="20"/>
                <w:lang w:val="en-US"/>
              </w:rPr>
            </w:pPr>
            <w:r w:rsidRPr="00937EEC">
              <w:rPr>
                <w:rFonts w:ascii="Arial Narrow" w:eastAsiaTheme="majorEastAsia" w:hAnsi="Arial Narrow" w:cs="Times New Roman"/>
                <w:b/>
                <w:sz w:val="20"/>
                <w:lang w:val="en-US"/>
              </w:rPr>
              <w:t>median 44.8 months FU)</w:t>
            </w:r>
          </w:p>
        </w:tc>
        <w:tc>
          <w:tcPr>
            <w:tcW w:w="2268" w:type="dxa"/>
            <w:gridSpan w:val="2"/>
            <w:tcBorders>
              <w:bottom w:val="single" w:sz="4" w:space="0" w:color="auto"/>
            </w:tcBorders>
            <w:vAlign w:val="center"/>
          </w:tcPr>
          <w:p w14:paraId="77BE185F" w14:textId="77777777" w:rsidR="004A2BE2" w:rsidRPr="00937EEC" w:rsidRDefault="004A2BE2" w:rsidP="00937EEC">
            <w:pPr>
              <w:keepNext/>
              <w:jc w:val="center"/>
              <w:rPr>
                <w:rFonts w:ascii="Arial Narrow" w:eastAsiaTheme="majorEastAsia" w:hAnsi="Arial Narrow" w:cs="Times New Roman"/>
                <w:b/>
                <w:sz w:val="20"/>
                <w:lang w:val="en-US"/>
              </w:rPr>
            </w:pPr>
            <w:r w:rsidRPr="00937EEC">
              <w:rPr>
                <w:rFonts w:ascii="Arial Narrow" w:eastAsiaTheme="majorEastAsia" w:hAnsi="Arial Narrow" w:cs="Times New Roman"/>
                <w:b/>
                <w:sz w:val="20"/>
                <w:lang w:val="en-US"/>
              </w:rPr>
              <w:t>MONALEESA-3</w:t>
            </w:r>
          </w:p>
          <w:p w14:paraId="52B9F84F" w14:textId="47F1D83C" w:rsidR="004A2BE2" w:rsidRPr="00937EEC" w:rsidRDefault="004A2BE2" w:rsidP="00937EEC">
            <w:pPr>
              <w:keepNext/>
              <w:jc w:val="center"/>
              <w:rPr>
                <w:rFonts w:ascii="Arial Narrow" w:eastAsiaTheme="majorEastAsia" w:hAnsi="Arial Narrow" w:cs="Times New Roman"/>
                <w:b/>
                <w:sz w:val="20"/>
                <w:lang w:val="en-US"/>
              </w:rPr>
            </w:pPr>
            <w:r w:rsidRPr="00937EEC">
              <w:rPr>
                <w:rFonts w:ascii="Arial Narrow" w:eastAsiaTheme="majorEastAsia" w:hAnsi="Arial Narrow" w:cs="Times New Roman"/>
                <w:b/>
                <w:sz w:val="20"/>
                <w:lang w:val="en-US"/>
              </w:rPr>
              <w:t>(data cut</w:t>
            </w:r>
            <w:r w:rsidR="00353741">
              <w:rPr>
                <w:rFonts w:ascii="Arial Narrow" w:eastAsiaTheme="majorEastAsia" w:hAnsi="Arial Narrow" w:cs="Times New Roman"/>
                <w:b/>
                <w:sz w:val="20"/>
                <w:lang w:val="en-US"/>
              </w:rPr>
              <w:t>-</w:t>
            </w:r>
            <w:r w:rsidRPr="00937EEC">
              <w:rPr>
                <w:rFonts w:ascii="Arial Narrow" w:eastAsiaTheme="majorEastAsia" w:hAnsi="Arial Narrow" w:cs="Times New Roman"/>
                <w:b/>
                <w:sz w:val="20"/>
                <w:lang w:val="en-US"/>
              </w:rPr>
              <w:t xml:space="preserve">off 30 Oct </w:t>
            </w:r>
            <w:proofErr w:type="gramStart"/>
            <w:r w:rsidRPr="00937EEC">
              <w:rPr>
                <w:rFonts w:ascii="Arial Narrow" w:eastAsiaTheme="majorEastAsia" w:hAnsi="Arial Narrow" w:cs="Times New Roman"/>
                <w:b/>
                <w:sz w:val="20"/>
                <w:lang w:val="en-US"/>
              </w:rPr>
              <w:t>2020;</w:t>
            </w:r>
            <w:proofErr w:type="gramEnd"/>
          </w:p>
          <w:p w14:paraId="4377DC05" w14:textId="6B31DBB7" w:rsidR="004A2BE2" w:rsidRPr="00937EEC" w:rsidRDefault="004A2BE2" w:rsidP="00937EEC">
            <w:pPr>
              <w:keepNext/>
              <w:jc w:val="center"/>
              <w:rPr>
                <w:rFonts w:ascii="Arial Narrow" w:eastAsiaTheme="majorEastAsia" w:hAnsi="Arial Narrow" w:cs="Times New Roman"/>
                <w:b/>
                <w:sz w:val="20"/>
                <w:lang w:val="en-US"/>
              </w:rPr>
            </w:pPr>
            <w:r w:rsidRPr="00937EEC">
              <w:rPr>
                <w:rFonts w:ascii="Arial Narrow" w:eastAsiaTheme="majorEastAsia" w:hAnsi="Arial Narrow" w:cs="Times New Roman"/>
                <w:b/>
                <w:sz w:val="20"/>
                <w:lang w:val="en-US"/>
              </w:rPr>
              <w:t>median 56.3 m</w:t>
            </w:r>
            <w:r w:rsidR="00353741">
              <w:rPr>
                <w:rFonts w:ascii="Arial Narrow" w:eastAsiaTheme="majorEastAsia" w:hAnsi="Arial Narrow" w:cs="Times New Roman"/>
                <w:b/>
                <w:sz w:val="20"/>
                <w:lang w:val="en-US"/>
              </w:rPr>
              <w:t>on</w:t>
            </w:r>
            <w:r w:rsidRPr="00937EEC">
              <w:rPr>
                <w:rFonts w:ascii="Arial Narrow" w:eastAsiaTheme="majorEastAsia" w:hAnsi="Arial Narrow" w:cs="Times New Roman"/>
                <w:b/>
                <w:sz w:val="20"/>
                <w:lang w:val="en-US"/>
              </w:rPr>
              <w:t xml:space="preserve">ths FU, </w:t>
            </w:r>
          </w:p>
          <w:p w14:paraId="6840862E" w14:textId="51D87230" w:rsidR="004A2BE2" w:rsidRPr="00937EEC" w:rsidRDefault="004A2BE2" w:rsidP="00937EEC">
            <w:pPr>
              <w:keepNext/>
              <w:jc w:val="center"/>
              <w:rPr>
                <w:rFonts w:ascii="Arial Narrow" w:eastAsiaTheme="majorEastAsia" w:hAnsi="Arial Narrow" w:cs="Times New Roman"/>
                <w:b/>
                <w:sz w:val="20"/>
                <w:lang w:val="en-US"/>
              </w:rPr>
            </w:pPr>
            <w:r w:rsidRPr="00937EEC">
              <w:rPr>
                <w:rFonts w:ascii="Arial Narrow" w:eastAsiaTheme="majorEastAsia" w:hAnsi="Arial Narrow" w:cs="Times New Roman"/>
                <w:b/>
                <w:sz w:val="20"/>
                <w:lang w:val="en-US"/>
              </w:rPr>
              <w:t>minimum 52.7 m</w:t>
            </w:r>
            <w:r w:rsidR="00353741">
              <w:rPr>
                <w:rFonts w:ascii="Arial Narrow" w:eastAsiaTheme="majorEastAsia" w:hAnsi="Arial Narrow" w:cs="Times New Roman"/>
                <w:b/>
                <w:sz w:val="20"/>
                <w:lang w:val="en-US"/>
              </w:rPr>
              <w:t>on</w:t>
            </w:r>
            <w:r w:rsidRPr="00937EEC">
              <w:rPr>
                <w:rFonts w:ascii="Arial Narrow" w:eastAsiaTheme="majorEastAsia" w:hAnsi="Arial Narrow" w:cs="Times New Roman"/>
                <w:b/>
                <w:sz w:val="20"/>
                <w:lang w:val="en-US"/>
              </w:rPr>
              <w:t>ths)</w:t>
            </w:r>
          </w:p>
        </w:tc>
        <w:tc>
          <w:tcPr>
            <w:tcW w:w="2268" w:type="dxa"/>
            <w:gridSpan w:val="2"/>
            <w:tcBorders>
              <w:bottom w:val="single" w:sz="4" w:space="0" w:color="auto"/>
            </w:tcBorders>
            <w:shd w:val="clear" w:color="auto" w:fill="auto"/>
            <w:vAlign w:val="center"/>
          </w:tcPr>
          <w:p w14:paraId="0E686ECD" w14:textId="77777777" w:rsidR="004A2BE2" w:rsidRPr="00937EEC" w:rsidRDefault="004A2BE2" w:rsidP="00937EEC">
            <w:pPr>
              <w:keepNext/>
              <w:jc w:val="center"/>
              <w:rPr>
                <w:rFonts w:ascii="Arial Narrow" w:eastAsiaTheme="majorEastAsia" w:hAnsi="Arial Narrow" w:cs="Times New Roman"/>
                <w:b/>
                <w:sz w:val="20"/>
                <w:lang w:val="en-US"/>
              </w:rPr>
            </w:pPr>
            <w:r w:rsidRPr="00937EEC">
              <w:rPr>
                <w:rFonts w:ascii="Arial Narrow" w:eastAsiaTheme="majorEastAsia" w:hAnsi="Arial Narrow" w:cs="Times New Roman"/>
                <w:b/>
                <w:sz w:val="20"/>
                <w:lang w:val="en-US"/>
              </w:rPr>
              <w:t>MONARCH 2</w:t>
            </w:r>
          </w:p>
          <w:p w14:paraId="576F6B03" w14:textId="24015329" w:rsidR="004A2BE2" w:rsidRPr="003F7996" w:rsidRDefault="004A2BE2" w:rsidP="00937EEC">
            <w:pPr>
              <w:keepNext/>
              <w:jc w:val="center"/>
              <w:rPr>
                <w:rFonts w:ascii="Arial Narrow" w:eastAsiaTheme="majorEastAsia" w:hAnsi="Arial Narrow" w:cs="Times New Roman"/>
                <w:b/>
                <w:sz w:val="20"/>
                <w:vertAlign w:val="superscript"/>
                <w:lang w:val="en-US"/>
              </w:rPr>
            </w:pPr>
            <w:r w:rsidRPr="00937EEC">
              <w:rPr>
                <w:rFonts w:ascii="Arial Narrow" w:eastAsiaTheme="majorEastAsia" w:hAnsi="Arial Narrow" w:cs="Times New Roman"/>
                <w:b/>
                <w:sz w:val="20"/>
                <w:lang w:val="en-US"/>
              </w:rPr>
              <w:t>(data cut</w:t>
            </w:r>
            <w:r w:rsidR="00353741">
              <w:rPr>
                <w:rFonts w:ascii="Arial Narrow" w:eastAsiaTheme="majorEastAsia" w:hAnsi="Arial Narrow" w:cs="Times New Roman"/>
                <w:b/>
                <w:sz w:val="20"/>
                <w:lang w:val="en-US"/>
              </w:rPr>
              <w:t>-</w:t>
            </w:r>
            <w:r w:rsidRPr="00937EEC">
              <w:rPr>
                <w:rFonts w:ascii="Arial Narrow" w:eastAsiaTheme="majorEastAsia" w:hAnsi="Arial Narrow" w:cs="Times New Roman"/>
                <w:b/>
                <w:sz w:val="20"/>
                <w:lang w:val="en-US"/>
              </w:rPr>
              <w:t xml:space="preserve">off 20 Jun </w:t>
            </w:r>
            <w:proofErr w:type="gramStart"/>
            <w:r w:rsidRPr="00937EEC">
              <w:rPr>
                <w:rFonts w:ascii="Arial Narrow" w:eastAsiaTheme="majorEastAsia" w:hAnsi="Arial Narrow" w:cs="Times New Roman"/>
                <w:b/>
                <w:sz w:val="20"/>
                <w:lang w:val="en-US"/>
              </w:rPr>
              <w:t>2019)</w:t>
            </w:r>
            <w:r>
              <w:rPr>
                <w:rFonts w:ascii="Arial Narrow" w:eastAsiaTheme="majorEastAsia" w:hAnsi="Arial Narrow" w:cs="Times New Roman"/>
                <w:b/>
                <w:sz w:val="20"/>
                <w:vertAlign w:val="superscript"/>
                <w:lang w:val="en-US"/>
              </w:rPr>
              <w:t>b</w:t>
            </w:r>
            <w:proofErr w:type="gramEnd"/>
          </w:p>
          <w:p w14:paraId="6869494C" w14:textId="77777777" w:rsidR="004A2BE2" w:rsidRPr="00937EEC" w:rsidRDefault="004A2BE2" w:rsidP="00937EEC">
            <w:pPr>
              <w:keepNext/>
              <w:jc w:val="center"/>
              <w:rPr>
                <w:rFonts w:ascii="Arial Narrow" w:eastAsiaTheme="majorEastAsia" w:hAnsi="Arial Narrow" w:cs="Times New Roman"/>
                <w:b/>
                <w:sz w:val="20"/>
                <w:lang w:val="en-US"/>
              </w:rPr>
            </w:pPr>
            <w:r w:rsidRPr="00937EEC">
              <w:rPr>
                <w:rFonts w:ascii="Arial Narrow" w:eastAsiaTheme="majorEastAsia" w:hAnsi="Arial Narrow" w:cs="Times New Roman"/>
                <w:b/>
                <w:sz w:val="20"/>
                <w:lang w:val="en-US"/>
              </w:rPr>
              <w:t>median 47.7 months FU</w:t>
            </w:r>
          </w:p>
        </w:tc>
      </w:tr>
      <w:tr w:rsidR="004A2BE2" w:rsidRPr="00937EEC" w14:paraId="5E7A099D" w14:textId="77777777" w:rsidTr="002402D7">
        <w:trPr>
          <w:tblHeader/>
        </w:trPr>
        <w:tc>
          <w:tcPr>
            <w:tcW w:w="2263" w:type="dxa"/>
            <w:vMerge/>
            <w:tcBorders>
              <w:bottom w:val="single" w:sz="4" w:space="0" w:color="auto"/>
            </w:tcBorders>
            <w:vAlign w:val="center"/>
          </w:tcPr>
          <w:p w14:paraId="3E3AE5E2" w14:textId="30910366" w:rsidR="004A2BE2" w:rsidRPr="00937EEC" w:rsidRDefault="004A2BE2" w:rsidP="00937EEC">
            <w:pPr>
              <w:keepNext/>
              <w:jc w:val="left"/>
              <w:rPr>
                <w:rFonts w:ascii="Arial Narrow" w:eastAsiaTheme="majorEastAsia" w:hAnsi="Arial Narrow" w:cs="Times New Roman"/>
                <w:b/>
                <w:sz w:val="20"/>
                <w:vertAlign w:val="superscript"/>
                <w:lang w:val="en-US"/>
              </w:rPr>
            </w:pPr>
          </w:p>
        </w:tc>
        <w:tc>
          <w:tcPr>
            <w:tcW w:w="1134" w:type="dxa"/>
            <w:tcBorders>
              <w:bottom w:val="nil"/>
              <w:right w:val="single" w:sz="4" w:space="0" w:color="auto"/>
            </w:tcBorders>
            <w:vAlign w:val="center"/>
          </w:tcPr>
          <w:p w14:paraId="7491D6BB" w14:textId="77777777" w:rsidR="004A2BE2" w:rsidRPr="00937EEC" w:rsidRDefault="004A2BE2" w:rsidP="00937EEC">
            <w:pPr>
              <w:keepNext/>
              <w:jc w:val="center"/>
              <w:rPr>
                <w:rFonts w:ascii="Arial Narrow" w:eastAsiaTheme="majorEastAsia" w:hAnsi="Arial Narrow" w:cs="Times New Roman"/>
                <w:b/>
                <w:sz w:val="20"/>
                <w:lang w:val="en-US"/>
              </w:rPr>
            </w:pPr>
            <w:r w:rsidRPr="00937EEC">
              <w:rPr>
                <w:rFonts w:ascii="Arial Narrow" w:eastAsiaTheme="majorEastAsia" w:hAnsi="Arial Narrow" w:cs="Times New Roman"/>
                <w:b/>
                <w:sz w:val="20"/>
                <w:lang w:val="en-US"/>
              </w:rPr>
              <w:t>PAL + FUL (N=345)</w:t>
            </w:r>
          </w:p>
        </w:tc>
        <w:tc>
          <w:tcPr>
            <w:tcW w:w="1134" w:type="dxa"/>
            <w:tcBorders>
              <w:left w:val="single" w:sz="4" w:space="0" w:color="auto"/>
              <w:bottom w:val="nil"/>
              <w:right w:val="single" w:sz="4" w:space="0" w:color="auto"/>
            </w:tcBorders>
            <w:vAlign w:val="center"/>
          </w:tcPr>
          <w:p w14:paraId="19E7B6A7" w14:textId="77777777" w:rsidR="004A2BE2" w:rsidRPr="00937EEC" w:rsidRDefault="004A2BE2" w:rsidP="00937EEC">
            <w:pPr>
              <w:keepNext/>
              <w:jc w:val="center"/>
              <w:rPr>
                <w:rFonts w:ascii="Arial Narrow" w:eastAsiaTheme="majorEastAsia" w:hAnsi="Arial Narrow" w:cs="Times New Roman"/>
                <w:b/>
                <w:sz w:val="20"/>
                <w:lang w:val="en-US"/>
              </w:rPr>
            </w:pPr>
            <w:r w:rsidRPr="00937EEC">
              <w:rPr>
                <w:rFonts w:ascii="Arial Narrow" w:eastAsiaTheme="majorEastAsia" w:hAnsi="Arial Narrow" w:cs="Times New Roman"/>
                <w:b/>
                <w:sz w:val="20"/>
                <w:lang w:val="en-US"/>
              </w:rPr>
              <w:t>PBO + FUL (N=172)</w:t>
            </w:r>
          </w:p>
        </w:tc>
        <w:tc>
          <w:tcPr>
            <w:tcW w:w="1134" w:type="dxa"/>
            <w:tcBorders>
              <w:left w:val="single" w:sz="4" w:space="0" w:color="auto"/>
              <w:bottom w:val="nil"/>
              <w:right w:val="single" w:sz="4" w:space="0" w:color="auto"/>
            </w:tcBorders>
            <w:vAlign w:val="center"/>
          </w:tcPr>
          <w:p w14:paraId="6956DBBD" w14:textId="77777777" w:rsidR="004A2BE2" w:rsidRPr="00937EEC" w:rsidRDefault="004A2BE2" w:rsidP="00937EEC">
            <w:pPr>
              <w:keepNext/>
              <w:jc w:val="center"/>
              <w:rPr>
                <w:rFonts w:ascii="Arial Narrow" w:eastAsiaTheme="majorEastAsia" w:hAnsi="Arial Narrow" w:cs="Times New Roman"/>
                <w:b/>
                <w:sz w:val="20"/>
                <w:lang w:val="en-US"/>
              </w:rPr>
            </w:pPr>
            <w:r w:rsidRPr="00937EEC">
              <w:rPr>
                <w:rFonts w:ascii="Arial Narrow" w:eastAsiaTheme="majorEastAsia" w:hAnsi="Arial Narrow" w:cs="Times New Roman"/>
                <w:b/>
                <w:sz w:val="20"/>
                <w:lang w:val="en-US"/>
              </w:rPr>
              <w:t>RIB + FUL (N=483)</w:t>
            </w:r>
          </w:p>
        </w:tc>
        <w:tc>
          <w:tcPr>
            <w:tcW w:w="1134" w:type="dxa"/>
            <w:tcBorders>
              <w:left w:val="single" w:sz="4" w:space="0" w:color="auto"/>
              <w:bottom w:val="nil"/>
              <w:right w:val="single" w:sz="4" w:space="0" w:color="auto"/>
            </w:tcBorders>
            <w:vAlign w:val="center"/>
          </w:tcPr>
          <w:p w14:paraId="4438CEE8" w14:textId="77777777" w:rsidR="004A2BE2" w:rsidRPr="00937EEC" w:rsidRDefault="004A2BE2" w:rsidP="00937EEC">
            <w:pPr>
              <w:keepNext/>
              <w:jc w:val="center"/>
              <w:rPr>
                <w:rFonts w:ascii="Arial Narrow" w:eastAsiaTheme="majorEastAsia" w:hAnsi="Arial Narrow" w:cs="Times New Roman"/>
                <w:b/>
                <w:sz w:val="20"/>
                <w:lang w:val="en-US"/>
              </w:rPr>
            </w:pPr>
            <w:r w:rsidRPr="00937EEC">
              <w:rPr>
                <w:rFonts w:ascii="Arial Narrow" w:eastAsiaTheme="majorEastAsia" w:hAnsi="Arial Narrow" w:cs="Times New Roman"/>
                <w:b/>
                <w:sz w:val="20"/>
                <w:lang w:val="en-US"/>
              </w:rPr>
              <w:t>PBO + FUL (N=241)</w:t>
            </w:r>
          </w:p>
        </w:tc>
        <w:tc>
          <w:tcPr>
            <w:tcW w:w="1134" w:type="dxa"/>
            <w:tcBorders>
              <w:left w:val="single" w:sz="4" w:space="0" w:color="auto"/>
              <w:bottom w:val="nil"/>
              <w:right w:val="single" w:sz="4" w:space="0" w:color="auto"/>
            </w:tcBorders>
            <w:shd w:val="clear" w:color="auto" w:fill="auto"/>
            <w:vAlign w:val="center"/>
          </w:tcPr>
          <w:p w14:paraId="52666DAD" w14:textId="77777777" w:rsidR="004A2BE2" w:rsidRPr="00937EEC" w:rsidRDefault="004A2BE2" w:rsidP="00937EEC">
            <w:pPr>
              <w:keepNext/>
              <w:jc w:val="center"/>
              <w:rPr>
                <w:rFonts w:ascii="Arial Narrow" w:eastAsiaTheme="majorEastAsia" w:hAnsi="Arial Narrow" w:cs="Times New Roman"/>
                <w:b/>
                <w:sz w:val="20"/>
                <w:lang w:val="en-US"/>
              </w:rPr>
            </w:pPr>
            <w:r w:rsidRPr="00937EEC">
              <w:rPr>
                <w:rFonts w:ascii="Arial Narrow" w:eastAsiaTheme="majorEastAsia" w:hAnsi="Arial Narrow" w:cs="Times New Roman"/>
                <w:b/>
                <w:sz w:val="20"/>
                <w:lang w:val="en-US"/>
              </w:rPr>
              <w:t>ABE + FUL (N=441)</w:t>
            </w:r>
          </w:p>
        </w:tc>
        <w:tc>
          <w:tcPr>
            <w:tcW w:w="1134" w:type="dxa"/>
            <w:tcBorders>
              <w:left w:val="single" w:sz="4" w:space="0" w:color="auto"/>
              <w:bottom w:val="nil"/>
            </w:tcBorders>
            <w:shd w:val="clear" w:color="auto" w:fill="auto"/>
            <w:vAlign w:val="center"/>
          </w:tcPr>
          <w:p w14:paraId="3E8A660E" w14:textId="77777777" w:rsidR="004A2BE2" w:rsidRPr="00937EEC" w:rsidRDefault="004A2BE2" w:rsidP="00937EEC">
            <w:pPr>
              <w:keepNext/>
              <w:jc w:val="center"/>
              <w:rPr>
                <w:rFonts w:ascii="Arial Narrow" w:eastAsiaTheme="majorEastAsia" w:hAnsi="Arial Narrow" w:cs="Times New Roman"/>
                <w:b/>
                <w:sz w:val="20"/>
                <w:lang w:val="en-US"/>
              </w:rPr>
            </w:pPr>
            <w:r w:rsidRPr="00937EEC">
              <w:rPr>
                <w:rFonts w:ascii="Arial Narrow" w:eastAsiaTheme="majorEastAsia" w:hAnsi="Arial Narrow" w:cs="Times New Roman"/>
                <w:b/>
                <w:sz w:val="20"/>
                <w:lang w:val="en-US"/>
              </w:rPr>
              <w:t>PBO + FUL (N=223)</w:t>
            </w:r>
          </w:p>
        </w:tc>
      </w:tr>
      <w:tr w:rsidR="00937EEC" w:rsidRPr="00937EEC" w14:paraId="590A7206" w14:textId="77777777" w:rsidTr="003F7996">
        <w:tc>
          <w:tcPr>
            <w:tcW w:w="2263" w:type="dxa"/>
            <w:tcBorders>
              <w:top w:val="single" w:sz="4" w:space="0" w:color="auto"/>
              <w:bottom w:val="nil"/>
              <w:right w:val="single" w:sz="4" w:space="0" w:color="auto"/>
            </w:tcBorders>
            <w:vAlign w:val="center"/>
          </w:tcPr>
          <w:p w14:paraId="0ACFC6C5" w14:textId="3EDAED1C" w:rsidR="00937EEC" w:rsidRPr="00937EEC" w:rsidRDefault="00937EEC" w:rsidP="00937EEC">
            <w:pPr>
              <w:jc w:val="left"/>
              <w:rPr>
                <w:rFonts w:ascii="Arial Narrow" w:eastAsiaTheme="majorEastAsia" w:hAnsi="Arial Narrow" w:cstheme="majorBidi"/>
                <w:bCs/>
                <w:sz w:val="20"/>
              </w:rPr>
            </w:pPr>
            <w:r w:rsidRPr="00937EEC">
              <w:rPr>
                <w:rFonts w:ascii="Arial Narrow" w:eastAsiaTheme="majorEastAsia" w:hAnsi="Arial Narrow" w:cstheme="majorBidi"/>
                <w:bCs/>
                <w:sz w:val="20"/>
              </w:rPr>
              <w:t>Any A</w:t>
            </w:r>
            <w:r w:rsidR="00F075EF">
              <w:rPr>
                <w:rFonts w:ascii="Arial Narrow" w:eastAsiaTheme="majorEastAsia" w:hAnsi="Arial Narrow" w:cstheme="majorBidi"/>
                <w:bCs/>
                <w:sz w:val="20"/>
              </w:rPr>
              <w:t>E</w:t>
            </w:r>
            <w:r w:rsidRPr="00937EEC">
              <w:rPr>
                <w:rFonts w:ascii="Arial Narrow" w:eastAsiaTheme="majorEastAsia" w:hAnsi="Arial Narrow" w:cstheme="majorBidi"/>
                <w:bCs/>
                <w:sz w:val="20"/>
              </w:rPr>
              <w:t>s (any CTCAE grade)</w:t>
            </w:r>
          </w:p>
        </w:tc>
        <w:tc>
          <w:tcPr>
            <w:tcW w:w="1134" w:type="dxa"/>
            <w:tcBorders>
              <w:left w:val="single" w:sz="4" w:space="0" w:color="auto"/>
              <w:bottom w:val="nil"/>
              <w:right w:val="single" w:sz="4" w:space="0" w:color="auto"/>
            </w:tcBorders>
            <w:vAlign w:val="center"/>
          </w:tcPr>
          <w:p w14:paraId="60093B45"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341 (98.8)</w:t>
            </w:r>
          </w:p>
        </w:tc>
        <w:tc>
          <w:tcPr>
            <w:tcW w:w="1134" w:type="dxa"/>
            <w:tcBorders>
              <w:left w:val="single" w:sz="4" w:space="0" w:color="auto"/>
              <w:bottom w:val="nil"/>
              <w:right w:val="single" w:sz="4" w:space="0" w:color="auto"/>
            </w:tcBorders>
            <w:vAlign w:val="center"/>
          </w:tcPr>
          <w:p w14:paraId="5D33BFC0"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161 (93.6)</w:t>
            </w:r>
          </w:p>
        </w:tc>
        <w:tc>
          <w:tcPr>
            <w:tcW w:w="1134" w:type="dxa"/>
            <w:tcBorders>
              <w:left w:val="single" w:sz="4" w:space="0" w:color="auto"/>
              <w:bottom w:val="nil"/>
              <w:right w:val="single" w:sz="4" w:space="0" w:color="auto"/>
            </w:tcBorders>
            <w:vAlign w:val="center"/>
          </w:tcPr>
          <w:p w14:paraId="255001FE"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473 (97.9)</w:t>
            </w:r>
          </w:p>
        </w:tc>
        <w:tc>
          <w:tcPr>
            <w:tcW w:w="1134" w:type="dxa"/>
            <w:tcBorders>
              <w:left w:val="single" w:sz="4" w:space="0" w:color="auto"/>
              <w:bottom w:val="nil"/>
              <w:right w:val="single" w:sz="4" w:space="0" w:color="auto"/>
            </w:tcBorders>
            <w:vAlign w:val="center"/>
          </w:tcPr>
          <w:p w14:paraId="09692D91"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219 (90.9)</w:t>
            </w:r>
          </w:p>
        </w:tc>
        <w:tc>
          <w:tcPr>
            <w:tcW w:w="1134" w:type="dxa"/>
            <w:tcBorders>
              <w:left w:val="single" w:sz="4" w:space="0" w:color="auto"/>
              <w:bottom w:val="nil"/>
              <w:right w:val="single" w:sz="4" w:space="0" w:color="auto"/>
            </w:tcBorders>
            <w:shd w:val="clear" w:color="auto" w:fill="auto"/>
            <w:vAlign w:val="center"/>
          </w:tcPr>
          <w:p w14:paraId="2305C14F"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435 (98.6)</w:t>
            </w:r>
          </w:p>
        </w:tc>
        <w:tc>
          <w:tcPr>
            <w:tcW w:w="1134" w:type="dxa"/>
            <w:tcBorders>
              <w:left w:val="single" w:sz="4" w:space="0" w:color="auto"/>
              <w:bottom w:val="nil"/>
            </w:tcBorders>
            <w:shd w:val="clear" w:color="auto" w:fill="auto"/>
            <w:vAlign w:val="center"/>
          </w:tcPr>
          <w:p w14:paraId="2ED5BEEE"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203 (91.0)</w:t>
            </w:r>
          </w:p>
        </w:tc>
      </w:tr>
      <w:tr w:rsidR="00937EEC" w:rsidRPr="00937EEC" w14:paraId="1FA90B8B" w14:textId="77777777" w:rsidTr="003F7996">
        <w:tc>
          <w:tcPr>
            <w:tcW w:w="2263" w:type="dxa"/>
            <w:tcBorders>
              <w:top w:val="nil"/>
              <w:bottom w:val="single" w:sz="4" w:space="0" w:color="auto"/>
              <w:right w:val="single" w:sz="4" w:space="0" w:color="auto"/>
            </w:tcBorders>
            <w:vAlign w:val="center"/>
          </w:tcPr>
          <w:p w14:paraId="00C5278D" w14:textId="77777777" w:rsidR="00937EEC" w:rsidRPr="00937EEC" w:rsidRDefault="00937EEC" w:rsidP="00937EEC">
            <w:pPr>
              <w:ind w:left="170"/>
              <w:jc w:val="left"/>
              <w:rPr>
                <w:rFonts w:ascii="Arial Narrow" w:eastAsiaTheme="majorEastAsia" w:hAnsi="Arial Narrow" w:cstheme="majorBidi"/>
                <w:bCs/>
                <w:sz w:val="20"/>
              </w:rPr>
            </w:pPr>
            <w:r w:rsidRPr="00937EEC">
              <w:rPr>
                <w:rFonts w:ascii="Arial Narrow" w:eastAsiaTheme="majorEastAsia" w:hAnsi="Arial Narrow" w:cstheme="majorBidi"/>
                <w:bCs/>
                <w:sz w:val="20"/>
              </w:rPr>
              <w:t>Grade 3+</w:t>
            </w:r>
          </w:p>
        </w:tc>
        <w:tc>
          <w:tcPr>
            <w:tcW w:w="1134" w:type="dxa"/>
            <w:tcBorders>
              <w:top w:val="nil"/>
              <w:left w:val="single" w:sz="4" w:space="0" w:color="auto"/>
              <w:bottom w:val="single" w:sz="4" w:space="0" w:color="auto"/>
              <w:right w:val="single" w:sz="4" w:space="0" w:color="auto"/>
            </w:tcBorders>
            <w:vAlign w:val="center"/>
          </w:tcPr>
          <w:p w14:paraId="268AF7C2"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278 (80.6)</w:t>
            </w:r>
          </w:p>
        </w:tc>
        <w:tc>
          <w:tcPr>
            <w:tcW w:w="1134" w:type="dxa"/>
            <w:tcBorders>
              <w:top w:val="nil"/>
              <w:left w:val="single" w:sz="4" w:space="0" w:color="auto"/>
              <w:bottom w:val="single" w:sz="4" w:space="0" w:color="auto"/>
              <w:right w:val="single" w:sz="4" w:space="0" w:color="auto"/>
            </w:tcBorders>
            <w:vAlign w:val="center"/>
          </w:tcPr>
          <w:p w14:paraId="3C4F9569"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48 (27.9)</w:t>
            </w:r>
          </w:p>
        </w:tc>
        <w:tc>
          <w:tcPr>
            <w:tcW w:w="1134" w:type="dxa"/>
            <w:tcBorders>
              <w:top w:val="nil"/>
              <w:left w:val="single" w:sz="4" w:space="0" w:color="auto"/>
              <w:bottom w:val="single" w:sz="4" w:space="0" w:color="auto"/>
              <w:right w:val="single" w:sz="4" w:space="0" w:color="auto"/>
            </w:tcBorders>
          </w:tcPr>
          <w:p w14:paraId="5423AA82"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NR</w:t>
            </w:r>
          </w:p>
        </w:tc>
        <w:tc>
          <w:tcPr>
            <w:tcW w:w="1134" w:type="dxa"/>
            <w:tcBorders>
              <w:top w:val="nil"/>
              <w:left w:val="single" w:sz="4" w:space="0" w:color="auto"/>
              <w:bottom w:val="single" w:sz="4" w:space="0" w:color="auto"/>
              <w:right w:val="single" w:sz="4" w:space="0" w:color="auto"/>
            </w:tcBorders>
          </w:tcPr>
          <w:p w14:paraId="775118C9"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NR</w:t>
            </w:r>
          </w:p>
        </w:tc>
        <w:tc>
          <w:tcPr>
            <w:tcW w:w="1134" w:type="dxa"/>
            <w:tcBorders>
              <w:top w:val="nil"/>
              <w:left w:val="single" w:sz="4" w:space="0" w:color="auto"/>
              <w:bottom w:val="single" w:sz="4" w:space="0" w:color="auto"/>
              <w:right w:val="single" w:sz="4" w:space="0" w:color="auto"/>
            </w:tcBorders>
            <w:shd w:val="clear" w:color="auto" w:fill="auto"/>
            <w:vAlign w:val="center"/>
          </w:tcPr>
          <w:p w14:paraId="7D30D5DF"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291 (66.0)</w:t>
            </w:r>
          </w:p>
        </w:tc>
        <w:tc>
          <w:tcPr>
            <w:tcW w:w="1134" w:type="dxa"/>
            <w:tcBorders>
              <w:top w:val="nil"/>
              <w:left w:val="single" w:sz="4" w:space="0" w:color="auto"/>
              <w:bottom w:val="single" w:sz="4" w:space="0" w:color="auto"/>
            </w:tcBorders>
            <w:shd w:val="clear" w:color="auto" w:fill="auto"/>
            <w:vAlign w:val="center"/>
          </w:tcPr>
          <w:p w14:paraId="5589B9C8"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61 (27.4)</w:t>
            </w:r>
          </w:p>
        </w:tc>
      </w:tr>
      <w:tr w:rsidR="00937EEC" w:rsidRPr="00937EEC" w14:paraId="156DFC40" w14:textId="77777777" w:rsidTr="003F7996">
        <w:tc>
          <w:tcPr>
            <w:tcW w:w="2263" w:type="dxa"/>
            <w:tcBorders>
              <w:bottom w:val="nil"/>
              <w:right w:val="single" w:sz="4" w:space="0" w:color="auto"/>
            </w:tcBorders>
            <w:vAlign w:val="center"/>
          </w:tcPr>
          <w:p w14:paraId="332C9DD3" w14:textId="77777777" w:rsidR="00937EEC" w:rsidRPr="00937EEC" w:rsidRDefault="00937EEC" w:rsidP="00937EEC">
            <w:pPr>
              <w:jc w:val="left"/>
              <w:rPr>
                <w:rFonts w:ascii="Arial Narrow" w:eastAsiaTheme="majorEastAsia" w:hAnsi="Arial Narrow" w:cstheme="majorBidi"/>
                <w:bCs/>
                <w:sz w:val="20"/>
              </w:rPr>
            </w:pPr>
            <w:r w:rsidRPr="00937EEC">
              <w:rPr>
                <w:rFonts w:ascii="Arial Narrow" w:eastAsiaTheme="majorEastAsia" w:hAnsi="Arial Narrow" w:cstheme="majorBidi"/>
                <w:bCs/>
                <w:sz w:val="20"/>
              </w:rPr>
              <w:t>Neutropenia</w:t>
            </w:r>
          </w:p>
        </w:tc>
        <w:tc>
          <w:tcPr>
            <w:tcW w:w="1134" w:type="dxa"/>
            <w:tcBorders>
              <w:left w:val="single" w:sz="4" w:space="0" w:color="auto"/>
              <w:bottom w:val="nil"/>
              <w:right w:val="single" w:sz="4" w:space="0" w:color="auto"/>
            </w:tcBorders>
            <w:vAlign w:val="center"/>
          </w:tcPr>
          <w:p w14:paraId="51AF88AF"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290 (84.1)</w:t>
            </w:r>
          </w:p>
        </w:tc>
        <w:tc>
          <w:tcPr>
            <w:tcW w:w="1134" w:type="dxa"/>
            <w:tcBorders>
              <w:left w:val="single" w:sz="4" w:space="0" w:color="auto"/>
              <w:bottom w:val="nil"/>
              <w:right w:val="single" w:sz="4" w:space="0" w:color="auto"/>
            </w:tcBorders>
            <w:vAlign w:val="center"/>
          </w:tcPr>
          <w:p w14:paraId="561B8407"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6 (3.5)</w:t>
            </w:r>
          </w:p>
        </w:tc>
        <w:tc>
          <w:tcPr>
            <w:tcW w:w="1134" w:type="dxa"/>
            <w:tcBorders>
              <w:left w:val="single" w:sz="4" w:space="0" w:color="auto"/>
              <w:bottom w:val="nil"/>
              <w:right w:val="single" w:sz="4" w:space="0" w:color="auto"/>
            </w:tcBorders>
            <w:vAlign w:val="center"/>
          </w:tcPr>
          <w:p w14:paraId="78A4F44E"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348 (72.0)</w:t>
            </w:r>
          </w:p>
        </w:tc>
        <w:tc>
          <w:tcPr>
            <w:tcW w:w="1134" w:type="dxa"/>
            <w:tcBorders>
              <w:left w:val="single" w:sz="4" w:space="0" w:color="auto"/>
              <w:bottom w:val="nil"/>
              <w:right w:val="single" w:sz="4" w:space="0" w:color="auto"/>
            </w:tcBorders>
            <w:vAlign w:val="center"/>
          </w:tcPr>
          <w:p w14:paraId="6B3D4686"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9 (3.7)</w:t>
            </w:r>
          </w:p>
        </w:tc>
        <w:tc>
          <w:tcPr>
            <w:tcW w:w="1134" w:type="dxa"/>
            <w:tcBorders>
              <w:left w:val="single" w:sz="4" w:space="0" w:color="auto"/>
              <w:bottom w:val="nil"/>
              <w:right w:val="single" w:sz="4" w:space="0" w:color="auto"/>
            </w:tcBorders>
            <w:shd w:val="clear" w:color="auto" w:fill="auto"/>
            <w:vAlign w:val="center"/>
          </w:tcPr>
          <w:p w14:paraId="28C77BFE"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219 (49.7)</w:t>
            </w:r>
          </w:p>
        </w:tc>
        <w:tc>
          <w:tcPr>
            <w:tcW w:w="1134" w:type="dxa"/>
            <w:tcBorders>
              <w:left w:val="single" w:sz="4" w:space="0" w:color="auto"/>
              <w:bottom w:val="nil"/>
            </w:tcBorders>
            <w:shd w:val="clear" w:color="auto" w:fill="auto"/>
            <w:vAlign w:val="center"/>
          </w:tcPr>
          <w:p w14:paraId="07EC75C0"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9 (4.0)</w:t>
            </w:r>
          </w:p>
        </w:tc>
      </w:tr>
      <w:tr w:rsidR="00937EEC" w:rsidRPr="00937EEC" w14:paraId="4FE4EFD9" w14:textId="77777777" w:rsidTr="003F7996">
        <w:tc>
          <w:tcPr>
            <w:tcW w:w="2263" w:type="dxa"/>
            <w:tcBorders>
              <w:top w:val="nil"/>
              <w:bottom w:val="single" w:sz="4" w:space="0" w:color="auto"/>
              <w:right w:val="single" w:sz="4" w:space="0" w:color="auto"/>
            </w:tcBorders>
            <w:vAlign w:val="center"/>
          </w:tcPr>
          <w:p w14:paraId="3772F140" w14:textId="77777777" w:rsidR="00937EEC" w:rsidRPr="00937EEC" w:rsidRDefault="00937EEC" w:rsidP="00937EEC">
            <w:pPr>
              <w:ind w:left="170"/>
              <w:jc w:val="left"/>
              <w:rPr>
                <w:rFonts w:ascii="Arial Narrow" w:eastAsiaTheme="majorEastAsia" w:hAnsi="Arial Narrow" w:cstheme="majorBidi"/>
                <w:bCs/>
                <w:sz w:val="20"/>
              </w:rPr>
            </w:pPr>
            <w:r w:rsidRPr="00937EEC">
              <w:rPr>
                <w:rFonts w:ascii="Arial Narrow" w:eastAsiaTheme="majorEastAsia" w:hAnsi="Arial Narrow" w:cstheme="majorBidi"/>
                <w:bCs/>
                <w:sz w:val="20"/>
              </w:rPr>
              <w:t>Grade 3+</w:t>
            </w:r>
          </w:p>
        </w:tc>
        <w:tc>
          <w:tcPr>
            <w:tcW w:w="1134" w:type="dxa"/>
            <w:tcBorders>
              <w:top w:val="nil"/>
              <w:left w:val="single" w:sz="4" w:space="0" w:color="auto"/>
              <w:bottom w:val="single" w:sz="4" w:space="0" w:color="auto"/>
              <w:right w:val="single" w:sz="4" w:space="0" w:color="auto"/>
            </w:tcBorders>
            <w:vAlign w:val="center"/>
          </w:tcPr>
          <w:p w14:paraId="4F9E0176"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240 (69.6)</w:t>
            </w:r>
          </w:p>
        </w:tc>
        <w:tc>
          <w:tcPr>
            <w:tcW w:w="1134" w:type="dxa"/>
            <w:tcBorders>
              <w:top w:val="nil"/>
              <w:left w:val="single" w:sz="4" w:space="0" w:color="auto"/>
              <w:bottom w:val="single" w:sz="4" w:space="0" w:color="auto"/>
              <w:right w:val="single" w:sz="4" w:space="0" w:color="auto"/>
            </w:tcBorders>
            <w:vAlign w:val="center"/>
          </w:tcPr>
          <w:p w14:paraId="7BAAE434"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0 (0)</w:t>
            </w:r>
          </w:p>
        </w:tc>
        <w:tc>
          <w:tcPr>
            <w:tcW w:w="1134" w:type="dxa"/>
            <w:tcBorders>
              <w:top w:val="nil"/>
              <w:left w:val="single" w:sz="4" w:space="0" w:color="auto"/>
              <w:bottom w:val="single" w:sz="4" w:space="0" w:color="auto"/>
              <w:right w:val="single" w:sz="4" w:space="0" w:color="auto"/>
            </w:tcBorders>
            <w:vAlign w:val="center"/>
          </w:tcPr>
          <w:p w14:paraId="6601A503"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281 (58.2)</w:t>
            </w:r>
          </w:p>
        </w:tc>
        <w:tc>
          <w:tcPr>
            <w:tcW w:w="1134" w:type="dxa"/>
            <w:tcBorders>
              <w:top w:val="nil"/>
              <w:left w:val="single" w:sz="4" w:space="0" w:color="auto"/>
              <w:bottom w:val="single" w:sz="4" w:space="0" w:color="auto"/>
              <w:right w:val="single" w:sz="4" w:space="0" w:color="auto"/>
            </w:tcBorders>
            <w:vAlign w:val="center"/>
          </w:tcPr>
          <w:p w14:paraId="68244352"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2 (0.8)</w:t>
            </w:r>
          </w:p>
        </w:tc>
        <w:tc>
          <w:tcPr>
            <w:tcW w:w="1134" w:type="dxa"/>
            <w:tcBorders>
              <w:top w:val="nil"/>
              <w:left w:val="single" w:sz="4" w:space="0" w:color="auto"/>
              <w:bottom w:val="single" w:sz="4" w:space="0" w:color="auto"/>
              <w:right w:val="single" w:sz="4" w:space="0" w:color="auto"/>
            </w:tcBorders>
            <w:shd w:val="clear" w:color="auto" w:fill="auto"/>
            <w:vAlign w:val="center"/>
          </w:tcPr>
          <w:p w14:paraId="52379BD2"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131 (29.7)</w:t>
            </w:r>
          </w:p>
        </w:tc>
        <w:tc>
          <w:tcPr>
            <w:tcW w:w="1134" w:type="dxa"/>
            <w:tcBorders>
              <w:top w:val="nil"/>
              <w:left w:val="single" w:sz="4" w:space="0" w:color="auto"/>
              <w:bottom w:val="single" w:sz="4" w:space="0" w:color="auto"/>
            </w:tcBorders>
            <w:shd w:val="clear" w:color="auto" w:fill="auto"/>
            <w:vAlign w:val="center"/>
          </w:tcPr>
          <w:p w14:paraId="3A61AADF"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4 (1.8)</w:t>
            </w:r>
          </w:p>
        </w:tc>
      </w:tr>
      <w:tr w:rsidR="00937EEC" w:rsidRPr="00937EEC" w14:paraId="7B3E6F97" w14:textId="77777777" w:rsidTr="003F7996">
        <w:tc>
          <w:tcPr>
            <w:tcW w:w="2263" w:type="dxa"/>
            <w:tcBorders>
              <w:bottom w:val="nil"/>
              <w:right w:val="single" w:sz="4" w:space="0" w:color="auto"/>
            </w:tcBorders>
            <w:vAlign w:val="center"/>
          </w:tcPr>
          <w:p w14:paraId="1CD23293" w14:textId="77777777" w:rsidR="00937EEC" w:rsidRPr="00937EEC" w:rsidRDefault="00937EEC" w:rsidP="00937EEC">
            <w:pPr>
              <w:jc w:val="left"/>
              <w:rPr>
                <w:rFonts w:ascii="Arial Narrow" w:eastAsiaTheme="majorEastAsia" w:hAnsi="Arial Narrow" w:cstheme="majorBidi"/>
                <w:bCs/>
                <w:sz w:val="20"/>
              </w:rPr>
            </w:pPr>
            <w:r w:rsidRPr="00937EEC">
              <w:rPr>
                <w:rFonts w:ascii="Arial Narrow" w:eastAsiaTheme="majorEastAsia" w:hAnsi="Arial Narrow" w:cstheme="majorBidi"/>
                <w:bCs/>
                <w:sz w:val="20"/>
              </w:rPr>
              <w:t>Leukopenia</w:t>
            </w:r>
          </w:p>
        </w:tc>
        <w:tc>
          <w:tcPr>
            <w:tcW w:w="1134" w:type="dxa"/>
            <w:tcBorders>
              <w:left w:val="single" w:sz="4" w:space="0" w:color="auto"/>
              <w:bottom w:val="nil"/>
              <w:right w:val="single" w:sz="4" w:space="0" w:color="auto"/>
            </w:tcBorders>
            <w:vAlign w:val="center"/>
          </w:tcPr>
          <w:p w14:paraId="46EAE39B"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207 (60.0)</w:t>
            </w:r>
          </w:p>
        </w:tc>
        <w:tc>
          <w:tcPr>
            <w:tcW w:w="1134" w:type="dxa"/>
            <w:tcBorders>
              <w:left w:val="single" w:sz="4" w:space="0" w:color="auto"/>
              <w:bottom w:val="nil"/>
              <w:right w:val="single" w:sz="4" w:space="0" w:color="auto"/>
            </w:tcBorders>
            <w:vAlign w:val="center"/>
          </w:tcPr>
          <w:p w14:paraId="3C2A7F9C"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9 (5.2)</w:t>
            </w:r>
          </w:p>
        </w:tc>
        <w:tc>
          <w:tcPr>
            <w:tcW w:w="1134" w:type="dxa"/>
            <w:tcBorders>
              <w:left w:val="single" w:sz="4" w:space="0" w:color="auto"/>
              <w:bottom w:val="nil"/>
              <w:right w:val="single" w:sz="4" w:space="0" w:color="auto"/>
            </w:tcBorders>
            <w:vAlign w:val="center"/>
          </w:tcPr>
          <w:p w14:paraId="456E5665"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157 (32.5)</w:t>
            </w:r>
          </w:p>
        </w:tc>
        <w:tc>
          <w:tcPr>
            <w:tcW w:w="1134" w:type="dxa"/>
            <w:tcBorders>
              <w:left w:val="single" w:sz="4" w:space="0" w:color="auto"/>
              <w:bottom w:val="nil"/>
              <w:right w:val="single" w:sz="4" w:space="0" w:color="auto"/>
            </w:tcBorders>
            <w:vAlign w:val="center"/>
          </w:tcPr>
          <w:p w14:paraId="34F5288C"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4 (1.7)</w:t>
            </w:r>
          </w:p>
        </w:tc>
        <w:tc>
          <w:tcPr>
            <w:tcW w:w="1134" w:type="dxa"/>
            <w:tcBorders>
              <w:left w:val="single" w:sz="4" w:space="0" w:color="auto"/>
              <w:bottom w:val="nil"/>
              <w:right w:val="single" w:sz="4" w:space="0" w:color="auto"/>
            </w:tcBorders>
            <w:shd w:val="clear" w:color="auto" w:fill="auto"/>
            <w:vAlign w:val="center"/>
          </w:tcPr>
          <w:p w14:paraId="3C21641E"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146 (33.1)</w:t>
            </w:r>
          </w:p>
        </w:tc>
        <w:tc>
          <w:tcPr>
            <w:tcW w:w="1134" w:type="dxa"/>
            <w:tcBorders>
              <w:left w:val="single" w:sz="4" w:space="0" w:color="auto"/>
              <w:bottom w:val="nil"/>
            </w:tcBorders>
            <w:shd w:val="clear" w:color="auto" w:fill="auto"/>
            <w:vAlign w:val="center"/>
          </w:tcPr>
          <w:p w14:paraId="680AA3E5"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4 (1.8)</w:t>
            </w:r>
          </w:p>
        </w:tc>
      </w:tr>
      <w:tr w:rsidR="00937EEC" w:rsidRPr="00937EEC" w14:paraId="535CCDD9" w14:textId="77777777" w:rsidTr="003F7996">
        <w:tc>
          <w:tcPr>
            <w:tcW w:w="2263" w:type="dxa"/>
            <w:tcBorders>
              <w:top w:val="nil"/>
              <w:right w:val="single" w:sz="4" w:space="0" w:color="auto"/>
            </w:tcBorders>
            <w:vAlign w:val="center"/>
          </w:tcPr>
          <w:p w14:paraId="254BE72C" w14:textId="77777777" w:rsidR="00937EEC" w:rsidRPr="00937EEC" w:rsidRDefault="00937EEC" w:rsidP="00937EEC">
            <w:pPr>
              <w:ind w:left="170"/>
              <w:jc w:val="left"/>
              <w:rPr>
                <w:rFonts w:ascii="Arial Narrow" w:eastAsiaTheme="majorEastAsia" w:hAnsi="Arial Narrow" w:cstheme="majorBidi"/>
                <w:bCs/>
                <w:sz w:val="20"/>
              </w:rPr>
            </w:pPr>
            <w:r w:rsidRPr="00937EEC">
              <w:rPr>
                <w:rFonts w:ascii="Arial Narrow" w:eastAsiaTheme="majorEastAsia" w:hAnsi="Arial Narrow" w:cstheme="majorBidi"/>
                <w:bCs/>
                <w:sz w:val="20"/>
              </w:rPr>
              <w:t>Grade 3+</w:t>
            </w:r>
          </w:p>
        </w:tc>
        <w:tc>
          <w:tcPr>
            <w:tcW w:w="1134" w:type="dxa"/>
            <w:tcBorders>
              <w:top w:val="nil"/>
              <w:left w:val="single" w:sz="4" w:space="0" w:color="auto"/>
              <w:right w:val="single" w:sz="4" w:space="0" w:color="auto"/>
            </w:tcBorders>
            <w:vAlign w:val="center"/>
          </w:tcPr>
          <w:p w14:paraId="6BF04B70"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132 (38.3)</w:t>
            </w:r>
          </w:p>
        </w:tc>
        <w:tc>
          <w:tcPr>
            <w:tcW w:w="1134" w:type="dxa"/>
            <w:tcBorders>
              <w:top w:val="nil"/>
              <w:left w:val="single" w:sz="4" w:space="0" w:color="auto"/>
              <w:right w:val="single" w:sz="4" w:space="0" w:color="auto"/>
            </w:tcBorders>
            <w:vAlign w:val="center"/>
          </w:tcPr>
          <w:p w14:paraId="7C8AFA53"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1 (0.6)</w:t>
            </w:r>
          </w:p>
        </w:tc>
        <w:tc>
          <w:tcPr>
            <w:tcW w:w="1134" w:type="dxa"/>
            <w:tcBorders>
              <w:top w:val="nil"/>
              <w:left w:val="single" w:sz="4" w:space="0" w:color="auto"/>
              <w:right w:val="single" w:sz="4" w:space="0" w:color="auto"/>
            </w:tcBorders>
            <w:vAlign w:val="center"/>
          </w:tcPr>
          <w:p w14:paraId="7AB23F0E"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82 (17.0)</w:t>
            </w:r>
          </w:p>
        </w:tc>
        <w:tc>
          <w:tcPr>
            <w:tcW w:w="1134" w:type="dxa"/>
            <w:tcBorders>
              <w:top w:val="nil"/>
              <w:left w:val="single" w:sz="4" w:space="0" w:color="auto"/>
              <w:right w:val="single" w:sz="4" w:space="0" w:color="auto"/>
            </w:tcBorders>
            <w:vAlign w:val="center"/>
          </w:tcPr>
          <w:p w14:paraId="2329F47F"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0 (0)</w:t>
            </w:r>
          </w:p>
        </w:tc>
        <w:tc>
          <w:tcPr>
            <w:tcW w:w="1134" w:type="dxa"/>
            <w:tcBorders>
              <w:top w:val="nil"/>
              <w:left w:val="single" w:sz="4" w:space="0" w:color="auto"/>
              <w:right w:val="single" w:sz="4" w:space="0" w:color="auto"/>
            </w:tcBorders>
            <w:shd w:val="clear" w:color="auto" w:fill="auto"/>
            <w:vAlign w:val="center"/>
          </w:tcPr>
          <w:p w14:paraId="1B958215"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59 (13.4)</w:t>
            </w:r>
          </w:p>
        </w:tc>
        <w:tc>
          <w:tcPr>
            <w:tcW w:w="1134" w:type="dxa"/>
            <w:tcBorders>
              <w:top w:val="nil"/>
              <w:left w:val="single" w:sz="4" w:space="0" w:color="auto"/>
              <w:bottom w:val="single" w:sz="4" w:space="0" w:color="auto"/>
            </w:tcBorders>
            <w:shd w:val="clear" w:color="auto" w:fill="auto"/>
            <w:vAlign w:val="center"/>
          </w:tcPr>
          <w:p w14:paraId="51AC2037"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0 (0)</w:t>
            </w:r>
          </w:p>
        </w:tc>
      </w:tr>
      <w:tr w:rsidR="00937EEC" w:rsidRPr="00937EEC" w14:paraId="6725780E" w14:textId="77777777" w:rsidTr="003F7996">
        <w:tc>
          <w:tcPr>
            <w:tcW w:w="2263" w:type="dxa"/>
            <w:tcBorders>
              <w:right w:val="single" w:sz="4" w:space="0" w:color="auto"/>
            </w:tcBorders>
            <w:vAlign w:val="center"/>
          </w:tcPr>
          <w:p w14:paraId="2A51DEF1" w14:textId="77777777" w:rsidR="00937EEC" w:rsidRPr="00937EEC" w:rsidRDefault="00937EEC" w:rsidP="00937EEC">
            <w:pPr>
              <w:jc w:val="left"/>
              <w:rPr>
                <w:rFonts w:ascii="Arial Narrow" w:eastAsiaTheme="majorEastAsia" w:hAnsi="Arial Narrow" w:cstheme="majorBidi"/>
                <w:bCs/>
                <w:sz w:val="20"/>
              </w:rPr>
            </w:pPr>
            <w:r w:rsidRPr="00937EEC">
              <w:rPr>
                <w:rFonts w:ascii="Arial Narrow" w:eastAsiaTheme="majorEastAsia" w:hAnsi="Arial Narrow" w:cstheme="majorBidi"/>
                <w:bCs/>
                <w:sz w:val="20"/>
              </w:rPr>
              <w:t>Infections</w:t>
            </w:r>
          </w:p>
        </w:tc>
        <w:tc>
          <w:tcPr>
            <w:tcW w:w="1134" w:type="dxa"/>
            <w:tcBorders>
              <w:left w:val="single" w:sz="4" w:space="0" w:color="auto"/>
              <w:right w:val="single" w:sz="4" w:space="0" w:color="auto"/>
            </w:tcBorders>
            <w:vAlign w:val="center"/>
          </w:tcPr>
          <w:p w14:paraId="21E2869D"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188 (54.5)</w:t>
            </w:r>
          </w:p>
        </w:tc>
        <w:tc>
          <w:tcPr>
            <w:tcW w:w="1134" w:type="dxa"/>
            <w:tcBorders>
              <w:left w:val="single" w:sz="4" w:space="0" w:color="auto"/>
              <w:right w:val="single" w:sz="4" w:space="0" w:color="auto"/>
            </w:tcBorders>
            <w:vAlign w:val="center"/>
          </w:tcPr>
          <w:p w14:paraId="0A52FE52"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60 (34.9)</w:t>
            </w:r>
          </w:p>
        </w:tc>
        <w:tc>
          <w:tcPr>
            <w:tcW w:w="1134" w:type="dxa"/>
            <w:tcBorders>
              <w:left w:val="single" w:sz="4" w:space="0" w:color="auto"/>
              <w:bottom w:val="single" w:sz="4" w:space="0" w:color="auto"/>
              <w:right w:val="single" w:sz="4" w:space="0" w:color="auto"/>
            </w:tcBorders>
            <w:vAlign w:val="center"/>
          </w:tcPr>
          <w:p w14:paraId="2CF335A1"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283 (58.6)</w:t>
            </w:r>
          </w:p>
        </w:tc>
        <w:tc>
          <w:tcPr>
            <w:tcW w:w="1134" w:type="dxa"/>
            <w:tcBorders>
              <w:left w:val="single" w:sz="4" w:space="0" w:color="auto"/>
              <w:bottom w:val="single" w:sz="4" w:space="0" w:color="auto"/>
              <w:right w:val="single" w:sz="4" w:space="0" w:color="auto"/>
            </w:tcBorders>
            <w:vAlign w:val="center"/>
          </w:tcPr>
          <w:p w14:paraId="095D30EA"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108 (44.8)</w:t>
            </w:r>
          </w:p>
        </w:tc>
        <w:tc>
          <w:tcPr>
            <w:tcW w:w="1134" w:type="dxa"/>
            <w:tcBorders>
              <w:top w:val="nil"/>
              <w:left w:val="single" w:sz="4" w:space="0" w:color="auto"/>
              <w:right w:val="single" w:sz="4" w:space="0" w:color="auto"/>
            </w:tcBorders>
            <w:shd w:val="clear" w:color="auto" w:fill="auto"/>
          </w:tcPr>
          <w:p w14:paraId="572A492A"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NR</w:t>
            </w:r>
          </w:p>
        </w:tc>
        <w:tc>
          <w:tcPr>
            <w:tcW w:w="1134" w:type="dxa"/>
            <w:tcBorders>
              <w:top w:val="single" w:sz="4" w:space="0" w:color="auto"/>
              <w:left w:val="single" w:sz="4" w:space="0" w:color="auto"/>
              <w:right w:val="single" w:sz="4" w:space="0" w:color="auto"/>
            </w:tcBorders>
            <w:shd w:val="clear" w:color="auto" w:fill="auto"/>
          </w:tcPr>
          <w:p w14:paraId="0C45A707"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NR</w:t>
            </w:r>
          </w:p>
        </w:tc>
      </w:tr>
      <w:tr w:rsidR="00937EEC" w:rsidRPr="00937EEC" w14:paraId="3DC07B64" w14:textId="77777777" w:rsidTr="003F7996">
        <w:tc>
          <w:tcPr>
            <w:tcW w:w="2263" w:type="dxa"/>
            <w:tcBorders>
              <w:right w:val="single" w:sz="4" w:space="0" w:color="auto"/>
            </w:tcBorders>
            <w:vAlign w:val="center"/>
          </w:tcPr>
          <w:p w14:paraId="237B99FD" w14:textId="77777777" w:rsidR="00937EEC" w:rsidRPr="00937EEC" w:rsidRDefault="00937EEC" w:rsidP="00937EEC">
            <w:pPr>
              <w:jc w:val="left"/>
              <w:rPr>
                <w:rFonts w:ascii="Arial Narrow" w:eastAsiaTheme="majorEastAsia" w:hAnsi="Arial Narrow" w:cstheme="majorBidi"/>
                <w:bCs/>
                <w:sz w:val="20"/>
              </w:rPr>
            </w:pPr>
            <w:r w:rsidRPr="00937EEC">
              <w:rPr>
                <w:rFonts w:ascii="Arial Narrow" w:eastAsiaTheme="majorEastAsia" w:hAnsi="Arial Narrow" w:cstheme="majorBidi"/>
                <w:bCs/>
                <w:sz w:val="20"/>
              </w:rPr>
              <w:t>Fatigue</w:t>
            </w:r>
          </w:p>
        </w:tc>
        <w:tc>
          <w:tcPr>
            <w:tcW w:w="1134" w:type="dxa"/>
            <w:tcBorders>
              <w:left w:val="single" w:sz="4" w:space="0" w:color="auto"/>
              <w:right w:val="single" w:sz="4" w:space="0" w:color="auto"/>
            </w:tcBorders>
            <w:vAlign w:val="center"/>
          </w:tcPr>
          <w:p w14:paraId="57CF3DC6"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152 (44.1)</w:t>
            </w:r>
          </w:p>
        </w:tc>
        <w:tc>
          <w:tcPr>
            <w:tcW w:w="1134" w:type="dxa"/>
            <w:tcBorders>
              <w:left w:val="single" w:sz="4" w:space="0" w:color="auto"/>
              <w:right w:val="single" w:sz="4" w:space="0" w:color="auto"/>
            </w:tcBorders>
            <w:vAlign w:val="center"/>
          </w:tcPr>
          <w:p w14:paraId="4481BDFB"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54 (31.4)</w:t>
            </w:r>
          </w:p>
        </w:tc>
        <w:tc>
          <w:tcPr>
            <w:tcW w:w="1134" w:type="dxa"/>
            <w:tcBorders>
              <w:left w:val="single" w:sz="4" w:space="0" w:color="auto"/>
              <w:right w:val="single" w:sz="4" w:space="0" w:color="auto"/>
            </w:tcBorders>
          </w:tcPr>
          <w:p w14:paraId="406212FC"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NR</w:t>
            </w:r>
          </w:p>
        </w:tc>
        <w:tc>
          <w:tcPr>
            <w:tcW w:w="1134" w:type="dxa"/>
            <w:tcBorders>
              <w:left w:val="single" w:sz="4" w:space="0" w:color="auto"/>
              <w:right w:val="single" w:sz="4" w:space="0" w:color="auto"/>
            </w:tcBorders>
          </w:tcPr>
          <w:p w14:paraId="0D7F2E5C"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NR</w:t>
            </w:r>
          </w:p>
        </w:tc>
        <w:tc>
          <w:tcPr>
            <w:tcW w:w="1134" w:type="dxa"/>
            <w:tcBorders>
              <w:left w:val="single" w:sz="4" w:space="0" w:color="auto"/>
              <w:right w:val="single" w:sz="4" w:space="0" w:color="auto"/>
            </w:tcBorders>
            <w:shd w:val="clear" w:color="auto" w:fill="auto"/>
            <w:vAlign w:val="center"/>
          </w:tcPr>
          <w:p w14:paraId="6322269C"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189 (42.9)</w:t>
            </w:r>
          </w:p>
        </w:tc>
        <w:tc>
          <w:tcPr>
            <w:tcW w:w="1134" w:type="dxa"/>
            <w:tcBorders>
              <w:left w:val="single" w:sz="4" w:space="0" w:color="auto"/>
            </w:tcBorders>
            <w:shd w:val="clear" w:color="auto" w:fill="auto"/>
            <w:vAlign w:val="center"/>
          </w:tcPr>
          <w:p w14:paraId="30300870"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64 (28.7)</w:t>
            </w:r>
          </w:p>
        </w:tc>
      </w:tr>
      <w:tr w:rsidR="00937EEC" w:rsidRPr="00937EEC" w14:paraId="0EE726E8" w14:textId="77777777" w:rsidTr="003F7996">
        <w:tc>
          <w:tcPr>
            <w:tcW w:w="2263" w:type="dxa"/>
            <w:tcBorders>
              <w:bottom w:val="single" w:sz="4" w:space="0" w:color="auto"/>
              <w:right w:val="single" w:sz="4" w:space="0" w:color="auto"/>
            </w:tcBorders>
            <w:vAlign w:val="center"/>
          </w:tcPr>
          <w:p w14:paraId="1C4A88D7" w14:textId="77777777" w:rsidR="00937EEC" w:rsidRPr="00937EEC" w:rsidRDefault="00937EEC" w:rsidP="00937EEC">
            <w:pPr>
              <w:jc w:val="left"/>
              <w:rPr>
                <w:rFonts w:ascii="Arial Narrow" w:eastAsiaTheme="majorEastAsia" w:hAnsi="Arial Narrow" w:cstheme="majorBidi"/>
                <w:bCs/>
                <w:sz w:val="20"/>
              </w:rPr>
            </w:pPr>
            <w:r w:rsidRPr="00937EEC">
              <w:rPr>
                <w:rFonts w:ascii="Arial Narrow" w:eastAsiaTheme="majorEastAsia" w:hAnsi="Arial Narrow" w:cstheme="majorBidi"/>
                <w:bCs/>
                <w:sz w:val="20"/>
              </w:rPr>
              <w:t>Nausea</w:t>
            </w:r>
          </w:p>
        </w:tc>
        <w:tc>
          <w:tcPr>
            <w:tcW w:w="1134" w:type="dxa"/>
            <w:tcBorders>
              <w:left w:val="single" w:sz="4" w:space="0" w:color="auto"/>
              <w:bottom w:val="single" w:sz="4" w:space="0" w:color="auto"/>
              <w:right w:val="single" w:sz="4" w:space="0" w:color="auto"/>
            </w:tcBorders>
            <w:vAlign w:val="center"/>
          </w:tcPr>
          <w:p w14:paraId="72706DF4"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124 (35.9)</w:t>
            </w:r>
          </w:p>
        </w:tc>
        <w:tc>
          <w:tcPr>
            <w:tcW w:w="1134" w:type="dxa"/>
            <w:tcBorders>
              <w:left w:val="single" w:sz="4" w:space="0" w:color="auto"/>
              <w:bottom w:val="single" w:sz="4" w:space="0" w:color="auto"/>
              <w:right w:val="single" w:sz="4" w:space="0" w:color="auto"/>
            </w:tcBorders>
            <w:vAlign w:val="center"/>
          </w:tcPr>
          <w:p w14:paraId="5E371F47"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53 (30.8)</w:t>
            </w:r>
          </w:p>
        </w:tc>
        <w:tc>
          <w:tcPr>
            <w:tcW w:w="1134" w:type="dxa"/>
            <w:tcBorders>
              <w:left w:val="single" w:sz="4" w:space="0" w:color="auto"/>
              <w:bottom w:val="single" w:sz="4" w:space="0" w:color="auto"/>
              <w:right w:val="single" w:sz="4" w:space="0" w:color="auto"/>
            </w:tcBorders>
          </w:tcPr>
          <w:p w14:paraId="03B7C788"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NR</w:t>
            </w:r>
          </w:p>
        </w:tc>
        <w:tc>
          <w:tcPr>
            <w:tcW w:w="1134" w:type="dxa"/>
            <w:tcBorders>
              <w:left w:val="single" w:sz="4" w:space="0" w:color="auto"/>
              <w:bottom w:val="single" w:sz="4" w:space="0" w:color="auto"/>
              <w:right w:val="single" w:sz="4" w:space="0" w:color="auto"/>
            </w:tcBorders>
          </w:tcPr>
          <w:p w14:paraId="3C6E4CA0"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NR</w:t>
            </w:r>
          </w:p>
        </w:tc>
        <w:tc>
          <w:tcPr>
            <w:tcW w:w="1134" w:type="dxa"/>
            <w:tcBorders>
              <w:left w:val="single" w:sz="4" w:space="0" w:color="auto"/>
              <w:bottom w:val="single" w:sz="4" w:space="0" w:color="auto"/>
              <w:right w:val="single" w:sz="4" w:space="0" w:color="auto"/>
            </w:tcBorders>
            <w:shd w:val="clear" w:color="auto" w:fill="auto"/>
            <w:vAlign w:val="center"/>
          </w:tcPr>
          <w:p w14:paraId="6E7E7402"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217 (49.2)</w:t>
            </w:r>
          </w:p>
        </w:tc>
        <w:tc>
          <w:tcPr>
            <w:tcW w:w="1134" w:type="dxa"/>
            <w:tcBorders>
              <w:left w:val="single" w:sz="4" w:space="0" w:color="auto"/>
              <w:bottom w:val="single" w:sz="4" w:space="0" w:color="auto"/>
            </w:tcBorders>
            <w:shd w:val="clear" w:color="auto" w:fill="auto"/>
            <w:vAlign w:val="center"/>
          </w:tcPr>
          <w:p w14:paraId="0435616C"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56 (25.1)</w:t>
            </w:r>
          </w:p>
        </w:tc>
      </w:tr>
      <w:tr w:rsidR="00937EEC" w:rsidRPr="00937EEC" w14:paraId="0343727B" w14:textId="77777777" w:rsidTr="003F7996">
        <w:tc>
          <w:tcPr>
            <w:tcW w:w="2263" w:type="dxa"/>
            <w:tcBorders>
              <w:bottom w:val="nil"/>
              <w:right w:val="single" w:sz="4" w:space="0" w:color="auto"/>
            </w:tcBorders>
            <w:vAlign w:val="center"/>
          </w:tcPr>
          <w:p w14:paraId="54CC4E5F" w14:textId="77777777" w:rsidR="00937EEC" w:rsidRPr="00937EEC" w:rsidRDefault="00937EEC" w:rsidP="00937EEC">
            <w:pPr>
              <w:jc w:val="left"/>
              <w:rPr>
                <w:rFonts w:ascii="Arial Narrow" w:eastAsiaTheme="majorEastAsia" w:hAnsi="Arial Narrow" w:cstheme="majorBidi"/>
                <w:bCs/>
                <w:sz w:val="20"/>
              </w:rPr>
            </w:pPr>
            <w:r w:rsidRPr="00937EEC">
              <w:rPr>
                <w:rFonts w:ascii="Arial Narrow" w:eastAsiaTheme="majorEastAsia" w:hAnsi="Arial Narrow" w:cstheme="majorBidi"/>
                <w:bCs/>
                <w:sz w:val="20"/>
              </w:rPr>
              <w:t>Anaemia</w:t>
            </w:r>
          </w:p>
        </w:tc>
        <w:tc>
          <w:tcPr>
            <w:tcW w:w="1134" w:type="dxa"/>
            <w:tcBorders>
              <w:left w:val="single" w:sz="4" w:space="0" w:color="auto"/>
              <w:bottom w:val="nil"/>
              <w:right w:val="single" w:sz="4" w:space="0" w:color="auto"/>
            </w:tcBorders>
            <w:vAlign w:val="center"/>
          </w:tcPr>
          <w:p w14:paraId="3CE78647"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109 (31.6)</w:t>
            </w:r>
          </w:p>
        </w:tc>
        <w:tc>
          <w:tcPr>
            <w:tcW w:w="1134" w:type="dxa"/>
            <w:tcBorders>
              <w:left w:val="single" w:sz="4" w:space="0" w:color="auto"/>
              <w:bottom w:val="nil"/>
              <w:right w:val="single" w:sz="4" w:space="0" w:color="auto"/>
            </w:tcBorders>
            <w:vAlign w:val="center"/>
          </w:tcPr>
          <w:p w14:paraId="19171DA0"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24 (14.0)</w:t>
            </w:r>
          </w:p>
        </w:tc>
        <w:tc>
          <w:tcPr>
            <w:tcW w:w="1134" w:type="dxa"/>
            <w:tcBorders>
              <w:left w:val="single" w:sz="4" w:space="0" w:color="auto"/>
              <w:bottom w:val="nil"/>
              <w:right w:val="single" w:sz="4" w:space="0" w:color="auto"/>
            </w:tcBorders>
            <w:vAlign w:val="center"/>
          </w:tcPr>
          <w:p w14:paraId="26D82FB6"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97 (20.1)</w:t>
            </w:r>
          </w:p>
        </w:tc>
        <w:tc>
          <w:tcPr>
            <w:tcW w:w="1134" w:type="dxa"/>
            <w:tcBorders>
              <w:left w:val="single" w:sz="4" w:space="0" w:color="auto"/>
              <w:bottom w:val="nil"/>
              <w:right w:val="single" w:sz="4" w:space="0" w:color="auto"/>
            </w:tcBorders>
            <w:vAlign w:val="center"/>
          </w:tcPr>
          <w:p w14:paraId="4EAB0F84"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21 (8.7)</w:t>
            </w:r>
          </w:p>
        </w:tc>
        <w:tc>
          <w:tcPr>
            <w:tcW w:w="1134" w:type="dxa"/>
            <w:tcBorders>
              <w:left w:val="single" w:sz="4" w:space="0" w:color="auto"/>
              <w:bottom w:val="nil"/>
              <w:right w:val="single" w:sz="4" w:space="0" w:color="auto"/>
            </w:tcBorders>
            <w:shd w:val="clear" w:color="auto" w:fill="auto"/>
            <w:vAlign w:val="center"/>
          </w:tcPr>
          <w:p w14:paraId="137F0FDA"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153 (34.7)</w:t>
            </w:r>
          </w:p>
        </w:tc>
        <w:tc>
          <w:tcPr>
            <w:tcW w:w="1134" w:type="dxa"/>
            <w:tcBorders>
              <w:left w:val="single" w:sz="4" w:space="0" w:color="auto"/>
              <w:bottom w:val="nil"/>
            </w:tcBorders>
            <w:shd w:val="clear" w:color="auto" w:fill="auto"/>
            <w:vAlign w:val="center"/>
          </w:tcPr>
          <w:p w14:paraId="0C8FC9F5"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10 (4.5)</w:t>
            </w:r>
          </w:p>
        </w:tc>
      </w:tr>
      <w:tr w:rsidR="00937EEC" w:rsidRPr="00937EEC" w14:paraId="30108436" w14:textId="77777777" w:rsidTr="003F7996">
        <w:tc>
          <w:tcPr>
            <w:tcW w:w="2263" w:type="dxa"/>
            <w:tcBorders>
              <w:top w:val="nil"/>
              <w:right w:val="single" w:sz="4" w:space="0" w:color="auto"/>
            </w:tcBorders>
            <w:vAlign w:val="center"/>
          </w:tcPr>
          <w:p w14:paraId="4D8B8E2F" w14:textId="77777777" w:rsidR="00937EEC" w:rsidRPr="00937EEC" w:rsidRDefault="00937EEC" w:rsidP="00937EEC">
            <w:pPr>
              <w:ind w:left="170"/>
              <w:jc w:val="left"/>
              <w:rPr>
                <w:rFonts w:ascii="Arial Narrow" w:eastAsiaTheme="majorEastAsia" w:hAnsi="Arial Narrow" w:cstheme="majorBidi"/>
                <w:bCs/>
                <w:sz w:val="20"/>
              </w:rPr>
            </w:pPr>
            <w:r w:rsidRPr="00937EEC">
              <w:rPr>
                <w:rFonts w:ascii="Arial Narrow" w:eastAsiaTheme="majorEastAsia" w:hAnsi="Arial Narrow" w:cstheme="majorBidi"/>
                <w:bCs/>
                <w:sz w:val="20"/>
              </w:rPr>
              <w:t>Grade 3+</w:t>
            </w:r>
          </w:p>
        </w:tc>
        <w:tc>
          <w:tcPr>
            <w:tcW w:w="1134" w:type="dxa"/>
            <w:tcBorders>
              <w:top w:val="nil"/>
              <w:left w:val="single" w:sz="4" w:space="0" w:color="auto"/>
              <w:right w:val="single" w:sz="4" w:space="0" w:color="auto"/>
            </w:tcBorders>
            <w:vAlign w:val="center"/>
          </w:tcPr>
          <w:p w14:paraId="7DDA6F13"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15 (4.3)</w:t>
            </w:r>
          </w:p>
        </w:tc>
        <w:tc>
          <w:tcPr>
            <w:tcW w:w="1134" w:type="dxa"/>
            <w:tcBorders>
              <w:top w:val="nil"/>
              <w:left w:val="single" w:sz="4" w:space="0" w:color="auto"/>
              <w:right w:val="single" w:sz="4" w:space="0" w:color="auto"/>
            </w:tcBorders>
            <w:vAlign w:val="center"/>
          </w:tcPr>
          <w:p w14:paraId="3FE4201E"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4 (2.3)</w:t>
            </w:r>
          </w:p>
        </w:tc>
        <w:tc>
          <w:tcPr>
            <w:tcW w:w="1134" w:type="dxa"/>
            <w:tcBorders>
              <w:top w:val="nil"/>
              <w:left w:val="single" w:sz="4" w:space="0" w:color="auto"/>
              <w:right w:val="single" w:sz="4" w:space="0" w:color="auto"/>
            </w:tcBorders>
          </w:tcPr>
          <w:p w14:paraId="2DB0EE40"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NR</w:t>
            </w:r>
          </w:p>
        </w:tc>
        <w:tc>
          <w:tcPr>
            <w:tcW w:w="1134" w:type="dxa"/>
            <w:tcBorders>
              <w:top w:val="nil"/>
              <w:left w:val="single" w:sz="4" w:space="0" w:color="auto"/>
              <w:right w:val="single" w:sz="4" w:space="0" w:color="auto"/>
            </w:tcBorders>
          </w:tcPr>
          <w:p w14:paraId="77B0CE6F"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NR</w:t>
            </w:r>
          </w:p>
        </w:tc>
        <w:tc>
          <w:tcPr>
            <w:tcW w:w="1134" w:type="dxa"/>
            <w:tcBorders>
              <w:top w:val="nil"/>
              <w:left w:val="single" w:sz="4" w:space="0" w:color="auto"/>
              <w:right w:val="single" w:sz="4" w:space="0" w:color="auto"/>
            </w:tcBorders>
            <w:shd w:val="clear" w:color="auto" w:fill="auto"/>
            <w:vAlign w:val="center"/>
          </w:tcPr>
          <w:p w14:paraId="54EC7993"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40 (9.1)</w:t>
            </w:r>
          </w:p>
        </w:tc>
        <w:tc>
          <w:tcPr>
            <w:tcW w:w="1134" w:type="dxa"/>
            <w:tcBorders>
              <w:top w:val="nil"/>
              <w:left w:val="single" w:sz="4" w:space="0" w:color="auto"/>
            </w:tcBorders>
            <w:shd w:val="clear" w:color="auto" w:fill="auto"/>
            <w:vAlign w:val="center"/>
          </w:tcPr>
          <w:p w14:paraId="0F00E2FC"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3 (1.3)</w:t>
            </w:r>
          </w:p>
        </w:tc>
      </w:tr>
      <w:tr w:rsidR="00937EEC" w:rsidRPr="00937EEC" w14:paraId="087C6124" w14:textId="77777777" w:rsidTr="003F7996">
        <w:tc>
          <w:tcPr>
            <w:tcW w:w="2263" w:type="dxa"/>
            <w:tcBorders>
              <w:bottom w:val="single" w:sz="4" w:space="0" w:color="auto"/>
              <w:right w:val="single" w:sz="4" w:space="0" w:color="auto"/>
            </w:tcBorders>
            <w:vAlign w:val="center"/>
          </w:tcPr>
          <w:p w14:paraId="04ACDAF8" w14:textId="77777777" w:rsidR="00937EEC" w:rsidRPr="00937EEC" w:rsidRDefault="00937EEC" w:rsidP="00937EEC">
            <w:pPr>
              <w:jc w:val="left"/>
              <w:rPr>
                <w:rFonts w:ascii="Arial Narrow" w:eastAsiaTheme="majorEastAsia" w:hAnsi="Arial Narrow" w:cstheme="majorBidi"/>
                <w:bCs/>
                <w:sz w:val="20"/>
              </w:rPr>
            </w:pPr>
            <w:r w:rsidRPr="00937EEC">
              <w:rPr>
                <w:rFonts w:ascii="Arial Narrow" w:eastAsiaTheme="majorEastAsia" w:hAnsi="Arial Narrow" w:cstheme="majorBidi"/>
                <w:bCs/>
                <w:sz w:val="20"/>
              </w:rPr>
              <w:t>Stomatitis</w:t>
            </w:r>
          </w:p>
        </w:tc>
        <w:tc>
          <w:tcPr>
            <w:tcW w:w="1134" w:type="dxa"/>
            <w:tcBorders>
              <w:left w:val="single" w:sz="4" w:space="0" w:color="auto"/>
              <w:bottom w:val="single" w:sz="4" w:space="0" w:color="auto"/>
              <w:right w:val="single" w:sz="4" w:space="0" w:color="auto"/>
            </w:tcBorders>
            <w:vAlign w:val="center"/>
          </w:tcPr>
          <w:p w14:paraId="76591D47"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104 (30.1)</w:t>
            </w:r>
          </w:p>
        </w:tc>
        <w:tc>
          <w:tcPr>
            <w:tcW w:w="1134" w:type="dxa"/>
            <w:tcBorders>
              <w:left w:val="single" w:sz="4" w:space="0" w:color="auto"/>
              <w:bottom w:val="single" w:sz="4" w:space="0" w:color="auto"/>
              <w:right w:val="single" w:sz="4" w:space="0" w:color="auto"/>
            </w:tcBorders>
            <w:vAlign w:val="center"/>
          </w:tcPr>
          <w:p w14:paraId="53C52E0B"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24 (14.0)</w:t>
            </w:r>
          </w:p>
        </w:tc>
        <w:tc>
          <w:tcPr>
            <w:tcW w:w="1134" w:type="dxa"/>
            <w:tcBorders>
              <w:left w:val="single" w:sz="4" w:space="0" w:color="auto"/>
              <w:bottom w:val="single" w:sz="4" w:space="0" w:color="auto"/>
              <w:right w:val="single" w:sz="4" w:space="0" w:color="auto"/>
            </w:tcBorders>
          </w:tcPr>
          <w:p w14:paraId="4E844293"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NR</w:t>
            </w:r>
          </w:p>
        </w:tc>
        <w:tc>
          <w:tcPr>
            <w:tcW w:w="1134" w:type="dxa"/>
            <w:tcBorders>
              <w:left w:val="single" w:sz="4" w:space="0" w:color="auto"/>
              <w:bottom w:val="single" w:sz="4" w:space="0" w:color="auto"/>
              <w:right w:val="single" w:sz="4" w:space="0" w:color="auto"/>
            </w:tcBorders>
          </w:tcPr>
          <w:p w14:paraId="42FACE6E"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NR</w:t>
            </w:r>
          </w:p>
        </w:tc>
        <w:tc>
          <w:tcPr>
            <w:tcW w:w="1134" w:type="dxa"/>
            <w:tcBorders>
              <w:left w:val="single" w:sz="4" w:space="0" w:color="auto"/>
              <w:bottom w:val="single" w:sz="4" w:space="0" w:color="auto"/>
              <w:right w:val="single" w:sz="4" w:space="0" w:color="auto"/>
            </w:tcBorders>
            <w:shd w:val="clear" w:color="auto" w:fill="auto"/>
            <w:vAlign w:val="center"/>
          </w:tcPr>
          <w:p w14:paraId="2ACE2150"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77 (17.5)</w:t>
            </w:r>
          </w:p>
        </w:tc>
        <w:tc>
          <w:tcPr>
            <w:tcW w:w="1134" w:type="dxa"/>
            <w:tcBorders>
              <w:left w:val="single" w:sz="4" w:space="0" w:color="auto"/>
              <w:bottom w:val="single" w:sz="4" w:space="0" w:color="auto"/>
            </w:tcBorders>
            <w:shd w:val="clear" w:color="auto" w:fill="auto"/>
            <w:vAlign w:val="center"/>
          </w:tcPr>
          <w:p w14:paraId="40E0BB40"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24 (10.8)</w:t>
            </w:r>
          </w:p>
        </w:tc>
      </w:tr>
      <w:tr w:rsidR="00937EEC" w:rsidRPr="00937EEC" w14:paraId="48ABDACC" w14:textId="77777777" w:rsidTr="003F7996">
        <w:tc>
          <w:tcPr>
            <w:tcW w:w="2263" w:type="dxa"/>
            <w:tcBorders>
              <w:bottom w:val="nil"/>
              <w:right w:val="single" w:sz="4" w:space="0" w:color="auto"/>
            </w:tcBorders>
            <w:vAlign w:val="center"/>
          </w:tcPr>
          <w:p w14:paraId="26A76238" w14:textId="77777777" w:rsidR="00937EEC" w:rsidRPr="00937EEC" w:rsidRDefault="00937EEC" w:rsidP="00937EEC">
            <w:pPr>
              <w:jc w:val="left"/>
              <w:rPr>
                <w:rFonts w:ascii="Arial Narrow" w:eastAsiaTheme="majorEastAsia" w:hAnsi="Arial Narrow" w:cstheme="majorBidi"/>
                <w:bCs/>
                <w:sz w:val="20"/>
              </w:rPr>
            </w:pPr>
            <w:r w:rsidRPr="00937EEC">
              <w:rPr>
                <w:rFonts w:ascii="Arial Narrow" w:eastAsiaTheme="majorEastAsia" w:hAnsi="Arial Narrow" w:cstheme="majorBidi"/>
                <w:bCs/>
                <w:sz w:val="20"/>
              </w:rPr>
              <w:t>Diarrhoea</w:t>
            </w:r>
          </w:p>
        </w:tc>
        <w:tc>
          <w:tcPr>
            <w:tcW w:w="1134" w:type="dxa"/>
            <w:tcBorders>
              <w:left w:val="single" w:sz="4" w:space="0" w:color="auto"/>
              <w:bottom w:val="nil"/>
              <w:right w:val="single" w:sz="4" w:space="0" w:color="auto"/>
            </w:tcBorders>
            <w:vAlign w:val="center"/>
          </w:tcPr>
          <w:p w14:paraId="7E6FC466"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94 (27.2)</w:t>
            </w:r>
          </w:p>
        </w:tc>
        <w:tc>
          <w:tcPr>
            <w:tcW w:w="1134" w:type="dxa"/>
            <w:tcBorders>
              <w:left w:val="single" w:sz="4" w:space="0" w:color="auto"/>
              <w:bottom w:val="nil"/>
              <w:right w:val="single" w:sz="4" w:space="0" w:color="auto"/>
            </w:tcBorders>
            <w:vAlign w:val="center"/>
          </w:tcPr>
          <w:p w14:paraId="20CE76E4"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35 (20.3)</w:t>
            </w:r>
          </w:p>
        </w:tc>
        <w:tc>
          <w:tcPr>
            <w:tcW w:w="1134" w:type="dxa"/>
            <w:tcBorders>
              <w:left w:val="single" w:sz="4" w:space="0" w:color="auto"/>
              <w:bottom w:val="nil"/>
              <w:right w:val="single" w:sz="4" w:space="0" w:color="auto"/>
            </w:tcBorders>
            <w:vAlign w:val="center"/>
          </w:tcPr>
          <w:p w14:paraId="2BB3C9CB"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140 (29.0)</w:t>
            </w:r>
          </w:p>
        </w:tc>
        <w:tc>
          <w:tcPr>
            <w:tcW w:w="1134" w:type="dxa"/>
            <w:tcBorders>
              <w:left w:val="single" w:sz="4" w:space="0" w:color="auto"/>
              <w:bottom w:val="nil"/>
              <w:right w:val="single" w:sz="4" w:space="0" w:color="auto"/>
            </w:tcBorders>
            <w:vAlign w:val="center"/>
          </w:tcPr>
          <w:p w14:paraId="2B5136BB"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49 (20.3)</w:t>
            </w:r>
          </w:p>
        </w:tc>
        <w:tc>
          <w:tcPr>
            <w:tcW w:w="1134" w:type="dxa"/>
            <w:tcBorders>
              <w:left w:val="single" w:sz="4" w:space="0" w:color="auto"/>
              <w:bottom w:val="nil"/>
              <w:right w:val="single" w:sz="4" w:space="0" w:color="auto"/>
            </w:tcBorders>
            <w:shd w:val="clear" w:color="auto" w:fill="auto"/>
            <w:vAlign w:val="center"/>
          </w:tcPr>
          <w:p w14:paraId="65AD706F"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384 (87.1)</w:t>
            </w:r>
          </w:p>
        </w:tc>
        <w:tc>
          <w:tcPr>
            <w:tcW w:w="1134" w:type="dxa"/>
            <w:tcBorders>
              <w:left w:val="single" w:sz="4" w:space="0" w:color="auto"/>
              <w:bottom w:val="nil"/>
            </w:tcBorders>
            <w:shd w:val="clear" w:color="auto" w:fill="auto"/>
            <w:vAlign w:val="center"/>
          </w:tcPr>
          <w:p w14:paraId="49BF3D9F"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62 (27.8)</w:t>
            </w:r>
          </w:p>
        </w:tc>
      </w:tr>
      <w:tr w:rsidR="00937EEC" w:rsidRPr="00937EEC" w14:paraId="2DA6DEFB" w14:textId="77777777" w:rsidTr="003F7996">
        <w:tc>
          <w:tcPr>
            <w:tcW w:w="2263" w:type="dxa"/>
            <w:tcBorders>
              <w:top w:val="nil"/>
              <w:right w:val="single" w:sz="4" w:space="0" w:color="auto"/>
            </w:tcBorders>
            <w:vAlign w:val="center"/>
          </w:tcPr>
          <w:p w14:paraId="03F59C61" w14:textId="77777777" w:rsidR="00937EEC" w:rsidRPr="00937EEC" w:rsidRDefault="00937EEC" w:rsidP="00937EEC">
            <w:pPr>
              <w:ind w:left="170"/>
              <w:jc w:val="left"/>
              <w:rPr>
                <w:rFonts w:ascii="Arial Narrow" w:eastAsiaTheme="majorEastAsia" w:hAnsi="Arial Narrow" w:cstheme="majorBidi"/>
                <w:bCs/>
                <w:sz w:val="20"/>
              </w:rPr>
            </w:pPr>
            <w:r w:rsidRPr="00937EEC">
              <w:rPr>
                <w:rFonts w:ascii="Arial Narrow" w:eastAsiaTheme="majorEastAsia" w:hAnsi="Arial Narrow" w:cstheme="majorBidi"/>
                <w:bCs/>
                <w:sz w:val="20"/>
              </w:rPr>
              <w:t>Grade 3+</w:t>
            </w:r>
          </w:p>
        </w:tc>
        <w:tc>
          <w:tcPr>
            <w:tcW w:w="1134" w:type="dxa"/>
            <w:tcBorders>
              <w:top w:val="nil"/>
              <w:left w:val="single" w:sz="4" w:space="0" w:color="auto"/>
              <w:right w:val="single" w:sz="4" w:space="0" w:color="auto"/>
            </w:tcBorders>
            <w:vAlign w:val="center"/>
          </w:tcPr>
          <w:p w14:paraId="007CE7AB"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0</w:t>
            </w:r>
          </w:p>
        </w:tc>
        <w:tc>
          <w:tcPr>
            <w:tcW w:w="1134" w:type="dxa"/>
            <w:tcBorders>
              <w:top w:val="nil"/>
              <w:left w:val="single" w:sz="4" w:space="0" w:color="auto"/>
              <w:right w:val="single" w:sz="4" w:space="0" w:color="auto"/>
            </w:tcBorders>
            <w:vAlign w:val="center"/>
          </w:tcPr>
          <w:p w14:paraId="52D047F6"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2 (1.2)</w:t>
            </w:r>
          </w:p>
        </w:tc>
        <w:tc>
          <w:tcPr>
            <w:tcW w:w="1134" w:type="dxa"/>
            <w:tcBorders>
              <w:top w:val="nil"/>
              <w:left w:val="single" w:sz="4" w:space="0" w:color="auto"/>
              <w:right w:val="single" w:sz="4" w:space="0" w:color="auto"/>
            </w:tcBorders>
          </w:tcPr>
          <w:p w14:paraId="1B659518"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NR</w:t>
            </w:r>
          </w:p>
        </w:tc>
        <w:tc>
          <w:tcPr>
            <w:tcW w:w="1134" w:type="dxa"/>
            <w:tcBorders>
              <w:top w:val="nil"/>
              <w:left w:val="single" w:sz="4" w:space="0" w:color="auto"/>
              <w:right w:val="single" w:sz="4" w:space="0" w:color="auto"/>
            </w:tcBorders>
          </w:tcPr>
          <w:p w14:paraId="231567CD"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NR</w:t>
            </w:r>
          </w:p>
        </w:tc>
        <w:tc>
          <w:tcPr>
            <w:tcW w:w="1134" w:type="dxa"/>
            <w:tcBorders>
              <w:top w:val="nil"/>
              <w:left w:val="single" w:sz="4" w:space="0" w:color="auto"/>
              <w:right w:val="single" w:sz="4" w:space="0" w:color="auto"/>
            </w:tcBorders>
            <w:shd w:val="clear" w:color="auto" w:fill="auto"/>
            <w:vAlign w:val="center"/>
          </w:tcPr>
          <w:p w14:paraId="073BF227"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64 (14.5)</w:t>
            </w:r>
          </w:p>
        </w:tc>
        <w:tc>
          <w:tcPr>
            <w:tcW w:w="1134" w:type="dxa"/>
            <w:tcBorders>
              <w:top w:val="nil"/>
              <w:left w:val="single" w:sz="4" w:space="0" w:color="auto"/>
            </w:tcBorders>
            <w:shd w:val="clear" w:color="auto" w:fill="auto"/>
            <w:vAlign w:val="center"/>
          </w:tcPr>
          <w:p w14:paraId="21C56B02"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1 (0.4)</w:t>
            </w:r>
          </w:p>
        </w:tc>
      </w:tr>
      <w:tr w:rsidR="00937EEC" w:rsidRPr="00937EEC" w14:paraId="23B378F4" w14:textId="77777777" w:rsidTr="004A2BE2">
        <w:trPr>
          <w:trHeight w:val="127"/>
        </w:trPr>
        <w:tc>
          <w:tcPr>
            <w:tcW w:w="2263" w:type="dxa"/>
            <w:tcBorders>
              <w:right w:val="single" w:sz="4" w:space="0" w:color="auto"/>
            </w:tcBorders>
            <w:vAlign w:val="center"/>
          </w:tcPr>
          <w:p w14:paraId="75C4FFF3" w14:textId="77777777" w:rsidR="00937EEC" w:rsidRPr="00937EEC" w:rsidRDefault="00937EEC" w:rsidP="00937EEC">
            <w:pPr>
              <w:jc w:val="left"/>
              <w:rPr>
                <w:rFonts w:ascii="Arial Narrow" w:eastAsiaTheme="majorEastAsia" w:hAnsi="Arial Narrow" w:cstheme="majorBidi"/>
                <w:bCs/>
                <w:sz w:val="20"/>
              </w:rPr>
            </w:pPr>
            <w:r w:rsidRPr="00937EEC">
              <w:rPr>
                <w:rFonts w:ascii="Arial Narrow" w:eastAsiaTheme="majorEastAsia" w:hAnsi="Arial Narrow" w:cstheme="majorBidi"/>
                <w:bCs/>
                <w:sz w:val="20"/>
              </w:rPr>
              <w:t>Thrombocytopenia</w:t>
            </w:r>
          </w:p>
        </w:tc>
        <w:tc>
          <w:tcPr>
            <w:tcW w:w="1134" w:type="dxa"/>
            <w:tcBorders>
              <w:left w:val="single" w:sz="4" w:space="0" w:color="auto"/>
              <w:right w:val="single" w:sz="4" w:space="0" w:color="auto"/>
            </w:tcBorders>
            <w:vAlign w:val="center"/>
          </w:tcPr>
          <w:p w14:paraId="219BF308"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88 (25.5)</w:t>
            </w:r>
          </w:p>
        </w:tc>
        <w:tc>
          <w:tcPr>
            <w:tcW w:w="1134" w:type="dxa"/>
            <w:tcBorders>
              <w:left w:val="single" w:sz="4" w:space="0" w:color="auto"/>
              <w:right w:val="single" w:sz="4" w:space="0" w:color="auto"/>
            </w:tcBorders>
            <w:vAlign w:val="center"/>
          </w:tcPr>
          <w:p w14:paraId="76C74728"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0 (0)</w:t>
            </w:r>
          </w:p>
        </w:tc>
        <w:tc>
          <w:tcPr>
            <w:tcW w:w="1134" w:type="dxa"/>
            <w:tcBorders>
              <w:left w:val="single" w:sz="4" w:space="0" w:color="auto"/>
              <w:right w:val="single" w:sz="4" w:space="0" w:color="auto"/>
            </w:tcBorders>
            <w:vAlign w:val="center"/>
          </w:tcPr>
          <w:p w14:paraId="5601ADC9"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45 (9.3)</w:t>
            </w:r>
          </w:p>
        </w:tc>
        <w:tc>
          <w:tcPr>
            <w:tcW w:w="1134" w:type="dxa"/>
            <w:tcBorders>
              <w:left w:val="single" w:sz="4" w:space="0" w:color="auto"/>
              <w:right w:val="single" w:sz="4" w:space="0" w:color="auto"/>
            </w:tcBorders>
            <w:vAlign w:val="center"/>
          </w:tcPr>
          <w:p w14:paraId="1974D35C"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6 (2.5)</w:t>
            </w:r>
          </w:p>
        </w:tc>
        <w:tc>
          <w:tcPr>
            <w:tcW w:w="1134" w:type="dxa"/>
            <w:tcBorders>
              <w:left w:val="single" w:sz="4" w:space="0" w:color="auto"/>
              <w:right w:val="single" w:sz="4" w:space="0" w:color="auto"/>
            </w:tcBorders>
            <w:shd w:val="clear" w:color="auto" w:fill="auto"/>
            <w:vAlign w:val="center"/>
          </w:tcPr>
          <w:p w14:paraId="31DD3402"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77 (17.5)</w:t>
            </w:r>
          </w:p>
        </w:tc>
        <w:tc>
          <w:tcPr>
            <w:tcW w:w="1134" w:type="dxa"/>
            <w:tcBorders>
              <w:left w:val="single" w:sz="4" w:space="0" w:color="auto"/>
            </w:tcBorders>
            <w:shd w:val="clear" w:color="auto" w:fill="auto"/>
            <w:vAlign w:val="center"/>
          </w:tcPr>
          <w:p w14:paraId="0E21046D"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6 (2.7)</w:t>
            </w:r>
          </w:p>
        </w:tc>
      </w:tr>
      <w:tr w:rsidR="00937EEC" w:rsidRPr="00937EEC" w14:paraId="601A2D7F" w14:textId="77777777" w:rsidTr="003F7996">
        <w:tc>
          <w:tcPr>
            <w:tcW w:w="2263" w:type="dxa"/>
            <w:tcBorders>
              <w:right w:val="single" w:sz="4" w:space="0" w:color="auto"/>
            </w:tcBorders>
            <w:vAlign w:val="center"/>
          </w:tcPr>
          <w:p w14:paraId="3733FAB0" w14:textId="77777777" w:rsidR="00937EEC" w:rsidRPr="00937EEC" w:rsidRDefault="00937EEC" w:rsidP="00937EEC">
            <w:pPr>
              <w:jc w:val="left"/>
              <w:rPr>
                <w:rFonts w:ascii="Arial Narrow" w:eastAsiaTheme="majorEastAsia" w:hAnsi="Arial Narrow" w:cstheme="majorBidi"/>
                <w:bCs/>
                <w:sz w:val="20"/>
              </w:rPr>
            </w:pPr>
            <w:r w:rsidRPr="00937EEC">
              <w:rPr>
                <w:rFonts w:ascii="Arial Narrow" w:eastAsiaTheme="majorEastAsia" w:hAnsi="Arial Narrow" w:cstheme="majorBidi"/>
                <w:bCs/>
                <w:sz w:val="20"/>
              </w:rPr>
              <w:t>AST increased</w:t>
            </w:r>
          </w:p>
        </w:tc>
        <w:tc>
          <w:tcPr>
            <w:tcW w:w="1134" w:type="dxa"/>
            <w:tcBorders>
              <w:left w:val="single" w:sz="4" w:space="0" w:color="auto"/>
              <w:right w:val="single" w:sz="4" w:space="0" w:color="auto"/>
            </w:tcBorders>
            <w:vAlign w:val="center"/>
          </w:tcPr>
          <w:p w14:paraId="602507CE"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40 (11.6)</w:t>
            </w:r>
          </w:p>
        </w:tc>
        <w:tc>
          <w:tcPr>
            <w:tcW w:w="1134" w:type="dxa"/>
            <w:tcBorders>
              <w:left w:val="single" w:sz="4" w:space="0" w:color="auto"/>
              <w:right w:val="single" w:sz="4" w:space="0" w:color="auto"/>
            </w:tcBorders>
            <w:vAlign w:val="center"/>
          </w:tcPr>
          <w:p w14:paraId="07A949D3"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13 (7.6)</w:t>
            </w:r>
          </w:p>
        </w:tc>
        <w:tc>
          <w:tcPr>
            <w:tcW w:w="1134" w:type="dxa"/>
            <w:tcBorders>
              <w:left w:val="single" w:sz="4" w:space="0" w:color="auto"/>
              <w:right w:val="single" w:sz="4" w:space="0" w:color="auto"/>
            </w:tcBorders>
          </w:tcPr>
          <w:p w14:paraId="0481CAEB"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NR</w:t>
            </w:r>
          </w:p>
        </w:tc>
        <w:tc>
          <w:tcPr>
            <w:tcW w:w="1134" w:type="dxa"/>
            <w:tcBorders>
              <w:left w:val="single" w:sz="4" w:space="0" w:color="auto"/>
              <w:right w:val="single" w:sz="4" w:space="0" w:color="auto"/>
            </w:tcBorders>
          </w:tcPr>
          <w:p w14:paraId="025253BF"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NR</w:t>
            </w:r>
          </w:p>
        </w:tc>
        <w:tc>
          <w:tcPr>
            <w:tcW w:w="1134" w:type="dxa"/>
            <w:tcBorders>
              <w:left w:val="single" w:sz="4" w:space="0" w:color="auto"/>
              <w:right w:val="single" w:sz="4" w:space="0" w:color="auto"/>
            </w:tcBorders>
            <w:shd w:val="clear" w:color="auto" w:fill="auto"/>
            <w:vAlign w:val="center"/>
          </w:tcPr>
          <w:p w14:paraId="2B63669C"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69 (15.6)</w:t>
            </w:r>
          </w:p>
        </w:tc>
        <w:tc>
          <w:tcPr>
            <w:tcW w:w="1134" w:type="dxa"/>
            <w:tcBorders>
              <w:left w:val="single" w:sz="4" w:space="0" w:color="auto"/>
            </w:tcBorders>
            <w:shd w:val="clear" w:color="auto" w:fill="auto"/>
            <w:vAlign w:val="center"/>
          </w:tcPr>
          <w:p w14:paraId="1F642633"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16 (7.2)</w:t>
            </w:r>
          </w:p>
        </w:tc>
      </w:tr>
      <w:tr w:rsidR="00937EEC" w:rsidRPr="00937EEC" w14:paraId="483046D6" w14:textId="77777777" w:rsidTr="003F7996">
        <w:tc>
          <w:tcPr>
            <w:tcW w:w="2263" w:type="dxa"/>
            <w:tcBorders>
              <w:bottom w:val="single" w:sz="4" w:space="0" w:color="auto"/>
              <w:right w:val="single" w:sz="4" w:space="0" w:color="auto"/>
            </w:tcBorders>
            <w:vAlign w:val="center"/>
          </w:tcPr>
          <w:p w14:paraId="6750391A" w14:textId="77777777" w:rsidR="00937EEC" w:rsidRPr="00937EEC" w:rsidRDefault="00937EEC" w:rsidP="00937EEC">
            <w:pPr>
              <w:jc w:val="left"/>
              <w:rPr>
                <w:rFonts w:ascii="Arial Narrow" w:eastAsiaTheme="majorEastAsia" w:hAnsi="Arial Narrow" w:cstheme="majorBidi"/>
                <w:bCs/>
                <w:sz w:val="20"/>
              </w:rPr>
            </w:pPr>
            <w:r w:rsidRPr="00937EEC">
              <w:rPr>
                <w:rFonts w:ascii="Arial Narrow" w:eastAsiaTheme="majorEastAsia" w:hAnsi="Arial Narrow" w:cstheme="majorBidi"/>
                <w:bCs/>
                <w:sz w:val="20"/>
              </w:rPr>
              <w:t>ECG QT prolonged</w:t>
            </w:r>
          </w:p>
        </w:tc>
        <w:tc>
          <w:tcPr>
            <w:tcW w:w="1134" w:type="dxa"/>
            <w:tcBorders>
              <w:left w:val="single" w:sz="4" w:space="0" w:color="auto"/>
              <w:bottom w:val="single" w:sz="4" w:space="0" w:color="auto"/>
              <w:right w:val="single" w:sz="4" w:space="0" w:color="auto"/>
            </w:tcBorders>
            <w:vAlign w:val="center"/>
          </w:tcPr>
          <w:p w14:paraId="0BAB7DBB"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1 (0.3)</w:t>
            </w:r>
          </w:p>
        </w:tc>
        <w:tc>
          <w:tcPr>
            <w:tcW w:w="1134" w:type="dxa"/>
            <w:tcBorders>
              <w:left w:val="single" w:sz="4" w:space="0" w:color="auto"/>
              <w:bottom w:val="single" w:sz="4" w:space="0" w:color="auto"/>
              <w:right w:val="single" w:sz="4" w:space="0" w:color="auto"/>
            </w:tcBorders>
            <w:vAlign w:val="center"/>
          </w:tcPr>
          <w:p w14:paraId="4D0315E5"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0 (0)</w:t>
            </w:r>
          </w:p>
        </w:tc>
        <w:tc>
          <w:tcPr>
            <w:tcW w:w="1134" w:type="dxa"/>
            <w:tcBorders>
              <w:left w:val="single" w:sz="4" w:space="0" w:color="auto"/>
              <w:right w:val="single" w:sz="4" w:space="0" w:color="auto"/>
            </w:tcBorders>
            <w:vAlign w:val="center"/>
          </w:tcPr>
          <w:p w14:paraId="0A6BDD6B"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41 (8.5)</w:t>
            </w:r>
          </w:p>
        </w:tc>
        <w:tc>
          <w:tcPr>
            <w:tcW w:w="1134" w:type="dxa"/>
            <w:tcBorders>
              <w:left w:val="single" w:sz="4" w:space="0" w:color="auto"/>
              <w:right w:val="single" w:sz="4" w:space="0" w:color="auto"/>
            </w:tcBorders>
            <w:vAlign w:val="center"/>
          </w:tcPr>
          <w:p w14:paraId="671A0293"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5 (2.1)</w:t>
            </w:r>
          </w:p>
        </w:tc>
        <w:tc>
          <w:tcPr>
            <w:tcW w:w="1134" w:type="dxa"/>
            <w:tcBorders>
              <w:left w:val="single" w:sz="4" w:space="0" w:color="auto"/>
              <w:right w:val="single" w:sz="4" w:space="0" w:color="auto"/>
            </w:tcBorders>
            <w:shd w:val="clear" w:color="auto" w:fill="auto"/>
            <w:vAlign w:val="center"/>
          </w:tcPr>
          <w:p w14:paraId="6BE19DC9"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0</w:t>
            </w:r>
          </w:p>
        </w:tc>
        <w:tc>
          <w:tcPr>
            <w:tcW w:w="1134" w:type="dxa"/>
            <w:tcBorders>
              <w:left w:val="single" w:sz="4" w:space="0" w:color="auto"/>
            </w:tcBorders>
            <w:shd w:val="clear" w:color="auto" w:fill="auto"/>
            <w:vAlign w:val="center"/>
          </w:tcPr>
          <w:p w14:paraId="496F26CC"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0</w:t>
            </w:r>
          </w:p>
        </w:tc>
      </w:tr>
      <w:tr w:rsidR="004A2BE2" w:rsidRPr="00937EEC" w14:paraId="6AF7F66C" w14:textId="77777777" w:rsidTr="002402D7">
        <w:tc>
          <w:tcPr>
            <w:tcW w:w="2263" w:type="dxa"/>
            <w:vMerge w:val="restart"/>
            <w:vAlign w:val="center"/>
          </w:tcPr>
          <w:p w14:paraId="7F1A5AB4" w14:textId="2043BBAD" w:rsidR="004A2BE2" w:rsidRPr="00937EEC" w:rsidRDefault="004A2BE2" w:rsidP="00937EEC">
            <w:pPr>
              <w:keepNext/>
              <w:jc w:val="left"/>
              <w:rPr>
                <w:rFonts w:ascii="Arial Narrow" w:eastAsiaTheme="majorEastAsia" w:hAnsi="Arial Narrow" w:cstheme="majorBidi"/>
                <w:b/>
                <w:sz w:val="20"/>
              </w:rPr>
            </w:pPr>
            <w:r w:rsidRPr="00937EEC">
              <w:rPr>
                <w:rFonts w:ascii="Arial Narrow" w:eastAsiaTheme="majorEastAsia" w:hAnsi="Arial Narrow" w:cstheme="majorBidi"/>
                <w:b/>
                <w:sz w:val="20"/>
              </w:rPr>
              <w:t>TEAE (any CTCAE grade)</w:t>
            </w:r>
          </w:p>
        </w:tc>
        <w:tc>
          <w:tcPr>
            <w:tcW w:w="6804" w:type="dxa"/>
            <w:gridSpan w:val="6"/>
            <w:vAlign w:val="center"/>
          </w:tcPr>
          <w:p w14:paraId="311698DD" w14:textId="77777777" w:rsidR="004A2BE2" w:rsidRPr="00937EEC" w:rsidRDefault="004A2BE2" w:rsidP="00937EEC">
            <w:pPr>
              <w:jc w:val="center"/>
              <w:rPr>
                <w:rFonts w:ascii="Arial Narrow" w:eastAsiaTheme="majorEastAsia" w:hAnsi="Arial Narrow" w:cstheme="majorBidi"/>
                <w:b/>
                <w:sz w:val="20"/>
              </w:rPr>
            </w:pPr>
            <w:r w:rsidRPr="00937EEC">
              <w:rPr>
                <w:rFonts w:ascii="Arial Narrow" w:eastAsiaTheme="majorEastAsia" w:hAnsi="Arial Narrow" w:cstheme="majorBidi"/>
                <w:b/>
                <w:sz w:val="20"/>
              </w:rPr>
              <w:t>Indirect comparison</w:t>
            </w:r>
          </w:p>
          <w:p w14:paraId="4AF3184C" w14:textId="77777777" w:rsidR="004A2BE2" w:rsidRPr="00937EEC" w:rsidRDefault="004A2BE2" w:rsidP="00937EEC">
            <w:pPr>
              <w:jc w:val="center"/>
              <w:rPr>
                <w:rFonts w:ascii="Arial Narrow" w:eastAsiaTheme="majorEastAsia" w:hAnsi="Arial Narrow" w:cstheme="majorBidi"/>
                <w:b/>
                <w:sz w:val="20"/>
              </w:rPr>
            </w:pPr>
            <w:r w:rsidRPr="00937EEC">
              <w:rPr>
                <w:rFonts w:ascii="Arial Narrow" w:eastAsiaTheme="majorEastAsia" w:hAnsi="Arial Narrow" w:cstheme="majorBidi"/>
                <w:b/>
                <w:sz w:val="20"/>
              </w:rPr>
              <w:t>RR (indirect, IV, random) (95% CI)</w:t>
            </w:r>
          </w:p>
        </w:tc>
      </w:tr>
      <w:tr w:rsidR="004A2BE2" w:rsidRPr="00937EEC" w14:paraId="2CD65046" w14:textId="77777777" w:rsidTr="002402D7">
        <w:tc>
          <w:tcPr>
            <w:tcW w:w="2263" w:type="dxa"/>
            <w:vMerge/>
            <w:vAlign w:val="center"/>
          </w:tcPr>
          <w:p w14:paraId="45B56CC5" w14:textId="76290F7A" w:rsidR="004A2BE2" w:rsidRPr="00937EEC" w:rsidRDefault="004A2BE2" w:rsidP="00937EEC">
            <w:pPr>
              <w:keepNext/>
              <w:jc w:val="left"/>
              <w:rPr>
                <w:rFonts w:ascii="Arial Narrow" w:eastAsiaTheme="majorEastAsia" w:hAnsi="Arial Narrow" w:cstheme="majorBidi"/>
                <w:b/>
                <w:sz w:val="20"/>
              </w:rPr>
            </w:pPr>
          </w:p>
        </w:tc>
        <w:tc>
          <w:tcPr>
            <w:tcW w:w="3402" w:type="dxa"/>
            <w:gridSpan w:val="3"/>
            <w:vAlign w:val="center"/>
          </w:tcPr>
          <w:p w14:paraId="5C1A8BD2" w14:textId="77777777" w:rsidR="004A2BE2" w:rsidRPr="00937EEC" w:rsidRDefault="004A2BE2" w:rsidP="00937EEC">
            <w:pPr>
              <w:jc w:val="center"/>
              <w:rPr>
                <w:rFonts w:ascii="Arial Narrow" w:eastAsiaTheme="majorEastAsia" w:hAnsi="Arial Narrow" w:cstheme="majorBidi"/>
                <w:b/>
                <w:sz w:val="20"/>
              </w:rPr>
            </w:pPr>
            <w:r w:rsidRPr="00937EEC">
              <w:rPr>
                <w:rFonts w:ascii="Arial Narrow" w:eastAsiaTheme="majorEastAsia" w:hAnsi="Arial Narrow" w:cstheme="majorBidi"/>
                <w:b/>
                <w:sz w:val="20"/>
              </w:rPr>
              <w:t>PAL vs. RIB</w:t>
            </w:r>
          </w:p>
        </w:tc>
        <w:tc>
          <w:tcPr>
            <w:tcW w:w="3402" w:type="dxa"/>
            <w:gridSpan w:val="3"/>
            <w:vAlign w:val="center"/>
          </w:tcPr>
          <w:p w14:paraId="0172D15B" w14:textId="77777777" w:rsidR="004A2BE2" w:rsidRPr="00937EEC" w:rsidRDefault="004A2BE2" w:rsidP="00937EEC">
            <w:pPr>
              <w:jc w:val="center"/>
              <w:rPr>
                <w:rFonts w:ascii="Arial Narrow" w:eastAsiaTheme="majorEastAsia" w:hAnsi="Arial Narrow" w:cstheme="majorBidi"/>
                <w:b/>
                <w:sz w:val="20"/>
              </w:rPr>
            </w:pPr>
            <w:r w:rsidRPr="00937EEC">
              <w:rPr>
                <w:rFonts w:ascii="Arial Narrow" w:eastAsiaTheme="majorEastAsia" w:hAnsi="Arial Narrow" w:cstheme="majorBidi"/>
                <w:b/>
                <w:sz w:val="20"/>
              </w:rPr>
              <w:t>PAL vs. ABE</w:t>
            </w:r>
          </w:p>
        </w:tc>
      </w:tr>
      <w:tr w:rsidR="00937EEC" w:rsidRPr="00937EEC" w14:paraId="0415137F" w14:textId="77777777" w:rsidTr="004A2BE2">
        <w:tc>
          <w:tcPr>
            <w:tcW w:w="2263" w:type="dxa"/>
            <w:vAlign w:val="center"/>
          </w:tcPr>
          <w:p w14:paraId="34D25A75" w14:textId="77777777" w:rsidR="00937EEC" w:rsidRPr="00937EEC" w:rsidRDefault="00937EEC" w:rsidP="00937EEC">
            <w:pPr>
              <w:jc w:val="left"/>
              <w:rPr>
                <w:rFonts w:ascii="Arial Narrow" w:eastAsiaTheme="majorEastAsia" w:hAnsi="Arial Narrow" w:cstheme="majorBidi"/>
                <w:bCs/>
                <w:sz w:val="20"/>
              </w:rPr>
            </w:pPr>
            <w:r w:rsidRPr="00937EEC">
              <w:rPr>
                <w:rFonts w:ascii="Arial Narrow" w:eastAsiaTheme="majorEastAsia" w:hAnsi="Arial Narrow" w:cstheme="majorBidi"/>
                <w:bCs/>
                <w:sz w:val="20"/>
              </w:rPr>
              <w:t>Any TEAE</w:t>
            </w:r>
          </w:p>
        </w:tc>
        <w:tc>
          <w:tcPr>
            <w:tcW w:w="3402" w:type="dxa"/>
            <w:gridSpan w:val="3"/>
            <w:vAlign w:val="center"/>
          </w:tcPr>
          <w:p w14:paraId="04E5155C"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0.98 (0.92, 1.04)</w:t>
            </w:r>
          </w:p>
        </w:tc>
        <w:tc>
          <w:tcPr>
            <w:tcW w:w="3402" w:type="dxa"/>
            <w:gridSpan w:val="3"/>
            <w:vAlign w:val="center"/>
          </w:tcPr>
          <w:p w14:paraId="637113E5"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0.97 (0.92, 1.03)</w:t>
            </w:r>
          </w:p>
        </w:tc>
      </w:tr>
      <w:tr w:rsidR="00937EEC" w:rsidRPr="00937EEC" w14:paraId="37AFCF07" w14:textId="77777777" w:rsidTr="004A2BE2">
        <w:tc>
          <w:tcPr>
            <w:tcW w:w="2263" w:type="dxa"/>
            <w:vAlign w:val="center"/>
          </w:tcPr>
          <w:p w14:paraId="37999C18" w14:textId="77777777" w:rsidR="00937EEC" w:rsidRPr="00937EEC" w:rsidRDefault="00937EEC" w:rsidP="00937EEC">
            <w:pPr>
              <w:jc w:val="left"/>
              <w:rPr>
                <w:rFonts w:ascii="Arial Narrow" w:eastAsiaTheme="majorEastAsia" w:hAnsi="Arial Narrow" w:cstheme="majorBidi"/>
                <w:bCs/>
                <w:sz w:val="20"/>
              </w:rPr>
            </w:pPr>
            <w:r w:rsidRPr="00937EEC">
              <w:rPr>
                <w:rFonts w:ascii="Arial Narrow" w:eastAsiaTheme="majorEastAsia" w:hAnsi="Arial Narrow" w:cstheme="majorBidi"/>
                <w:bCs/>
                <w:sz w:val="20"/>
              </w:rPr>
              <w:t>Neutropenia</w:t>
            </w:r>
          </w:p>
        </w:tc>
        <w:tc>
          <w:tcPr>
            <w:tcW w:w="3402" w:type="dxa"/>
            <w:gridSpan w:val="3"/>
            <w:vAlign w:val="center"/>
          </w:tcPr>
          <w:p w14:paraId="1B061DF6"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1.25 (0.45, 3.45)</w:t>
            </w:r>
          </w:p>
        </w:tc>
        <w:tc>
          <w:tcPr>
            <w:tcW w:w="3402" w:type="dxa"/>
            <w:gridSpan w:val="3"/>
            <w:vAlign w:val="center"/>
          </w:tcPr>
          <w:p w14:paraId="54B826A8"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1.96 (0.71, 5.4)</w:t>
            </w:r>
          </w:p>
        </w:tc>
      </w:tr>
      <w:tr w:rsidR="00937EEC" w:rsidRPr="00937EEC" w14:paraId="43E812EC" w14:textId="77777777" w:rsidTr="004A2BE2">
        <w:tc>
          <w:tcPr>
            <w:tcW w:w="2263" w:type="dxa"/>
            <w:vAlign w:val="center"/>
          </w:tcPr>
          <w:p w14:paraId="6EA60AC5" w14:textId="77777777" w:rsidR="00937EEC" w:rsidRPr="00937EEC" w:rsidRDefault="00937EEC" w:rsidP="00937EEC">
            <w:pPr>
              <w:jc w:val="left"/>
              <w:rPr>
                <w:rFonts w:ascii="Arial Narrow" w:eastAsiaTheme="majorEastAsia" w:hAnsi="Arial Narrow" w:cstheme="majorBidi"/>
                <w:bCs/>
                <w:sz w:val="20"/>
              </w:rPr>
            </w:pPr>
            <w:r w:rsidRPr="00937EEC">
              <w:rPr>
                <w:rFonts w:ascii="Arial Narrow" w:eastAsiaTheme="majorEastAsia" w:hAnsi="Arial Narrow" w:cstheme="majorBidi"/>
                <w:bCs/>
                <w:sz w:val="20"/>
              </w:rPr>
              <w:t>Leukopenia</w:t>
            </w:r>
          </w:p>
        </w:tc>
        <w:tc>
          <w:tcPr>
            <w:tcW w:w="3402" w:type="dxa"/>
            <w:gridSpan w:val="3"/>
            <w:vAlign w:val="center"/>
          </w:tcPr>
          <w:p w14:paraId="72F80F7D"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0.59 (0.18, 1.89)</w:t>
            </w:r>
          </w:p>
        </w:tc>
        <w:tc>
          <w:tcPr>
            <w:tcW w:w="3402" w:type="dxa"/>
            <w:gridSpan w:val="3"/>
            <w:vAlign w:val="center"/>
          </w:tcPr>
          <w:p w14:paraId="31772C37"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0.62 (0.19, 2.00)</w:t>
            </w:r>
          </w:p>
        </w:tc>
      </w:tr>
      <w:tr w:rsidR="00937EEC" w:rsidRPr="00937EEC" w14:paraId="347BE2B7" w14:textId="77777777" w:rsidTr="004A2BE2">
        <w:tc>
          <w:tcPr>
            <w:tcW w:w="2263" w:type="dxa"/>
            <w:vAlign w:val="center"/>
          </w:tcPr>
          <w:p w14:paraId="392AB283" w14:textId="77777777" w:rsidR="00937EEC" w:rsidRPr="00937EEC" w:rsidRDefault="00937EEC" w:rsidP="00937EEC">
            <w:pPr>
              <w:jc w:val="left"/>
              <w:rPr>
                <w:rFonts w:ascii="Arial Narrow" w:eastAsiaTheme="majorEastAsia" w:hAnsi="Arial Narrow" w:cstheme="majorBidi"/>
                <w:bCs/>
                <w:sz w:val="20"/>
              </w:rPr>
            </w:pPr>
            <w:r w:rsidRPr="00937EEC">
              <w:rPr>
                <w:rFonts w:ascii="Arial Narrow" w:eastAsiaTheme="majorEastAsia" w:hAnsi="Arial Narrow" w:cstheme="majorBidi"/>
                <w:bCs/>
                <w:sz w:val="20"/>
              </w:rPr>
              <w:t>Anaemia</w:t>
            </w:r>
          </w:p>
        </w:tc>
        <w:tc>
          <w:tcPr>
            <w:tcW w:w="3402" w:type="dxa"/>
            <w:gridSpan w:val="3"/>
            <w:vAlign w:val="center"/>
          </w:tcPr>
          <w:p w14:paraId="360F3012"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0.98 (0.54, 1.79)</w:t>
            </w:r>
          </w:p>
        </w:tc>
        <w:tc>
          <w:tcPr>
            <w:tcW w:w="3402" w:type="dxa"/>
            <w:gridSpan w:val="3"/>
            <w:vAlign w:val="center"/>
          </w:tcPr>
          <w:p w14:paraId="7FB3EC44"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0.29 (0.14, 0.61)</w:t>
            </w:r>
          </w:p>
        </w:tc>
      </w:tr>
      <w:tr w:rsidR="00937EEC" w:rsidRPr="00937EEC" w14:paraId="24ABF620" w14:textId="77777777" w:rsidTr="004A2BE2">
        <w:tc>
          <w:tcPr>
            <w:tcW w:w="2263" w:type="dxa"/>
            <w:vAlign w:val="center"/>
          </w:tcPr>
          <w:p w14:paraId="0FB5639F" w14:textId="77777777" w:rsidR="00937EEC" w:rsidRPr="00937EEC" w:rsidRDefault="00937EEC" w:rsidP="00937EEC">
            <w:pPr>
              <w:jc w:val="left"/>
              <w:rPr>
                <w:rFonts w:ascii="Arial Narrow" w:eastAsiaTheme="majorEastAsia" w:hAnsi="Arial Narrow" w:cstheme="majorBidi"/>
                <w:bCs/>
                <w:sz w:val="20"/>
              </w:rPr>
            </w:pPr>
            <w:r w:rsidRPr="00937EEC">
              <w:rPr>
                <w:rFonts w:ascii="Arial Narrow" w:eastAsiaTheme="majorEastAsia" w:hAnsi="Arial Narrow" w:cstheme="majorBidi"/>
                <w:bCs/>
                <w:sz w:val="20"/>
              </w:rPr>
              <w:t>Diarrhoea</w:t>
            </w:r>
          </w:p>
        </w:tc>
        <w:tc>
          <w:tcPr>
            <w:tcW w:w="3402" w:type="dxa"/>
            <w:gridSpan w:val="3"/>
            <w:vAlign w:val="center"/>
          </w:tcPr>
          <w:p w14:paraId="3CBB75C5"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0.74 (0.48,1.16)</w:t>
            </w:r>
          </w:p>
        </w:tc>
        <w:tc>
          <w:tcPr>
            <w:tcW w:w="3402" w:type="dxa"/>
            <w:gridSpan w:val="3"/>
            <w:vAlign w:val="center"/>
          </w:tcPr>
          <w:p w14:paraId="7EA1EA71"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0.43 (0.29, 0.64)</w:t>
            </w:r>
          </w:p>
        </w:tc>
      </w:tr>
      <w:tr w:rsidR="00937EEC" w:rsidRPr="00937EEC" w14:paraId="4E41DA7D" w14:textId="77777777" w:rsidTr="004A2BE2">
        <w:tc>
          <w:tcPr>
            <w:tcW w:w="2263" w:type="dxa"/>
            <w:vAlign w:val="center"/>
          </w:tcPr>
          <w:p w14:paraId="740DF3E0" w14:textId="77777777" w:rsidR="00937EEC" w:rsidRPr="00937EEC" w:rsidRDefault="00937EEC" w:rsidP="00937EEC">
            <w:pPr>
              <w:jc w:val="left"/>
              <w:rPr>
                <w:rFonts w:ascii="Arial Narrow" w:eastAsiaTheme="majorEastAsia" w:hAnsi="Arial Narrow" w:cstheme="majorBidi"/>
                <w:bCs/>
                <w:sz w:val="20"/>
              </w:rPr>
            </w:pPr>
            <w:r w:rsidRPr="00937EEC">
              <w:rPr>
                <w:rFonts w:ascii="Arial Narrow" w:eastAsiaTheme="majorEastAsia" w:hAnsi="Arial Narrow" w:cstheme="majorBidi"/>
                <w:bCs/>
                <w:sz w:val="20"/>
              </w:rPr>
              <w:t>ECG QT prolonged</w:t>
            </w:r>
          </w:p>
        </w:tc>
        <w:tc>
          <w:tcPr>
            <w:tcW w:w="3402" w:type="dxa"/>
            <w:gridSpan w:val="3"/>
            <w:vAlign w:val="center"/>
          </w:tcPr>
          <w:p w14:paraId="5651D8CD"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0.37 (0.01, 10.18)</w:t>
            </w:r>
          </w:p>
        </w:tc>
        <w:tc>
          <w:tcPr>
            <w:tcW w:w="3402" w:type="dxa"/>
            <w:gridSpan w:val="3"/>
            <w:vAlign w:val="center"/>
          </w:tcPr>
          <w:p w14:paraId="1CF71734" w14:textId="77777777" w:rsidR="00937EEC" w:rsidRPr="00937EEC" w:rsidRDefault="00937EEC" w:rsidP="00937EEC">
            <w:pPr>
              <w:jc w:val="center"/>
              <w:rPr>
                <w:rFonts w:ascii="Arial Narrow" w:eastAsiaTheme="majorEastAsia" w:hAnsi="Arial Narrow" w:cstheme="majorBidi"/>
                <w:bCs/>
                <w:sz w:val="20"/>
              </w:rPr>
            </w:pPr>
            <w:r w:rsidRPr="00937EEC">
              <w:rPr>
                <w:rFonts w:ascii="Arial Narrow" w:eastAsiaTheme="majorEastAsia" w:hAnsi="Arial Narrow" w:cstheme="majorBidi"/>
                <w:bCs/>
                <w:sz w:val="20"/>
              </w:rPr>
              <w:t>−</w:t>
            </w:r>
          </w:p>
        </w:tc>
      </w:tr>
    </w:tbl>
    <w:p w14:paraId="4F67DAE1" w14:textId="2A0DA873" w:rsidR="00937EEC" w:rsidRPr="00937EEC" w:rsidRDefault="00937EEC" w:rsidP="00C924FD">
      <w:pPr>
        <w:pStyle w:val="TableFigureFooter"/>
      </w:pPr>
      <w:r w:rsidRPr="00937EEC">
        <w:lastRenderedPageBreak/>
        <w:t xml:space="preserve">Source: Excel workbook ‘Attachment 4 Section 2 Indirect Treatment </w:t>
      </w:r>
      <w:r w:rsidR="00353741" w:rsidRPr="00937EEC">
        <w:t>Comparison</w:t>
      </w:r>
      <w:r w:rsidRPr="00937EEC">
        <w:t xml:space="preserve">’ of the submission; Table 24, pp77-78 in Palbociclib (A5481023) CSR Main Body Abbreviated (data </w:t>
      </w:r>
      <w:r w:rsidR="00353741" w:rsidRPr="00937EEC">
        <w:t>cut-off</w:t>
      </w:r>
      <w:r w:rsidRPr="00937EEC">
        <w:t xml:space="preserve"> 13 April 2018), 19 September 2018; Supplementary Table 2 in </w:t>
      </w:r>
      <w:proofErr w:type="spellStart"/>
      <w:r w:rsidRPr="00937EEC">
        <w:t>Slamon</w:t>
      </w:r>
      <w:proofErr w:type="spellEnd"/>
      <w:r w:rsidRPr="00937EEC">
        <w:t xml:space="preserve"> 2021; </w:t>
      </w:r>
      <w:proofErr w:type="spellStart"/>
      <w:r w:rsidRPr="00937EEC">
        <w:t>eTable</w:t>
      </w:r>
      <w:proofErr w:type="spellEnd"/>
      <w:r w:rsidRPr="00937EEC">
        <w:t xml:space="preserve"> 2 in Supplement 2 of Sledge 2020</w:t>
      </w:r>
    </w:p>
    <w:p w14:paraId="5E44D209" w14:textId="77777777" w:rsidR="00937EEC" w:rsidRPr="00937EEC" w:rsidRDefault="00937EEC" w:rsidP="00C924FD">
      <w:pPr>
        <w:pStyle w:val="TableFigureFooter"/>
        <w:rPr>
          <w:rFonts w:eastAsia="Calibri"/>
        </w:rPr>
      </w:pPr>
      <w:r w:rsidRPr="00937EEC">
        <w:rPr>
          <w:rFonts w:eastAsia="Calibri"/>
        </w:rPr>
        <w:t xml:space="preserve">ABE = </w:t>
      </w:r>
      <w:proofErr w:type="spellStart"/>
      <w:r w:rsidRPr="00937EEC">
        <w:rPr>
          <w:rFonts w:eastAsia="Calibri"/>
        </w:rPr>
        <w:t>abemaciclib</w:t>
      </w:r>
      <w:proofErr w:type="spellEnd"/>
      <w:r w:rsidRPr="00937EEC">
        <w:rPr>
          <w:rFonts w:eastAsia="Calibri"/>
        </w:rPr>
        <w:t>; AE = adverse event;</w:t>
      </w:r>
      <w:r w:rsidRPr="00937EEC">
        <w:t xml:space="preserve"> AST = </w:t>
      </w:r>
      <w:r w:rsidRPr="00937EEC">
        <w:rPr>
          <w:rFonts w:eastAsia="Calibri"/>
        </w:rPr>
        <w:t xml:space="preserve">Aspartate Aminotransferase; CI = confidence interval; CTCAE = Common Terminology Criteria for Adverse Events; ECG = electrocardiogram; FU = follow-up; FUL = </w:t>
      </w:r>
      <w:proofErr w:type="spellStart"/>
      <w:r w:rsidRPr="00937EEC">
        <w:rPr>
          <w:rFonts w:eastAsia="Calibri"/>
        </w:rPr>
        <w:t>fulvestrant</w:t>
      </w:r>
      <w:proofErr w:type="spellEnd"/>
      <w:r w:rsidRPr="00937EEC">
        <w:rPr>
          <w:rFonts w:eastAsia="Calibri"/>
        </w:rPr>
        <w:t xml:space="preserve">; IV = inverse variance; PAL = </w:t>
      </w:r>
      <w:proofErr w:type="spellStart"/>
      <w:r w:rsidRPr="00937EEC">
        <w:rPr>
          <w:rFonts w:eastAsia="Calibri"/>
        </w:rPr>
        <w:t>palbociclib</w:t>
      </w:r>
      <w:proofErr w:type="spellEnd"/>
      <w:r w:rsidRPr="00937EEC">
        <w:rPr>
          <w:rFonts w:eastAsia="Calibri"/>
        </w:rPr>
        <w:t xml:space="preserve">; PBO = placebo; n = number of patients with event; N = number of total participants in group; NR = not reported; PAL = </w:t>
      </w:r>
      <w:proofErr w:type="spellStart"/>
      <w:r w:rsidRPr="00937EEC">
        <w:rPr>
          <w:rFonts w:eastAsia="Calibri"/>
        </w:rPr>
        <w:t>palbociclib</w:t>
      </w:r>
      <w:proofErr w:type="spellEnd"/>
      <w:r w:rsidRPr="00937EEC">
        <w:rPr>
          <w:rFonts w:eastAsia="Calibri"/>
        </w:rPr>
        <w:t xml:space="preserve">; RIB = </w:t>
      </w:r>
      <w:proofErr w:type="spellStart"/>
      <w:r w:rsidRPr="00937EEC">
        <w:rPr>
          <w:rFonts w:eastAsia="Calibri"/>
        </w:rPr>
        <w:t>ribociclib</w:t>
      </w:r>
      <w:proofErr w:type="spellEnd"/>
      <w:r w:rsidRPr="00937EEC">
        <w:rPr>
          <w:rFonts w:eastAsia="Calibri"/>
        </w:rPr>
        <w:t>; TEAE = treatment-emergent adverse event</w:t>
      </w:r>
    </w:p>
    <w:p w14:paraId="113A9D7B" w14:textId="77777777" w:rsidR="00937EEC" w:rsidRPr="00937EEC" w:rsidRDefault="00937EEC" w:rsidP="00C924FD">
      <w:pPr>
        <w:pStyle w:val="TableFigureFooter"/>
        <w:rPr>
          <w:rFonts w:eastAsia="Calibri"/>
        </w:rPr>
      </w:pPr>
      <w:r w:rsidRPr="00937EEC">
        <w:rPr>
          <w:rFonts w:eastAsia="Calibri"/>
          <w:vertAlign w:val="superscript"/>
        </w:rPr>
        <w:t>a</w:t>
      </w:r>
      <w:r w:rsidRPr="00937EEC">
        <w:rPr>
          <w:rFonts w:eastAsia="Calibri"/>
        </w:rPr>
        <w:t xml:space="preserve"> TEAEs in ≥10% of patients in either treatment group by CTCAE grade (all-causality, all cycles) in the PALOMA-3 trial.</w:t>
      </w:r>
    </w:p>
    <w:p w14:paraId="10B834FA" w14:textId="2764CA2C" w:rsidR="00937EEC" w:rsidRPr="00937EEC" w:rsidRDefault="003F7996" w:rsidP="00C924FD">
      <w:pPr>
        <w:pStyle w:val="TableFigureFooter"/>
      </w:pPr>
      <w:bookmarkStart w:id="39" w:name="_Hlk89698694"/>
      <w:r>
        <w:rPr>
          <w:vertAlign w:val="superscript"/>
        </w:rPr>
        <w:t>b</w:t>
      </w:r>
      <w:r>
        <w:t xml:space="preserve"> </w:t>
      </w:r>
      <w:r w:rsidR="00937EEC" w:rsidRPr="00937EEC">
        <w:t>Data were previously seen by the PBAC (MONARCH 2: March 2021 PBAC Meeting).</w:t>
      </w:r>
    </w:p>
    <w:p w14:paraId="05D524A1" w14:textId="77777777" w:rsidR="00937EEC" w:rsidRPr="00937EEC" w:rsidRDefault="00937EEC" w:rsidP="00C924FD">
      <w:pPr>
        <w:pStyle w:val="4-SubsectionHeading"/>
      </w:pPr>
      <w:bookmarkStart w:id="40" w:name="_Toc22897643"/>
      <w:bookmarkStart w:id="41" w:name="_Toc93397668"/>
      <w:bookmarkEnd w:id="39"/>
      <w:r w:rsidRPr="00937EEC">
        <w:t>Benefits/harms</w:t>
      </w:r>
      <w:bookmarkEnd w:id="40"/>
      <w:bookmarkEnd w:id="41"/>
    </w:p>
    <w:p w14:paraId="5CEAE4BE" w14:textId="2ABFB3D2" w:rsidR="00937EEC" w:rsidRPr="00081A39" w:rsidRDefault="00937EEC" w:rsidP="00C924FD">
      <w:pPr>
        <w:pStyle w:val="3-BodyText"/>
      </w:pPr>
      <w:r w:rsidRPr="00937EEC">
        <w:rPr>
          <w:lang w:val="en-US"/>
        </w:rPr>
        <w:t>A benefits/harms table has not been presented</w:t>
      </w:r>
      <w:r w:rsidR="00F90B8E">
        <w:rPr>
          <w:lang w:val="en-US"/>
        </w:rPr>
        <w:t xml:space="preserve"> </w:t>
      </w:r>
      <w:r w:rsidRPr="00081A39">
        <w:rPr>
          <w:lang w:val="en-US"/>
        </w:rPr>
        <w:t xml:space="preserve">as the clinical claim </w:t>
      </w:r>
      <w:r w:rsidR="00F21720">
        <w:rPr>
          <w:lang w:val="en-US"/>
        </w:rPr>
        <w:t>wa</w:t>
      </w:r>
      <w:r w:rsidRPr="00081A39">
        <w:rPr>
          <w:lang w:val="en-US"/>
        </w:rPr>
        <w:t>s of non-inferiority.</w:t>
      </w:r>
    </w:p>
    <w:p w14:paraId="3A5625F7" w14:textId="77777777" w:rsidR="00937EEC" w:rsidRPr="00937EEC" w:rsidRDefault="00937EEC" w:rsidP="00C924FD">
      <w:pPr>
        <w:pStyle w:val="4-SubsectionHeading"/>
      </w:pPr>
      <w:bookmarkStart w:id="42" w:name="_Toc22897644"/>
      <w:bookmarkStart w:id="43" w:name="_Toc93397669"/>
      <w:r w:rsidRPr="00937EEC">
        <w:t>Clinical claim</w:t>
      </w:r>
      <w:bookmarkEnd w:id="42"/>
      <w:bookmarkEnd w:id="43"/>
    </w:p>
    <w:p w14:paraId="33149E78" w14:textId="77777777" w:rsidR="00B5753A" w:rsidRPr="00E74253" w:rsidRDefault="00937EEC" w:rsidP="00B5753A">
      <w:pPr>
        <w:pStyle w:val="3-BodyText"/>
        <w:rPr>
          <w:rFonts w:eastAsia="Calibri"/>
        </w:rPr>
      </w:pPr>
      <w:r w:rsidRPr="00E74253">
        <w:rPr>
          <w:rFonts w:eastAsia="Calibri"/>
        </w:rPr>
        <w:t xml:space="preserve">The submission described </w:t>
      </w:r>
      <w:proofErr w:type="spellStart"/>
      <w:r w:rsidRPr="00E74253">
        <w:rPr>
          <w:rFonts w:eastAsia="Calibri"/>
        </w:rPr>
        <w:t>palbociclib</w:t>
      </w:r>
      <w:proofErr w:type="spellEnd"/>
      <w:r w:rsidRPr="00E74253">
        <w:rPr>
          <w:rFonts w:eastAsia="Calibri"/>
        </w:rPr>
        <w:t xml:space="preserve"> plus </w:t>
      </w:r>
      <w:proofErr w:type="spellStart"/>
      <w:r w:rsidRPr="00E74253">
        <w:rPr>
          <w:rFonts w:eastAsia="Calibri"/>
        </w:rPr>
        <w:t>fulvestrant</w:t>
      </w:r>
      <w:proofErr w:type="spellEnd"/>
      <w:r w:rsidRPr="00E74253">
        <w:rPr>
          <w:rFonts w:eastAsia="Calibri"/>
        </w:rPr>
        <w:t xml:space="preserve"> as non-inferior in terms of efficacy to </w:t>
      </w:r>
      <w:proofErr w:type="spellStart"/>
      <w:r w:rsidRPr="00E74253">
        <w:rPr>
          <w:rFonts w:eastAsia="Calibri"/>
        </w:rPr>
        <w:t>ribociclib</w:t>
      </w:r>
      <w:proofErr w:type="spellEnd"/>
      <w:r w:rsidRPr="00E74253">
        <w:rPr>
          <w:rFonts w:eastAsia="Calibri"/>
        </w:rPr>
        <w:t xml:space="preserve"> plus </w:t>
      </w:r>
      <w:proofErr w:type="spellStart"/>
      <w:r w:rsidRPr="00E74253">
        <w:rPr>
          <w:rFonts w:eastAsia="Calibri"/>
        </w:rPr>
        <w:t>fulvestrant</w:t>
      </w:r>
      <w:proofErr w:type="spellEnd"/>
      <w:r w:rsidRPr="00E74253">
        <w:rPr>
          <w:rFonts w:eastAsia="Calibri"/>
        </w:rPr>
        <w:t xml:space="preserve"> and to </w:t>
      </w:r>
      <w:proofErr w:type="spellStart"/>
      <w:r w:rsidRPr="00E74253">
        <w:rPr>
          <w:rFonts w:eastAsia="Calibri"/>
        </w:rPr>
        <w:t>abemaciclib</w:t>
      </w:r>
      <w:proofErr w:type="spellEnd"/>
      <w:r w:rsidRPr="00E74253">
        <w:rPr>
          <w:rFonts w:eastAsia="Calibri"/>
        </w:rPr>
        <w:t xml:space="preserve"> plus </w:t>
      </w:r>
      <w:proofErr w:type="spellStart"/>
      <w:r w:rsidRPr="00E74253">
        <w:rPr>
          <w:rFonts w:eastAsia="Calibri"/>
        </w:rPr>
        <w:t>fulvestrant</w:t>
      </w:r>
      <w:proofErr w:type="spellEnd"/>
      <w:r w:rsidRPr="00E74253">
        <w:rPr>
          <w:rFonts w:eastAsia="Calibri"/>
        </w:rPr>
        <w:t>, in patients with HR+/HER2</w:t>
      </w:r>
      <w:r w:rsidRPr="00E74253">
        <w:rPr>
          <w:rFonts w:eastAsia="Calibri" w:cstheme="minorHAnsi"/>
        </w:rPr>
        <w:t>−</w:t>
      </w:r>
      <w:r w:rsidRPr="00E74253">
        <w:rPr>
          <w:rFonts w:eastAsia="Calibri"/>
        </w:rPr>
        <w:t xml:space="preserve"> inoperable locally advanced or metastatic breast cancer previously treated with endocrine therapy.</w:t>
      </w:r>
    </w:p>
    <w:p w14:paraId="62C042B4" w14:textId="09E63F5E" w:rsidR="00937EEC" w:rsidRPr="00E74253" w:rsidRDefault="00937EEC" w:rsidP="00B5753A">
      <w:pPr>
        <w:pStyle w:val="3-BodyText"/>
        <w:rPr>
          <w:rFonts w:eastAsia="Calibri"/>
        </w:rPr>
      </w:pPr>
      <w:r w:rsidRPr="00E74253">
        <w:rPr>
          <w:rFonts w:eastAsia="Calibri"/>
        </w:rPr>
        <w:t xml:space="preserve">The </w:t>
      </w:r>
      <w:r w:rsidR="00290F46">
        <w:rPr>
          <w:rFonts w:eastAsia="Calibri"/>
        </w:rPr>
        <w:t>PBAC</w:t>
      </w:r>
      <w:r w:rsidR="00290F46" w:rsidRPr="00E74253">
        <w:rPr>
          <w:rFonts w:eastAsia="Calibri"/>
        </w:rPr>
        <w:t xml:space="preserve"> </w:t>
      </w:r>
      <w:r w:rsidR="00D11636" w:rsidRPr="00E74253">
        <w:rPr>
          <w:rFonts w:eastAsia="Calibri"/>
        </w:rPr>
        <w:t xml:space="preserve">considered that the </w:t>
      </w:r>
      <w:r w:rsidRPr="00E74253">
        <w:rPr>
          <w:rFonts w:eastAsia="Calibri"/>
        </w:rPr>
        <w:t>claim</w:t>
      </w:r>
      <w:r w:rsidR="000910EF" w:rsidRPr="00E74253">
        <w:rPr>
          <w:rFonts w:eastAsia="Calibri"/>
        </w:rPr>
        <w:t>s</w:t>
      </w:r>
      <w:r w:rsidRPr="00E74253">
        <w:rPr>
          <w:rFonts w:eastAsia="Calibri"/>
        </w:rPr>
        <w:t xml:space="preserve"> of non-inferiority </w:t>
      </w:r>
      <w:r w:rsidR="000910EF" w:rsidRPr="00E74253">
        <w:rPr>
          <w:rFonts w:eastAsia="Calibri"/>
        </w:rPr>
        <w:t xml:space="preserve">in terms of </w:t>
      </w:r>
      <w:r w:rsidRPr="00E74253">
        <w:rPr>
          <w:rFonts w:eastAsia="Calibri"/>
        </w:rPr>
        <w:t xml:space="preserve">comparative clinical effectiveness </w:t>
      </w:r>
      <w:r w:rsidR="000910EF" w:rsidRPr="00E74253">
        <w:rPr>
          <w:rFonts w:eastAsia="Calibri"/>
        </w:rPr>
        <w:t>between</w:t>
      </w:r>
      <w:r w:rsidRPr="00E74253">
        <w:rPr>
          <w:rFonts w:eastAsia="Calibri"/>
        </w:rPr>
        <w:t xml:space="preserve"> </w:t>
      </w:r>
      <w:proofErr w:type="spellStart"/>
      <w:r w:rsidRPr="00E74253">
        <w:rPr>
          <w:rFonts w:eastAsia="Calibri"/>
        </w:rPr>
        <w:t>palbociclib</w:t>
      </w:r>
      <w:proofErr w:type="spellEnd"/>
      <w:r w:rsidRPr="00E74253">
        <w:rPr>
          <w:rFonts w:eastAsia="Calibri"/>
        </w:rPr>
        <w:t xml:space="preserve"> </w:t>
      </w:r>
      <w:r w:rsidR="000910EF" w:rsidRPr="00E74253">
        <w:rPr>
          <w:rFonts w:eastAsia="Calibri"/>
        </w:rPr>
        <w:t xml:space="preserve">plus </w:t>
      </w:r>
      <w:proofErr w:type="spellStart"/>
      <w:r w:rsidR="00353741" w:rsidRPr="00E74253">
        <w:rPr>
          <w:rFonts w:eastAsia="Calibri"/>
        </w:rPr>
        <w:t>fulvestrant</w:t>
      </w:r>
      <w:proofErr w:type="spellEnd"/>
      <w:r w:rsidR="000910EF" w:rsidRPr="00E74253">
        <w:rPr>
          <w:rFonts w:eastAsia="Calibri"/>
        </w:rPr>
        <w:t xml:space="preserve"> and (</w:t>
      </w:r>
      <w:proofErr w:type="spellStart"/>
      <w:r w:rsidR="000910EF" w:rsidRPr="00E74253">
        <w:rPr>
          <w:rFonts w:eastAsia="Calibri"/>
        </w:rPr>
        <w:t>i</w:t>
      </w:r>
      <w:proofErr w:type="spellEnd"/>
      <w:r w:rsidR="000910EF" w:rsidRPr="00E74253">
        <w:rPr>
          <w:rFonts w:eastAsia="Calibri"/>
        </w:rPr>
        <w:t xml:space="preserve">) </w:t>
      </w:r>
      <w:proofErr w:type="spellStart"/>
      <w:r w:rsidRPr="00E74253">
        <w:rPr>
          <w:rFonts w:eastAsia="Calibri"/>
        </w:rPr>
        <w:t>ribociclib</w:t>
      </w:r>
      <w:proofErr w:type="spellEnd"/>
      <w:r w:rsidR="000910EF" w:rsidRPr="00E74253">
        <w:rPr>
          <w:rFonts w:eastAsia="Calibri"/>
        </w:rPr>
        <w:t xml:space="preserve"> plus </w:t>
      </w:r>
      <w:proofErr w:type="spellStart"/>
      <w:r w:rsidR="00353741" w:rsidRPr="00E74253">
        <w:rPr>
          <w:rFonts w:eastAsia="Calibri"/>
        </w:rPr>
        <w:t>fulvestrant</w:t>
      </w:r>
      <w:proofErr w:type="spellEnd"/>
      <w:r w:rsidR="000910EF" w:rsidRPr="00E74253">
        <w:rPr>
          <w:rFonts w:eastAsia="Calibri"/>
        </w:rPr>
        <w:t xml:space="preserve"> and (ii) </w:t>
      </w:r>
      <w:proofErr w:type="spellStart"/>
      <w:r w:rsidR="000910EF" w:rsidRPr="00E74253">
        <w:rPr>
          <w:rFonts w:eastAsia="Calibri"/>
        </w:rPr>
        <w:t>abemaciclib</w:t>
      </w:r>
      <w:proofErr w:type="spellEnd"/>
      <w:r w:rsidR="000910EF" w:rsidRPr="00E74253">
        <w:rPr>
          <w:rFonts w:eastAsia="Calibri"/>
        </w:rPr>
        <w:t xml:space="preserve"> plus </w:t>
      </w:r>
      <w:proofErr w:type="spellStart"/>
      <w:r w:rsidR="00353741" w:rsidRPr="00E74253">
        <w:rPr>
          <w:rFonts w:eastAsia="Calibri"/>
        </w:rPr>
        <w:t>fulvestrant</w:t>
      </w:r>
      <w:proofErr w:type="spellEnd"/>
      <w:r w:rsidR="000910EF" w:rsidRPr="00E74253">
        <w:rPr>
          <w:rFonts w:eastAsia="Calibri"/>
        </w:rPr>
        <w:t xml:space="preserve"> were</w:t>
      </w:r>
      <w:r w:rsidRPr="00E74253">
        <w:rPr>
          <w:rFonts w:eastAsia="Calibri"/>
        </w:rPr>
        <w:t xml:space="preserve"> </w:t>
      </w:r>
      <w:r w:rsidR="00D11636" w:rsidRPr="00E74253">
        <w:rPr>
          <w:rFonts w:eastAsia="Calibri"/>
        </w:rPr>
        <w:t>supported, noting that</w:t>
      </w:r>
      <w:r w:rsidRPr="00E74253">
        <w:rPr>
          <w:rFonts w:eastAsia="Calibri"/>
        </w:rPr>
        <w:t>:</w:t>
      </w:r>
    </w:p>
    <w:p w14:paraId="1CE2DBB3" w14:textId="70CC74A2" w:rsidR="00937EEC" w:rsidRPr="00E74253" w:rsidRDefault="00937EEC" w:rsidP="00264833">
      <w:pPr>
        <w:numPr>
          <w:ilvl w:val="0"/>
          <w:numId w:val="10"/>
        </w:numPr>
        <w:contextualSpacing/>
        <w:rPr>
          <w:rFonts w:eastAsia="Calibri"/>
        </w:rPr>
      </w:pPr>
      <w:bookmarkStart w:id="44" w:name="_Hlk92750906"/>
      <w:r w:rsidRPr="00E74253">
        <w:rPr>
          <w:rFonts w:eastAsia="Calibri"/>
        </w:rPr>
        <w:t xml:space="preserve">Several factors may </w:t>
      </w:r>
      <w:r w:rsidR="00137858" w:rsidRPr="00E74253">
        <w:rPr>
          <w:rFonts w:eastAsia="Calibri"/>
        </w:rPr>
        <w:t xml:space="preserve">have </w:t>
      </w:r>
      <w:r w:rsidRPr="00E74253">
        <w:rPr>
          <w:rFonts w:eastAsia="Calibri"/>
        </w:rPr>
        <w:t>violate</w:t>
      </w:r>
      <w:r w:rsidR="00137858" w:rsidRPr="00E74253">
        <w:rPr>
          <w:rFonts w:eastAsia="Calibri"/>
        </w:rPr>
        <w:t>d</w:t>
      </w:r>
      <w:r w:rsidRPr="00E74253">
        <w:rPr>
          <w:rFonts w:eastAsia="Calibri"/>
        </w:rPr>
        <w:t xml:space="preserve"> the transitivity assumption</w:t>
      </w:r>
      <w:r w:rsidR="000910EF" w:rsidRPr="00E74253">
        <w:rPr>
          <w:rFonts w:eastAsia="Calibri"/>
        </w:rPr>
        <w:t xml:space="preserve">s underlying </w:t>
      </w:r>
      <w:r w:rsidRPr="00E74253">
        <w:rPr>
          <w:rFonts w:eastAsia="Calibri"/>
        </w:rPr>
        <w:t>the indirect comparison</w:t>
      </w:r>
      <w:r w:rsidR="000910EF" w:rsidRPr="00E74253">
        <w:rPr>
          <w:rFonts w:eastAsia="Calibri"/>
        </w:rPr>
        <w:t>s</w:t>
      </w:r>
      <w:r w:rsidRPr="00E74253">
        <w:rPr>
          <w:rFonts w:eastAsia="Calibri"/>
        </w:rPr>
        <w:t xml:space="preserve"> (</w:t>
      </w:r>
      <w:proofErr w:type="gramStart"/>
      <w:r w:rsidRPr="00E74253">
        <w:rPr>
          <w:rFonts w:eastAsia="Calibri"/>
        </w:rPr>
        <w:t>e.g.</w:t>
      </w:r>
      <w:proofErr w:type="gramEnd"/>
      <w:r w:rsidRPr="00E74253">
        <w:rPr>
          <w:rFonts w:eastAsia="Calibri"/>
        </w:rPr>
        <w:t xml:space="preserve"> different </w:t>
      </w:r>
      <w:r w:rsidR="00FC1C23" w:rsidRPr="00E74253">
        <w:rPr>
          <w:rFonts w:eastAsia="Calibri"/>
        </w:rPr>
        <w:t>eligibility criteria</w:t>
      </w:r>
      <w:r w:rsidR="000910EF" w:rsidRPr="00E74253">
        <w:rPr>
          <w:rFonts w:eastAsia="Calibri"/>
        </w:rPr>
        <w:t>,</w:t>
      </w:r>
      <w:r w:rsidR="00FC1C23" w:rsidRPr="00E74253">
        <w:rPr>
          <w:rFonts w:eastAsia="Calibri"/>
        </w:rPr>
        <w:t xml:space="preserve"> </w:t>
      </w:r>
      <w:r w:rsidR="00A45301" w:rsidRPr="00E74253">
        <w:rPr>
          <w:rFonts w:eastAsia="Calibri"/>
        </w:rPr>
        <w:t xml:space="preserve">patient baseline characteristics, </w:t>
      </w:r>
      <w:r w:rsidRPr="00E74253">
        <w:rPr>
          <w:rFonts w:eastAsia="Calibri"/>
        </w:rPr>
        <w:t>prior therapies, post-discontinuation subsequent therapies and duration</w:t>
      </w:r>
      <w:r w:rsidR="000910EF" w:rsidRPr="00E74253">
        <w:rPr>
          <w:rFonts w:eastAsia="Calibri"/>
        </w:rPr>
        <w:t>s</w:t>
      </w:r>
      <w:r w:rsidRPr="00E74253">
        <w:rPr>
          <w:rFonts w:eastAsia="Calibri"/>
        </w:rPr>
        <w:t xml:space="preserve"> of follow-up, especially for PFS outcomes). </w:t>
      </w:r>
    </w:p>
    <w:bookmarkEnd w:id="44"/>
    <w:p w14:paraId="3A8E63BD" w14:textId="6119B77D" w:rsidR="00DD4A37" w:rsidRPr="00E74253" w:rsidRDefault="007A5128" w:rsidP="00264833">
      <w:pPr>
        <w:numPr>
          <w:ilvl w:val="0"/>
          <w:numId w:val="10"/>
        </w:numPr>
        <w:spacing w:before="120" w:after="120"/>
        <w:ind w:left="1077" w:hanging="357"/>
        <w:contextualSpacing/>
        <w:rPr>
          <w:rFonts w:eastAsia="Calibri"/>
        </w:rPr>
      </w:pPr>
      <w:r w:rsidRPr="00E74253">
        <w:rPr>
          <w:rFonts w:eastAsia="Calibri"/>
        </w:rPr>
        <w:t>Although a</w:t>
      </w:r>
      <w:r w:rsidR="00937EEC" w:rsidRPr="00E74253">
        <w:rPr>
          <w:rFonts w:eastAsia="Calibri"/>
        </w:rPr>
        <w:t>ll upper 95% confidence intervals of the indirect comparison hazard ratios for PFS were within the proposed non-inferiority margin of 1.4, none were within the margin for OS.</w:t>
      </w:r>
      <w:r w:rsidR="00F62AF2" w:rsidRPr="00E74253">
        <w:rPr>
          <w:rFonts w:eastAsia="Calibri"/>
        </w:rPr>
        <w:t xml:space="preserve"> </w:t>
      </w:r>
      <w:r w:rsidR="00F62AF2" w:rsidRPr="00E74253">
        <w:rPr>
          <w:rFonts w:asciiTheme="minorHAnsi" w:hAnsiTheme="minorHAnsi"/>
          <w:snapToGrid w:val="0"/>
          <w:color w:val="000000" w:themeColor="text1"/>
        </w:rPr>
        <w:t xml:space="preserve">The PSCR noted that PBAC previously accepted non-inferiority for </w:t>
      </w:r>
      <w:proofErr w:type="spellStart"/>
      <w:r w:rsidR="00F62AF2" w:rsidRPr="00E74253">
        <w:rPr>
          <w:rFonts w:asciiTheme="minorHAnsi" w:hAnsiTheme="minorHAnsi"/>
          <w:snapToGrid w:val="0"/>
          <w:color w:val="000000" w:themeColor="text1"/>
        </w:rPr>
        <w:t>abemaciclib</w:t>
      </w:r>
      <w:proofErr w:type="spellEnd"/>
      <w:r w:rsidR="00F62AF2" w:rsidRPr="00E74253">
        <w:rPr>
          <w:rFonts w:asciiTheme="minorHAnsi" w:hAnsiTheme="minorHAnsi"/>
          <w:snapToGrid w:val="0"/>
          <w:color w:val="000000" w:themeColor="text1"/>
        </w:rPr>
        <w:t xml:space="preserve"> plus </w:t>
      </w:r>
      <w:proofErr w:type="spellStart"/>
      <w:r w:rsidR="00F62AF2" w:rsidRPr="00E74253">
        <w:rPr>
          <w:rFonts w:asciiTheme="minorHAnsi" w:hAnsiTheme="minorHAnsi"/>
          <w:snapToGrid w:val="0"/>
          <w:color w:val="000000" w:themeColor="text1"/>
        </w:rPr>
        <w:t>fluvestrant</w:t>
      </w:r>
      <w:proofErr w:type="spellEnd"/>
      <w:r w:rsidR="00F62AF2" w:rsidRPr="00E74253">
        <w:rPr>
          <w:rFonts w:asciiTheme="minorHAnsi" w:hAnsiTheme="minorHAnsi"/>
          <w:snapToGrid w:val="0"/>
          <w:color w:val="000000" w:themeColor="text1"/>
        </w:rPr>
        <w:t xml:space="preserve"> to </w:t>
      </w:r>
      <w:proofErr w:type="spellStart"/>
      <w:r w:rsidR="00F62AF2" w:rsidRPr="00E74253">
        <w:rPr>
          <w:rFonts w:asciiTheme="minorHAnsi" w:hAnsiTheme="minorHAnsi"/>
          <w:snapToGrid w:val="0"/>
          <w:color w:val="000000" w:themeColor="text1"/>
        </w:rPr>
        <w:t>ribociclib</w:t>
      </w:r>
      <w:proofErr w:type="spellEnd"/>
      <w:r w:rsidR="00F62AF2" w:rsidRPr="00E74253">
        <w:rPr>
          <w:rFonts w:asciiTheme="minorHAnsi" w:hAnsiTheme="minorHAnsi"/>
          <w:snapToGrid w:val="0"/>
          <w:color w:val="000000" w:themeColor="text1"/>
        </w:rPr>
        <w:t xml:space="preserve"> plus </w:t>
      </w:r>
      <w:proofErr w:type="spellStart"/>
      <w:r w:rsidR="00F62AF2" w:rsidRPr="00E74253">
        <w:rPr>
          <w:rFonts w:asciiTheme="minorHAnsi" w:hAnsiTheme="minorHAnsi"/>
          <w:snapToGrid w:val="0"/>
          <w:color w:val="000000" w:themeColor="text1"/>
        </w:rPr>
        <w:t>f</w:t>
      </w:r>
      <w:r w:rsidR="004D610D" w:rsidRPr="00E74253">
        <w:rPr>
          <w:rFonts w:asciiTheme="minorHAnsi" w:hAnsiTheme="minorHAnsi"/>
          <w:snapToGrid w:val="0"/>
          <w:color w:val="000000" w:themeColor="text1"/>
        </w:rPr>
        <w:t>ul</w:t>
      </w:r>
      <w:r w:rsidR="00F62AF2" w:rsidRPr="00E74253">
        <w:rPr>
          <w:rFonts w:asciiTheme="minorHAnsi" w:hAnsiTheme="minorHAnsi"/>
          <w:snapToGrid w:val="0"/>
          <w:color w:val="000000" w:themeColor="text1"/>
        </w:rPr>
        <w:t>verstant</w:t>
      </w:r>
      <w:proofErr w:type="spellEnd"/>
      <w:r w:rsidR="00F62AF2" w:rsidRPr="00E74253">
        <w:rPr>
          <w:rFonts w:asciiTheme="minorHAnsi" w:hAnsiTheme="minorHAnsi"/>
          <w:snapToGrid w:val="0"/>
          <w:color w:val="000000" w:themeColor="text1"/>
        </w:rPr>
        <w:t xml:space="preserve"> based on an </w:t>
      </w:r>
      <w:proofErr w:type="gramStart"/>
      <w:r w:rsidR="00F62AF2" w:rsidRPr="00E74253">
        <w:rPr>
          <w:rFonts w:asciiTheme="minorHAnsi" w:hAnsiTheme="minorHAnsi"/>
          <w:snapToGrid w:val="0"/>
          <w:color w:val="000000" w:themeColor="text1"/>
        </w:rPr>
        <w:t xml:space="preserve">indirect </w:t>
      </w:r>
      <w:r w:rsidR="004D610D" w:rsidRPr="00E74253">
        <w:rPr>
          <w:rFonts w:asciiTheme="minorHAnsi" w:hAnsiTheme="minorHAnsi"/>
          <w:snapToGrid w:val="0"/>
          <w:color w:val="000000" w:themeColor="text1"/>
        </w:rPr>
        <w:t>comparisons</w:t>
      </w:r>
      <w:proofErr w:type="gramEnd"/>
      <w:r w:rsidR="00F62AF2" w:rsidRPr="00E74253">
        <w:rPr>
          <w:rFonts w:asciiTheme="minorHAnsi" w:hAnsiTheme="minorHAnsi"/>
          <w:snapToGrid w:val="0"/>
          <w:color w:val="000000" w:themeColor="text1"/>
        </w:rPr>
        <w:t xml:space="preserve"> where the 95% confidence intervals for OS also exceeded a non-inferiority margin of 1.4 (ITT population: upper 95% CI = 1.46; endocrine resistant subgroup: upper 95% CI = 1.52).</w:t>
      </w:r>
    </w:p>
    <w:p w14:paraId="2933F0E2" w14:textId="2E92ABBF" w:rsidR="00937EEC" w:rsidRDefault="00937EEC" w:rsidP="00C924FD">
      <w:pPr>
        <w:pStyle w:val="3-BodyText"/>
        <w:rPr>
          <w:rFonts w:eastAsia="Calibri"/>
        </w:rPr>
      </w:pPr>
      <w:r w:rsidRPr="00E74253">
        <w:rPr>
          <w:rFonts w:eastAsia="Calibri"/>
        </w:rPr>
        <w:t xml:space="preserve">The submission described </w:t>
      </w:r>
      <w:proofErr w:type="spellStart"/>
      <w:r w:rsidRPr="00E74253">
        <w:rPr>
          <w:rFonts w:eastAsia="Calibri"/>
        </w:rPr>
        <w:t>palbociclib</w:t>
      </w:r>
      <w:proofErr w:type="spellEnd"/>
      <w:r w:rsidRPr="00E74253">
        <w:rPr>
          <w:rFonts w:eastAsia="Calibri"/>
        </w:rPr>
        <w:t xml:space="preserve"> plus </w:t>
      </w:r>
      <w:proofErr w:type="spellStart"/>
      <w:r w:rsidRPr="00E74253">
        <w:rPr>
          <w:rFonts w:eastAsia="Calibri"/>
        </w:rPr>
        <w:t>fulvestrant</w:t>
      </w:r>
      <w:proofErr w:type="spellEnd"/>
      <w:r w:rsidRPr="00E74253">
        <w:rPr>
          <w:rFonts w:eastAsia="Calibri"/>
        </w:rPr>
        <w:t xml:space="preserve"> as similar in terms of safety to </w:t>
      </w:r>
      <w:proofErr w:type="spellStart"/>
      <w:r w:rsidRPr="00E74253">
        <w:rPr>
          <w:rFonts w:eastAsia="Calibri"/>
        </w:rPr>
        <w:t>ribociclib</w:t>
      </w:r>
      <w:proofErr w:type="spellEnd"/>
      <w:r w:rsidRPr="00E74253">
        <w:rPr>
          <w:rFonts w:eastAsia="Calibri"/>
        </w:rPr>
        <w:t xml:space="preserve"> plus </w:t>
      </w:r>
      <w:proofErr w:type="spellStart"/>
      <w:r w:rsidRPr="00E74253">
        <w:rPr>
          <w:rFonts w:eastAsia="Calibri"/>
        </w:rPr>
        <w:t>fulvestrant</w:t>
      </w:r>
      <w:proofErr w:type="spellEnd"/>
      <w:r w:rsidRPr="00E74253">
        <w:rPr>
          <w:rFonts w:eastAsia="Calibri"/>
        </w:rPr>
        <w:t xml:space="preserve"> and to </w:t>
      </w:r>
      <w:proofErr w:type="spellStart"/>
      <w:r w:rsidRPr="00E74253">
        <w:rPr>
          <w:rFonts w:eastAsia="Calibri"/>
        </w:rPr>
        <w:t>abemaciclib</w:t>
      </w:r>
      <w:proofErr w:type="spellEnd"/>
      <w:r w:rsidRPr="00E74253">
        <w:rPr>
          <w:rFonts w:eastAsia="Calibri"/>
        </w:rPr>
        <w:t xml:space="preserve"> plus </w:t>
      </w:r>
      <w:proofErr w:type="spellStart"/>
      <w:r w:rsidRPr="00E74253">
        <w:rPr>
          <w:rFonts w:eastAsia="Calibri"/>
        </w:rPr>
        <w:t>fulvestrant</w:t>
      </w:r>
      <w:proofErr w:type="spellEnd"/>
      <w:r w:rsidRPr="00E74253">
        <w:rPr>
          <w:rFonts w:eastAsia="Calibri"/>
        </w:rPr>
        <w:t>, in patients with HR+/HER2− inoperable locally advanced or metastatic breast cancer previously treated with endocrine therapy. Th</w:t>
      </w:r>
      <w:r w:rsidR="001F50B5" w:rsidRPr="00E74253">
        <w:rPr>
          <w:rFonts w:eastAsia="Calibri"/>
        </w:rPr>
        <w:t xml:space="preserve">e </w:t>
      </w:r>
      <w:r w:rsidR="00290F46">
        <w:rPr>
          <w:rFonts w:eastAsia="Calibri"/>
        </w:rPr>
        <w:t>PBAC</w:t>
      </w:r>
      <w:r w:rsidR="00290F46" w:rsidRPr="00E74253">
        <w:rPr>
          <w:rFonts w:eastAsia="Calibri"/>
        </w:rPr>
        <w:t xml:space="preserve"> </w:t>
      </w:r>
      <w:r w:rsidR="001F50B5" w:rsidRPr="00E74253">
        <w:rPr>
          <w:rFonts w:eastAsia="Calibri"/>
        </w:rPr>
        <w:t>considered that this wa</w:t>
      </w:r>
      <w:r w:rsidRPr="00E74253">
        <w:rPr>
          <w:rFonts w:eastAsia="Calibri"/>
        </w:rPr>
        <w:t>s reasonable.</w:t>
      </w:r>
    </w:p>
    <w:p w14:paraId="48ACD68F" w14:textId="77777777" w:rsidR="00937EEC" w:rsidRPr="00937EEC" w:rsidRDefault="00937EEC" w:rsidP="00C924FD">
      <w:pPr>
        <w:pStyle w:val="4-SubsectionHeading"/>
      </w:pPr>
      <w:bookmarkStart w:id="45" w:name="_Toc22897645"/>
      <w:bookmarkStart w:id="46" w:name="_Toc93397670"/>
      <w:r w:rsidRPr="00937EEC">
        <w:t>Economic analysis</w:t>
      </w:r>
      <w:bookmarkEnd w:id="45"/>
      <w:bookmarkEnd w:id="46"/>
      <w:r w:rsidRPr="00937EEC">
        <w:t xml:space="preserve"> </w:t>
      </w:r>
    </w:p>
    <w:p w14:paraId="29AFF83A" w14:textId="53D82B94" w:rsidR="00937EEC" w:rsidRPr="00081A39" w:rsidRDefault="00937EEC" w:rsidP="0020358C">
      <w:pPr>
        <w:pStyle w:val="3-BodyText"/>
        <w:rPr>
          <w:b/>
          <w:bCs/>
          <w:color w:val="0066FF"/>
          <w:lang w:val="en-US"/>
        </w:rPr>
      </w:pPr>
      <w:bookmarkStart w:id="47" w:name="_Toc22897646"/>
      <w:r w:rsidRPr="00081A39">
        <w:t xml:space="preserve">The submission adopted a cost-minimisation approach </w:t>
      </w:r>
      <w:r w:rsidR="00981E45">
        <w:t xml:space="preserve">(CMA) </w:t>
      </w:r>
      <w:r w:rsidRPr="00081A39">
        <w:t xml:space="preserve">on the basis that </w:t>
      </w:r>
      <w:proofErr w:type="spellStart"/>
      <w:r w:rsidRPr="00081A39">
        <w:t>palbociclib</w:t>
      </w:r>
      <w:proofErr w:type="spellEnd"/>
      <w:r w:rsidRPr="00081A39">
        <w:t xml:space="preserve"> plus </w:t>
      </w:r>
      <w:proofErr w:type="spellStart"/>
      <w:r w:rsidRPr="00081A39">
        <w:t>fulvestrant</w:t>
      </w:r>
      <w:proofErr w:type="spellEnd"/>
      <w:r w:rsidRPr="00081A39">
        <w:t xml:space="preserve"> is non-inferior to </w:t>
      </w:r>
      <w:proofErr w:type="spellStart"/>
      <w:r w:rsidRPr="00081A39">
        <w:t>ribociclib</w:t>
      </w:r>
      <w:proofErr w:type="spellEnd"/>
      <w:r w:rsidRPr="00081A39">
        <w:t xml:space="preserve"> plus </w:t>
      </w:r>
      <w:proofErr w:type="spellStart"/>
      <w:r w:rsidRPr="00081A39">
        <w:t>fulvestrant</w:t>
      </w:r>
      <w:proofErr w:type="spellEnd"/>
      <w:r w:rsidRPr="00081A39">
        <w:t xml:space="preserve"> in terms of efficacy and similar in terms of safety. </w:t>
      </w:r>
    </w:p>
    <w:p w14:paraId="5ED29F76" w14:textId="38FC7632" w:rsidR="00937EEC" w:rsidRPr="00081A39" w:rsidRDefault="00937EEC" w:rsidP="00F577A8">
      <w:pPr>
        <w:pStyle w:val="3-BodyText"/>
        <w:rPr>
          <w:color w:val="0066FF"/>
        </w:rPr>
      </w:pPr>
      <w:r w:rsidRPr="00081A39">
        <w:lastRenderedPageBreak/>
        <w:t xml:space="preserve">The submission requested the same effective AEMP for </w:t>
      </w:r>
      <w:proofErr w:type="spellStart"/>
      <w:r w:rsidRPr="00081A39">
        <w:t>palbociclib</w:t>
      </w:r>
      <w:proofErr w:type="spellEnd"/>
      <w:r w:rsidRPr="00081A39">
        <w:t xml:space="preserve"> as </w:t>
      </w:r>
      <w:proofErr w:type="spellStart"/>
      <w:r w:rsidRPr="00081A39">
        <w:t>ribociclib</w:t>
      </w:r>
      <w:proofErr w:type="spellEnd"/>
      <w:r w:rsidRPr="00081A39">
        <w:t xml:space="preserve"> at </w:t>
      </w:r>
      <w:proofErr w:type="spellStart"/>
      <w:r w:rsidRPr="00081A39">
        <w:t>equi</w:t>
      </w:r>
      <w:proofErr w:type="spellEnd"/>
      <w:r w:rsidRPr="00081A39">
        <w:t xml:space="preserve">-effective doses. This price in turn would be the same as the current effective AEMP for </w:t>
      </w:r>
      <w:proofErr w:type="spellStart"/>
      <w:r w:rsidRPr="00081A39">
        <w:t>palbociclib</w:t>
      </w:r>
      <w:proofErr w:type="spellEnd"/>
      <w:r w:rsidRPr="00081A39">
        <w:t xml:space="preserve"> when used in combination with </w:t>
      </w:r>
      <w:r w:rsidR="00E641E9">
        <w:t xml:space="preserve">an </w:t>
      </w:r>
      <w:r w:rsidRPr="00081A39">
        <w:t>NSAI</w:t>
      </w:r>
      <w:r w:rsidR="00E641E9">
        <w:t xml:space="preserve"> (see Table </w:t>
      </w:r>
      <w:r w:rsidR="00246AFC">
        <w:t>8</w:t>
      </w:r>
      <w:r w:rsidR="00E641E9">
        <w:t>)</w:t>
      </w:r>
      <w:r w:rsidRPr="00081A39">
        <w:t xml:space="preserve">. </w:t>
      </w:r>
    </w:p>
    <w:p w14:paraId="493968C5" w14:textId="552BFF76" w:rsidR="00A3189A" w:rsidRPr="00E74253" w:rsidRDefault="00937EEC" w:rsidP="00C30C7F">
      <w:pPr>
        <w:pStyle w:val="3-BodyText"/>
      </w:pPr>
      <w:r w:rsidRPr="00081A39">
        <w:t xml:space="preserve">The submission proposed that the </w:t>
      </w:r>
      <w:proofErr w:type="spellStart"/>
      <w:r w:rsidRPr="00081A39">
        <w:t>equi</w:t>
      </w:r>
      <w:proofErr w:type="spellEnd"/>
      <w:r w:rsidRPr="00081A39">
        <w:t xml:space="preserve">-effective doses for the existing listing of </w:t>
      </w:r>
      <w:proofErr w:type="spellStart"/>
      <w:r w:rsidRPr="00081A39">
        <w:t>palbociclib</w:t>
      </w:r>
      <w:proofErr w:type="spellEnd"/>
      <w:r w:rsidRPr="00081A39">
        <w:t xml:space="preserve"> </w:t>
      </w:r>
      <w:r w:rsidRPr="00081A39">
        <w:rPr>
          <w:color w:val="000000" w:themeColor="text1"/>
        </w:rPr>
        <w:t xml:space="preserve">in combination with </w:t>
      </w:r>
      <w:r w:rsidR="00E641E9">
        <w:rPr>
          <w:color w:val="000000" w:themeColor="text1"/>
        </w:rPr>
        <w:t xml:space="preserve">a </w:t>
      </w:r>
      <w:r w:rsidRPr="00081A39">
        <w:rPr>
          <w:color w:val="000000" w:themeColor="text1"/>
        </w:rPr>
        <w:t>NSAI</w:t>
      </w:r>
      <w:r w:rsidRPr="00081A39">
        <w:t xml:space="preserve"> and </w:t>
      </w:r>
      <w:proofErr w:type="spellStart"/>
      <w:r w:rsidRPr="00081A39">
        <w:t>ribociclib</w:t>
      </w:r>
      <w:proofErr w:type="spellEnd"/>
      <w:r w:rsidRPr="00081A39">
        <w:t xml:space="preserve"> </w:t>
      </w:r>
      <w:r w:rsidRPr="00081A39">
        <w:rPr>
          <w:color w:val="000000" w:themeColor="text1"/>
        </w:rPr>
        <w:t xml:space="preserve">in combination with </w:t>
      </w:r>
      <w:r w:rsidR="00E641E9">
        <w:rPr>
          <w:color w:val="000000" w:themeColor="text1"/>
        </w:rPr>
        <w:t xml:space="preserve">a </w:t>
      </w:r>
      <w:r w:rsidRPr="00081A39">
        <w:rPr>
          <w:color w:val="000000" w:themeColor="text1"/>
        </w:rPr>
        <w:t>NSAI</w:t>
      </w:r>
      <w:r w:rsidRPr="00081A39">
        <w:t xml:space="preserve"> be </w:t>
      </w:r>
      <w:r w:rsidRPr="00E74253">
        <w:t xml:space="preserve">applied to the </w:t>
      </w:r>
      <w:r w:rsidR="00391DF0" w:rsidRPr="00E74253">
        <w:t>CMA</w:t>
      </w:r>
      <w:r w:rsidRPr="00E74253">
        <w:t xml:space="preserve"> for </w:t>
      </w:r>
      <w:proofErr w:type="spellStart"/>
      <w:r w:rsidRPr="00E74253">
        <w:t>palbociclib</w:t>
      </w:r>
      <w:proofErr w:type="spellEnd"/>
      <w:r w:rsidRPr="00E74253">
        <w:t xml:space="preserve"> in combination with </w:t>
      </w:r>
      <w:proofErr w:type="spellStart"/>
      <w:r w:rsidRPr="00E74253">
        <w:t>fulvestrant</w:t>
      </w:r>
      <w:proofErr w:type="spellEnd"/>
      <w:r w:rsidRPr="00E74253" w:rsidDel="00F70CF2">
        <w:t xml:space="preserve"> </w:t>
      </w:r>
      <w:r w:rsidRPr="00E74253">
        <w:t xml:space="preserve">and </w:t>
      </w:r>
      <w:proofErr w:type="spellStart"/>
      <w:r w:rsidRPr="00E74253">
        <w:t>ribociclib</w:t>
      </w:r>
      <w:proofErr w:type="spellEnd"/>
      <w:r w:rsidRPr="00E74253">
        <w:t xml:space="preserve"> in combination with </w:t>
      </w:r>
      <w:proofErr w:type="spellStart"/>
      <w:r w:rsidRPr="00E74253">
        <w:t>fulvestrant</w:t>
      </w:r>
      <w:proofErr w:type="spellEnd"/>
      <w:r w:rsidRPr="00E74253">
        <w:t>.</w:t>
      </w:r>
      <w:r w:rsidR="00A3189A" w:rsidRPr="00E74253">
        <w:t xml:space="preserve"> Th</w:t>
      </w:r>
      <w:r w:rsidR="00F07EB4" w:rsidRPr="00E74253">
        <w:t>e ESC noted that th</w:t>
      </w:r>
      <w:r w:rsidR="00C30C7F" w:rsidRPr="00E74253">
        <w:t xml:space="preserve">is was </w:t>
      </w:r>
      <w:r w:rsidR="00BC3EBA" w:rsidRPr="00E74253">
        <w:t xml:space="preserve">consistent with </w:t>
      </w:r>
      <w:r w:rsidR="00CE5CBC" w:rsidRPr="00E74253">
        <w:t>the</w:t>
      </w:r>
      <w:r w:rsidR="00BC3EBA" w:rsidRPr="00E74253">
        <w:t xml:space="preserve"> approach accepted by the PBAC in </w:t>
      </w:r>
      <w:r w:rsidR="00090E42" w:rsidRPr="00E74253">
        <w:t xml:space="preserve">the consideration of </w:t>
      </w:r>
      <w:proofErr w:type="spellStart"/>
      <w:r w:rsidR="00090E42" w:rsidRPr="00E74253">
        <w:t>ribociclib</w:t>
      </w:r>
      <w:proofErr w:type="spellEnd"/>
      <w:r w:rsidR="00090E42" w:rsidRPr="00E74253">
        <w:t xml:space="preserve"> </w:t>
      </w:r>
      <w:r w:rsidR="00C135E2" w:rsidRPr="00E74253">
        <w:t xml:space="preserve">plus </w:t>
      </w:r>
      <w:proofErr w:type="spellStart"/>
      <w:r w:rsidR="00C135E2" w:rsidRPr="00E74253">
        <w:t>fulvestrant</w:t>
      </w:r>
      <w:proofErr w:type="spellEnd"/>
      <w:r w:rsidR="00C135E2" w:rsidRPr="00E74253">
        <w:t xml:space="preserve"> versus </w:t>
      </w:r>
      <w:proofErr w:type="spellStart"/>
      <w:r w:rsidR="00C135E2" w:rsidRPr="00E74253">
        <w:t>ribociclib</w:t>
      </w:r>
      <w:proofErr w:type="spellEnd"/>
      <w:r w:rsidR="00C135E2" w:rsidRPr="00E74253">
        <w:t xml:space="preserve"> plus NSAI </w:t>
      </w:r>
      <w:r w:rsidR="0048205A" w:rsidRPr="00E74253">
        <w:t xml:space="preserve">as first-line </w:t>
      </w:r>
      <w:r w:rsidR="00C135E2" w:rsidRPr="00E74253">
        <w:t>treatment in the metastatic setting</w:t>
      </w:r>
      <w:r w:rsidR="0048205A" w:rsidRPr="00E74253">
        <w:t xml:space="preserve"> </w:t>
      </w:r>
      <w:r w:rsidR="00090E42" w:rsidRPr="00E74253">
        <w:t xml:space="preserve">at the July 2020 PBAC </w:t>
      </w:r>
      <w:r w:rsidR="007D4FB4" w:rsidRPr="00E74253">
        <w:t>m</w:t>
      </w:r>
      <w:r w:rsidR="00090E42" w:rsidRPr="00E74253">
        <w:t>eeting</w:t>
      </w:r>
      <w:r w:rsidR="007D4FB4" w:rsidRPr="00E74253">
        <w:t xml:space="preserve"> at which </w:t>
      </w:r>
      <w:r w:rsidR="00090E42" w:rsidRPr="00E74253">
        <w:t xml:space="preserve">the ESC and the PBAC considered that “there did not appear to be a clinical reason why dose intensities for </w:t>
      </w:r>
      <w:proofErr w:type="spellStart"/>
      <w:r w:rsidR="00090E42" w:rsidRPr="00E74253">
        <w:t>ribociclib</w:t>
      </w:r>
      <w:proofErr w:type="spellEnd"/>
      <w:r w:rsidR="00090E42" w:rsidRPr="00E74253">
        <w:t xml:space="preserve"> would differ depending</w:t>
      </w:r>
      <w:r w:rsidR="00D44372" w:rsidRPr="00E74253">
        <w:t xml:space="preserve"> </w:t>
      </w:r>
      <w:r w:rsidR="0091763B" w:rsidRPr="00E74253">
        <w:t xml:space="preserve">on </w:t>
      </w:r>
      <w:r w:rsidR="00090E42" w:rsidRPr="00E74253">
        <w:t xml:space="preserve">its combination with </w:t>
      </w:r>
      <w:proofErr w:type="spellStart"/>
      <w:r w:rsidR="00090E42" w:rsidRPr="00E74253">
        <w:t>fulvestrant</w:t>
      </w:r>
      <w:proofErr w:type="spellEnd"/>
      <w:r w:rsidR="00090E42" w:rsidRPr="00E74253">
        <w:t xml:space="preserve"> or NSAI, given the similar safety profiles of RIBO+FULV and RIBO+NSAI</w:t>
      </w:r>
      <w:r w:rsidR="000910EF" w:rsidRPr="00E74253">
        <w:t>"</w:t>
      </w:r>
      <w:r w:rsidR="00090E42" w:rsidRPr="00E74253">
        <w:t xml:space="preserve"> (para</w:t>
      </w:r>
      <w:r w:rsidR="00C94DB1" w:rsidRPr="00E74253">
        <w:t>graph</w:t>
      </w:r>
      <w:r w:rsidR="00090E42" w:rsidRPr="00E74253">
        <w:t xml:space="preserve"> 6.54, </w:t>
      </w:r>
      <w:proofErr w:type="spellStart"/>
      <w:r w:rsidR="00C94DB1" w:rsidRPr="00E74253">
        <w:t>r</w:t>
      </w:r>
      <w:r w:rsidR="00090E42" w:rsidRPr="00E74253">
        <w:t>ibociclib</w:t>
      </w:r>
      <w:proofErr w:type="spellEnd"/>
      <w:r w:rsidR="00090E42" w:rsidRPr="00E74253">
        <w:t xml:space="preserve"> PSD, July 2020).</w:t>
      </w:r>
      <w:r w:rsidR="00F07EB4" w:rsidRPr="00E74253">
        <w:t xml:space="preserve"> </w:t>
      </w:r>
    </w:p>
    <w:p w14:paraId="2912C281" w14:textId="173B90CA" w:rsidR="00AB1164" w:rsidRPr="00081A39" w:rsidRDefault="00AB1164" w:rsidP="002F3028">
      <w:pPr>
        <w:pStyle w:val="3-BodyText"/>
      </w:pPr>
      <w:r w:rsidRPr="00E74253">
        <w:t>The</w:t>
      </w:r>
      <w:r w:rsidR="00DA0A8D" w:rsidRPr="00E74253">
        <w:t>refore, the</w:t>
      </w:r>
      <w:r w:rsidRPr="00E74253">
        <w:t xml:space="preserve"> proposed </w:t>
      </w:r>
      <w:proofErr w:type="spellStart"/>
      <w:r w:rsidRPr="00E74253">
        <w:t>equi</w:t>
      </w:r>
      <w:proofErr w:type="spellEnd"/>
      <w:r w:rsidRPr="00E74253">
        <w:t>-</w:t>
      </w:r>
      <w:r w:rsidRPr="00F009EF">
        <w:t>effective doses</w:t>
      </w:r>
      <w:r w:rsidR="00DA0A8D" w:rsidRPr="00F009EF">
        <w:t>, which</w:t>
      </w:r>
      <w:r w:rsidRPr="00F009EF">
        <w:t xml:space="preserve"> were calculated based on the mean relative dose intensities (RDIs) of </w:t>
      </w:r>
      <w:proofErr w:type="spellStart"/>
      <w:r w:rsidRPr="00F009EF">
        <w:t>palbociclib</w:t>
      </w:r>
      <w:proofErr w:type="spellEnd"/>
      <w:r w:rsidRPr="00F009EF">
        <w:t xml:space="preserve"> (86.8%) and </w:t>
      </w:r>
      <w:proofErr w:type="spellStart"/>
      <w:r w:rsidRPr="00F009EF">
        <w:t>ribociclib</w:t>
      </w:r>
      <w:proofErr w:type="spellEnd"/>
      <w:r w:rsidRPr="00F009EF">
        <w:t xml:space="preserve"> (79.5%) from the PALOMA-2 and MONALEESA-2 trials respectively </w:t>
      </w:r>
      <w:r w:rsidR="0006272B" w:rsidRPr="00F009EF">
        <w:t xml:space="preserve">and </w:t>
      </w:r>
      <w:r w:rsidR="00381747" w:rsidRPr="00F009EF">
        <w:t xml:space="preserve">which </w:t>
      </w:r>
      <w:r w:rsidR="0006272B" w:rsidRPr="00F009EF">
        <w:t xml:space="preserve">were the same as accepted by the PBAC in the consideration of </w:t>
      </w:r>
      <w:proofErr w:type="spellStart"/>
      <w:r w:rsidR="0006272B" w:rsidRPr="00F009EF">
        <w:t>palbociclib</w:t>
      </w:r>
      <w:proofErr w:type="spellEnd"/>
      <w:r w:rsidR="0006272B" w:rsidRPr="00F009EF">
        <w:t xml:space="preserve"> + </w:t>
      </w:r>
      <w:r w:rsidR="00C94DB1" w:rsidRPr="00F009EF">
        <w:t>NSAI</w:t>
      </w:r>
      <w:r w:rsidR="00C028EF">
        <w:t xml:space="preserve">, </w:t>
      </w:r>
      <w:r w:rsidR="00937EEC" w:rsidRPr="00081A39">
        <w:t xml:space="preserve">were: </w:t>
      </w:r>
    </w:p>
    <w:p w14:paraId="13AC73D9" w14:textId="428B0AA7" w:rsidR="00937EEC" w:rsidRDefault="00937EEC" w:rsidP="000503B9">
      <w:pPr>
        <w:pStyle w:val="3-BodyText"/>
        <w:numPr>
          <w:ilvl w:val="0"/>
          <w:numId w:val="0"/>
        </w:numPr>
        <w:ind w:left="720"/>
      </w:pPr>
      <w:r w:rsidRPr="008D3267">
        <w:t xml:space="preserve">Palbociclib 108.5 mg </w:t>
      </w:r>
      <w:r w:rsidR="00AB1164" w:rsidRPr="008D3267">
        <w:t>=</w:t>
      </w:r>
      <w:r w:rsidRPr="008D3267">
        <w:t xml:space="preserve"> </w:t>
      </w:r>
      <w:proofErr w:type="spellStart"/>
      <w:r w:rsidRPr="008D3267">
        <w:t>ribociclib</w:t>
      </w:r>
      <w:proofErr w:type="spellEnd"/>
      <w:r w:rsidRPr="008D3267">
        <w:t xml:space="preserve"> 477 mg per day for 21 days of a 28-day cycle</w:t>
      </w:r>
      <w:r w:rsidR="002F3028" w:rsidRPr="008D3267">
        <w:t xml:space="preserve"> </w:t>
      </w:r>
      <w:r w:rsidR="004A5A54" w:rsidRPr="008D3267">
        <w:t>(</w:t>
      </w:r>
      <w:proofErr w:type="gramStart"/>
      <w:r w:rsidR="004A5A54" w:rsidRPr="008D3267">
        <w:t>i.e.</w:t>
      </w:r>
      <w:proofErr w:type="gramEnd"/>
      <w:r w:rsidR="004A5A54" w:rsidRPr="008D3267">
        <w:t xml:space="preserve"> </w:t>
      </w:r>
      <w:r w:rsidR="004D610D" w:rsidRPr="008D3267">
        <w:t>Palbociclib</w:t>
      </w:r>
      <w:r w:rsidR="004A5A54" w:rsidRPr="008D3267">
        <w:t xml:space="preserve"> 1 mg = </w:t>
      </w:r>
      <w:proofErr w:type="spellStart"/>
      <w:r w:rsidR="004A5A54" w:rsidRPr="008D3267">
        <w:t>ribociclib</w:t>
      </w:r>
      <w:proofErr w:type="spellEnd"/>
      <w:r w:rsidR="004A5A54" w:rsidRPr="008D3267">
        <w:t xml:space="preserve"> 4.40 mg)</w:t>
      </w:r>
    </w:p>
    <w:p w14:paraId="4CFA5F83" w14:textId="2064C6B8" w:rsidR="00E641E9" w:rsidRPr="00E641E9" w:rsidRDefault="00E641E9" w:rsidP="00E641E9">
      <w:pPr>
        <w:pStyle w:val="3-BodyText"/>
        <w:numPr>
          <w:ilvl w:val="0"/>
          <w:numId w:val="0"/>
        </w:numPr>
        <w:spacing w:after="0"/>
        <w:rPr>
          <w:rFonts w:ascii="Arial Narrow" w:hAnsi="Arial Narrow"/>
          <w:b/>
          <w:bCs/>
          <w:sz w:val="20"/>
          <w:szCs w:val="20"/>
        </w:rPr>
      </w:pPr>
      <w:r w:rsidRPr="00E641E9">
        <w:rPr>
          <w:rFonts w:ascii="Arial Narrow" w:hAnsi="Arial Narrow"/>
          <w:b/>
          <w:bCs/>
          <w:sz w:val="20"/>
          <w:szCs w:val="20"/>
        </w:rPr>
        <w:t xml:space="preserve">Table </w:t>
      </w:r>
      <w:r w:rsidR="00246AFC">
        <w:rPr>
          <w:rFonts w:ascii="Arial Narrow" w:hAnsi="Arial Narrow"/>
          <w:b/>
          <w:bCs/>
          <w:sz w:val="20"/>
          <w:szCs w:val="20"/>
        </w:rPr>
        <w:t>8</w:t>
      </w:r>
      <w:r w:rsidRPr="00E641E9">
        <w:rPr>
          <w:rFonts w:ascii="Arial Narrow" w:hAnsi="Arial Narrow"/>
          <w:b/>
          <w:bCs/>
          <w:sz w:val="20"/>
          <w:szCs w:val="20"/>
        </w:rPr>
        <w:t xml:space="preserve">: CMA between </w:t>
      </w:r>
      <w:proofErr w:type="spellStart"/>
      <w:r w:rsidRPr="00E641E9">
        <w:rPr>
          <w:rFonts w:ascii="Arial Narrow" w:hAnsi="Arial Narrow"/>
          <w:b/>
          <w:bCs/>
          <w:sz w:val="20"/>
          <w:szCs w:val="20"/>
        </w:rPr>
        <w:t>ribociclib</w:t>
      </w:r>
      <w:proofErr w:type="spellEnd"/>
      <w:r w:rsidRPr="00E641E9">
        <w:rPr>
          <w:rFonts w:ascii="Arial Narrow" w:hAnsi="Arial Narrow"/>
          <w:b/>
          <w:bCs/>
          <w:sz w:val="20"/>
          <w:szCs w:val="20"/>
        </w:rPr>
        <w:t xml:space="preserve"> and </w:t>
      </w:r>
      <w:proofErr w:type="spellStart"/>
      <w:r w:rsidRPr="00E641E9">
        <w:rPr>
          <w:rFonts w:ascii="Arial Narrow" w:hAnsi="Arial Narrow"/>
          <w:b/>
          <w:bCs/>
          <w:sz w:val="20"/>
          <w:szCs w:val="20"/>
        </w:rPr>
        <w:t>palbociclib</w:t>
      </w:r>
      <w:proofErr w:type="spellEnd"/>
    </w:p>
    <w:tbl>
      <w:tblPr>
        <w:tblStyle w:val="TableGrid"/>
        <w:tblW w:w="0" w:type="auto"/>
        <w:tblLook w:val="04A0" w:firstRow="1" w:lastRow="0" w:firstColumn="1" w:lastColumn="0" w:noHBand="0" w:noVBand="1"/>
        <w:tblCaption w:val="Table 8: CMA between ribociclib and palbociclib"/>
      </w:tblPr>
      <w:tblGrid>
        <w:gridCol w:w="3005"/>
        <w:gridCol w:w="3006"/>
        <w:gridCol w:w="3006"/>
      </w:tblGrid>
      <w:tr w:rsidR="004A5A54" w14:paraId="205EEBE0" w14:textId="77777777" w:rsidTr="004A5A54">
        <w:tc>
          <w:tcPr>
            <w:tcW w:w="3005" w:type="dxa"/>
          </w:tcPr>
          <w:p w14:paraId="34CC4893" w14:textId="77777777" w:rsidR="004A5A54" w:rsidRPr="004A5A54" w:rsidRDefault="004A5A54" w:rsidP="004A5A54">
            <w:pPr>
              <w:pStyle w:val="3-BodyText"/>
              <w:numPr>
                <w:ilvl w:val="0"/>
                <w:numId w:val="0"/>
              </w:numPr>
              <w:spacing w:after="0"/>
              <w:rPr>
                <w:rFonts w:ascii="Arial Narrow" w:hAnsi="Arial Narrow"/>
                <w:sz w:val="20"/>
                <w:szCs w:val="20"/>
              </w:rPr>
            </w:pPr>
          </w:p>
        </w:tc>
        <w:tc>
          <w:tcPr>
            <w:tcW w:w="3006" w:type="dxa"/>
          </w:tcPr>
          <w:p w14:paraId="1C08FAA2" w14:textId="2BA10A36" w:rsidR="004A5A54" w:rsidRPr="0092010C" w:rsidRDefault="004A5A54" w:rsidP="004A5A54">
            <w:pPr>
              <w:pStyle w:val="3-BodyText"/>
              <w:numPr>
                <w:ilvl w:val="0"/>
                <w:numId w:val="0"/>
              </w:numPr>
              <w:spacing w:after="0"/>
              <w:rPr>
                <w:rFonts w:ascii="Arial Narrow" w:hAnsi="Arial Narrow"/>
                <w:b/>
                <w:bCs/>
                <w:sz w:val="20"/>
                <w:szCs w:val="20"/>
              </w:rPr>
            </w:pPr>
            <w:proofErr w:type="spellStart"/>
            <w:r w:rsidRPr="0092010C">
              <w:rPr>
                <w:rFonts w:ascii="Arial Narrow" w:hAnsi="Arial Narrow"/>
                <w:b/>
                <w:bCs/>
                <w:sz w:val="20"/>
                <w:szCs w:val="20"/>
              </w:rPr>
              <w:t>Ribociclib</w:t>
            </w:r>
            <w:proofErr w:type="spellEnd"/>
          </w:p>
        </w:tc>
        <w:tc>
          <w:tcPr>
            <w:tcW w:w="3006" w:type="dxa"/>
          </w:tcPr>
          <w:p w14:paraId="1F83DA6B" w14:textId="602D8678" w:rsidR="004A5A54" w:rsidRPr="0092010C" w:rsidRDefault="0092010C" w:rsidP="004A5A54">
            <w:pPr>
              <w:pStyle w:val="3-BodyText"/>
              <w:numPr>
                <w:ilvl w:val="0"/>
                <w:numId w:val="0"/>
              </w:numPr>
              <w:spacing w:after="0"/>
              <w:rPr>
                <w:rFonts w:ascii="Arial Narrow" w:hAnsi="Arial Narrow"/>
                <w:b/>
                <w:bCs/>
                <w:sz w:val="20"/>
                <w:szCs w:val="20"/>
              </w:rPr>
            </w:pPr>
            <w:r w:rsidRPr="0092010C">
              <w:rPr>
                <w:rFonts w:ascii="Arial Narrow" w:hAnsi="Arial Narrow"/>
                <w:b/>
                <w:bCs/>
                <w:sz w:val="20"/>
                <w:szCs w:val="20"/>
              </w:rPr>
              <w:t>Source</w:t>
            </w:r>
          </w:p>
        </w:tc>
      </w:tr>
      <w:tr w:rsidR="004A5A54" w14:paraId="349EF12F" w14:textId="77777777" w:rsidTr="004A5A54">
        <w:tc>
          <w:tcPr>
            <w:tcW w:w="3005" w:type="dxa"/>
          </w:tcPr>
          <w:p w14:paraId="748BC245" w14:textId="55EA0465" w:rsidR="004A5A54" w:rsidRPr="004A5A54" w:rsidRDefault="0092010C" w:rsidP="004A5A54">
            <w:pPr>
              <w:pStyle w:val="3-BodyText"/>
              <w:numPr>
                <w:ilvl w:val="0"/>
                <w:numId w:val="0"/>
              </w:numPr>
              <w:spacing w:after="0"/>
              <w:rPr>
                <w:rFonts w:ascii="Arial Narrow" w:hAnsi="Arial Narrow"/>
                <w:sz w:val="20"/>
                <w:szCs w:val="20"/>
              </w:rPr>
            </w:pPr>
            <w:r>
              <w:rPr>
                <w:rFonts w:ascii="Arial Narrow" w:hAnsi="Arial Narrow"/>
                <w:sz w:val="20"/>
                <w:szCs w:val="20"/>
              </w:rPr>
              <w:t xml:space="preserve">Effective </w:t>
            </w:r>
            <w:r w:rsidR="004A5A54">
              <w:rPr>
                <w:rFonts w:ascii="Arial Narrow" w:hAnsi="Arial Narrow"/>
                <w:sz w:val="20"/>
                <w:szCs w:val="20"/>
              </w:rPr>
              <w:t>AEMP</w:t>
            </w:r>
          </w:p>
        </w:tc>
        <w:tc>
          <w:tcPr>
            <w:tcW w:w="3006" w:type="dxa"/>
          </w:tcPr>
          <w:p w14:paraId="30A8BF5D" w14:textId="5A30B03E" w:rsidR="004A5A54" w:rsidRPr="004A5A54" w:rsidRDefault="004A5A54" w:rsidP="004A5A54">
            <w:pPr>
              <w:pStyle w:val="3-BodyText"/>
              <w:numPr>
                <w:ilvl w:val="0"/>
                <w:numId w:val="0"/>
              </w:numPr>
              <w:spacing w:after="0"/>
              <w:rPr>
                <w:rFonts w:ascii="Arial Narrow" w:hAnsi="Arial Narrow"/>
                <w:sz w:val="20"/>
                <w:szCs w:val="20"/>
              </w:rPr>
            </w:pPr>
            <w:r>
              <w:rPr>
                <w:rFonts w:ascii="Arial Narrow" w:hAnsi="Arial Narrow"/>
                <w:sz w:val="20"/>
                <w:szCs w:val="20"/>
              </w:rPr>
              <w:t>$</w:t>
            </w:r>
            <w:r w:rsidR="007B7D69" w:rsidRPr="007B7D69">
              <w:rPr>
                <w:rFonts w:ascii="Arial Narrow" w:hAnsi="Arial Narrow"/>
                <w:color w:val="000000"/>
                <w:spacing w:val="8"/>
                <w:sz w:val="20"/>
                <w:szCs w:val="20"/>
                <w:shd w:val="solid" w:color="000000" w:fill="000000"/>
                <w:fitText w:val="306" w:id="-1500865023"/>
                <w14:textFill>
                  <w14:solidFill>
                    <w14:srgbClr w14:val="000000">
                      <w14:alpha w14:val="100000"/>
                    </w14:srgbClr>
                  </w14:solidFill>
                </w14:textFill>
              </w:rPr>
              <w:t>|</w:t>
            </w:r>
            <w:proofErr w:type="gramStart"/>
            <w:r w:rsidR="007B7D69" w:rsidRPr="007B7D69">
              <w:rPr>
                <w:rFonts w:ascii="Arial Narrow" w:hAnsi="Arial Narrow"/>
                <w:color w:val="000000"/>
                <w:spacing w:val="8"/>
                <w:sz w:val="20"/>
                <w:szCs w:val="20"/>
                <w:shd w:val="solid" w:color="000000" w:fill="000000"/>
                <w:fitText w:val="306" w:id="-1500865023"/>
                <w14:textFill>
                  <w14:solidFill>
                    <w14:srgbClr w14:val="000000">
                      <w14:alpha w14:val="100000"/>
                    </w14:srgbClr>
                  </w14:solidFill>
                </w14:textFill>
              </w:rPr>
              <w:t>|  |</w:t>
            </w:r>
            <w:proofErr w:type="gramEnd"/>
            <w:r w:rsidR="007B7D69" w:rsidRPr="007B7D69">
              <w:rPr>
                <w:rFonts w:ascii="Arial Narrow" w:hAnsi="Arial Narrow"/>
                <w:color w:val="000000"/>
                <w:spacing w:val="5"/>
                <w:sz w:val="20"/>
                <w:szCs w:val="20"/>
                <w:shd w:val="solid" w:color="000000" w:fill="000000"/>
                <w:fitText w:val="306" w:id="-1500865023"/>
                <w14:textFill>
                  <w14:solidFill>
                    <w14:srgbClr w14:val="000000">
                      <w14:alpha w14:val="100000"/>
                    </w14:srgbClr>
                  </w14:solidFill>
                </w14:textFill>
              </w:rPr>
              <w:t>|</w:t>
            </w:r>
            <w:r>
              <w:rPr>
                <w:rFonts w:ascii="Arial Narrow" w:hAnsi="Arial Narrow"/>
                <w:sz w:val="20"/>
                <w:szCs w:val="20"/>
              </w:rPr>
              <w:t xml:space="preserve"> (21 x 200 mg </w:t>
            </w:r>
            <w:r w:rsidR="0092010C">
              <w:rPr>
                <w:rFonts w:ascii="Arial Narrow" w:hAnsi="Arial Narrow"/>
                <w:sz w:val="20"/>
                <w:szCs w:val="20"/>
              </w:rPr>
              <w:t>tablets)</w:t>
            </w:r>
          </w:p>
        </w:tc>
        <w:tc>
          <w:tcPr>
            <w:tcW w:w="3006" w:type="dxa"/>
          </w:tcPr>
          <w:p w14:paraId="54C214A5" w14:textId="7AA2957D" w:rsidR="004A5A54" w:rsidRPr="004A5A54" w:rsidRDefault="0092010C" w:rsidP="004A5A54">
            <w:pPr>
              <w:pStyle w:val="3-BodyText"/>
              <w:numPr>
                <w:ilvl w:val="0"/>
                <w:numId w:val="0"/>
              </w:numPr>
              <w:spacing w:after="0"/>
              <w:rPr>
                <w:rFonts w:ascii="Arial Narrow" w:hAnsi="Arial Narrow"/>
                <w:sz w:val="20"/>
                <w:szCs w:val="20"/>
              </w:rPr>
            </w:pPr>
            <w:r>
              <w:rPr>
                <w:rFonts w:ascii="Arial Narrow" w:hAnsi="Arial Narrow"/>
                <w:sz w:val="20"/>
                <w:szCs w:val="20"/>
              </w:rPr>
              <w:t xml:space="preserve">Submission was aware of the effective AEMP of </w:t>
            </w:r>
            <w:proofErr w:type="spellStart"/>
            <w:r>
              <w:rPr>
                <w:rFonts w:ascii="Arial Narrow" w:hAnsi="Arial Narrow"/>
                <w:sz w:val="20"/>
                <w:szCs w:val="20"/>
              </w:rPr>
              <w:t>ribociclib</w:t>
            </w:r>
            <w:proofErr w:type="spellEnd"/>
            <w:r>
              <w:rPr>
                <w:rFonts w:ascii="Arial Narrow" w:hAnsi="Arial Narrow"/>
                <w:sz w:val="20"/>
                <w:szCs w:val="20"/>
              </w:rPr>
              <w:t xml:space="preserve"> due to existing RSA</w:t>
            </w:r>
          </w:p>
        </w:tc>
      </w:tr>
      <w:tr w:rsidR="004A5A54" w14:paraId="62D12311" w14:textId="77777777" w:rsidTr="004A5A54">
        <w:tc>
          <w:tcPr>
            <w:tcW w:w="3005" w:type="dxa"/>
          </w:tcPr>
          <w:p w14:paraId="5097597C" w14:textId="0408E49F" w:rsidR="004A5A54" w:rsidRPr="004A5A54" w:rsidRDefault="0092010C" w:rsidP="004A5A54">
            <w:pPr>
              <w:pStyle w:val="3-BodyText"/>
              <w:numPr>
                <w:ilvl w:val="0"/>
                <w:numId w:val="0"/>
              </w:numPr>
              <w:spacing w:after="0"/>
              <w:rPr>
                <w:rFonts w:ascii="Arial Narrow" w:hAnsi="Arial Narrow"/>
                <w:sz w:val="20"/>
                <w:szCs w:val="20"/>
              </w:rPr>
            </w:pPr>
            <w:r>
              <w:rPr>
                <w:rFonts w:ascii="Arial Narrow" w:hAnsi="Arial Narrow"/>
                <w:sz w:val="20"/>
                <w:szCs w:val="20"/>
              </w:rPr>
              <w:t>Daily dose</w:t>
            </w:r>
          </w:p>
        </w:tc>
        <w:tc>
          <w:tcPr>
            <w:tcW w:w="3006" w:type="dxa"/>
          </w:tcPr>
          <w:p w14:paraId="5950D9D7" w14:textId="3DA5B85C" w:rsidR="004A5A54" w:rsidRPr="004A5A54" w:rsidRDefault="0092010C" w:rsidP="004A5A54">
            <w:pPr>
              <w:pStyle w:val="3-BodyText"/>
              <w:numPr>
                <w:ilvl w:val="0"/>
                <w:numId w:val="0"/>
              </w:numPr>
              <w:spacing w:after="0"/>
              <w:rPr>
                <w:rFonts w:ascii="Arial Narrow" w:hAnsi="Arial Narrow"/>
                <w:sz w:val="20"/>
                <w:szCs w:val="20"/>
              </w:rPr>
            </w:pPr>
            <w:r>
              <w:rPr>
                <w:rFonts w:ascii="Arial Narrow" w:hAnsi="Arial Narrow"/>
                <w:sz w:val="20"/>
                <w:szCs w:val="20"/>
              </w:rPr>
              <w:t>477 mg</w:t>
            </w:r>
          </w:p>
        </w:tc>
        <w:tc>
          <w:tcPr>
            <w:tcW w:w="3006" w:type="dxa"/>
          </w:tcPr>
          <w:p w14:paraId="0DC1E73F" w14:textId="740E74DF" w:rsidR="004A5A54" w:rsidRPr="004A5A54" w:rsidRDefault="0092010C" w:rsidP="004A5A54">
            <w:pPr>
              <w:pStyle w:val="3-BodyText"/>
              <w:numPr>
                <w:ilvl w:val="0"/>
                <w:numId w:val="0"/>
              </w:numPr>
              <w:spacing w:after="0"/>
              <w:rPr>
                <w:rFonts w:ascii="Arial Narrow" w:hAnsi="Arial Narrow"/>
                <w:sz w:val="20"/>
                <w:szCs w:val="20"/>
              </w:rPr>
            </w:pPr>
            <w:proofErr w:type="spellStart"/>
            <w:r>
              <w:rPr>
                <w:rFonts w:ascii="Arial Narrow" w:hAnsi="Arial Narrow"/>
                <w:sz w:val="20"/>
                <w:szCs w:val="20"/>
              </w:rPr>
              <w:t>Equi</w:t>
            </w:r>
            <w:proofErr w:type="spellEnd"/>
            <w:r>
              <w:rPr>
                <w:rFonts w:ascii="Arial Narrow" w:hAnsi="Arial Narrow"/>
                <w:sz w:val="20"/>
                <w:szCs w:val="20"/>
              </w:rPr>
              <w:t>-effective doses</w:t>
            </w:r>
          </w:p>
        </w:tc>
      </w:tr>
      <w:tr w:rsidR="004A5A54" w14:paraId="0B8D86AC" w14:textId="77777777" w:rsidTr="004A5A54">
        <w:tc>
          <w:tcPr>
            <w:tcW w:w="3005" w:type="dxa"/>
          </w:tcPr>
          <w:p w14:paraId="0C3B3273" w14:textId="37E17304" w:rsidR="004A5A54" w:rsidRPr="004A5A54" w:rsidRDefault="0092010C" w:rsidP="004A5A54">
            <w:pPr>
              <w:pStyle w:val="3-BodyText"/>
              <w:numPr>
                <w:ilvl w:val="0"/>
                <w:numId w:val="0"/>
              </w:numPr>
              <w:spacing w:after="0"/>
              <w:rPr>
                <w:rFonts w:ascii="Arial Narrow" w:hAnsi="Arial Narrow"/>
                <w:sz w:val="20"/>
                <w:szCs w:val="20"/>
              </w:rPr>
            </w:pPr>
            <w:r>
              <w:rPr>
                <w:rFonts w:ascii="Arial Narrow" w:hAnsi="Arial Narrow"/>
                <w:sz w:val="20"/>
                <w:szCs w:val="20"/>
              </w:rPr>
              <w:t>Cost per day</w:t>
            </w:r>
          </w:p>
        </w:tc>
        <w:tc>
          <w:tcPr>
            <w:tcW w:w="3006" w:type="dxa"/>
          </w:tcPr>
          <w:p w14:paraId="560B0F23" w14:textId="0BF0D55A" w:rsidR="004A5A54" w:rsidRPr="004A5A54" w:rsidRDefault="0092010C" w:rsidP="004A5A54">
            <w:pPr>
              <w:pStyle w:val="3-BodyText"/>
              <w:numPr>
                <w:ilvl w:val="0"/>
                <w:numId w:val="0"/>
              </w:numPr>
              <w:spacing w:after="0"/>
              <w:rPr>
                <w:rFonts w:ascii="Arial Narrow" w:hAnsi="Arial Narrow"/>
                <w:sz w:val="20"/>
                <w:szCs w:val="20"/>
              </w:rPr>
            </w:pPr>
            <w:r>
              <w:rPr>
                <w:rFonts w:ascii="Arial Narrow" w:hAnsi="Arial Narrow"/>
                <w:sz w:val="20"/>
                <w:szCs w:val="20"/>
              </w:rPr>
              <w:t>$</w:t>
            </w:r>
            <w:r w:rsidR="007B7D69" w:rsidRPr="007B7D69">
              <w:rPr>
                <w:rFonts w:ascii="Arial Narrow" w:hAnsi="Arial Narrow"/>
                <w:color w:val="000000"/>
                <w:spacing w:val="8"/>
                <w:sz w:val="20"/>
                <w:szCs w:val="20"/>
                <w:shd w:val="solid" w:color="000000" w:fill="000000"/>
                <w:fitText w:val="306" w:id="-1500865022"/>
                <w14:textFill>
                  <w14:solidFill>
                    <w14:srgbClr w14:val="000000">
                      <w14:alpha w14:val="100000"/>
                    </w14:srgbClr>
                  </w14:solidFill>
                </w14:textFill>
              </w:rPr>
              <w:t>||  |</w:t>
            </w:r>
            <w:r w:rsidR="007B7D69" w:rsidRPr="007B7D69">
              <w:rPr>
                <w:rFonts w:ascii="Arial Narrow" w:hAnsi="Arial Narrow"/>
                <w:color w:val="000000"/>
                <w:spacing w:val="5"/>
                <w:sz w:val="20"/>
                <w:szCs w:val="20"/>
                <w:shd w:val="solid" w:color="000000" w:fill="000000"/>
                <w:fitText w:val="306" w:id="-1500865022"/>
                <w14:textFill>
                  <w14:solidFill>
                    <w14:srgbClr w14:val="000000">
                      <w14:alpha w14:val="100000"/>
                    </w14:srgbClr>
                  </w14:solidFill>
                </w14:textFill>
              </w:rPr>
              <w:t>|</w:t>
            </w:r>
          </w:p>
        </w:tc>
        <w:tc>
          <w:tcPr>
            <w:tcW w:w="3006" w:type="dxa"/>
          </w:tcPr>
          <w:p w14:paraId="015095C0" w14:textId="3B23A638" w:rsidR="004A5A54" w:rsidRPr="004A5A54" w:rsidRDefault="0092010C" w:rsidP="004A5A54">
            <w:pPr>
              <w:pStyle w:val="3-BodyText"/>
              <w:numPr>
                <w:ilvl w:val="0"/>
                <w:numId w:val="0"/>
              </w:numPr>
              <w:spacing w:after="0"/>
              <w:rPr>
                <w:rFonts w:ascii="Arial Narrow" w:hAnsi="Arial Narrow"/>
                <w:sz w:val="20"/>
                <w:szCs w:val="20"/>
              </w:rPr>
            </w:pPr>
            <w:r>
              <w:rPr>
                <w:rFonts w:ascii="Arial Narrow" w:hAnsi="Arial Narrow"/>
                <w:sz w:val="20"/>
                <w:szCs w:val="20"/>
              </w:rPr>
              <w:t>= $</w:t>
            </w:r>
            <w:r w:rsidR="007B7D69" w:rsidRPr="007B7D69">
              <w:rPr>
                <w:rFonts w:ascii="Arial Narrow" w:hAnsi="Arial Narrow"/>
                <w:color w:val="000000"/>
                <w:spacing w:val="11"/>
                <w:sz w:val="20"/>
                <w:szCs w:val="20"/>
                <w:shd w:val="solid" w:color="000000" w:fill="000000"/>
                <w:fitText w:val="318" w:id="-1500865021"/>
                <w14:textFill>
                  <w14:solidFill>
                    <w14:srgbClr w14:val="000000">
                      <w14:alpha w14:val="100000"/>
                    </w14:srgbClr>
                  </w14:solidFill>
                </w14:textFill>
              </w:rPr>
              <w:t>|</w:t>
            </w:r>
            <w:proofErr w:type="gramStart"/>
            <w:r w:rsidR="007B7D69" w:rsidRPr="007B7D69">
              <w:rPr>
                <w:rFonts w:ascii="Arial Narrow" w:hAnsi="Arial Narrow"/>
                <w:color w:val="000000"/>
                <w:spacing w:val="11"/>
                <w:sz w:val="20"/>
                <w:szCs w:val="20"/>
                <w:shd w:val="solid" w:color="000000" w:fill="000000"/>
                <w:fitText w:val="318" w:id="-1500865021"/>
                <w14:textFill>
                  <w14:solidFill>
                    <w14:srgbClr w14:val="000000">
                      <w14:alpha w14:val="100000"/>
                    </w14:srgbClr>
                  </w14:solidFill>
                </w14:textFill>
              </w:rPr>
              <w:t>|  |</w:t>
            </w:r>
            <w:proofErr w:type="gramEnd"/>
            <w:r w:rsidR="007B7D69" w:rsidRPr="007B7D69">
              <w:rPr>
                <w:rFonts w:ascii="Arial Narrow" w:hAnsi="Arial Narrow"/>
                <w:color w:val="000000"/>
                <w:spacing w:val="2"/>
                <w:sz w:val="20"/>
                <w:szCs w:val="20"/>
                <w:shd w:val="solid" w:color="000000" w:fill="000000"/>
                <w:fitText w:val="318" w:id="-1500865021"/>
                <w14:textFill>
                  <w14:solidFill>
                    <w14:srgbClr w14:val="000000">
                      <w14:alpha w14:val="100000"/>
                    </w14:srgbClr>
                  </w14:solidFill>
                </w14:textFill>
              </w:rPr>
              <w:t>|</w:t>
            </w:r>
            <w:r>
              <w:rPr>
                <w:rFonts w:ascii="Arial Narrow" w:hAnsi="Arial Narrow"/>
                <w:sz w:val="20"/>
                <w:szCs w:val="20"/>
              </w:rPr>
              <w:t>/200 mg/21 tablets * 477 mg</w:t>
            </w:r>
          </w:p>
        </w:tc>
      </w:tr>
      <w:tr w:rsidR="004A5A54" w14:paraId="39780906" w14:textId="77777777" w:rsidTr="004A5A54">
        <w:tc>
          <w:tcPr>
            <w:tcW w:w="3005" w:type="dxa"/>
          </w:tcPr>
          <w:p w14:paraId="4F74367F" w14:textId="77777777" w:rsidR="004A5A54" w:rsidRPr="004A5A54" w:rsidRDefault="004A5A54" w:rsidP="004A5A54">
            <w:pPr>
              <w:pStyle w:val="3-BodyText"/>
              <w:numPr>
                <w:ilvl w:val="0"/>
                <w:numId w:val="0"/>
              </w:numPr>
              <w:spacing w:after="0"/>
              <w:rPr>
                <w:rFonts w:ascii="Arial Narrow" w:hAnsi="Arial Narrow"/>
                <w:sz w:val="20"/>
                <w:szCs w:val="20"/>
              </w:rPr>
            </w:pPr>
          </w:p>
        </w:tc>
        <w:tc>
          <w:tcPr>
            <w:tcW w:w="3006" w:type="dxa"/>
          </w:tcPr>
          <w:p w14:paraId="385B8C74" w14:textId="6509DB14" w:rsidR="004A5A54" w:rsidRPr="0092010C" w:rsidRDefault="0092010C" w:rsidP="004A5A54">
            <w:pPr>
              <w:pStyle w:val="3-BodyText"/>
              <w:numPr>
                <w:ilvl w:val="0"/>
                <w:numId w:val="0"/>
              </w:numPr>
              <w:spacing w:after="0"/>
              <w:rPr>
                <w:rFonts w:ascii="Arial Narrow" w:hAnsi="Arial Narrow"/>
                <w:b/>
                <w:bCs/>
                <w:sz w:val="20"/>
                <w:szCs w:val="20"/>
              </w:rPr>
            </w:pPr>
            <w:r w:rsidRPr="0092010C">
              <w:rPr>
                <w:rFonts w:ascii="Arial Narrow" w:hAnsi="Arial Narrow"/>
                <w:b/>
                <w:bCs/>
                <w:sz w:val="20"/>
                <w:szCs w:val="20"/>
              </w:rPr>
              <w:t>Palbociclib</w:t>
            </w:r>
          </w:p>
        </w:tc>
        <w:tc>
          <w:tcPr>
            <w:tcW w:w="3006" w:type="dxa"/>
          </w:tcPr>
          <w:p w14:paraId="2B2805EC" w14:textId="77777777" w:rsidR="004A5A54" w:rsidRPr="004A5A54" w:rsidRDefault="004A5A54" w:rsidP="004A5A54">
            <w:pPr>
              <w:pStyle w:val="3-BodyText"/>
              <w:numPr>
                <w:ilvl w:val="0"/>
                <w:numId w:val="0"/>
              </w:numPr>
              <w:spacing w:after="0"/>
              <w:rPr>
                <w:rFonts w:ascii="Arial Narrow" w:hAnsi="Arial Narrow"/>
                <w:sz w:val="20"/>
                <w:szCs w:val="20"/>
              </w:rPr>
            </w:pPr>
          </w:p>
        </w:tc>
      </w:tr>
      <w:tr w:rsidR="0092010C" w14:paraId="19B4909C" w14:textId="77777777" w:rsidTr="004A5A54">
        <w:tc>
          <w:tcPr>
            <w:tcW w:w="3005" w:type="dxa"/>
          </w:tcPr>
          <w:p w14:paraId="486052A9" w14:textId="1D6F61F4" w:rsidR="0092010C" w:rsidRDefault="0092010C" w:rsidP="004A5A54">
            <w:pPr>
              <w:pStyle w:val="3-BodyText"/>
              <w:numPr>
                <w:ilvl w:val="0"/>
                <w:numId w:val="0"/>
              </w:numPr>
              <w:spacing w:after="0"/>
              <w:rPr>
                <w:rFonts w:ascii="Arial Narrow" w:hAnsi="Arial Narrow"/>
                <w:sz w:val="20"/>
                <w:szCs w:val="20"/>
              </w:rPr>
            </w:pPr>
            <w:r>
              <w:rPr>
                <w:rFonts w:ascii="Arial Narrow" w:hAnsi="Arial Narrow"/>
                <w:sz w:val="20"/>
                <w:szCs w:val="20"/>
              </w:rPr>
              <w:t>Daily dose</w:t>
            </w:r>
          </w:p>
        </w:tc>
        <w:tc>
          <w:tcPr>
            <w:tcW w:w="3006" w:type="dxa"/>
          </w:tcPr>
          <w:p w14:paraId="324FF0A4" w14:textId="0DCB2DD4" w:rsidR="0092010C" w:rsidRDefault="0092010C" w:rsidP="004A5A54">
            <w:pPr>
              <w:pStyle w:val="3-BodyText"/>
              <w:numPr>
                <w:ilvl w:val="0"/>
                <w:numId w:val="0"/>
              </w:numPr>
              <w:spacing w:after="0"/>
              <w:rPr>
                <w:rFonts w:ascii="Arial Narrow" w:hAnsi="Arial Narrow"/>
                <w:sz w:val="20"/>
                <w:szCs w:val="20"/>
              </w:rPr>
            </w:pPr>
            <w:r>
              <w:rPr>
                <w:rFonts w:ascii="Arial Narrow" w:hAnsi="Arial Narrow"/>
                <w:sz w:val="20"/>
                <w:szCs w:val="20"/>
              </w:rPr>
              <w:t>108.5 mg</w:t>
            </w:r>
          </w:p>
        </w:tc>
        <w:tc>
          <w:tcPr>
            <w:tcW w:w="3006" w:type="dxa"/>
          </w:tcPr>
          <w:p w14:paraId="3FCF95DA" w14:textId="3354B78E" w:rsidR="0092010C" w:rsidRDefault="0092010C" w:rsidP="004A5A54">
            <w:pPr>
              <w:pStyle w:val="3-BodyText"/>
              <w:numPr>
                <w:ilvl w:val="0"/>
                <w:numId w:val="0"/>
              </w:numPr>
              <w:spacing w:after="0"/>
              <w:rPr>
                <w:rFonts w:ascii="Arial Narrow" w:hAnsi="Arial Narrow"/>
                <w:sz w:val="20"/>
                <w:szCs w:val="20"/>
              </w:rPr>
            </w:pPr>
            <w:proofErr w:type="spellStart"/>
            <w:r>
              <w:rPr>
                <w:rFonts w:ascii="Arial Narrow" w:hAnsi="Arial Narrow"/>
                <w:sz w:val="20"/>
                <w:szCs w:val="20"/>
              </w:rPr>
              <w:t>Equi</w:t>
            </w:r>
            <w:proofErr w:type="spellEnd"/>
            <w:r>
              <w:rPr>
                <w:rFonts w:ascii="Arial Narrow" w:hAnsi="Arial Narrow"/>
                <w:sz w:val="20"/>
                <w:szCs w:val="20"/>
              </w:rPr>
              <w:t>-effective doses</w:t>
            </w:r>
          </w:p>
        </w:tc>
      </w:tr>
      <w:tr w:rsidR="0092010C" w14:paraId="4ED339BC" w14:textId="77777777" w:rsidTr="00404F98">
        <w:tc>
          <w:tcPr>
            <w:tcW w:w="3005" w:type="dxa"/>
          </w:tcPr>
          <w:p w14:paraId="62534ABD" w14:textId="77777777" w:rsidR="0092010C" w:rsidRPr="004A5A54" w:rsidRDefault="0092010C" w:rsidP="00404F98">
            <w:pPr>
              <w:pStyle w:val="3-BodyText"/>
              <w:numPr>
                <w:ilvl w:val="0"/>
                <w:numId w:val="0"/>
              </w:numPr>
              <w:spacing w:after="0"/>
              <w:rPr>
                <w:rFonts w:ascii="Arial Narrow" w:hAnsi="Arial Narrow"/>
                <w:sz w:val="20"/>
                <w:szCs w:val="20"/>
              </w:rPr>
            </w:pPr>
            <w:r>
              <w:rPr>
                <w:rFonts w:ascii="Arial Narrow" w:hAnsi="Arial Narrow"/>
                <w:sz w:val="20"/>
                <w:szCs w:val="20"/>
              </w:rPr>
              <w:t>Cost per day</w:t>
            </w:r>
          </w:p>
        </w:tc>
        <w:tc>
          <w:tcPr>
            <w:tcW w:w="3006" w:type="dxa"/>
          </w:tcPr>
          <w:p w14:paraId="30673085" w14:textId="713C20B8" w:rsidR="0092010C" w:rsidRPr="004A5A54" w:rsidRDefault="0092010C" w:rsidP="00404F98">
            <w:pPr>
              <w:pStyle w:val="3-BodyText"/>
              <w:numPr>
                <w:ilvl w:val="0"/>
                <w:numId w:val="0"/>
              </w:numPr>
              <w:spacing w:after="0"/>
              <w:rPr>
                <w:rFonts w:ascii="Arial Narrow" w:hAnsi="Arial Narrow"/>
                <w:sz w:val="20"/>
                <w:szCs w:val="20"/>
              </w:rPr>
            </w:pPr>
            <w:r>
              <w:rPr>
                <w:rFonts w:ascii="Arial Narrow" w:hAnsi="Arial Narrow"/>
                <w:sz w:val="20"/>
                <w:szCs w:val="20"/>
              </w:rPr>
              <w:t>$</w:t>
            </w:r>
            <w:r w:rsidR="007B7D69" w:rsidRPr="007B7D69">
              <w:rPr>
                <w:rFonts w:ascii="Arial Narrow" w:hAnsi="Arial Narrow"/>
                <w:color w:val="000000"/>
                <w:spacing w:val="8"/>
                <w:sz w:val="20"/>
                <w:szCs w:val="20"/>
                <w:shd w:val="solid" w:color="000000" w:fill="000000"/>
                <w:fitText w:val="306" w:id="-1500865020"/>
                <w14:textFill>
                  <w14:solidFill>
                    <w14:srgbClr w14:val="000000">
                      <w14:alpha w14:val="100000"/>
                    </w14:srgbClr>
                  </w14:solidFill>
                </w14:textFill>
              </w:rPr>
              <w:t>||  |</w:t>
            </w:r>
            <w:r w:rsidR="007B7D69" w:rsidRPr="007B7D69">
              <w:rPr>
                <w:rFonts w:ascii="Arial Narrow" w:hAnsi="Arial Narrow"/>
                <w:color w:val="000000"/>
                <w:spacing w:val="5"/>
                <w:sz w:val="20"/>
                <w:szCs w:val="20"/>
                <w:shd w:val="solid" w:color="000000" w:fill="000000"/>
                <w:fitText w:val="306" w:id="-1500865020"/>
                <w14:textFill>
                  <w14:solidFill>
                    <w14:srgbClr w14:val="000000">
                      <w14:alpha w14:val="100000"/>
                    </w14:srgbClr>
                  </w14:solidFill>
                </w14:textFill>
              </w:rPr>
              <w:t>|</w:t>
            </w:r>
          </w:p>
        </w:tc>
        <w:tc>
          <w:tcPr>
            <w:tcW w:w="3006" w:type="dxa"/>
          </w:tcPr>
          <w:p w14:paraId="01BD1B76" w14:textId="77777777" w:rsidR="0092010C" w:rsidRPr="004A5A54" w:rsidRDefault="0092010C" w:rsidP="00404F98">
            <w:pPr>
              <w:pStyle w:val="3-BodyText"/>
              <w:numPr>
                <w:ilvl w:val="0"/>
                <w:numId w:val="0"/>
              </w:numPr>
              <w:spacing w:after="0"/>
              <w:rPr>
                <w:rFonts w:ascii="Arial Narrow" w:hAnsi="Arial Narrow"/>
                <w:sz w:val="20"/>
                <w:szCs w:val="20"/>
              </w:rPr>
            </w:pPr>
            <w:r>
              <w:rPr>
                <w:rFonts w:ascii="Arial Narrow" w:hAnsi="Arial Narrow"/>
                <w:sz w:val="20"/>
                <w:szCs w:val="20"/>
              </w:rPr>
              <w:t>From above</w:t>
            </w:r>
          </w:p>
        </w:tc>
      </w:tr>
      <w:tr w:rsidR="0092010C" w14:paraId="7470E8AC" w14:textId="77777777" w:rsidTr="004A5A54">
        <w:tc>
          <w:tcPr>
            <w:tcW w:w="3005" w:type="dxa"/>
          </w:tcPr>
          <w:p w14:paraId="10F352DB" w14:textId="1963B929" w:rsidR="0092010C" w:rsidRDefault="0092010C" w:rsidP="004A5A54">
            <w:pPr>
              <w:pStyle w:val="3-BodyText"/>
              <w:numPr>
                <w:ilvl w:val="0"/>
                <w:numId w:val="0"/>
              </w:numPr>
              <w:spacing w:after="0"/>
              <w:rPr>
                <w:rFonts w:ascii="Arial Narrow" w:hAnsi="Arial Narrow"/>
                <w:sz w:val="20"/>
                <w:szCs w:val="20"/>
              </w:rPr>
            </w:pPr>
            <w:r>
              <w:rPr>
                <w:rFonts w:ascii="Arial Narrow" w:hAnsi="Arial Narrow"/>
                <w:sz w:val="20"/>
                <w:szCs w:val="20"/>
              </w:rPr>
              <w:t xml:space="preserve">Cost per 21 </w:t>
            </w:r>
            <w:proofErr w:type="spellStart"/>
            <w:r>
              <w:rPr>
                <w:rFonts w:ascii="Arial Narrow" w:hAnsi="Arial Narrow"/>
                <w:sz w:val="20"/>
                <w:szCs w:val="20"/>
              </w:rPr>
              <w:t>days</w:t>
            </w:r>
            <w:r w:rsidR="00E641E9" w:rsidRPr="00E641E9">
              <w:rPr>
                <w:rFonts w:ascii="Arial Narrow" w:hAnsi="Arial Narrow"/>
                <w:sz w:val="20"/>
                <w:szCs w:val="20"/>
                <w:vertAlign w:val="superscript"/>
              </w:rPr>
              <w:t>a</w:t>
            </w:r>
            <w:proofErr w:type="spellEnd"/>
          </w:p>
        </w:tc>
        <w:tc>
          <w:tcPr>
            <w:tcW w:w="3006" w:type="dxa"/>
          </w:tcPr>
          <w:p w14:paraId="61BE4D29" w14:textId="6718EDB6" w:rsidR="0092010C" w:rsidRDefault="0092010C" w:rsidP="004A5A54">
            <w:pPr>
              <w:pStyle w:val="3-BodyText"/>
              <w:numPr>
                <w:ilvl w:val="0"/>
                <w:numId w:val="0"/>
              </w:numPr>
              <w:spacing w:after="0"/>
              <w:rPr>
                <w:rFonts w:ascii="Arial Narrow" w:hAnsi="Arial Narrow"/>
                <w:sz w:val="20"/>
                <w:szCs w:val="20"/>
              </w:rPr>
            </w:pPr>
            <w:r>
              <w:rPr>
                <w:rFonts w:ascii="Arial Narrow" w:hAnsi="Arial Narrow"/>
                <w:sz w:val="20"/>
                <w:szCs w:val="20"/>
              </w:rPr>
              <w:t>$</w:t>
            </w:r>
            <w:r w:rsidR="007B7D69" w:rsidRPr="007B7D69">
              <w:rPr>
                <w:rFonts w:ascii="Arial Narrow" w:hAnsi="Arial Narrow"/>
                <w:color w:val="000000"/>
                <w:spacing w:val="8"/>
                <w:sz w:val="20"/>
                <w:szCs w:val="20"/>
                <w:shd w:val="solid" w:color="000000" w:fill="000000"/>
                <w:fitText w:val="306" w:id="-1500865019"/>
                <w14:textFill>
                  <w14:solidFill>
                    <w14:srgbClr w14:val="000000">
                      <w14:alpha w14:val="100000"/>
                    </w14:srgbClr>
                  </w14:solidFill>
                </w14:textFill>
              </w:rPr>
              <w:t>||  |</w:t>
            </w:r>
            <w:r w:rsidR="007B7D69" w:rsidRPr="007B7D69">
              <w:rPr>
                <w:rFonts w:ascii="Arial Narrow" w:hAnsi="Arial Narrow"/>
                <w:color w:val="000000"/>
                <w:spacing w:val="5"/>
                <w:sz w:val="20"/>
                <w:szCs w:val="20"/>
                <w:shd w:val="solid" w:color="000000" w:fill="000000"/>
                <w:fitText w:val="306" w:id="-1500865019"/>
                <w14:textFill>
                  <w14:solidFill>
                    <w14:srgbClr w14:val="000000">
                      <w14:alpha w14:val="100000"/>
                    </w14:srgbClr>
                  </w14:solidFill>
                </w14:textFill>
              </w:rPr>
              <w:t>|</w:t>
            </w:r>
          </w:p>
        </w:tc>
        <w:tc>
          <w:tcPr>
            <w:tcW w:w="3006" w:type="dxa"/>
          </w:tcPr>
          <w:p w14:paraId="5CA3012C" w14:textId="30E0E37E" w:rsidR="0092010C" w:rsidRDefault="0092010C" w:rsidP="004A5A54">
            <w:pPr>
              <w:pStyle w:val="3-BodyText"/>
              <w:numPr>
                <w:ilvl w:val="0"/>
                <w:numId w:val="0"/>
              </w:numPr>
              <w:spacing w:after="0"/>
              <w:rPr>
                <w:rFonts w:ascii="Arial Narrow" w:hAnsi="Arial Narrow"/>
                <w:sz w:val="20"/>
                <w:szCs w:val="20"/>
              </w:rPr>
            </w:pPr>
            <w:r>
              <w:rPr>
                <w:rFonts w:ascii="Arial Narrow" w:hAnsi="Arial Narrow"/>
                <w:sz w:val="20"/>
                <w:szCs w:val="20"/>
              </w:rPr>
              <w:t>= $</w:t>
            </w:r>
            <w:r w:rsidR="007B7D69" w:rsidRPr="007B7D69">
              <w:rPr>
                <w:rFonts w:ascii="Arial Narrow" w:hAnsi="Arial Narrow"/>
                <w:color w:val="000000"/>
                <w:spacing w:val="11"/>
                <w:sz w:val="20"/>
                <w:szCs w:val="20"/>
                <w:shd w:val="solid" w:color="000000" w:fill="000000"/>
                <w:fitText w:val="318" w:id="-1500865018"/>
                <w14:textFill>
                  <w14:solidFill>
                    <w14:srgbClr w14:val="000000">
                      <w14:alpha w14:val="100000"/>
                    </w14:srgbClr>
                  </w14:solidFill>
                </w14:textFill>
              </w:rPr>
              <w:t>|</w:t>
            </w:r>
            <w:proofErr w:type="gramStart"/>
            <w:r w:rsidR="007B7D69" w:rsidRPr="007B7D69">
              <w:rPr>
                <w:rFonts w:ascii="Arial Narrow" w:hAnsi="Arial Narrow"/>
                <w:color w:val="000000"/>
                <w:spacing w:val="11"/>
                <w:sz w:val="20"/>
                <w:szCs w:val="20"/>
                <w:shd w:val="solid" w:color="000000" w:fill="000000"/>
                <w:fitText w:val="318" w:id="-1500865018"/>
                <w14:textFill>
                  <w14:solidFill>
                    <w14:srgbClr w14:val="000000">
                      <w14:alpha w14:val="100000"/>
                    </w14:srgbClr>
                  </w14:solidFill>
                </w14:textFill>
              </w:rPr>
              <w:t>|  |</w:t>
            </w:r>
            <w:proofErr w:type="gramEnd"/>
            <w:r w:rsidR="007B7D69" w:rsidRPr="007B7D69">
              <w:rPr>
                <w:rFonts w:ascii="Arial Narrow" w:hAnsi="Arial Narrow"/>
                <w:color w:val="000000"/>
                <w:spacing w:val="2"/>
                <w:sz w:val="20"/>
                <w:szCs w:val="20"/>
                <w:shd w:val="solid" w:color="000000" w:fill="000000"/>
                <w:fitText w:val="318" w:id="-1500865018"/>
                <w14:textFill>
                  <w14:solidFill>
                    <w14:srgbClr w14:val="000000">
                      <w14:alpha w14:val="100000"/>
                    </w14:srgbClr>
                  </w14:solidFill>
                </w14:textFill>
              </w:rPr>
              <w:t>|</w:t>
            </w:r>
            <w:r>
              <w:rPr>
                <w:rFonts w:ascii="Arial Narrow" w:hAnsi="Arial Narrow"/>
                <w:sz w:val="20"/>
                <w:szCs w:val="20"/>
              </w:rPr>
              <w:t xml:space="preserve"> x 21 days</w:t>
            </w:r>
          </w:p>
        </w:tc>
      </w:tr>
    </w:tbl>
    <w:p w14:paraId="22E6256D" w14:textId="7CC3051D" w:rsidR="00E641E9" w:rsidRPr="00E641E9" w:rsidRDefault="00E641E9" w:rsidP="00E641E9">
      <w:pPr>
        <w:pStyle w:val="3-BodyText"/>
        <w:numPr>
          <w:ilvl w:val="0"/>
          <w:numId w:val="0"/>
        </w:numPr>
        <w:spacing w:after="0"/>
        <w:rPr>
          <w:rFonts w:ascii="Arial Narrow" w:hAnsi="Arial Narrow"/>
          <w:sz w:val="18"/>
          <w:szCs w:val="18"/>
        </w:rPr>
      </w:pPr>
      <w:r w:rsidRPr="00E641E9">
        <w:rPr>
          <w:rFonts w:ascii="Arial Narrow" w:hAnsi="Arial Narrow"/>
          <w:sz w:val="18"/>
          <w:szCs w:val="18"/>
        </w:rPr>
        <w:t>Source: Attachment 5 Section 3 CMA.xlsx</w:t>
      </w:r>
    </w:p>
    <w:p w14:paraId="60A82FBB" w14:textId="3C8FC296" w:rsidR="00E641E9" w:rsidRPr="00E641E9" w:rsidRDefault="00E641E9" w:rsidP="00E641E9">
      <w:pPr>
        <w:pStyle w:val="3-BodyText"/>
        <w:numPr>
          <w:ilvl w:val="0"/>
          <w:numId w:val="0"/>
        </w:numPr>
        <w:spacing w:after="0"/>
        <w:rPr>
          <w:rFonts w:ascii="Arial Narrow" w:hAnsi="Arial Narrow"/>
          <w:sz w:val="18"/>
          <w:szCs w:val="18"/>
        </w:rPr>
      </w:pPr>
      <w:r w:rsidRPr="00E641E9">
        <w:rPr>
          <w:rFonts w:ascii="Arial Narrow" w:hAnsi="Arial Narrow"/>
          <w:sz w:val="18"/>
          <w:szCs w:val="18"/>
        </w:rPr>
        <w:t>AEMP = approved ex-manufacturer price</w:t>
      </w:r>
    </w:p>
    <w:p w14:paraId="24BC6E9A" w14:textId="67C9C715" w:rsidR="00E641E9" w:rsidRPr="00E641E9" w:rsidRDefault="00E641E9" w:rsidP="000503B9">
      <w:pPr>
        <w:pStyle w:val="3-BodyText"/>
        <w:numPr>
          <w:ilvl w:val="0"/>
          <w:numId w:val="0"/>
        </w:numPr>
        <w:rPr>
          <w:rFonts w:ascii="Arial Narrow" w:hAnsi="Arial Narrow"/>
          <w:sz w:val="18"/>
          <w:szCs w:val="18"/>
        </w:rPr>
      </w:pPr>
      <w:r w:rsidRPr="005B0B89">
        <w:rPr>
          <w:rFonts w:ascii="Arial Narrow" w:hAnsi="Arial Narrow"/>
          <w:sz w:val="18"/>
          <w:szCs w:val="18"/>
          <w:vertAlign w:val="superscript"/>
        </w:rPr>
        <w:t>a</w:t>
      </w:r>
      <w:r w:rsidRPr="00E641E9">
        <w:rPr>
          <w:rFonts w:ascii="Arial Narrow" w:hAnsi="Arial Narrow"/>
          <w:sz w:val="18"/>
          <w:szCs w:val="18"/>
        </w:rPr>
        <w:t xml:space="preserve"> Palbociclib has a flat pricing structure for the 75 mg, 100 </w:t>
      </w:r>
      <w:proofErr w:type="gramStart"/>
      <w:r w:rsidRPr="00E641E9">
        <w:rPr>
          <w:rFonts w:ascii="Arial Narrow" w:hAnsi="Arial Narrow"/>
          <w:sz w:val="18"/>
          <w:szCs w:val="18"/>
        </w:rPr>
        <w:t>mg</w:t>
      </w:r>
      <w:proofErr w:type="gramEnd"/>
      <w:r w:rsidRPr="00E641E9">
        <w:rPr>
          <w:rFonts w:ascii="Arial Narrow" w:hAnsi="Arial Narrow"/>
          <w:sz w:val="18"/>
          <w:szCs w:val="18"/>
        </w:rPr>
        <w:t xml:space="preserve"> and 125 mg tablets</w:t>
      </w:r>
    </w:p>
    <w:p w14:paraId="574C7DC5" w14:textId="23DB9F2C" w:rsidR="00391DF0" w:rsidRPr="00E74253" w:rsidRDefault="00391DF0" w:rsidP="00E641E9">
      <w:pPr>
        <w:pStyle w:val="3-BodyText"/>
      </w:pPr>
      <w:r w:rsidRPr="00E74253">
        <w:t xml:space="preserve">The ESC noted that the proposed price is consistent with previous PBAC considerations that the price of </w:t>
      </w:r>
      <w:proofErr w:type="spellStart"/>
      <w:r w:rsidRPr="00E74253">
        <w:t>ribociclib</w:t>
      </w:r>
      <w:proofErr w:type="spellEnd"/>
      <w:r w:rsidRPr="00E74253">
        <w:t xml:space="preserve"> or </w:t>
      </w:r>
      <w:proofErr w:type="spellStart"/>
      <w:r w:rsidRPr="00E74253">
        <w:t>abemaciclib</w:t>
      </w:r>
      <w:proofErr w:type="spellEnd"/>
      <w:r w:rsidRPr="00E74253">
        <w:t xml:space="preserve">, when used in combination with </w:t>
      </w:r>
      <w:proofErr w:type="spellStart"/>
      <w:r w:rsidRPr="00E74253">
        <w:t>fulvestrant</w:t>
      </w:r>
      <w:proofErr w:type="spellEnd"/>
      <w:r w:rsidRPr="00E74253">
        <w:t xml:space="preserve">, should not be higher than the price of the drug when used in combination with an NSAI (paragraph 5.9, </w:t>
      </w:r>
      <w:proofErr w:type="spellStart"/>
      <w:r w:rsidRPr="00E74253">
        <w:t>ribociclib</w:t>
      </w:r>
      <w:proofErr w:type="spellEnd"/>
      <w:r w:rsidRPr="00E74253">
        <w:t xml:space="preserve"> PSD, November 2020; paragraph 6.45, </w:t>
      </w:r>
      <w:proofErr w:type="spellStart"/>
      <w:r w:rsidRPr="00E74253">
        <w:t>abemaciclib</w:t>
      </w:r>
      <w:proofErr w:type="spellEnd"/>
      <w:r w:rsidRPr="00E74253">
        <w:t xml:space="preserve"> PSD, March 2021).</w:t>
      </w:r>
    </w:p>
    <w:p w14:paraId="51CD8870" w14:textId="7EA6926E" w:rsidR="00E641E9" w:rsidRPr="00E74253" w:rsidRDefault="00E641E9" w:rsidP="00E641E9">
      <w:pPr>
        <w:pStyle w:val="3-BodyText"/>
      </w:pPr>
      <w:r w:rsidRPr="00E74253">
        <w:t xml:space="preserve">A sensitivity analysis was performed which estimated the </w:t>
      </w:r>
      <w:proofErr w:type="spellStart"/>
      <w:r w:rsidRPr="00E74253">
        <w:t>equi</w:t>
      </w:r>
      <w:proofErr w:type="spellEnd"/>
      <w:r w:rsidRPr="00E74253">
        <w:t xml:space="preserve">-effective doses using the RDIs of </w:t>
      </w:r>
      <w:proofErr w:type="spellStart"/>
      <w:r w:rsidRPr="00E74253">
        <w:t>palbociclib</w:t>
      </w:r>
      <w:proofErr w:type="spellEnd"/>
      <w:r w:rsidRPr="00E74253">
        <w:t xml:space="preserve"> and </w:t>
      </w:r>
      <w:proofErr w:type="spellStart"/>
      <w:r w:rsidRPr="00E74253">
        <w:t>ribociclib</w:t>
      </w:r>
      <w:proofErr w:type="spellEnd"/>
      <w:r w:rsidRPr="00E74253">
        <w:t xml:space="preserve"> from the PALOMA-3 and MONALEESA-3 trials (</w:t>
      </w:r>
      <w:proofErr w:type="gramStart"/>
      <w:r w:rsidRPr="00E74253">
        <w:t>i.e.</w:t>
      </w:r>
      <w:proofErr w:type="gramEnd"/>
      <w:r w:rsidRPr="00E74253">
        <w:t xml:space="preserve"> when used in combination with </w:t>
      </w:r>
      <w:proofErr w:type="spellStart"/>
      <w:r w:rsidRPr="00E74253">
        <w:t>fulvestrant</w:t>
      </w:r>
      <w:proofErr w:type="spellEnd"/>
      <w:r w:rsidRPr="00E74253">
        <w:t xml:space="preserve">). This resulted in </w:t>
      </w:r>
      <w:proofErr w:type="spellStart"/>
      <w:r w:rsidRPr="00E74253">
        <w:t>equi</w:t>
      </w:r>
      <w:proofErr w:type="spellEnd"/>
      <w:r w:rsidRPr="00E74253">
        <w:t xml:space="preserve">-effective doses of: </w:t>
      </w:r>
    </w:p>
    <w:p w14:paraId="4CC996EB" w14:textId="13922A91" w:rsidR="00E641E9" w:rsidRDefault="00E641E9" w:rsidP="00D529BA">
      <w:pPr>
        <w:pStyle w:val="3-BodyText"/>
        <w:numPr>
          <w:ilvl w:val="0"/>
          <w:numId w:val="0"/>
        </w:numPr>
        <w:spacing w:after="0"/>
        <w:ind w:left="720"/>
        <w:rPr>
          <w:rFonts w:ascii="Calibri" w:hAnsi="Calibri" w:cs="Calibri"/>
        </w:rPr>
      </w:pPr>
      <w:r w:rsidRPr="00EF2750">
        <w:t xml:space="preserve">Palbociclib 105.9 mg = </w:t>
      </w:r>
      <w:proofErr w:type="spellStart"/>
      <w:r w:rsidRPr="00EF2750">
        <w:t>ribociclib</w:t>
      </w:r>
      <w:proofErr w:type="spellEnd"/>
      <w:r w:rsidRPr="00EF2750">
        <w:t xml:space="preserve"> 511.2 mg per day for 21 days of a 28-day cycle</w:t>
      </w:r>
      <w:r w:rsidR="00D529BA" w:rsidRPr="00EF2750">
        <w:t xml:space="preserve"> </w:t>
      </w:r>
      <w:r w:rsidR="00F90B8E" w:rsidRPr="00EF2750">
        <w:br/>
      </w:r>
      <w:r w:rsidRPr="00EF2750">
        <w:t>(</w:t>
      </w:r>
      <w:proofErr w:type="gramStart"/>
      <w:r w:rsidRPr="00EF2750">
        <w:t>i.e.</w:t>
      </w:r>
      <w:proofErr w:type="gramEnd"/>
      <w:r w:rsidRPr="00EF2750">
        <w:t xml:space="preserve"> Palbociclib 1 mg = </w:t>
      </w:r>
      <w:proofErr w:type="spellStart"/>
      <w:r w:rsidR="00391DF0" w:rsidRPr="00EF2750">
        <w:t>ribociclib</w:t>
      </w:r>
      <w:proofErr w:type="spellEnd"/>
      <w:r w:rsidR="00391DF0" w:rsidRPr="00EF2750">
        <w:t xml:space="preserve"> </w:t>
      </w:r>
      <w:r w:rsidRPr="00EF2750">
        <w:t>4.83 mg)</w:t>
      </w:r>
      <w:r w:rsidRPr="00E74253">
        <w:rPr>
          <w:rFonts w:ascii="Calibri" w:hAnsi="Calibri" w:cs="Calibri"/>
        </w:rPr>
        <w:t xml:space="preserve"> </w:t>
      </w:r>
    </w:p>
    <w:p w14:paraId="2BC685DE" w14:textId="77777777" w:rsidR="007F2E0C" w:rsidRPr="00E74253" w:rsidRDefault="007F2E0C" w:rsidP="00D529BA">
      <w:pPr>
        <w:pStyle w:val="3-BodyText"/>
        <w:numPr>
          <w:ilvl w:val="0"/>
          <w:numId w:val="0"/>
        </w:numPr>
        <w:spacing w:after="0"/>
        <w:ind w:left="720"/>
      </w:pPr>
    </w:p>
    <w:p w14:paraId="6CAF97C0" w14:textId="4BD381F9" w:rsidR="00E641E9" w:rsidRPr="00E74253" w:rsidRDefault="00A21BAA" w:rsidP="00E641E9">
      <w:pPr>
        <w:pStyle w:val="3-BodyText"/>
      </w:pPr>
      <w:r>
        <w:t>T</w:t>
      </w:r>
      <w:r w:rsidR="00E641E9" w:rsidRPr="00E74253">
        <w:t xml:space="preserve">he trials </w:t>
      </w:r>
      <w:r>
        <w:t xml:space="preserve">informing these doses </w:t>
      </w:r>
      <w:r w:rsidR="00E641E9" w:rsidRPr="00E74253">
        <w:t xml:space="preserve">were not completely matched: 19% of patients in the MONALEESA-3 trial had de novo disease versus no patients in PALOMA-3, and dose intensity data were not available specifically for the endocrine-resistant subgroup in MONALEESA-3, which was relevant to the current submission.  </w:t>
      </w:r>
    </w:p>
    <w:p w14:paraId="299A8A62" w14:textId="5BEF0AE2" w:rsidR="004A5A54" w:rsidRPr="00E74253" w:rsidRDefault="00391DF0" w:rsidP="00404F98">
      <w:pPr>
        <w:pStyle w:val="3-BodyText"/>
      </w:pPr>
      <w:r w:rsidRPr="00E74253">
        <w:t>T</w:t>
      </w:r>
      <w:r w:rsidR="00E641E9" w:rsidRPr="00E74253">
        <w:t xml:space="preserve">he ESC noted that </w:t>
      </w:r>
      <w:r w:rsidR="00BB341E">
        <w:t>use of these doses</w:t>
      </w:r>
      <w:r w:rsidR="00BB341E" w:rsidRPr="00E74253">
        <w:t xml:space="preserve"> </w:t>
      </w:r>
      <w:r w:rsidR="00E641E9" w:rsidRPr="00E74253">
        <w:t xml:space="preserve">would result in a higher </w:t>
      </w:r>
      <w:r w:rsidR="00BB341E">
        <w:t>AEMP</w:t>
      </w:r>
      <w:r w:rsidR="00BB341E" w:rsidRPr="00E74253">
        <w:t xml:space="preserve"> </w:t>
      </w:r>
      <w:r w:rsidR="00E641E9" w:rsidRPr="00E74253">
        <w:t xml:space="preserve">for </w:t>
      </w:r>
      <w:proofErr w:type="spellStart"/>
      <w:r w:rsidR="00E641E9" w:rsidRPr="00E74253">
        <w:t>palbociclib</w:t>
      </w:r>
      <w:proofErr w:type="spellEnd"/>
      <w:r w:rsidR="00E641E9" w:rsidRPr="00E74253">
        <w:t xml:space="preserve"> which was inconsistent with the PBAC</w:t>
      </w:r>
      <w:r w:rsidR="004A5A54" w:rsidRPr="00E74253">
        <w:t xml:space="preserve">s </w:t>
      </w:r>
      <w:r w:rsidRPr="00E74253">
        <w:t xml:space="preserve">previous recommendations (see paragraph 6.33). In addition, the ESC noted that, </w:t>
      </w:r>
      <w:r w:rsidR="00404F98" w:rsidRPr="00E74253">
        <w:t xml:space="preserve">that in context with the cost minimisation approach and </w:t>
      </w:r>
      <w:r w:rsidRPr="00E74253">
        <w:t xml:space="preserve">as per Section 101(3B) of the National Health Act 1953, the price of </w:t>
      </w:r>
      <w:proofErr w:type="spellStart"/>
      <w:r w:rsidRPr="00E74253">
        <w:t>palbociclib</w:t>
      </w:r>
      <w:proofErr w:type="spellEnd"/>
      <w:r w:rsidRPr="00E74253">
        <w:t xml:space="preserve"> when used in combination with </w:t>
      </w:r>
      <w:proofErr w:type="spellStart"/>
      <w:r w:rsidRPr="00E74253">
        <w:t>fulvestrant</w:t>
      </w:r>
      <w:proofErr w:type="spellEnd"/>
      <w:r w:rsidRPr="00E74253">
        <w:t xml:space="preserve"> </w:t>
      </w:r>
      <w:r w:rsidR="00404F98" w:rsidRPr="00E74253">
        <w:t xml:space="preserve">or a NSAI </w:t>
      </w:r>
      <w:r w:rsidRPr="00E74253">
        <w:t xml:space="preserve">should be no higher than the </w:t>
      </w:r>
      <w:r w:rsidR="00BB341E">
        <w:t xml:space="preserve">prices for the </w:t>
      </w:r>
      <w:r w:rsidRPr="00E74253">
        <w:t>existing listing</w:t>
      </w:r>
      <w:r w:rsidR="00404F98" w:rsidRPr="00E74253">
        <w:t>s</w:t>
      </w:r>
      <w:r w:rsidRPr="00E74253">
        <w:t xml:space="preserve"> of </w:t>
      </w:r>
      <w:proofErr w:type="spellStart"/>
      <w:r w:rsidR="00404F98" w:rsidRPr="00E74253">
        <w:t>ribociclib</w:t>
      </w:r>
      <w:proofErr w:type="spellEnd"/>
      <w:r w:rsidR="00404F98" w:rsidRPr="00E74253">
        <w:t xml:space="preserve"> or </w:t>
      </w:r>
      <w:proofErr w:type="spellStart"/>
      <w:r w:rsidR="00404F98" w:rsidRPr="00E74253">
        <w:t>abemaciclib</w:t>
      </w:r>
      <w:proofErr w:type="spellEnd"/>
      <w:r w:rsidR="00404F98" w:rsidRPr="00E74253">
        <w:t xml:space="preserve"> </w:t>
      </w:r>
      <w:r w:rsidRPr="00E74253">
        <w:t xml:space="preserve">when used in combination </w:t>
      </w:r>
      <w:proofErr w:type="spellStart"/>
      <w:r w:rsidR="00404F98" w:rsidRPr="00E74253">
        <w:t>fulvestrant</w:t>
      </w:r>
      <w:proofErr w:type="spellEnd"/>
      <w:r w:rsidRPr="00E74253">
        <w:t xml:space="preserve">. </w:t>
      </w:r>
    </w:p>
    <w:p w14:paraId="245694EB" w14:textId="30D6EF33" w:rsidR="00AB1164" w:rsidRPr="00937EEC" w:rsidRDefault="00AB1164" w:rsidP="00AB1164">
      <w:pPr>
        <w:pStyle w:val="4-SubsectionHeading"/>
      </w:pPr>
      <w:bookmarkStart w:id="48" w:name="_Toc93397671"/>
      <w:r w:rsidRPr="00937EEC">
        <w:t>Drug cost/patient/</w:t>
      </w:r>
      <w:bookmarkEnd w:id="48"/>
      <w:r w:rsidR="004D23DA">
        <w:t>script</w:t>
      </w:r>
    </w:p>
    <w:p w14:paraId="69582D6C" w14:textId="6548B1BD" w:rsidR="00AB1164" w:rsidRPr="00081A39" w:rsidRDefault="00AB1164" w:rsidP="00AB1164">
      <w:pPr>
        <w:pStyle w:val="3-BodyText"/>
        <w:rPr>
          <w:rFonts w:cstheme="minorHAnsi"/>
        </w:rPr>
      </w:pPr>
      <w:r w:rsidRPr="00081A39">
        <w:t xml:space="preserve">The proposed price for </w:t>
      </w:r>
      <w:proofErr w:type="spellStart"/>
      <w:r w:rsidRPr="00081A39">
        <w:t>palbociclib</w:t>
      </w:r>
      <w:proofErr w:type="spellEnd"/>
      <w:r w:rsidRPr="00081A39">
        <w:t xml:space="preserve"> when use in combination with </w:t>
      </w:r>
      <w:proofErr w:type="spellStart"/>
      <w:r w:rsidRPr="00081A39">
        <w:t>fulvestrant</w:t>
      </w:r>
      <w:proofErr w:type="spellEnd"/>
      <w:r w:rsidRPr="00081A39">
        <w:t xml:space="preserve"> is the same as the current price for </w:t>
      </w:r>
      <w:proofErr w:type="spellStart"/>
      <w:r w:rsidRPr="00081A39">
        <w:t>palbociclib</w:t>
      </w:r>
      <w:proofErr w:type="spellEnd"/>
      <w:r w:rsidRPr="00081A39">
        <w:t xml:space="preserve"> when use in combination with </w:t>
      </w:r>
      <w:r w:rsidR="00391DF0">
        <w:t xml:space="preserve">a NSAI </w:t>
      </w:r>
      <w:r w:rsidR="004D23DA">
        <w:t>(</w:t>
      </w:r>
      <w:r w:rsidR="00391DF0">
        <w:t xml:space="preserve">i.e. </w:t>
      </w:r>
      <w:r w:rsidRPr="00081A39">
        <w:t xml:space="preserve">effective </w:t>
      </w:r>
      <w:r w:rsidR="00391DF0">
        <w:t xml:space="preserve">AEMP = </w:t>
      </w:r>
      <w:r w:rsidRPr="00081A39">
        <w:t>$</w:t>
      </w:r>
      <w:proofErr w:type="gramStart"/>
      <w:r w:rsidR="007B7D69" w:rsidRPr="009728EB">
        <w:rPr>
          <w:color w:val="000000"/>
          <w:w w:val="15"/>
          <w:shd w:val="solid" w:color="000000" w:fill="000000"/>
          <w:fitText w:val="-20" w:id="-1500865017"/>
          <w14:textFill>
            <w14:solidFill>
              <w14:srgbClr w14:val="000000">
                <w14:alpha w14:val="100000"/>
              </w14:srgbClr>
            </w14:solidFill>
          </w14:textFill>
        </w:rPr>
        <w:t xml:space="preserve">|  </w:t>
      </w:r>
      <w:r w:rsidR="007B7D69" w:rsidRPr="009728EB">
        <w:rPr>
          <w:color w:val="000000"/>
          <w:spacing w:val="-69"/>
          <w:w w:val="15"/>
          <w:shd w:val="solid" w:color="000000" w:fill="000000"/>
          <w:fitText w:val="-20" w:id="-1500865017"/>
          <w14:textFill>
            <w14:solidFill>
              <w14:srgbClr w14:val="000000">
                <w14:alpha w14:val="100000"/>
              </w14:srgbClr>
            </w14:solidFill>
          </w14:textFill>
        </w:rPr>
        <w:t>|</w:t>
      </w:r>
      <w:proofErr w:type="gramEnd"/>
      <w:r w:rsidRPr="00081A39">
        <w:t xml:space="preserve"> per </w:t>
      </w:r>
      <w:r w:rsidR="00E170BE">
        <w:t>21 x 75 mg, 100 mg or 125 mg tablets</w:t>
      </w:r>
      <w:r w:rsidR="004D23DA">
        <w:t>)</w:t>
      </w:r>
      <w:r w:rsidRPr="00081A39">
        <w:rPr>
          <w:rFonts w:cstheme="minorHAnsi"/>
        </w:rPr>
        <w:t xml:space="preserve">. </w:t>
      </w:r>
    </w:p>
    <w:p w14:paraId="29F67A94" w14:textId="77777777" w:rsidR="00937EEC" w:rsidRPr="00937EEC" w:rsidRDefault="00937EEC" w:rsidP="0020358C">
      <w:pPr>
        <w:pStyle w:val="4-SubsectionHeading"/>
      </w:pPr>
      <w:bookmarkStart w:id="49" w:name="_Toc22897647"/>
      <w:bookmarkStart w:id="50" w:name="_Toc93397672"/>
      <w:r w:rsidRPr="00937EEC">
        <w:t>Estimated PBS usage &amp; financial implications</w:t>
      </w:r>
      <w:bookmarkEnd w:id="49"/>
      <w:bookmarkEnd w:id="50"/>
    </w:p>
    <w:p w14:paraId="6FC9491E" w14:textId="61BCFBE1" w:rsidR="00937EEC" w:rsidRPr="00E74253" w:rsidRDefault="00937EEC" w:rsidP="0020358C">
      <w:pPr>
        <w:pStyle w:val="3-BodyText"/>
        <w:rPr>
          <w:color w:val="0066FF"/>
        </w:rPr>
      </w:pPr>
      <w:bookmarkStart w:id="51" w:name="_Hlk50110924"/>
      <w:r w:rsidRPr="00E74253">
        <w:t>This submission w</w:t>
      </w:r>
      <w:r w:rsidR="00D529BA">
        <w:t>as</w:t>
      </w:r>
      <w:r w:rsidRPr="00E74253">
        <w:t xml:space="preserve"> not considered by DUSC</w:t>
      </w:r>
      <w:bookmarkEnd w:id="51"/>
      <w:r w:rsidRPr="00E74253">
        <w:t>.</w:t>
      </w:r>
      <w:r w:rsidRPr="00E74253">
        <w:rPr>
          <w:color w:val="0070C0"/>
        </w:rPr>
        <w:t xml:space="preserve"> </w:t>
      </w:r>
    </w:p>
    <w:p w14:paraId="1806FD6F" w14:textId="2F15DE2D" w:rsidR="00937EEC" w:rsidRPr="00E74253" w:rsidRDefault="00937EEC" w:rsidP="0020358C">
      <w:pPr>
        <w:pStyle w:val="3-BodyText"/>
      </w:pPr>
      <w:r w:rsidRPr="00E74253">
        <w:t xml:space="preserve">The submission adopted an epidemiological approach to estimate the number of patients eligible for the proposed treatment. </w:t>
      </w:r>
      <w:r w:rsidR="00E170BE" w:rsidRPr="00E74253">
        <w:t xml:space="preserve">A market share approach was not adopted </w:t>
      </w:r>
      <w:r w:rsidR="002E795F" w:rsidRPr="00E74253">
        <w:t xml:space="preserve">as </w:t>
      </w:r>
      <w:r w:rsidR="00E170BE" w:rsidRPr="00E74253">
        <w:t xml:space="preserve">there were insufficient </w:t>
      </w:r>
      <w:proofErr w:type="spellStart"/>
      <w:r w:rsidR="00E170BE" w:rsidRPr="00E74253">
        <w:t>ribociclib</w:t>
      </w:r>
      <w:proofErr w:type="spellEnd"/>
      <w:r w:rsidR="00E170BE" w:rsidRPr="00E74253">
        <w:t xml:space="preserve"> plus </w:t>
      </w:r>
      <w:proofErr w:type="spellStart"/>
      <w:r w:rsidR="00E170BE" w:rsidRPr="00E74253">
        <w:t>fulvestrant</w:t>
      </w:r>
      <w:proofErr w:type="spellEnd"/>
      <w:r w:rsidR="00E170BE" w:rsidRPr="00E74253">
        <w:t xml:space="preserve"> data available at the time of submission (</w:t>
      </w:r>
      <w:proofErr w:type="spellStart"/>
      <w:r w:rsidR="00E170BE" w:rsidRPr="00E74253">
        <w:t>ribociclib</w:t>
      </w:r>
      <w:proofErr w:type="spellEnd"/>
      <w:r w:rsidR="00E170BE" w:rsidRPr="00E74253">
        <w:t xml:space="preserve"> plus </w:t>
      </w:r>
      <w:proofErr w:type="spellStart"/>
      <w:r w:rsidR="00E170BE" w:rsidRPr="00E74253">
        <w:t>fulvestrant</w:t>
      </w:r>
      <w:proofErr w:type="spellEnd"/>
      <w:r w:rsidR="00E170BE" w:rsidRPr="00E74253">
        <w:t xml:space="preserve"> was PBS listed 1 April 2021). </w:t>
      </w:r>
      <w:r w:rsidR="002240CA" w:rsidRPr="00E74253">
        <w:rPr>
          <w:rFonts w:ascii="Calibri" w:hAnsi="Calibri" w:cs="Calibri"/>
        </w:rPr>
        <w:fldChar w:fldCharType="begin"/>
      </w:r>
      <w:r w:rsidR="002240CA" w:rsidRPr="00E74253">
        <w:rPr>
          <w:rFonts w:ascii="Calibri" w:hAnsi="Calibri" w:cs="Calibri"/>
        </w:rPr>
        <w:instrText xml:space="preserve"> REF _Ref90909051 \h  \* MERGEFORMAT </w:instrText>
      </w:r>
      <w:r w:rsidR="002240CA" w:rsidRPr="00E74253">
        <w:rPr>
          <w:rFonts w:ascii="Calibri" w:hAnsi="Calibri" w:cs="Calibri"/>
        </w:rPr>
      </w:r>
      <w:r w:rsidR="002240CA" w:rsidRPr="00E74253">
        <w:rPr>
          <w:rFonts w:ascii="Calibri" w:hAnsi="Calibri" w:cs="Calibri"/>
        </w:rPr>
        <w:fldChar w:fldCharType="separate"/>
      </w:r>
      <w:r w:rsidR="009728EB" w:rsidRPr="009728EB">
        <w:rPr>
          <w:rFonts w:ascii="Calibri" w:eastAsiaTheme="majorEastAsia" w:hAnsi="Calibri" w:cs="Calibri"/>
        </w:rPr>
        <w:t>Table</w:t>
      </w:r>
      <w:r w:rsidR="002240CA" w:rsidRPr="00E74253">
        <w:rPr>
          <w:rFonts w:ascii="Calibri" w:hAnsi="Calibri" w:cs="Calibri"/>
        </w:rPr>
        <w:fldChar w:fldCharType="end"/>
      </w:r>
      <w:r w:rsidR="00E7183E" w:rsidRPr="00E74253">
        <w:t xml:space="preserve"> presents the key inputs for the utilisation and financial estimates.</w:t>
      </w:r>
    </w:p>
    <w:p w14:paraId="46EDF473" w14:textId="77777777" w:rsidR="00814279" w:rsidRDefault="00814279">
      <w:pPr>
        <w:jc w:val="left"/>
        <w:rPr>
          <w:rFonts w:ascii="Arial Narrow" w:eastAsiaTheme="majorEastAsia" w:hAnsi="Arial Narrow" w:cstheme="majorBidi"/>
          <w:b/>
          <w:bCs/>
          <w:sz w:val="20"/>
        </w:rPr>
      </w:pPr>
      <w:r>
        <w:rPr>
          <w:rFonts w:ascii="Arial Narrow" w:eastAsiaTheme="majorEastAsia" w:hAnsi="Arial Narrow" w:cstheme="majorBidi"/>
          <w:b/>
          <w:bCs/>
          <w:sz w:val="20"/>
        </w:rPr>
        <w:br w:type="page"/>
      </w:r>
    </w:p>
    <w:p w14:paraId="5F3556C7" w14:textId="10B3C769" w:rsidR="00937EEC" w:rsidRPr="00937EEC" w:rsidRDefault="00937EEC" w:rsidP="00937EEC">
      <w:pPr>
        <w:keepNext/>
        <w:spacing w:before="20" w:after="20"/>
        <w:jc w:val="left"/>
        <w:rPr>
          <w:rFonts w:ascii="Arial Narrow" w:eastAsiaTheme="majorEastAsia" w:hAnsi="Arial Narrow" w:cstheme="majorBidi"/>
          <w:b/>
          <w:bCs/>
          <w:sz w:val="20"/>
        </w:rPr>
      </w:pPr>
      <w:bookmarkStart w:id="52" w:name="_Ref90909051"/>
      <w:r w:rsidRPr="00937EEC">
        <w:rPr>
          <w:rFonts w:ascii="Arial Narrow" w:eastAsiaTheme="majorEastAsia" w:hAnsi="Arial Narrow" w:cstheme="majorBidi"/>
          <w:b/>
          <w:bCs/>
          <w:sz w:val="20"/>
        </w:rPr>
        <w:lastRenderedPageBreak/>
        <w:t>Table</w:t>
      </w:r>
      <w:bookmarkEnd w:id="52"/>
      <w:r w:rsidR="00246AFC">
        <w:rPr>
          <w:rFonts w:ascii="Arial Narrow" w:eastAsiaTheme="majorEastAsia" w:hAnsi="Arial Narrow" w:cstheme="majorBidi"/>
          <w:b/>
          <w:bCs/>
          <w:sz w:val="20"/>
        </w:rPr>
        <w:t xml:space="preserve"> 9</w:t>
      </w:r>
      <w:r w:rsidRPr="00937EEC">
        <w:rPr>
          <w:rFonts w:ascii="Arial Narrow" w:eastAsiaTheme="majorEastAsia" w:hAnsi="Arial Narrow" w:cstheme="majorBidi"/>
          <w:b/>
          <w:bCs/>
          <w:sz w:val="20"/>
        </w:rPr>
        <w:t>: Key inputs for financial estimates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9: Key inputs for financial estimates"/>
      </w:tblPr>
      <w:tblGrid>
        <w:gridCol w:w="1555"/>
        <w:gridCol w:w="1417"/>
        <w:gridCol w:w="2410"/>
        <w:gridCol w:w="3827"/>
      </w:tblGrid>
      <w:tr w:rsidR="00FA35F6" w:rsidRPr="00E74253" w14:paraId="083E4525" w14:textId="5284CC1C" w:rsidTr="00C7217B">
        <w:trPr>
          <w:cantSplit/>
          <w:tblHeader/>
        </w:trPr>
        <w:tc>
          <w:tcPr>
            <w:tcW w:w="1555" w:type="dxa"/>
            <w:tcBorders>
              <w:bottom w:val="single" w:sz="4" w:space="0" w:color="auto"/>
            </w:tcBorders>
            <w:tcMar>
              <w:left w:w="28" w:type="dxa"/>
              <w:right w:w="28" w:type="dxa"/>
            </w:tcMar>
          </w:tcPr>
          <w:p w14:paraId="1C4EE6C3" w14:textId="77777777" w:rsidR="00FA35F6" w:rsidRPr="00E74253" w:rsidRDefault="00FA35F6" w:rsidP="00937EEC">
            <w:pPr>
              <w:jc w:val="left"/>
              <w:rPr>
                <w:rFonts w:ascii="Arial Narrow" w:eastAsiaTheme="majorEastAsia" w:hAnsi="Arial Narrow" w:cs="Times New Roman"/>
                <w:b/>
                <w:sz w:val="20"/>
                <w:lang w:val="en-US"/>
              </w:rPr>
            </w:pPr>
            <w:r w:rsidRPr="00E74253">
              <w:rPr>
                <w:rFonts w:ascii="Arial Narrow" w:eastAsiaTheme="majorEastAsia" w:hAnsi="Arial Narrow" w:cs="Times New Roman"/>
                <w:b/>
                <w:sz w:val="20"/>
                <w:lang w:val="en-US"/>
              </w:rPr>
              <w:t>Data</w:t>
            </w:r>
          </w:p>
        </w:tc>
        <w:tc>
          <w:tcPr>
            <w:tcW w:w="1417" w:type="dxa"/>
            <w:tcBorders>
              <w:bottom w:val="single" w:sz="4" w:space="0" w:color="auto"/>
            </w:tcBorders>
            <w:tcMar>
              <w:left w:w="28" w:type="dxa"/>
              <w:right w:w="28" w:type="dxa"/>
            </w:tcMar>
          </w:tcPr>
          <w:p w14:paraId="19F791D9" w14:textId="77777777" w:rsidR="00FA35F6" w:rsidRPr="00E74253" w:rsidRDefault="00FA35F6" w:rsidP="00937EEC">
            <w:pPr>
              <w:jc w:val="left"/>
              <w:rPr>
                <w:rFonts w:ascii="Arial Narrow" w:eastAsiaTheme="majorEastAsia" w:hAnsi="Arial Narrow" w:cs="Times New Roman"/>
                <w:b/>
                <w:sz w:val="20"/>
                <w:lang w:val="en-US"/>
              </w:rPr>
            </w:pPr>
            <w:r w:rsidRPr="00E74253">
              <w:rPr>
                <w:rFonts w:ascii="Arial Narrow" w:eastAsiaTheme="majorEastAsia" w:hAnsi="Arial Narrow" w:cs="Times New Roman"/>
                <w:b/>
                <w:sz w:val="20"/>
                <w:lang w:val="en-US"/>
              </w:rPr>
              <w:t>Value</w:t>
            </w:r>
          </w:p>
        </w:tc>
        <w:tc>
          <w:tcPr>
            <w:tcW w:w="2410" w:type="dxa"/>
            <w:tcBorders>
              <w:bottom w:val="single" w:sz="4" w:space="0" w:color="auto"/>
            </w:tcBorders>
            <w:tcMar>
              <w:left w:w="28" w:type="dxa"/>
              <w:right w:w="28" w:type="dxa"/>
            </w:tcMar>
          </w:tcPr>
          <w:p w14:paraId="49A2DE7D" w14:textId="77777777" w:rsidR="00FA35F6" w:rsidRPr="00E74253" w:rsidRDefault="00FA35F6" w:rsidP="00937EEC">
            <w:pPr>
              <w:jc w:val="left"/>
              <w:rPr>
                <w:rFonts w:ascii="Arial Narrow" w:eastAsiaTheme="majorEastAsia" w:hAnsi="Arial Narrow" w:cs="Times New Roman"/>
                <w:b/>
                <w:sz w:val="20"/>
                <w:lang w:val="en-US"/>
              </w:rPr>
            </w:pPr>
            <w:r w:rsidRPr="00E74253">
              <w:rPr>
                <w:rFonts w:ascii="Arial Narrow" w:eastAsiaTheme="majorEastAsia" w:hAnsi="Arial Narrow" w:cs="Times New Roman"/>
                <w:b/>
                <w:sz w:val="20"/>
                <w:lang w:val="en-US"/>
              </w:rPr>
              <w:t>Source</w:t>
            </w:r>
          </w:p>
        </w:tc>
        <w:tc>
          <w:tcPr>
            <w:tcW w:w="3827" w:type="dxa"/>
            <w:tcBorders>
              <w:bottom w:val="single" w:sz="4" w:space="0" w:color="auto"/>
            </w:tcBorders>
            <w:tcMar>
              <w:left w:w="28" w:type="dxa"/>
              <w:right w:w="28" w:type="dxa"/>
            </w:tcMar>
          </w:tcPr>
          <w:p w14:paraId="4B973739" w14:textId="5CB1AE65" w:rsidR="00FA35F6" w:rsidRPr="00E74253" w:rsidRDefault="00FA35F6" w:rsidP="00937EEC">
            <w:pPr>
              <w:jc w:val="left"/>
              <w:rPr>
                <w:rFonts w:ascii="Arial Narrow" w:eastAsiaTheme="majorEastAsia" w:hAnsi="Arial Narrow" w:cs="Times New Roman"/>
                <w:b/>
                <w:sz w:val="20"/>
                <w:lang w:val="en-US"/>
              </w:rPr>
            </w:pPr>
            <w:r w:rsidRPr="00E74253">
              <w:rPr>
                <w:rFonts w:ascii="Arial Narrow" w:eastAsiaTheme="majorEastAsia" w:hAnsi="Arial Narrow" w:cs="Times New Roman"/>
                <w:b/>
                <w:sz w:val="20"/>
                <w:lang w:val="en-US"/>
              </w:rPr>
              <w:t>Comments</w:t>
            </w:r>
          </w:p>
        </w:tc>
      </w:tr>
      <w:tr w:rsidR="00C7217B" w:rsidRPr="00E74253" w14:paraId="57E87AA7" w14:textId="032E5283" w:rsidTr="004D610D">
        <w:trPr>
          <w:cantSplit/>
        </w:trPr>
        <w:tc>
          <w:tcPr>
            <w:tcW w:w="9209" w:type="dxa"/>
            <w:gridSpan w:val="4"/>
            <w:tcBorders>
              <w:bottom w:val="single" w:sz="4" w:space="0" w:color="auto"/>
            </w:tcBorders>
            <w:tcMar>
              <w:left w:w="28" w:type="dxa"/>
              <w:right w:w="28" w:type="dxa"/>
            </w:tcMar>
          </w:tcPr>
          <w:p w14:paraId="23202609" w14:textId="50043C03" w:rsidR="00C7217B" w:rsidRPr="00E74253" w:rsidRDefault="00C7217B" w:rsidP="00937EEC">
            <w:pPr>
              <w:spacing w:before="20" w:after="20"/>
              <w:jc w:val="left"/>
              <w:rPr>
                <w:rFonts w:ascii="Arial Narrow" w:eastAsiaTheme="majorEastAsia" w:hAnsi="Arial Narrow" w:cstheme="majorBidi"/>
                <w:b/>
                <w:sz w:val="20"/>
              </w:rPr>
            </w:pPr>
            <w:r w:rsidRPr="00E74253">
              <w:rPr>
                <w:rFonts w:ascii="Arial Narrow" w:eastAsiaTheme="majorEastAsia" w:hAnsi="Arial Narrow" w:cstheme="majorBidi"/>
                <w:b/>
                <w:sz w:val="20"/>
              </w:rPr>
              <w:t>Eligible population</w:t>
            </w:r>
          </w:p>
        </w:tc>
      </w:tr>
      <w:tr w:rsidR="002F788C" w:rsidRPr="00E74253" w14:paraId="0017CBBF" w14:textId="77777777" w:rsidTr="00C7217B">
        <w:trPr>
          <w:cantSplit/>
        </w:trPr>
        <w:tc>
          <w:tcPr>
            <w:tcW w:w="1555" w:type="dxa"/>
            <w:tcBorders>
              <w:bottom w:val="single" w:sz="4" w:space="0" w:color="auto"/>
            </w:tcBorders>
            <w:tcMar>
              <w:left w:w="28" w:type="dxa"/>
              <w:right w:w="28" w:type="dxa"/>
            </w:tcMar>
          </w:tcPr>
          <w:p w14:paraId="6570C78F" w14:textId="09667061" w:rsidR="002F788C" w:rsidRPr="00E74253" w:rsidRDefault="00C36A0E" w:rsidP="00942D3D">
            <w:pPr>
              <w:spacing w:before="20" w:after="20"/>
              <w:jc w:val="left"/>
              <w:rPr>
                <w:rFonts w:ascii="Arial Narrow" w:eastAsiaTheme="majorEastAsia" w:hAnsi="Arial Narrow" w:cstheme="majorBidi"/>
                <w:bCs/>
                <w:sz w:val="20"/>
              </w:rPr>
            </w:pPr>
            <w:r w:rsidRPr="00E74253">
              <w:rPr>
                <w:rFonts w:ascii="Arial Narrow" w:eastAsiaTheme="majorEastAsia" w:hAnsi="Arial Narrow" w:cstheme="majorBidi"/>
                <w:bCs/>
                <w:sz w:val="20"/>
              </w:rPr>
              <w:t xml:space="preserve">Eligible </w:t>
            </w:r>
            <w:r w:rsidR="002F788C" w:rsidRPr="00E74253">
              <w:rPr>
                <w:rFonts w:ascii="Arial Narrow" w:eastAsiaTheme="majorEastAsia" w:hAnsi="Arial Narrow" w:cstheme="majorBidi"/>
                <w:bCs/>
                <w:sz w:val="20"/>
              </w:rPr>
              <w:t>patients</w:t>
            </w:r>
          </w:p>
        </w:tc>
        <w:tc>
          <w:tcPr>
            <w:tcW w:w="1417" w:type="dxa"/>
            <w:tcMar>
              <w:left w:w="28" w:type="dxa"/>
              <w:right w:w="28" w:type="dxa"/>
            </w:tcMar>
          </w:tcPr>
          <w:p w14:paraId="2590196A" w14:textId="4BB03571" w:rsidR="002F788C" w:rsidRPr="0020223E" w:rsidRDefault="002F788C" w:rsidP="00942D3D">
            <w:pPr>
              <w:spacing w:before="20" w:after="20"/>
              <w:jc w:val="left"/>
              <w:rPr>
                <w:rFonts w:ascii="Arial Narrow" w:eastAsiaTheme="majorEastAsia" w:hAnsi="Arial Narrow" w:cstheme="majorBidi"/>
                <w:bCs/>
                <w:sz w:val="20"/>
                <w:vertAlign w:val="superscript"/>
              </w:rPr>
            </w:pPr>
            <w:r w:rsidRPr="00E74253">
              <w:rPr>
                <w:rFonts w:ascii="Arial Narrow" w:eastAsiaTheme="majorEastAsia" w:hAnsi="Arial Narrow" w:cstheme="majorBidi"/>
                <w:bCs/>
                <w:sz w:val="20"/>
              </w:rPr>
              <w:t xml:space="preserve">Year 1: </w:t>
            </w:r>
            <w:r w:rsidR="007B7D69" w:rsidRPr="007B7D69">
              <w:rPr>
                <w:rFonts w:ascii="Arial Narrow" w:eastAsiaTheme="majorEastAsia" w:hAnsi="Arial Narrow" w:cstheme="majorBidi"/>
                <w:bCs/>
                <w:color w:val="000000"/>
                <w:spacing w:val="51"/>
                <w:sz w:val="20"/>
                <w:shd w:val="solid" w:color="000000" w:fill="000000"/>
                <w:fitText w:val="326" w:id="-1500865016"/>
                <w14:textFill>
                  <w14:solidFill>
                    <w14:srgbClr w14:val="000000">
                      <w14:alpha w14:val="100000"/>
                    </w14:srgbClr>
                  </w14:solidFill>
                </w14:textFill>
              </w:rPr>
              <w:t>|||</w:t>
            </w:r>
            <w:r w:rsidR="007B7D69" w:rsidRPr="007B7D69">
              <w:rPr>
                <w:rFonts w:ascii="Arial Narrow" w:eastAsiaTheme="majorEastAsia" w:hAnsi="Arial Narrow" w:cstheme="majorBidi"/>
                <w:bCs/>
                <w:color w:val="000000"/>
                <w:spacing w:val="3"/>
                <w:sz w:val="20"/>
                <w:shd w:val="solid" w:color="000000" w:fill="000000"/>
                <w:fitText w:val="326" w:id="-1500865016"/>
                <w14:textFill>
                  <w14:solidFill>
                    <w14:srgbClr w14:val="000000">
                      <w14:alpha w14:val="100000"/>
                    </w14:srgbClr>
                  </w14:solidFill>
                </w14:textFill>
              </w:rPr>
              <w:t>|</w:t>
            </w:r>
            <w:r w:rsidR="0020223E">
              <w:rPr>
                <w:rFonts w:ascii="Arial Narrow" w:eastAsiaTheme="majorEastAsia" w:hAnsi="Arial Narrow" w:cstheme="majorBidi"/>
                <w:bCs/>
                <w:sz w:val="20"/>
                <w:vertAlign w:val="superscript"/>
              </w:rPr>
              <w:t>1</w:t>
            </w:r>
          </w:p>
          <w:p w14:paraId="45FF6CA6" w14:textId="6DAAC212" w:rsidR="002F788C" w:rsidRPr="00E74253" w:rsidRDefault="002F788C" w:rsidP="00942D3D">
            <w:pPr>
              <w:spacing w:before="20" w:after="20"/>
              <w:jc w:val="left"/>
              <w:rPr>
                <w:rFonts w:ascii="Arial Narrow" w:eastAsiaTheme="majorEastAsia" w:hAnsi="Arial Narrow" w:cstheme="majorBidi"/>
                <w:bCs/>
                <w:sz w:val="20"/>
              </w:rPr>
            </w:pPr>
            <w:r w:rsidRPr="00E74253">
              <w:rPr>
                <w:rFonts w:ascii="Arial Narrow" w:eastAsiaTheme="majorEastAsia" w:hAnsi="Arial Narrow" w:cstheme="majorBidi"/>
                <w:bCs/>
                <w:sz w:val="20"/>
              </w:rPr>
              <w:t xml:space="preserve">Year 2: </w:t>
            </w:r>
            <w:r w:rsidR="007B7D69" w:rsidRPr="007B7D69">
              <w:rPr>
                <w:rFonts w:ascii="Arial Narrow" w:eastAsiaTheme="majorEastAsia" w:hAnsi="Arial Narrow" w:cstheme="majorBidi"/>
                <w:bCs/>
                <w:color w:val="000000"/>
                <w:spacing w:val="51"/>
                <w:sz w:val="20"/>
                <w:shd w:val="solid" w:color="000000" w:fill="000000"/>
                <w:fitText w:val="326" w:id="-1500865015"/>
                <w14:textFill>
                  <w14:solidFill>
                    <w14:srgbClr w14:val="000000">
                      <w14:alpha w14:val="100000"/>
                    </w14:srgbClr>
                  </w14:solidFill>
                </w14:textFill>
              </w:rPr>
              <w:t>|||</w:t>
            </w:r>
            <w:r w:rsidR="007B7D69" w:rsidRPr="007B7D69">
              <w:rPr>
                <w:rFonts w:ascii="Arial Narrow" w:eastAsiaTheme="majorEastAsia" w:hAnsi="Arial Narrow" w:cstheme="majorBidi"/>
                <w:bCs/>
                <w:color w:val="000000"/>
                <w:spacing w:val="3"/>
                <w:sz w:val="20"/>
                <w:shd w:val="solid" w:color="000000" w:fill="000000"/>
                <w:fitText w:val="326" w:id="-1500865015"/>
                <w14:textFill>
                  <w14:solidFill>
                    <w14:srgbClr w14:val="000000">
                      <w14:alpha w14:val="100000"/>
                    </w14:srgbClr>
                  </w14:solidFill>
                </w14:textFill>
              </w:rPr>
              <w:t>|</w:t>
            </w:r>
            <w:r w:rsidR="0020223E">
              <w:rPr>
                <w:rFonts w:ascii="Arial Narrow" w:eastAsiaTheme="majorEastAsia" w:hAnsi="Arial Narrow" w:cstheme="majorBidi"/>
                <w:bCs/>
                <w:sz w:val="20"/>
                <w:vertAlign w:val="superscript"/>
              </w:rPr>
              <w:t>1</w:t>
            </w:r>
          </w:p>
          <w:p w14:paraId="2B68475B" w14:textId="1E2E7D31" w:rsidR="002F788C" w:rsidRPr="00E74253" w:rsidRDefault="002F788C" w:rsidP="00942D3D">
            <w:pPr>
              <w:spacing w:before="20" w:after="20"/>
              <w:jc w:val="left"/>
              <w:rPr>
                <w:rFonts w:ascii="Arial Narrow" w:eastAsiaTheme="majorEastAsia" w:hAnsi="Arial Narrow" w:cstheme="majorBidi"/>
                <w:bCs/>
                <w:sz w:val="20"/>
              </w:rPr>
            </w:pPr>
            <w:r w:rsidRPr="00E74253">
              <w:rPr>
                <w:rFonts w:ascii="Arial Narrow" w:eastAsiaTheme="majorEastAsia" w:hAnsi="Arial Narrow" w:cstheme="majorBidi"/>
                <w:bCs/>
                <w:sz w:val="20"/>
              </w:rPr>
              <w:t xml:space="preserve">Year 3: </w:t>
            </w:r>
            <w:r w:rsidR="007B7D69" w:rsidRPr="007B7D69">
              <w:rPr>
                <w:rFonts w:ascii="Arial Narrow" w:eastAsiaTheme="majorEastAsia" w:hAnsi="Arial Narrow" w:cstheme="majorBidi"/>
                <w:bCs/>
                <w:color w:val="000000"/>
                <w:spacing w:val="51"/>
                <w:sz w:val="20"/>
                <w:shd w:val="solid" w:color="000000" w:fill="000000"/>
                <w:fitText w:val="326" w:id="-1500865014"/>
                <w14:textFill>
                  <w14:solidFill>
                    <w14:srgbClr w14:val="000000">
                      <w14:alpha w14:val="100000"/>
                    </w14:srgbClr>
                  </w14:solidFill>
                </w14:textFill>
              </w:rPr>
              <w:t>|||</w:t>
            </w:r>
            <w:r w:rsidR="007B7D69" w:rsidRPr="007B7D69">
              <w:rPr>
                <w:rFonts w:ascii="Arial Narrow" w:eastAsiaTheme="majorEastAsia" w:hAnsi="Arial Narrow" w:cstheme="majorBidi"/>
                <w:bCs/>
                <w:color w:val="000000"/>
                <w:spacing w:val="3"/>
                <w:sz w:val="20"/>
                <w:shd w:val="solid" w:color="000000" w:fill="000000"/>
                <w:fitText w:val="326" w:id="-1500865014"/>
                <w14:textFill>
                  <w14:solidFill>
                    <w14:srgbClr w14:val="000000">
                      <w14:alpha w14:val="100000"/>
                    </w14:srgbClr>
                  </w14:solidFill>
                </w14:textFill>
              </w:rPr>
              <w:t>|</w:t>
            </w:r>
            <w:r w:rsidR="0020223E">
              <w:rPr>
                <w:rFonts w:ascii="Arial Narrow" w:eastAsiaTheme="majorEastAsia" w:hAnsi="Arial Narrow" w:cstheme="majorBidi"/>
                <w:bCs/>
                <w:sz w:val="20"/>
                <w:vertAlign w:val="superscript"/>
              </w:rPr>
              <w:t>1</w:t>
            </w:r>
          </w:p>
          <w:p w14:paraId="6D017C2D" w14:textId="577D4B37" w:rsidR="002F788C" w:rsidRPr="00E74253" w:rsidRDefault="002F788C" w:rsidP="00942D3D">
            <w:pPr>
              <w:spacing w:before="20" w:after="20"/>
              <w:jc w:val="left"/>
              <w:rPr>
                <w:rFonts w:ascii="Arial Narrow" w:eastAsiaTheme="majorEastAsia" w:hAnsi="Arial Narrow" w:cstheme="majorBidi"/>
                <w:bCs/>
                <w:sz w:val="20"/>
              </w:rPr>
            </w:pPr>
            <w:r w:rsidRPr="00E74253">
              <w:rPr>
                <w:rFonts w:ascii="Arial Narrow" w:eastAsiaTheme="majorEastAsia" w:hAnsi="Arial Narrow" w:cstheme="majorBidi"/>
                <w:bCs/>
                <w:sz w:val="20"/>
              </w:rPr>
              <w:t xml:space="preserve">Year 4: </w:t>
            </w:r>
            <w:r w:rsidR="007B7D69" w:rsidRPr="007B7D69">
              <w:rPr>
                <w:rFonts w:ascii="Arial Narrow" w:eastAsiaTheme="majorEastAsia" w:hAnsi="Arial Narrow" w:cstheme="majorBidi"/>
                <w:bCs/>
                <w:color w:val="000000"/>
                <w:spacing w:val="51"/>
                <w:sz w:val="20"/>
                <w:shd w:val="solid" w:color="000000" w:fill="000000"/>
                <w:fitText w:val="326" w:id="-1500865013"/>
                <w14:textFill>
                  <w14:solidFill>
                    <w14:srgbClr w14:val="000000">
                      <w14:alpha w14:val="100000"/>
                    </w14:srgbClr>
                  </w14:solidFill>
                </w14:textFill>
              </w:rPr>
              <w:t>|||</w:t>
            </w:r>
            <w:r w:rsidR="007B7D69" w:rsidRPr="007B7D69">
              <w:rPr>
                <w:rFonts w:ascii="Arial Narrow" w:eastAsiaTheme="majorEastAsia" w:hAnsi="Arial Narrow" w:cstheme="majorBidi"/>
                <w:bCs/>
                <w:color w:val="000000"/>
                <w:spacing w:val="3"/>
                <w:sz w:val="20"/>
                <w:shd w:val="solid" w:color="000000" w:fill="000000"/>
                <w:fitText w:val="326" w:id="-1500865013"/>
                <w14:textFill>
                  <w14:solidFill>
                    <w14:srgbClr w14:val="000000">
                      <w14:alpha w14:val="100000"/>
                    </w14:srgbClr>
                  </w14:solidFill>
                </w14:textFill>
              </w:rPr>
              <w:t>|</w:t>
            </w:r>
            <w:r w:rsidR="0020223E">
              <w:rPr>
                <w:rFonts w:ascii="Arial Narrow" w:eastAsiaTheme="majorEastAsia" w:hAnsi="Arial Narrow" w:cstheme="majorBidi"/>
                <w:bCs/>
                <w:sz w:val="20"/>
                <w:vertAlign w:val="superscript"/>
              </w:rPr>
              <w:t>1</w:t>
            </w:r>
          </w:p>
          <w:p w14:paraId="6F46DEE2" w14:textId="3775ADB5" w:rsidR="002F788C" w:rsidRPr="00E74253" w:rsidRDefault="002F788C" w:rsidP="00942D3D">
            <w:pPr>
              <w:spacing w:before="20" w:after="20"/>
              <w:jc w:val="left"/>
              <w:rPr>
                <w:rFonts w:ascii="Arial Narrow" w:eastAsiaTheme="majorEastAsia" w:hAnsi="Arial Narrow" w:cstheme="majorBidi"/>
                <w:bCs/>
                <w:sz w:val="20"/>
              </w:rPr>
            </w:pPr>
            <w:r w:rsidRPr="00E74253">
              <w:rPr>
                <w:rFonts w:ascii="Arial Narrow" w:eastAsiaTheme="majorEastAsia" w:hAnsi="Arial Narrow" w:cstheme="majorBidi"/>
                <w:bCs/>
                <w:sz w:val="20"/>
              </w:rPr>
              <w:t xml:space="preserve">Year 5: </w:t>
            </w:r>
            <w:r w:rsidR="007B7D69" w:rsidRPr="007B7D69">
              <w:rPr>
                <w:rFonts w:ascii="Arial Narrow" w:eastAsiaTheme="majorEastAsia" w:hAnsi="Arial Narrow" w:cstheme="majorBidi"/>
                <w:bCs/>
                <w:color w:val="000000"/>
                <w:spacing w:val="51"/>
                <w:sz w:val="20"/>
                <w:shd w:val="solid" w:color="000000" w:fill="000000"/>
                <w:fitText w:val="326" w:id="-1500865012"/>
                <w14:textFill>
                  <w14:solidFill>
                    <w14:srgbClr w14:val="000000">
                      <w14:alpha w14:val="100000"/>
                    </w14:srgbClr>
                  </w14:solidFill>
                </w14:textFill>
              </w:rPr>
              <w:t>|||</w:t>
            </w:r>
            <w:r w:rsidR="007B7D69" w:rsidRPr="007B7D69">
              <w:rPr>
                <w:rFonts w:ascii="Arial Narrow" w:eastAsiaTheme="majorEastAsia" w:hAnsi="Arial Narrow" w:cstheme="majorBidi"/>
                <w:bCs/>
                <w:color w:val="000000"/>
                <w:spacing w:val="3"/>
                <w:sz w:val="20"/>
                <w:shd w:val="solid" w:color="000000" w:fill="000000"/>
                <w:fitText w:val="326" w:id="-1500865012"/>
                <w14:textFill>
                  <w14:solidFill>
                    <w14:srgbClr w14:val="000000">
                      <w14:alpha w14:val="100000"/>
                    </w14:srgbClr>
                  </w14:solidFill>
                </w14:textFill>
              </w:rPr>
              <w:t>|</w:t>
            </w:r>
            <w:r w:rsidR="0020223E">
              <w:rPr>
                <w:rFonts w:ascii="Arial Narrow" w:eastAsiaTheme="majorEastAsia" w:hAnsi="Arial Narrow" w:cstheme="majorBidi"/>
                <w:bCs/>
                <w:sz w:val="20"/>
                <w:vertAlign w:val="superscript"/>
              </w:rPr>
              <w:t>1</w:t>
            </w:r>
          </w:p>
          <w:p w14:paraId="32A49975" w14:textId="0063689E" w:rsidR="002F788C" w:rsidRPr="00E74253" w:rsidRDefault="002F788C" w:rsidP="00942D3D">
            <w:pPr>
              <w:spacing w:before="20" w:after="20"/>
              <w:jc w:val="left"/>
              <w:rPr>
                <w:rFonts w:ascii="Arial Narrow" w:eastAsiaTheme="majorEastAsia" w:hAnsi="Arial Narrow" w:cstheme="majorBidi"/>
                <w:bCs/>
                <w:sz w:val="20"/>
              </w:rPr>
            </w:pPr>
            <w:r w:rsidRPr="00E74253">
              <w:rPr>
                <w:rFonts w:ascii="Arial Narrow" w:eastAsiaTheme="majorEastAsia" w:hAnsi="Arial Narrow" w:cstheme="majorBidi"/>
                <w:bCs/>
                <w:sz w:val="20"/>
              </w:rPr>
              <w:t xml:space="preserve">Year 6: </w:t>
            </w:r>
            <w:r w:rsidR="007B7D69" w:rsidRPr="007B7D69">
              <w:rPr>
                <w:rFonts w:ascii="Arial Narrow" w:eastAsiaTheme="majorEastAsia" w:hAnsi="Arial Narrow" w:cstheme="majorBidi"/>
                <w:bCs/>
                <w:color w:val="000000"/>
                <w:spacing w:val="51"/>
                <w:sz w:val="20"/>
                <w:shd w:val="solid" w:color="000000" w:fill="000000"/>
                <w:fitText w:val="326" w:id="-1500865011"/>
                <w14:textFill>
                  <w14:solidFill>
                    <w14:srgbClr w14:val="000000">
                      <w14:alpha w14:val="100000"/>
                    </w14:srgbClr>
                  </w14:solidFill>
                </w14:textFill>
              </w:rPr>
              <w:t>|||</w:t>
            </w:r>
            <w:r w:rsidR="007B7D69" w:rsidRPr="007B7D69">
              <w:rPr>
                <w:rFonts w:ascii="Arial Narrow" w:eastAsiaTheme="majorEastAsia" w:hAnsi="Arial Narrow" w:cstheme="majorBidi"/>
                <w:bCs/>
                <w:color w:val="000000"/>
                <w:spacing w:val="3"/>
                <w:sz w:val="20"/>
                <w:shd w:val="solid" w:color="000000" w:fill="000000"/>
                <w:fitText w:val="326" w:id="-1500865011"/>
                <w14:textFill>
                  <w14:solidFill>
                    <w14:srgbClr w14:val="000000">
                      <w14:alpha w14:val="100000"/>
                    </w14:srgbClr>
                  </w14:solidFill>
                </w14:textFill>
              </w:rPr>
              <w:t>|</w:t>
            </w:r>
            <w:r w:rsidR="0020223E">
              <w:rPr>
                <w:rFonts w:ascii="Arial Narrow" w:eastAsiaTheme="majorEastAsia" w:hAnsi="Arial Narrow" w:cstheme="majorBidi"/>
                <w:bCs/>
                <w:sz w:val="20"/>
                <w:vertAlign w:val="superscript"/>
              </w:rPr>
              <w:t>1</w:t>
            </w:r>
          </w:p>
        </w:tc>
        <w:tc>
          <w:tcPr>
            <w:tcW w:w="2410" w:type="dxa"/>
            <w:tcMar>
              <w:left w:w="28" w:type="dxa"/>
              <w:right w:w="28" w:type="dxa"/>
            </w:tcMar>
          </w:tcPr>
          <w:p w14:paraId="6F9FF58B" w14:textId="7CD43063" w:rsidR="002F788C" w:rsidRPr="00E74253" w:rsidRDefault="00A075E2" w:rsidP="00942D3D">
            <w:pPr>
              <w:spacing w:before="20" w:after="20"/>
              <w:jc w:val="left"/>
              <w:rPr>
                <w:rFonts w:ascii="Arial Narrow" w:eastAsiaTheme="majorEastAsia" w:hAnsi="Arial Narrow" w:cstheme="majorBidi"/>
                <w:bCs/>
                <w:sz w:val="20"/>
              </w:rPr>
            </w:pPr>
            <w:r w:rsidRPr="00E74253">
              <w:rPr>
                <w:rFonts w:ascii="Arial Narrow" w:eastAsiaTheme="majorEastAsia" w:hAnsi="Arial Narrow" w:cstheme="majorBidi"/>
                <w:bCs/>
                <w:sz w:val="20"/>
              </w:rPr>
              <w:t>Submission</w:t>
            </w:r>
          </w:p>
        </w:tc>
        <w:tc>
          <w:tcPr>
            <w:tcW w:w="3827" w:type="dxa"/>
            <w:tcMar>
              <w:left w:w="28" w:type="dxa"/>
              <w:right w:w="28" w:type="dxa"/>
            </w:tcMar>
          </w:tcPr>
          <w:p w14:paraId="669BBFBE" w14:textId="15E6076A" w:rsidR="002F788C" w:rsidRPr="00E74253" w:rsidRDefault="002D2A9B" w:rsidP="00942D3D">
            <w:pPr>
              <w:spacing w:before="20" w:after="20"/>
              <w:jc w:val="left"/>
              <w:rPr>
                <w:rFonts w:ascii="Arial Narrow" w:eastAsiaTheme="majorEastAsia" w:hAnsi="Arial Narrow" w:cstheme="majorBidi"/>
                <w:bCs/>
                <w:sz w:val="20"/>
              </w:rPr>
            </w:pPr>
            <w:r w:rsidRPr="00E74253">
              <w:rPr>
                <w:rFonts w:ascii="Arial Narrow" w:eastAsiaTheme="majorEastAsia" w:hAnsi="Arial Narrow" w:cstheme="majorBidi"/>
                <w:bCs/>
                <w:sz w:val="20"/>
              </w:rPr>
              <w:t>The ESC considered that the eligible patient population was likely underestimated.</w:t>
            </w:r>
          </w:p>
        </w:tc>
      </w:tr>
      <w:tr w:rsidR="00C36A0E" w:rsidRPr="00E74253" w14:paraId="55A9D557" w14:textId="77777777" w:rsidTr="00C7217B">
        <w:trPr>
          <w:cantSplit/>
        </w:trPr>
        <w:tc>
          <w:tcPr>
            <w:tcW w:w="1555" w:type="dxa"/>
            <w:tcBorders>
              <w:bottom w:val="single" w:sz="4" w:space="0" w:color="auto"/>
            </w:tcBorders>
            <w:tcMar>
              <w:left w:w="28" w:type="dxa"/>
              <w:right w:w="28" w:type="dxa"/>
            </w:tcMar>
          </w:tcPr>
          <w:p w14:paraId="057BBB45" w14:textId="52264897" w:rsidR="00C36A0E" w:rsidRPr="00E74253" w:rsidRDefault="00C36A0E" w:rsidP="00942D3D">
            <w:pPr>
              <w:spacing w:before="20" w:after="20"/>
              <w:jc w:val="left"/>
              <w:rPr>
                <w:rFonts w:ascii="Arial Narrow" w:eastAsiaTheme="majorEastAsia" w:hAnsi="Arial Narrow" w:cstheme="majorBidi"/>
                <w:bCs/>
                <w:sz w:val="20"/>
              </w:rPr>
            </w:pPr>
            <w:r w:rsidRPr="00E74253">
              <w:rPr>
                <w:rFonts w:ascii="Arial Narrow" w:eastAsiaTheme="majorEastAsia" w:hAnsi="Arial Narrow" w:cstheme="majorBidi"/>
                <w:bCs/>
                <w:sz w:val="20"/>
              </w:rPr>
              <w:t>Grandfather patients</w:t>
            </w:r>
          </w:p>
        </w:tc>
        <w:tc>
          <w:tcPr>
            <w:tcW w:w="1417" w:type="dxa"/>
            <w:tcMar>
              <w:left w:w="28" w:type="dxa"/>
              <w:right w:w="28" w:type="dxa"/>
            </w:tcMar>
          </w:tcPr>
          <w:p w14:paraId="76CBFA4A" w14:textId="67CFA4BC" w:rsidR="00C36A0E" w:rsidRPr="00E74253" w:rsidRDefault="00C36A0E" w:rsidP="00942D3D">
            <w:pPr>
              <w:spacing w:before="20" w:after="20"/>
              <w:jc w:val="left"/>
              <w:rPr>
                <w:rFonts w:ascii="Arial Narrow" w:eastAsiaTheme="majorEastAsia" w:hAnsi="Arial Narrow" w:cstheme="majorBidi"/>
                <w:bCs/>
                <w:sz w:val="20"/>
              </w:rPr>
            </w:pPr>
            <w:r w:rsidRPr="00E74253">
              <w:rPr>
                <w:rFonts w:ascii="Arial Narrow" w:eastAsiaTheme="majorEastAsia" w:hAnsi="Arial Narrow" w:cstheme="majorBidi"/>
                <w:bCs/>
                <w:sz w:val="20"/>
              </w:rPr>
              <w:t xml:space="preserve">Year 1: </w:t>
            </w:r>
            <w:r w:rsidR="007B7D69" w:rsidRPr="007B7D69">
              <w:rPr>
                <w:rFonts w:ascii="Arial Narrow" w:eastAsiaTheme="majorEastAsia" w:hAnsi="Arial Narrow" w:cstheme="majorBidi"/>
                <w:bCs/>
                <w:color w:val="000000"/>
                <w:spacing w:val="51"/>
                <w:sz w:val="20"/>
                <w:shd w:val="solid" w:color="000000" w:fill="000000"/>
                <w:fitText w:val="326" w:id="-1500865010"/>
                <w14:textFill>
                  <w14:solidFill>
                    <w14:srgbClr w14:val="000000">
                      <w14:alpha w14:val="100000"/>
                    </w14:srgbClr>
                  </w14:solidFill>
                </w14:textFill>
              </w:rPr>
              <w:t>|||</w:t>
            </w:r>
            <w:r w:rsidR="007B7D69" w:rsidRPr="007B7D69">
              <w:rPr>
                <w:rFonts w:ascii="Arial Narrow" w:eastAsiaTheme="majorEastAsia" w:hAnsi="Arial Narrow" w:cstheme="majorBidi"/>
                <w:bCs/>
                <w:color w:val="000000"/>
                <w:spacing w:val="3"/>
                <w:sz w:val="20"/>
                <w:shd w:val="solid" w:color="000000" w:fill="000000"/>
                <w:fitText w:val="326" w:id="-1500865010"/>
                <w14:textFill>
                  <w14:solidFill>
                    <w14:srgbClr w14:val="000000">
                      <w14:alpha w14:val="100000"/>
                    </w14:srgbClr>
                  </w14:solidFill>
                </w14:textFill>
              </w:rPr>
              <w:t>|</w:t>
            </w:r>
            <w:r w:rsidR="0020223E">
              <w:rPr>
                <w:rFonts w:ascii="Arial Narrow" w:eastAsiaTheme="majorEastAsia" w:hAnsi="Arial Narrow" w:cstheme="majorBidi"/>
                <w:bCs/>
                <w:sz w:val="20"/>
                <w:vertAlign w:val="superscript"/>
              </w:rPr>
              <w:t>2</w:t>
            </w:r>
          </w:p>
        </w:tc>
        <w:tc>
          <w:tcPr>
            <w:tcW w:w="2410" w:type="dxa"/>
            <w:tcMar>
              <w:left w:w="28" w:type="dxa"/>
              <w:right w:w="28" w:type="dxa"/>
            </w:tcMar>
          </w:tcPr>
          <w:p w14:paraId="0A4DD9E1" w14:textId="100F9A0E" w:rsidR="00C36A0E" w:rsidRPr="00E74253" w:rsidRDefault="00C36A0E" w:rsidP="00942D3D">
            <w:pPr>
              <w:spacing w:before="20" w:after="20"/>
              <w:jc w:val="left"/>
              <w:rPr>
                <w:rFonts w:ascii="Arial Narrow" w:eastAsiaTheme="majorEastAsia" w:hAnsi="Arial Narrow" w:cstheme="majorBidi"/>
                <w:bCs/>
                <w:sz w:val="20"/>
              </w:rPr>
            </w:pPr>
            <w:r w:rsidRPr="00E74253">
              <w:rPr>
                <w:rFonts w:ascii="Arial Narrow" w:eastAsiaTheme="majorEastAsia" w:hAnsi="Arial Narrow" w:cstheme="majorBidi"/>
                <w:bCs/>
                <w:sz w:val="20"/>
              </w:rPr>
              <w:t>Number of patients currently on sponsor’s compassionate access program who will be grandfathered onto the PBS.</w:t>
            </w:r>
          </w:p>
        </w:tc>
        <w:tc>
          <w:tcPr>
            <w:tcW w:w="3827" w:type="dxa"/>
            <w:tcMar>
              <w:left w:w="28" w:type="dxa"/>
              <w:right w:w="28" w:type="dxa"/>
            </w:tcMar>
          </w:tcPr>
          <w:p w14:paraId="67AC3CEA" w14:textId="37D2B79B" w:rsidR="00C36A0E" w:rsidRPr="00E74253" w:rsidRDefault="00C36A0E" w:rsidP="00942D3D">
            <w:pPr>
              <w:spacing w:before="20" w:after="20"/>
              <w:jc w:val="left"/>
              <w:rPr>
                <w:rFonts w:ascii="Arial Narrow" w:eastAsiaTheme="majorEastAsia" w:hAnsi="Arial Narrow" w:cstheme="majorBidi"/>
                <w:bCs/>
                <w:sz w:val="20"/>
              </w:rPr>
            </w:pPr>
            <w:r w:rsidRPr="00E74253">
              <w:rPr>
                <w:rFonts w:ascii="Arial Narrow" w:eastAsiaTheme="majorEastAsia" w:hAnsi="Arial Narrow" w:cstheme="majorBidi"/>
                <w:bCs/>
                <w:sz w:val="20"/>
              </w:rPr>
              <w:t>-</w:t>
            </w:r>
          </w:p>
        </w:tc>
      </w:tr>
      <w:tr w:rsidR="00C7217B" w:rsidRPr="00E74253" w14:paraId="2BD26B95" w14:textId="3B2E4EDA" w:rsidTr="004D610D">
        <w:trPr>
          <w:cantSplit/>
        </w:trPr>
        <w:tc>
          <w:tcPr>
            <w:tcW w:w="9209" w:type="dxa"/>
            <w:gridSpan w:val="4"/>
            <w:tcMar>
              <w:left w:w="28" w:type="dxa"/>
              <w:right w:w="28" w:type="dxa"/>
            </w:tcMar>
          </w:tcPr>
          <w:p w14:paraId="7A93D663" w14:textId="7F6F8EE7" w:rsidR="00C7217B" w:rsidRPr="00E74253" w:rsidRDefault="00C7217B" w:rsidP="00942D3D">
            <w:pPr>
              <w:spacing w:before="20" w:after="20"/>
              <w:jc w:val="left"/>
              <w:rPr>
                <w:rFonts w:ascii="Arial Narrow" w:eastAsiaTheme="majorEastAsia" w:hAnsi="Arial Narrow" w:cstheme="majorBidi"/>
                <w:bCs/>
                <w:sz w:val="20"/>
              </w:rPr>
            </w:pPr>
            <w:r w:rsidRPr="00E74253">
              <w:rPr>
                <w:rFonts w:ascii="Arial Narrow" w:eastAsiaTheme="majorEastAsia" w:hAnsi="Arial Narrow" w:cstheme="majorBidi"/>
                <w:b/>
                <w:bCs/>
                <w:sz w:val="20"/>
              </w:rPr>
              <w:t>Treatment utilisation</w:t>
            </w:r>
          </w:p>
        </w:tc>
      </w:tr>
      <w:tr w:rsidR="00F00F84" w:rsidRPr="00E74253" w14:paraId="399D8432" w14:textId="149481F6" w:rsidTr="00C7217B">
        <w:trPr>
          <w:cantSplit/>
        </w:trPr>
        <w:tc>
          <w:tcPr>
            <w:tcW w:w="1555" w:type="dxa"/>
            <w:tcMar>
              <w:left w:w="28" w:type="dxa"/>
              <w:right w:w="28" w:type="dxa"/>
            </w:tcMar>
          </w:tcPr>
          <w:p w14:paraId="4275ECF0" w14:textId="2263CBAC" w:rsidR="00F00F84" w:rsidRPr="00E74253" w:rsidRDefault="00F00F84" w:rsidP="00F00F84">
            <w:pPr>
              <w:spacing w:before="20" w:after="20"/>
              <w:jc w:val="left"/>
              <w:rPr>
                <w:rFonts w:ascii="Arial Narrow" w:eastAsiaTheme="majorEastAsia" w:hAnsi="Arial Narrow" w:cstheme="majorBidi"/>
                <w:bCs/>
                <w:sz w:val="20"/>
              </w:rPr>
            </w:pPr>
            <w:r w:rsidRPr="00E74253">
              <w:rPr>
                <w:rFonts w:ascii="Arial Narrow" w:eastAsiaTheme="majorEastAsia" w:hAnsi="Arial Narrow" w:cstheme="majorBidi"/>
                <w:bCs/>
                <w:sz w:val="20"/>
              </w:rPr>
              <w:t xml:space="preserve">Proportion of eligible patients electing </w:t>
            </w:r>
            <w:proofErr w:type="spellStart"/>
            <w:r w:rsidR="002D2A9B" w:rsidRPr="00E74253">
              <w:rPr>
                <w:rFonts w:ascii="Arial Narrow" w:eastAsiaTheme="majorEastAsia" w:hAnsi="Arial Narrow" w:cstheme="majorBidi"/>
                <w:bCs/>
                <w:sz w:val="20"/>
              </w:rPr>
              <w:t>palbociclib</w:t>
            </w:r>
            <w:proofErr w:type="spellEnd"/>
            <w:r w:rsidR="002D2A9B" w:rsidRPr="00E74253">
              <w:rPr>
                <w:rFonts w:ascii="Arial Narrow" w:eastAsiaTheme="majorEastAsia" w:hAnsi="Arial Narrow" w:cstheme="majorBidi"/>
                <w:bCs/>
                <w:sz w:val="20"/>
              </w:rPr>
              <w:t xml:space="preserve"> plus </w:t>
            </w:r>
            <w:proofErr w:type="spellStart"/>
            <w:r w:rsidR="002D2A9B" w:rsidRPr="00E74253">
              <w:rPr>
                <w:rFonts w:ascii="Arial Narrow" w:eastAsiaTheme="majorEastAsia" w:hAnsi="Arial Narrow" w:cstheme="majorBidi"/>
                <w:bCs/>
                <w:sz w:val="20"/>
              </w:rPr>
              <w:t>fulvestrant</w:t>
            </w:r>
            <w:proofErr w:type="spellEnd"/>
          </w:p>
        </w:tc>
        <w:tc>
          <w:tcPr>
            <w:tcW w:w="1417" w:type="dxa"/>
            <w:tcMar>
              <w:left w:w="28" w:type="dxa"/>
              <w:right w:w="28" w:type="dxa"/>
            </w:tcMar>
          </w:tcPr>
          <w:p w14:paraId="410F7F0D" w14:textId="546B9839" w:rsidR="00F00F84" w:rsidRPr="00E74253" w:rsidRDefault="00F00F84" w:rsidP="00F00F84">
            <w:pPr>
              <w:spacing w:before="20" w:after="20"/>
              <w:jc w:val="left"/>
              <w:rPr>
                <w:rFonts w:ascii="Arial Narrow" w:eastAsiaTheme="majorEastAsia" w:hAnsi="Arial Narrow" w:cstheme="majorBidi"/>
                <w:bCs/>
                <w:sz w:val="20"/>
              </w:rPr>
            </w:pPr>
            <w:r w:rsidRPr="00E74253">
              <w:rPr>
                <w:rFonts w:ascii="Arial Narrow" w:eastAsiaTheme="majorEastAsia" w:hAnsi="Arial Narrow" w:cstheme="majorBidi"/>
                <w:bCs/>
                <w:sz w:val="20"/>
              </w:rPr>
              <w:t>Y</w:t>
            </w:r>
            <w:r w:rsidR="002D2A9B" w:rsidRPr="00E74253">
              <w:rPr>
                <w:rFonts w:ascii="Arial Narrow" w:eastAsiaTheme="majorEastAsia" w:hAnsi="Arial Narrow" w:cstheme="majorBidi"/>
                <w:bCs/>
                <w:sz w:val="20"/>
              </w:rPr>
              <w:t>ea</w:t>
            </w:r>
            <w:r w:rsidRPr="00E74253">
              <w:rPr>
                <w:rFonts w:ascii="Arial Narrow" w:eastAsiaTheme="majorEastAsia" w:hAnsi="Arial Narrow" w:cstheme="majorBidi"/>
                <w:bCs/>
                <w:sz w:val="20"/>
              </w:rPr>
              <w:t>r 1: 27%</w:t>
            </w:r>
          </w:p>
          <w:p w14:paraId="0A89FF60" w14:textId="3F06F1CF" w:rsidR="00F00F84" w:rsidRPr="00E74253" w:rsidRDefault="00F00F84" w:rsidP="00F00F84">
            <w:pPr>
              <w:spacing w:before="20" w:after="20"/>
              <w:jc w:val="left"/>
              <w:rPr>
                <w:rFonts w:ascii="Arial Narrow" w:eastAsiaTheme="majorEastAsia" w:hAnsi="Arial Narrow" w:cstheme="majorBidi"/>
                <w:bCs/>
                <w:sz w:val="20"/>
              </w:rPr>
            </w:pPr>
            <w:r w:rsidRPr="00E74253">
              <w:rPr>
                <w:rFonts w:ascii="Arial Narrow" w:eastAsiaTheme="majorEastAsia" w:hAnsi="Arial Narrow" w:cstheme="majorBidi"/>
                <w:bCs/>
                <w:sz w:val="20"/>
              </w:rPr>
              <w:t>Y</w:t>
            </w:r>
            <w:r w:rsidR="002D2A9B" w:rsidRPr="00E74253">
              <w:rPr>
                <w:rFonts w:ascii="Arial Narrow" w:eastAsiaTheme="majorEastAsia" w:hAnsi="Arial Narrow" w:cstheme="majorBidi"/>
                <w:bCs/>
                <w:sz w:val="20"/>
              </w:rPr>
              <w:t>ea</w:t>
            </w:r>
            <w:r w:rsidRPr="00E74253">
              <w:rPr>
                <w:rFonts w:ascii="Arial Narrow" w:eastAsiaTheme="majorEastAsia" w:hAnsi="Arial Narrow" w:cstheme="majorBidi"/>
                <w:bCs/>
                <w:sz w:val="20"/>
              </w:rPr>
              <w:t>r 2: 53%</w:t>
            </w:r>
          </w:p>
          <w:p w14:paraId="6B16BDB2" w14:textId="23A7302F" w:rsidR="00F00F84" w:rsidRPr="00E74253" w:rsidRDefault="00F00F84" w:rsidP="00F00F84">
            <w:pPr>
              <w:spacing w:before="20" w:after="20"/>
              <w:jc w:val="left"/>
              <w:rPr>
                <w:rFonts w:ascii="Arial Narrow" w:eastAsiaTheme="majorEastAsia" w:hAnsi="Arial Narrow" w:cstheme="majorBidi"/>
                <w:bCs/>
                <w:sz w:val="20"/>
              </w:rPr>
            </w:pPr>
            <w:r w:rsidRPr="00E74253">
              <w:rPr>
                <w:rFonts w:ascii="Arial Narrow" w:eastAsiaTheme="majorEastAsia" w:hAnsi="Arial Narrow" w:cstheme="majorBidi"/>
                <w:bCs/>
                <w:sz w:val="20"/>
              </w:rPr>
              <w:t>Y</w:t>
            </w:r>
            <w:r w:rsidR="002D2A9B" w:rsidRPr="00E74253">
              <w:rPr>
                <w:rFonts w:ascii="Arial Narrow" w:eastAsiaTheme="majorEastAsia" w:hAnsi="Arial Narrow" w:cstheme="majorBidi"/>
                <w:bCs/>
                <w:sz w:val="20"/>
              </w:rPr>
              <w:t>ea</w:t>
            </w:r>
            <w:r w:rsidRPr="00E74253">
              <w:rPr>
                <w:rFonts w:ascii="Arial Narrow" w:eastAsiaTheme="majorEastAsia" w:hAnsi="Arial Narrow" w:cstheme="majorBidi"/>
                <w:bCs/>
                <w:sz w:val="20"/>
              </w:rPr>
              <w:t>r</w:t>
            </w:r>
            <w:r w:rsidR="002D2A9B" w:rsidRPr="00E74253">
              <w:rPr>
                <w:rFonts w:ascii="Arial Narrow" w:eastAsiaTheme="majorEastAsia" w:hAnsi="Arial Narrow" w:cstheme="majorBidi"/>
                <w:bCs/>
                <w:sz w:val="20"/>
              </w:rPr>
              <w:t>s</w:t>
            </w:r>
            <w:r w:rsidRPr="00E74253">
              <w:rPr>
                <w:rFonts w:ascii="Arial Narrow" w:eastAsiaTheme="majorEastAsia" w:hAnsi="Arial Narrow" w:cstheme="majorBidi"/>
                <w:bCs/>
                <w:sz w:val="20"/>
              </w:rPr>
              <w:t xml:space="preserve"> 3-6: 54%</w:t>
            </w:r>
          </w:p>
        </w:tc>
        <w:tc>
          <w:tcPr>
            <w:tcW w:w="2410" w:type="dxa"/>
            <w:tcMar>
              <w:left w:w="28" w:type="dxa"/>
              <w:right w:w="28" w:type="dxa"/>
            </w:tcMar>
          </w:tcPr>
          <w:p w14:paraId="62783BDD" w14:textId="35E049B2" w:rsidR="00F00F84" w:rsidRPr="00E74253" w:rsidRDefault="00F00F84" w:rsidP="00F00F84">
            <w:pPr>
              <w:spacing w:before="20" w:after="20"/>
              <w:jc w:val="left"/>
              <w:rPr>
                <w:rFonts w:ascii="Arial Narrow" w:eastAsiaTheme="majorEastAsia" w:hAnsi="Arial Narrow" w:cstheme="majorBidi"/>
                <w:bCs/>
                <w:sz w:val="20"/>
              </w:rPr>
            </w:pPr>
            <w:r w:rsidRPr="00E74253">
              <w:rPr>
                <w:rFonts w:ascii="Arial Narrow" w:eastAsiaTheme="majorEastAsia" w:hAnsi="Arial Narrow" w:cstheme="majorBidi"/>
                <w:bCs/>
                <w:sz w:val="20"/>
              </w:rPr>
              <w:t xml:space="preserve">Market share assumptions for </w:t>
            </w:r>
            <w:proofErr w:type="spellStart"/>
            <w:r w:rsidRPr="00E74253">
              <w:rPr>
                <w:rFonts w:ascii="Arial Narrow" w:eastAsiaTheme="majorEastAsia" w:hAnsi="Arial Narrow" w:cstheme="majorBidi"/>
                <w:bCs/>
                <w:sz w:val="20"/>
              </w:rPr>
              <w:t>palbociclib</w:t>
            </w:r>
            <w:proofErr w:type="spellEnd"/>
            <w:r w:rsidRPr="00E74253">
              <w:rPr>
                <w:rFonts w:ascii="Arial Narrow" w:eastAsiaTheme="majorEastAsia" w:hAnsi="Arial Narrow" w:cstheme="majorBidi"/>
                <w:bCs/>
                <w:sz w:val="20"/>
              </w:rPr>
              <w:t xml:space="preserve">: based on PBS services for </w:t>
            </w:r>
            <w:proofErr w:type="spellStart"/>
            <w:r w:rsidRPr="00E74253">
              <w:rPr>
                <w:rFonts w:ascii="Arial Narrow" w:eastAsiaTheme="majorEastAsia" w:hAnsi="Arial Narrow" w:cstheme="majorBidi"/>
                <w:bCs/>
                <w:sz w:val="20"/>
              </w:rPr>
              <w:t>ribociclib</w:t>
            </w:r>
            <w:proofErr w:type="spellEnd"/>
            <w:r w:rsidRPr="00E74253">
              <w:rPr>
                <w:rFonts w:ascii="Arial Narrow" w:eastAsiaTheme="majorEastAsia" w:hAnsi="Arial Narrow" w:cstheme="majorBidi"/>
                <w:bCs/>
                <w:sz w:val="20"/>
              </w:rPr>
              <w:t xml:space="preserve">, </w:t>
            </w:r>
            <w:proofErr w:type="spellStart"/>
            <w:r w:rsidRPr="00E74253">
              <w:rPr>
                <w:rFonts w:ascii="Arial Narrow" w:eastAsiaTheme="majorEastAsia" w:hAnsi="Arial Narrow" w:cstheme="majorBidi"/>
                <w:bCs/>
                <w:sz w:val="20"/>
              </w:rPr>
              <w:t>palbociclib</w:t>
            </w:r>
            <w:proofErr w:type="spellEnd"/>
            <w:r w:rsidRPr="00E74253">
              <w:rPr>
                <w:rFonts w:ascii="Arial Narrow" w:eastAsiaTheme="majorEastAsia" w:hAnsi="Arial Narrow" w:cstheme="majorBidi"/>
                <w:bCs/>
                <w:sz w:val="20"/>
              </w:rPr>
              <w:t xml:space="preserve"> and </w:t>
            </w:r>
            <w:proofErr w:type="spellStart"/>
            <w:r w:rsidRPr="00E74253">
              <w:rPr>
                <w:rFonts w:ascii="Arial Narrow" w:eastAsiaTheme="majorEastAsia" w:hAnsi="Arial Narrow" w:cstheme="majorBidi"/>
                <w:bCs/>
                <w:sz w:val="20"/>
              </w:rPr>
              <w:t>abemaciclib</w:t>
            </w:r>
            <w:proofErr w:type="spellEnd"/>
            <w:r w:rsidRPr="00E74253">
              <w:rPr>
                <w:rFonts w:ascii="Arial Narrow" w:eastAsiaTheme="majorEastAsia" w:hAnsi="Arial Narrow" w:cstheme="majorBidi"/>
                <w:bCs/>
                <w:sz w:val="20"/>
              </w:rPr>
              <w:t xml:space="preserve"> </w:t>
            </w:r>
            <w:proofErr w:type="gramStart"/>
            <w:r w:rsidRPr="00E74253">
              <w:rPr>
                <w:rFonts w:ascii="Arial Narrow" w:eastAsiaTheme="majorEastAsia" w:hAnsi="Arial Narrow" w:cstheme="majorBidi"/>
                <w:bCs/>
                <w:sz w:val="20"/>
              </w:rPr>
              <w:t>at</w:t>
            </w:r>
            <w:proofErr w:type="gramEnd"/>
            <w:r w:rsidRPr="00E74253">
              <w:rPr>
                <w:rFonts w:ascii="Arial Narrow" w:eastAsiaTheme="majorEastAsia" w:hAnsi="Arial Narrow" w:cstheme="majorBidi"/>
                <w:bCs/>
                <w:sz w:val="20"/>
              </w:rPr>
              <w:t xml:space="preserve"> August 2019, August 2020 and August 2021</w:t>
            </w:r>
          </w:p>
        </w:tc>
        <w:tc>
          <w:tcPr>
            <w:tcW w:w="3827" w:type="dxa"/>
            <w:tcMar>
              <w:left w:w="28" w:type="dxa"/>
              <w:right w:w="28" w:type="dxa"/>
            </w:tcMar>
          </w:tcPr>
          <w:p w14:paraId="2BBDB399" w14:textId="7A48C67F" w:rsidR="00F00F84" w:rsidRPr="00E74253" w:rsidRDefault="00F00F84" w:rsidP="00F00F84">
            <w:pPr>
              <w:spacing w:before="20" w:after="20"/>
              <w:jc w:val="left"/>
              <w:rPr>
                <w:rFonts w:ascii="Arial Narrow" w:eastAsiaTheme="majorEastAsia" w:hAnsi="Arial Narrow" w:cstheme="majorBidi"/>
                <w:bCs/>
                <w:sz w:val="20"/>
              </w:rPr>
            </w:pPr>
            <w:r w:rsidRPr="00E74253">
              <w:rPr>
                <w:rFonts w:ascii="Arial Narrow" w:eastAsiaTheme="majorEastAsia" w:hAnsi="Arial Narrow" w:cstheme="majorBidi"/>
                <w:bCs/>
                <w:sz w:val="20"/>
              </w:rPr>
              <w:t>Y</w:t>
            </w:r>
            <w:r w:rsidR="002D2A9B" w:rsidRPr="00E74253">
              <w:rPr>
                <w:rFonts w:ascii="Arial Narrow" w:eastAsiaTheme="majorEastAsia" w:hAnsi="Arial Narrow" w:cstheme="majorBidi"/>
                <w:bCs/>
                <w:sz w:val="20"/>
              </w:rPr>
              <w:t>ea</w:t>
            </w:r>
            <w:r w:rsidRPr="00E74253">
              <w:rPr>
                <w:rFonts w:ascii="Arial Narrow" w:eastAsiaTheme="majorEastAsia" w:hAnsi="Arial Narrow" w:cstheme="majorBidi"/>
                <w:bCs/>
                <w:sz w:val="20"/>
              </w:rPr>
              <w:t xml:space="preserve">rs 1 and 2 market </w:t>
            </w:r>
            <w:proofErr w:type="gramStart"/>
            <w:r w:rsidRPr="00E74253">
              <w:rPr>
                <w:rFonts w:ascii="Arial Narrow" w:eastAsiaTheme="majorEastAsia" w:hAnsi="Arial Narrow" w:cstheme="majorBidi"/>
                <w:bCs/>
                <w:sz w:val="20"/>
              </w:rPr>
              <w:t>share</w:t>
            </w:r>
            <w:proofErr w:type="gramEnd"/>
            <w:r w:rsidRPr="00E74253">
              <w:rPr>
                <w:rFonts w:ascii="Arial Narrow" w:eastAsiaTheme="majorEastAsia" w:hAnsi="Arial Narrow" w:cstheme="majorBidi"/>
                <w:bCs/>
                <w:sz w:val="20"/>
              </w:rPr>
              <w:t xml:space="preserve"> based on the </w:t>
            </w:r>
            <w:r w:rsidR="00C7217B" w:rsidRPr="00E74253">
              <w:rPr>
                <w:rFonts w:ascii="Arial Narrow" w:eastAsiaTheme="majorEastAsia" w:hAnsi="Arial Narrow" w:cstheme="majorBidi"/>
                <w:bCs/>
                <w:sz w:val="20"/>
              </w:rPr>
              <w:t>%</w:t>
            </w:r>
            <w:r w:rsidRPr="00E74253">
              <w:rPr>
                <w:rFonts w:ascii="Arial Narrow" w:eastAsiaTheme="majorEastAsia" w:hAnsi="Arial Narrow" w:cstheme="majorBidi"/>
                <w:bCs/>
                <w:sz w:val="20"/>
              </w:rPr>
              <w:t xml:space="preserve"> of PBS services in August 2019 (fourth month of listing of PAL+NSAI) and August 2020. The submission assumed that the market share of PAL</w:t>
            </w:r>
            <w:r w:rsidR="00C7217B" w:rsidRPr="00E74253">
              <w:rPr>
                <w:rFonts w:ascii="Arial Narrow" w:eastAsiaTheme="majorEastAsia" w:hAnsi="Arial Narrow" w:cstheme="majorBidi"/>
                <w:bCs/>
                <w:sz w:val="20"/>
              </w:rPr>
              <w:t>+</w:t>
            </w:r>
            <w:r w:rsidRPr="00E74253">
              <w:rPr>
                <w:rFonts w:ascii="Arial Narrow" w:eastAsiaTheme="majorEastAsia" w:hAnsi="Arial Narrow" w:cstheme="majorBidi"/>
                <w:bCs/>
                <w:sz w:val="20"/>
              </w:rPr>
              <w:t xml:space="preserve">NSAI would </w:t>
            </w:r>
            <w:r w:rsidR="00C7217B" w:rsidRPr="00E74253">
              <w:rPr>
                <w:rFonts w:ascii="Arial Narrow" w:eastAsiaTheme="majorEastAsia" w:hAnsi="Arial Narrow" w:cstheme="majorBidi"/>
                <w:bCs/>
                <w:sz w:val="20"/>
              </w:rPr>
              <w:t xml:space="preserve">equal </w:t>
            </w:r>
            <w:r w:rsidRPr="00E74253">
              <w:rPr>
                <w:rFonts w:ascii="Arial Narrow" w:eastAsiaTheme="majorEastAsia" w:hAnsi="Arial Narrow" w:cstheme="majorBidi"/>
                <w:bCs/>
                <w:sz w:val="20"/>
              </w:rPr>
              <w:t>the market share of PAL</w:t>
            </w:r>
            <w:r w:rsidR="00C7217B" w:rsidRPr="00E74253">
              <w:rPr>
                <w:rFonts w:ascii="Arial Narrow" w:eastAsiaTheme="majorEastAsia" w:hAnsi="Arial Narrow" w:cstheme="majorBidi"/>
                <w:bCs/>
                <w:sz w:val="20"/>
              </w:rPr>
              <w:t>+FUL</w:t>
            </w:r>
            <w:r w:rsidRPr="00E74253">
              <w:rPr>
                <w:rFonts w:ascii="Arial Narrow" w:eastAsiaTheme="majorEastAsia" w:hAnsi="Arial Narrow" w:cstheme="majorBidi"/>
                <w:bCs/>
                <w:sz w:val="20"/>
              </w:rPr>
              <w:t>.</w:t>
            </w:r>
          </w:p>
          <w:p w14:paraId="279FD1CB" w14:textId="01A905F6" w:rsidR="00F00F84" w:rsidRPr="00E74253" w:rsidRDefault="00F00F84" w:rsidP="00F00F84">
            <w:pPr>
              <w:spacing w:before="20" w:after="20"/>
              <w:jc w:val="left"/>
              <w:rPr>
                <w:rFonts w:ascii="Arial Narrow" w:eastAsiaTheme="majorEastAsia" w:hAnsi="Arial Narrow" w:cstheme="majorBidi"/>
                <w:bCs/>
                <w:sz w:val="20"/>
              </w:rPr>
            </w:pPr>
            <w:r w:rsidRPr="00E74253">
              <w:rPr>
                <w:rFonts w:ascii="Arial Narrow" w:eastAsiaTheme="majorEastAsia" w:hAnsi="Arial Narrow" w:cstheme="majorBidi"/>
                <w:bCs/>
                <w:sz w:val="20"/>
              </w:rPr>
              <w:t>Y</w:t>
            </w:r>
            <w:r w:rsidR="002D2A9B" w:rsidRPr="00E74253">
              <w:rPr>
                <w:rFonts w:ascii="Arial Narrow" w:eastAsiaTheme="majorEastAsia" w:hAnsi="Arial Narrow" w:cstheme="majorBidi"/>
                <w:bCs/>
                <w:sz w:val="20"/>
              </w:rPr>
              <w:t>ea</w:t>
            </w:r>
            <w:r w:rsidRPr="00E74253">
              <w:rPr>
                <w:rFonts w:ascii="Arial Narrow" w:eastAsiaTheme="majorEastAsia" w:hAnsi="Arial Narrow" w:cstheme="majorBidi"/>
                <w:bCs/>
                <w:sz w:val="20"/>
              </w:rPr>
              <w:t>r 3 market share of PAL+NSAI may be an underestimate as the RIB utilisation data included RIB+FUL (listed from 1 April 2021) (RIB/PAL/ABE 40%/54%/6% in August 2021).</w:t>
            </w:r>
          </w:p>
          <w:p w14:paraId="204A86B9" w14:textId="23738146" w:rsidR="00F00F84" w:rsidRPr="00E74253" w:rsidRDefault="00F00F84" w:rsidP="00F00F84">
            <w:pPr>
              <w:spacing w:before="20" w:after="20"/>
              <w:jc w:val="left"/>
              <w:rPr>
                <w:rFonts w:ascii="Arial Narrow" w:eastAsiaTheme="majorEastAsia" w:hAnsi="Arial Narrow" w:cstheme="majorBidi"/>
                <w:bCs/>
                <w:sz w:val="20"/>
              </w:rPr>
            </w:pPr>
            <w:r w:rsidRPr="00E74253">
              <w:rPr>
                <w:rFonts w:ascii="Arial Narrow" w:eastAsiaTheme="majorEastAsia" w:hAnsi="Arial Narrow" w:cstheme="majorBidi"/>
                <w:bCs/>
                <w:sz w:val="20"/>
              </w:rPr>
              <w:t>Y</w:t>
            </w:r>
            <w:r w:rsidR="002D2A9B" w:rsidRPr="00E74253">
              <w:rPr>
                <w:rFonts w:ascii="Arial Narrow" w:eastAsiaTheme="majorEastAsia" w:hAnsi="Arial Narrow" w:cstheme="majorBidi"/>
                <w:bCs/>
                <w:sz w:val="20"/>
              </w:rPr>
              <w:t>ea</w:t>
            </w:r>
            <w:r w:rsidRPr="00E74253">
              <w:rPr>
                <w:rFonts w:ascii="Arial Narrow" w:eastAsiaTheme="majorEastAsia" w:hAnsi="Arial Narrow" w:cstheme="majorBidi"/>
                <w:bCs/>
                <w:sz w:val="20"/>
              </w:rPr>
              <w:t>rs 4-6: assumed constant</w:t>
            </w:r>
          </w:p>
        </w:tc>
      </w:tr>
      <w:tr w:rsidR="00F00F84" w:rsidRPr="00E74253" w14:paraId="7E1CAAEF" w14:textId="661F1E34" w:rsidTr="00C7217B">
        <w:trPr>
          <w:cantSplit/>
        </w:trPr>
        <w:tc>
          <w:tcPr>
            <w:tcW w:w="1555" w:type="dxa"/>
            <w:tcMar>
              <w:left w:w="28" w:type="dxa"/>
              <w:right w:w="28" w:type="dxa"/>
            </w:tcMar>
          </w:tcPr>
          <w:p w14:paraId="6AE5561E" w14:textId="77777777" w:rsidR="00F00F84" w:rsidRPr="00E74253" w:rsidRDefault="00F00F84" w:rsidP="00F00F84">
            <w:pPr>
              <w:spacing w:before="20" w:after="20"/>
              <w:jc w:val="left"/>
              <w:rPr>
                <w:rFonts w:ascii="Arial Narrow" w:eastAsiaTheme="majorEastAsia" w:hAnsi="Arial Narrow" w:cstheme="majorBidi"/>
                <w:bCs/>
                <w:sz w:val="20"/>
              </w:rPr>
            </w:pPr>
            <w:r w:rsidRPr="00E74253">
              <w:rPr>
                <w:rFonts w:ascii="Arial Narrow" w:eastAsiaTheme="majorEastAsia" w:hAnsi="Arial Narrow" w:cstheme="majorBidi"/>
                <w:bCs/>
                <w:sz w:val="20"/>
              </w:rPr>
              <w:t xml:space="preserve">Duration of treatment - </w:t>
            </w:r>
            <w:proofErr w:type="spellStart"/>
            <w:r w:rsidRPr="00E74253">
              <w:rPr>
                <w:rFonts w:ascii="Arial Narrow" w:eastAsiaTheme="majorEastAsia" w:hAnsi="Arial Narrow" w:cstheme="majorBidi"/>
                <w:bCs/>
                <w:sz w:val="20"/>
              </w:rPr>
              <w:t>palbociclib</w:t>
            </w:r>
            <w:proofErr w:type="spellEnd"/>
            <w:r w:rsidRPr="00E74253">
              <w:rPr>
                <w:rFonts w:ascii="Arial Narrow" w:eastAsiaTheme="majorEastAsia" w:hAnsi="Arial Narrow" w:cstheme="majorBidi"/>
                <w:bCs/>
                <w:sz w:val="20"/>
              </w:rPr>
              <w:t xml:space="preserve"> </w:t>
            </w:r>
          </w:p>
        </w:tc>
        <w:tc>
          <w:tcPr>
            <w:tcW w:w="1417" w:type="dxa"/>
            <w:tcMar>
              <w:left w:w="28" w:type="dxa"/>
              <w:right w:w="28" w:type="dxa"/>
            </w:tcMar>
          </w:tcPr>
          <w:p w14:paraId="7B25A293" w14:textId="7AD45935" w:rsidR="00F00F84" w:rsidRPr="00E74253" w:rsidRDefault="00F00F84" w:rsidP="00F00F84">
            <w:pPr>
              <w:spacing w:before="20" w:after="20"/>
              <w:jc w:val="left"/>
              <w:rPr>
                <w:rFonts w:ascii="Arial Narrow" w:eastAsiaTheme="majorEastAsia" w:hAnsi="Arial Narrow" w:cstheme="majorBidi"/>
                <w:bCs/>
                <w:sz w:val="20"/>
                <w:highlight w:val="darkGray"/>
              </w:rPr>
            </w:pPr>
            <w:r w:rsidRPr="00E74253">
              <w:rPr>
                <w:rFonts w:ascii="Arial Narrow" w:eastAsiaTheme="majorEastAsia" w:hAnsi="Arial Narrow" w:cstheme="majorBidi"/>
                <w:bCs/>
                <w:sz w:val="20"/>
              </w:rPr>
              <w:t xml:space="preserve">466.6 </w:t>
            </w:r>
            <w:r w:rsidR="002A0E39" w:rsidRPr="00E74253">
              <w:rPr>
                <w:rFonts w:ascii="Arial Narrow" w:eastAsiaTheme="majorEastAsia" w:hAnsi="Arial Narrow" w:cstheme="majorBidi"/>
                <w:bCs/>
                <w:sz w:val="20"/>
              </w:rPr>
              <w:t>days</w:t>
            </w:r>
          </w:p>
        </w:tc>
        <w:tc>
          <w:tcPr>
            <w:tcW w:w="2410" w:type="dxa"/>
            <w:tcMar>
              <w:left w:w="28" w:type="dxa"/>
              <w:right w:w="28" w:type="dxa"/>
            </w:tcMar>
          </w:tcPr>
          <w:p w14:paraId="6DDACDF9" w14:textId="77777777" w:rsidR="00F00F84" w:rsidRPr="00E74253" w:rsidRDefault="00F00F84" w:rsidP="00F00F84">
            <w:pPr>
              <w:spacing w:before="20" w:after="20"/>
              <w:jc w:val="left"/>
              <w:rPr>
                <w:rFonts w:ascii="Arial Narrow" w:eastAsiaTheme="majorEastAsia" w:hAnsi="Arial Narrow" w:cstheme="majorBidi"/>
                <w:bCs/>
                <w:sz w:val="20"/>
              </w:rPr>
            </w:pPr>
            <w:r w:rsidRPr="00E74253">
              <w:rPr>
                <w:rFonts w:ascii="Arial Narrow" w:eastAsiaTheme="majorEastAsia" w:hAnsi="Arial Narrow" w:cstheme="majorBidi"/>
                <w:bCs/>
                <w:sz w:val="20"/>
              </w:rPr>
              <w:t>Mean duration of treatment with PAL + FUL in PALOMA-3 (PALOMA-3 CSR, 13 April 2018, Table 21).</w:t>
            </w:r>
          </w:p>
        </w:tc>
        <w:tc>
          <w:tcPr>
            <w:tcW w:w="3827" w:type="dxa"/>
            <w:tcMar>
              <w:left w:w="28" w:type="dxa"/>
              <w:right w:w="28" w:type="dxa"/>
            </w:tcMar>
          </w:tcPr>
          <w:p w14:paraId="52D6972B" w14:textId="3131A862" w:rsidR="00F00F84" w:rsidRPr="00E74253" w:rsidRDefault="00F00F84" w:rsidP="00684567">
            <w:pPr>
              <w:spacing w:before="20" w:after="20"/>
              <w:jc w:val="left"/>
              <w:rPr>
                <w:rFonts w:ascii="Arial Narrow" w:eastAsiaTheme="majorEastAsia" w:hAnsi="Arial Narrow" w:cstheme="majorBidi"/>
                <w:bCs/>
                <w:sz w:val="20"/>
              </w:rPr>
            </w:pPr>
            <w:r w:rsidRPr="00E74253">
              <w:rPr>
                <w:rFonts w:ascii="Arial Narrow" w:eastAsiaTheme="majorEastAsia" w:hAnsi="Arial Narrow" w:cstheme="majorBidi"/>
                <w:bCs/>
                <w:sz w:val="20"/>
              </w:rPr>
              <w:t>Used to estimate the number of scripts required (</w:t>
            </w:r>
            <w:r w:rsidR="00684567" w:rsidRPr="00E74253">
              <w:rPr>
                <w:rFonts w:ascii="Arial Narrow" w:eastAsiaTheme="majorEastAsia" w:hAnsi="Arial Narrow" w:cstheme="majorBidi"/>
                <w:bCs/>
                <w:sz w:val="20"/>
              </w:rPr>
              <w:t xml:space="preserve">treatment days: </w:t>
            </w:r>
            <w:r w:rsidR="000F3B8F" w:rsidRPr="00E74253">
              <w:rPr>
                <w:rFonts w:ascii="Arial Narrow" w:eastAsiaTheme="majorEastAsia" w:hAnsi="Arial Narrow" w:cstheme="majorBidi"/>
                <w:bCs/>
                <w:sz w:val="20"/>
              </w:rPr>
              <w:t xml:space="preserve">Year 1 = </w:t>
            </w:r>
            <w:r w:rsidRPr="00E74253">
              <w:rPr>
                <w:rFonts w:ascii="Arial Narrow" w:eastAsiaTheme="majorEastAsia" w:hAnsi="Arial Narrow" w:cstheme="majorBidi"/>
                <w:bCs/>
                <w:sz w:val="20"/>
              </w:rPr>
              <w:t>365.25</w:t>
            </w:r>
            <w:r w:rsidR="000F3B8F" w:rsidRPr="00E74253">
              <w:rPr>
                <w:rFonts w:ascii="Arial Narrow" w:eastAsiaTheme="majorEastAsia" w:hAnsi="Arial Narrow" w:cstheme="majorBidi"/>
                <w:bCs/>
                <w:sz w:val="20"/>
              </w:rPr>
              <w:t xml:space="preserve">; Year 2 = </w:t>
            </w:r>
            <w:r w:rsidR="002F788C" w:rsidRPr="00E74253">
              <w:rPr>
                <w:rFonts w:ascii="Arial Narrow" w:eastAsiaTheme="majorEastAsia" w:hAnsi="Arial Narrow" w:cstheme="majorBidi"/>
                <w:bCs/>
                <w:sz w:val="20"/>
              </w:rPr>
              <w:t>101.35)</w:t>
            </w:r>
            <w:r w:rsidRPr="00E74253">
              <w:rPr>
                <w:rFonts w:ascii="Arial Narrow" w:eastAsiaTheme="majorEastAsia" w:hAnsi="Arial Narrow" w:cstheme="majorBidi"/>
                <w:bCs/>
                <w:sz w:val="20"/>
              </w:rPr>
              <w:t xml:space="preserve"> </w:t>
            </w:r>
            <w:r w:rsidR="00EB63E9" w:rsidRPr="00E74253">
              <w:rPr>
                <w:rFonts w:ascii="Arial Narrow" w:eastAsiaTheme="majorEastAsia" w:hAnsi="Arial Narrow" w:cstheme="majorBidi"/>
                <w:bCs/>
                <w:sz w:val="20"/>
              </w:rPr>
              <w:br/>
              <w:t xml:space="preserve">This treatment duration has also been assumed for </w:t>
            </w:r>
            <w:proofErr w:type="spellStart"/>
            <w:r w:rsidR="00EB63E9" w:rsidRPr="00E74253">
              <w:rPr>
                <w:rFonts w:ascii="Arial Narrow" w:eastAsiaTheme="majorEastAsia" w:hAnsi="Arial Narrow" w:cstheme="majorBidi"/>
                <w:bCs/>
                <w:sz w:val="20"/>
              </w:rPr>
              <w:t>ribociclib</w:t>
            </w:r>
            <w:proofErr w:type="spellEnd"/>
            <w:r w:rsidR="00EB63E9" w:rsidRPr="00E74253">
              <w:rPr>
                <w:rFonts w:ascii="Arial Narrow" w:eastAsiaTheme="majorEastAsia" w:hAnsi="Arial Narrow" w:cstheme="majorBidi"/>
                <w:bCs/>
                <w:sz w:val="20"/>
              </w:rPr>
              <w:t>.</w:t>
            </w:r>
          </w:p>
        </w:tc>
      </w:tr>
      <w:tr w:rsidR="006E4FD2" w:rsidRPr="00E74253" w14:paraId="4E8C0F97" w14:textId="77777777" w:rsidTr="00C7217B">
        <w:trPr>
          <w:cantSplit/>
        </w:trPr>
        <w:tc>
          <w:tcPr>
            <w:tcW w:w="1555" w:type="dxa"/>
            <w:tcMar>
              <w:left w:w="28" w:type="dxa"/>
              <w:right w:w="28" w:type="dxa"/>
            </w:tcMar>
          </w:tcPr>
          <w:p w14:paraId="09EAB279" w14:textId="742E9C6D" w:rsidR="006E4FD2" w:rsidRPr="00E74253" w:rsidRDefault="006E4FD2" w:rsidP="004E582F">
            <w:pPr>
              <w:spacing w:before="20" w:after="20"/>
              <w:jc w:val="left"/>
              <w:rPr>
                <w:rFonts w:ascii="Arial Narrow" w:eastAsiaTheme="majorEastAsia" w:hAnsi="Arial Narrow" w:cstheme="majorBidi"/>
                <w:bCs/>
                <w:sz w:val="20"/>
              </w:rPr>
            </w:pPr>
            <w:r w:rsidRPr="00E74253">
              <w:rPr>
                <w:rFonts w:ascii="Arial Narrow" w:eastAsiaTheme="majorEastAsia" w:hAnsi="Arial Narrow" w:cstheme="majorBidi"/>
                <w:bCs/>
                <w:sz w:val="20"/>
              </w:rPr>
              <w:t xml:space="preserve">Distribution of </w:t>
            </w:r>
            <w:proofErr w:type="spellStart"/>
            <w:r w:rsidRPr="00E74253">
              <w:rPr>
                <w:rFonts w:ascii="Arial Narrow" w:eastAsiaTheme="majorEastAsia" w:hAnsi="Arial Narrow" w:cstheme="majorBidi"/>
                <w:bCs/>
                <w:sz w:val="20"/>
              </w:rPr>
              <w:t>palbociclib</w:t>
            </w:r>
            <w:proofErr w:type="spellEnd"/>
            <w:r w:rsidRPr="00E74253">
              <w:rPr>
                <w:rFonts w:ascii="Arial Narrow" w:eastAsiaTheme="majorEastAsia" w:hAnsi="Arial Narrow" w:cstheme="majorBidi"/>
                <w:bCs/>
                <w:sz w:val="20"/>
              </w:rPr>
              <w:t xml:space="preserve"> scripts</w:t>
            </w:r>
          </w:p>
        </w:tc>
        <w:tc>
          <w:tcPr>
            <w:tcW w:w="1417" w:type="dxa"/>
            <w:tcMar>
              <w:left w:w="28" w:type="dxa"/>
              <w:right w:w="28" w:type="dxa"/>
            </w:tcMar>
          </w:tcPr>
          <w:p w14:paraId="6F106A6F" w14:textId="77777777" w:rsidR="006E4FD2" w:rsidRPr="00E74253" w:rsidRDefault="006E4FD2" w:rsidP="004E582F">
            <w:pPr>
              <w:spacing w:before="20" w:after="20"/>
              <w:jc w:val="left"/>
              <w:rPr>
                <w:rFonts w:ascii="Arial Narrow" w:eastAsiaTheme="majorEastAsia" w:hAnsi="Arial Narrow" w:cstheme="majorBidi"/>
                <w:bCs/>
                <w:sz w:val="20"/>
              </w:rPr>
            </w:pPr>
            <w:r w:rsidRPr="00E74253">
              <w:rPr>
                <w:rFonts w:ascii="Arial Narrow" w:eastAsiaTheme="majorEastAsia" w:hAnsi="Arial Narrow" w:cstheme="majorBidi"/>
                <w:bCs/>
                <w:sz w:val="20"/>
              </w:rPr>
              <w:t>125 mg: 57%</w:t>
            </w:r>
          </w:p>
          <w:p w14:paraId="48A288E7" w14:textId="57ECEEE7" w:rsidR="006E4FD2" w:rsidRPr="00E74253" w:rsidRDefault="006E4FD2" w:rsidP="004E582F">
            <w:pPr>
              <w:spacing w:before="20" w:after="20"/>
              <w:jc w:val="left"/>
              <w:rPr>
                <w:rFonts w:ascii="Arial Narrow" w:eastAsiaTheme="majorEastAsia" w:hAnsi="Arial Narrow" w:cstheme="majorBidi"/>
                <w:bCs/>
                <w:sz w:val="20"/>
              </w:rPr>
            </w:pPr>
            <w:r w:rsidRPr="00E74253">
              <w:rPr>
                <w:rFonts w:ascii="Arial Narrow" w:eastAsiaTheme="majorEastAsia" w:hAnsi="Arial Narrow" w:cstheme="majorBidi"/>
                <w:bCs/>
                <w:sz w:val="20"/>
              </w:rPr>
              <w:t>100</w:t>
            </w:r>
            <w:r w:rsidR="002F788C" w:rsidRPr="00E74253">
              <w:rPr>
                <w:rFonts w:ascii="Arial Narrow" w:eastAsiaTheme="majorEastAsia" w:hAnsi="Arial Narrow" w:cstheme="majorBidi"/>
                <w:bCs/>
                <w:sz w:val="20"/>
              </w:rPr>
              <w:t xml:space="preserve"> </w:t>
            </w:r>
            <w:r w:rsidRPr="00E74253">
              <w:rPr>
                <w:rFonts w:ascii="Arial Narrow" w:eastAsiaTheme="majorEastAsia" w:hAnsi="Arial Narrow" w:cstheme="majorBidi"/>
                <w:bCs/>
                <w:sz w:val="20"/>
              </w:rPr>
              <w:t>mg: 14%</w:t>
            </w:r>
          </w:p>
          <w:p w14:paraId="0BCD8AD3" w14:textId="3795E8F6" w:rsidR="006E4FD2" w:rsidRPr="00E74253" w:rsidRDefault="006E4FD2" w:rsidP="004E582F">
            <w:pPr>
              <w:spacing w:before="20" w:after="20"/>
              <w:jc w:val="left"/>
              <w:rPr>
                <w:rFonts w:ascii="Arial Narrow" w:eastAsiaTheme="majorEastAsia" w:hAnsi="Arial Narrow" w:cstheme="majorBidi"/>
                <w:bCs/>
                <w:sz w:val="20"/>
              </w:rPr>
            </w:pPr>
            <w:r w:rsidRPr="00E74253">
              <w:rPr>
                <w:rFonts w:ascii="Arial Narrow" w:eastAsiaTheme="majorEastAsia" w:hAnsi="Arial Narrow" w:cstheme="majorBidi"/>
                <w:bCs/>
                <w:sz w:val="20"/>
              </w:rPr>
              <w:t>75</w:t>
            </w:r>
            <w:r w:rsidR="002F788C" w:rsidRPr="00E74253">
              <w:rPr>
                <w:rFonts w:ascii="Arial Narrow" w:eastAsiaTheme="majorEastAsia" w:hAnsi="Arial Narrow" w:cstheme="majorBidi"/>
                <w:bCs/>
                <w:sz w:val="20"/>
              </w:rPr>
              <w:t xml:space="preserve"> </w:t>
            </w:r>
            <w:r w:rsidRPr="00E74253">
              <w:rPr>
                <w:rFonts w:ascii="Arial Narrow" w:eastAsiaTheme="majorEastAsia" w:hAnsi="Arial Narrow" w:cstheme="majorBidi"/>
                <w:bCs/>
                <w:sz w:val="20"/>
              </w:rPr>
              <w:t>mg: 29%</w:t>
            </w:r>
          </w:p>
        </w:tc>
        <w:tc>
          <w:tcPr>
            <w:tcW w:w="2410" w:type="dxa"/>
            <w:tcMar>
              <w:left w:w="28" w:type="dxa"/>
              <w:right w:w="28" w:type="dxa"/>
            </w:tcMar>
          </w:tcPr>
          <w:p w14:paraId="67538356" w14:textId="1BF7EBC8" w:rsidR="006E4FD2" w:rsidRPr="00E74253" w:rsidRDefault="006E4FD2" w:rsidP="004E582F">
            <w:pPr>
              <w:spacing w:before="20" w:after="20"/>
              <w:jc w:val="left"/>
              <w:rPr>
                <w:rFonts w:ascii="Arial Narrow" w:eastAsiaTheme="majorEastAsia" w:hAnsi="Arial Narrow" w:cstheme="majorBidi"/>
                <w:bCs/>
                <w:sz w:val="20"/>
              </w:rPr>
            </w:pPr>
            <w:r w:rsidRPr="00E74253">
              <w:rPr>
                <w:rFonts w:ascii="Arial Narrow" w:eastAsiaTheme="majorEastAsia" w:hAnsi="Arial Narrow" w:cstheme="majorBidi"/>
                <w:bCs/>
                <w:sz w:val="20"/>
              </w:rPr>
              <w:t xml:space="preserve">PBS statistics for current </w:t>
            </w:r>
            <w:proofErr w:type="spellStart"/>
            <w:r w:rsidRPr="00E74253">
              <w:rPr>
                <w:rFonts w:ascii="Arial Narrow" w:eastAsiaTheme="majorEastAsia" w:hAnsi="Arial Narrow" w:cstheme="majorBidi"/>
                <w:bCs/>
                <w:sz w:val="20"/>
              </w:rPr>
              <w:t>palbociclib</w:t>
            </w:r>
            <w:proofErr w:type="spellEnd"/>
            <w:r w:rsidRPr="00E74253">
              <w:rPr>
                <w:rFonts w:ascii="Arial Narrow" w:eastAsiaTheme="majorEastAsia" w:hAnsi="Arial Narrow" w:cstheme="majorBidi"/>
                <w:bCs/>
                <w:sz w:val="20"/>
              </w:rPr>
              <w:t xml:space="preserve"> listing (May 19 – Sep 21)</w:t>
            </w:r>
          </w:p>
        </w:tc>
        <w:tc>
          <w:tcPr>
            <w:tcW w:w="3827" w:type="dxa"/>
            <w:tcMar>
              <w:left w:w="28" w:type="dxa"/>
              <w:right w:w="28" w:type="dxa"/>
            </w:tcMar>
          </w:tcPr>
          <w:p w14:paraId="09E26D69" w14:textId="7C2BD0AB" w:rsidR="006E4FD2" w:rsidRPr="008D3267" w:rsidDel="00F92CD6" w:rsidRDefault="006E4FD2" w:rsidP="004E582F">
            <w:pPr>
              <w:spacing w:before="20" w:after="20"/>
              <w:jc w:val="left"/>
              <w:rPr>
                <w:rFonts w:ascii="Arial Narrow" w:eastAsiaTheme="majorEastAsia" w:hAnsi="Arial Narrow" w:cstheme="majorBidi"/>
                <w:bCs/>
                <w:sz w:val="20"/>
              </w:rPr>
            </w:pPr>
            <w:r w:rsidRPr="008D3267">
              <w:rPr>
                <w:rFonts w:ascii="Arial Narrow" w:eastAsiaTheme="majorEastAsia" w:hAnsi="Arial Narrow" w:cstheme="majorBidi"/>
                <w:bCs/>
                <w:sz w:val="20"/>
              </w:rPr>
              <w:t>Based on this distribution the average dose is approximately 107</w:t>
            </w:r>
            <w:r w:rsidR="002F788C" w:rsidRPr="008D3267">
              <w:rPr>
                <w:rFonts w:ascii="Arial Narrow" w:eastAsiaTheme="majorEastAsia" w:hAnsi="Arial Narrow" w:cstheme="majorBidi"/>
                <w:bCs/>
                <w:sz w:val="20"/>
              </w:rPr>
              <w:t xml:space="preserve"> </w:t>
            </w:r>
            <w:r w:rsidRPr="008D3267">
              <w:rPr>
                <w:rFonts w:ascii="Arial Narrow" w:eastAsiaTheme="majorEastAsia" w:hAnsi="Arial Narrow" w:cstheme="majorBidi"/>
                <w:bCs/>
                <w:sz w:val="20"/>
              </w:rPr>
              <w:t>mg (0.57 x 12</w:t>
            </w:r>
            <w:r w:rsidR="002F788C" w:rsidRPr="008D3267">
              <w:rPr>
                <w:rFonts w:ascii="Arial Narrow" w:eastAsiaTheme="majorEastAsia" w:hAnsi="Arial Narrow" w:cstheme="majorBidi"/>
                <w:bCs/>
                <w:sz w:val="20"/>
              </w:rPr>
              <w:t xml:space="preserve"> </w:t>
            </w:r>
            <w:r w:rsidRPr="008D3267">
              <w:rPr>
                <w:rFonts w:ascii="Arial Narrow" w:eastAsiaTheme="majorEastAsia" w:hAnsi="Arial Narrow" w:cstheme="majorBidi"/>
                <w:bCs/>
                <w:sz w:val="20"/>
              </w:rPr>
              <w:t>5mg + 0.14 x 100</w:t>
            </w:r>
            <w:r w:rsidR="002F788C" w:rsidRPr="008D3267">
              <w:rPr>
                <w:rFonts w:ascii="Arial Narrow" w:eastAsiaTheme="majorEastAsia" w:hAnsi="Arial Narrow" w:cstheme="majorBidi"/>
                <w:bCs/>
                <w:sz w:val="20"/>
              </w:rPr>
              <w:t xml:space="preserve"> </w:t>
            </w:r>
            <w:r w:rsidRPr="008D3267">
              <w:rPr>
                <w:rFonts w:ascii="Arial Narrow" w:eastAsiaTheme="majorEastAsia" w:hAnsi="Arial Narrow" w:cstheme="majorBidi"/>
                <w:bCs/>
                <w:sz w:val="20"/>
              </w:rPr>
              <w:t>mg + 0.29 x 75</w:t>
            </w:r>
            <w:r w:rsidR="002F788C" w:rsidRPr="008D3267">
              <w:rPr>
                <w:rFonts w:ascii="Arial Narrow" w:eastAsiaTheme="majorEastAsia" w:hAnsi="Arial Narrow" w:cstheme="majorBidi"/>
                <w:bCs/>
                <w:sz w:val="20"/>
              </w:rPr>
              <w:t xml:space="preserve"> </w:t>
            </w:r>
            <w:r w:rsidRPr="008D3267">
              <w:rPr>
                <w:rFonts w:ascii="Arial Narrow" w:eastAsiaTheme="majorEastAsia" w:hAnsi="Arial Narrow" w:cstheme="majorBidi"/>
                <w:bCs/>
                <w:sz w:val="20"/>
              </w:rPr>
              <w:t xml:space="preserve">mg). This is </w:t>
            </w:r>
            <w:proofErr w:type="gramStart"/>
            <w:r w:rsidRPr="008D3267">
              <w:rPr>
                <w:rFonts w:ascii="Arial Narrow" w:eastAsiaTheme="majorEastAsia" w:hAnsi="Arial Narrow" w:cstheme="majorBidi"/>
                <w:bCs/>
                <w:sz w:val="20"/>
              </w:rPr>
              <w:t>similar to</w:t>
            </w:r>
            <w:proofErr w:type="gramEnd"/>
            <w:r w:rsidRPr="008D3267">
              <w:rPr>
                <w:rFonts w:ascii="Arial Narrow" w:eastAsiaTheme="majorEastAsia" w:hAnsi="Arial Narrow" w:cstheme="majorBidi"/>
                <w:bCs/>
                <w:sz w:val="20"/>
              </w:rPr>
              <w:t xml:space="preserve"> the average daily dose on which the </w:t>
            </w:r>
            <w:proofErr w:type="spellStart"/>
            <w:r w:rsidRPr="008D3267">
              <w:rPr>
                <w:rFonts w:ascii="Arial Narrow" w:eastAsiaTheme="majorEastAsia" w:hAnsi="Arial Narrow" w:cstheme="majorBidi"/>
                <w:bCs/>
                <w:sz w:val="20"/>
              </w:rPr>
              <w:t>equi</w:t>
            </w:r>
            <w:proofErr w:type="spellEnd"/>
            <w:r w:rsidRPr="008D3267">
              <w:rPr>
                <w:rFonts w:ascii="Arial Narrow" w:eastAsiaTheme="majorEastAsia" w:hAnsi="Arial Narrow" w:cstheme="majorBidi"/>
                <w:bCs/>
                <w:sz w:val="20"/>
              </w:rPr>
              <w:t>-effective doses are based (108.5</w:t>
            </w:r>
            <w:r w:rsidR="002F788C" w:rsidRPr="008D3267">
              <w:rPr>
                <w:rFonts w:ascii="Arial Narrow" w:eastAsiaTheme="majorEastAsia" w:hAnsi="Arial Narrow" w:cstheme="majorBidi"/>
                <w:bCs/>
                <w:sz w:val="20"/>
              </w:rPr>
              <w:t xml:space="preserve"> </w:t>
            </w:r>
            <w:r w:rsidRPr="008D3267">
              <w:rPr>
                <w:rFonts w:ascii="Arial Narrow" w:eastAsiaTheme="majorEastAsia" w:hAnsi="Arial Narrow" w:cstheme="majorBidi"/>
                <w:bCs/>
                <w:sz w:val="20"/>
              </w:rPr>
              <w:t>mg).</w:t>
            </w:r>
          </w:p>
        </w:tc>
      </w:tr>
      <w:tr w:rsidR="004E582F" w:rsidRPr="00E74253" w14:paraId="56B3C959" w14:textId="544ADA56" w:rsidTr="00C7217B">
        <w:trPr>
          <w:cantSplit/>
        </w:trPr>
        <w:tc>
          <w:tcPr>
            <w:tcW w:w="1555" w:type="dxa"/>
            <w:tcMar>
              <w:left w:w="28" w:type="dxa"/>
              <w:right w:w="28" w:type="dxa"/>
            </w:tcMar>
          </w:tcPr>
          <w:p w14:paraId="6AEAA016" w14:textId="1948D44E" w:rsidR="004E582F" w:rsidRPr="00E74253" w:rsidRDefault="004E582F" w:rsidP="004E582F">
            <w:pPr>
              <w:spacing w:before="20" w:after="20"/>
              <w:jc w:val="left"/>
              <w:rPr>
                <w:rFonts w:ascii="Arial Narrow" w:eastAsiaTheme="majorEastAsia" w:hAnsi="Arial Narrow" w:cstheme="majorBidi"/>
                <w:bCs/>
                <w:sz w:val="20"/>
              </w:rPr>
            </w:pPr>
            <w:r w:rsidRPr="00E74253">
              <w:rPr>
                <w:rFonts w:ascii="Arial Narrow" w:eastAsiaTheme="majorEastAsia" w:hAnsi="Arial Narrow" w:cstheme="majorBidi"/>
                <w:bCs/>
                <w:sz w:val="20"/>
              </w:rPr>
              <w:t xml:space="preserve">Compliance – </w:t>
            </w:r>
            <w:proofErr w:type="spellStart"/>
            <w:r w:rsidRPr="00E74253">
              <w:rPr>
                <w:rFonts w:ascii="Arial Narrow" w:eastAsiaTheme="majorEastAsia" w:hAnsi="Arial Narrow" w:cstheme="majorBidi"/>
                <w:bCs/>
                <w:sz w:val="20"/>
              </w:rPr>
              <w:t>palbociclib</w:t>
            </w:r>
            <w:proofErr w:type="spellEnd"/>
          </w:p>
        </w:tc>
        <w:tc>
          <w:tcPr>
            <w:tcW w:w="1417" w:type="dxa"/>
            <w:tcMar>
              <w:left w:w="28" w:type="dxa"/>
              <w:right w:w="28" w:type="dxa"/>
            </w:tcMar>
          </w:tcPr>
          <w:p w14:paraId="460C5ABC" w14:textId="27CFA9FA" w:rsidR="004E582F" w:rsidRPr="00E74253" w:rsidRDefault="004E582F" w:rsidP="004E582F">
            <w:pPr>
              <w:spacing w:before="20" w:after="20"/>
              <w:jc w:val="left"/>
              <w:rPr>
                <w:rFonts w:ascii="Arial Narrow" w:eastAsiaTheme="majorEastAsia" w:hAnsi="Arial Narrow" w:cstheme="majorBidi"/>
                <w:bCs/>
                <w:sz w:val="20"/>
              </w:rPr>
            </w:pPr>
            <w:r w:rsidRPr="00E74253">
              <w:rPr>
                <w:rFonts w:ascii="Arial Narrow" w:eastAsiaTheme="majorEastAsia" w:hAnsi="Arial Narrow" w:cstheme="majorBidi"/>
                <w:bCs/>
                <w:sz w:val="20"/>
              </w:rPr>
              <w:t>86.8%</w:t>
            </w:r>
          </w:p>
        </w:tc>
        <w:tc>
          <w:tcPr>
            <w:tcW w:w="2410" w:type="dxa"/>
            <w:tcMar>
              <w:left w:w="28" w:type="dxa"/>
              <w:right w:w="28" w:type="dxa"/>
            </w:tcMar>
          </w:tcPr>
          <w:p w14:paraId="6301CA1E" w14:textId="77777777" w:rsidR="004E582F" w:rsidRPr="00E74253" w:rsidRDefault="004E582F" w:rsidP="004E582F">
            <w:pPr>
              <w:spacing w:before="20" w:after="20"/>
              <w:jc w:val="left"/>
              <w:rPr>
                <w:rFonts w:ascii="Arial Narrow" w:eastAsiaTheme="majorEastAsia" w:hAnsi="Arial Narrow" w:cstheme="majorBidi"/>
                <w:bCs/>
                <w:sz w:val="20"/>
              </w:rPr>
            </w:pPr>
            <w:r w:rsidRPr="00E74253">
              <w:rPr>
                <w:rFonts w:ascii="Arial Narrow" w:eastAsiaTheme="majorEastAsia" w:hAnsi="Arial Narrow" w:cstheme="majorBidi"/>
                <w:bCs/>
                <w:sz w:val="20"/>
              </w:rPr>
              <w:t>Mean RDI from PALOMA-2 (PALOMA-2 CSR, Table 35)</w:t>
            </w:r>
          </w:p>
        </w:tc>
        <w:tc>
          <w:tcPr>
            <w:tcW w:w="3827" w:type="dxa"/>
            <w:tcMar>
              <w:left w:w="28" w:type="dxa"/>
              <w:right w:w="28" w:type="dxa"/>
            </w:tcMar>
          </w:tcPr>
          <w:p w14:paraId="56A6F1ED" w14:textId="0CF09F43" w:rsidR="004E582F" w:rsidRPr="00E74253" w:rsidRDefault="00684567" w:rsidP="006E4FD2">
            <w:pPr>
              <w:spacing w:before="20" w:after="20"/>
              <w:jc w:val="left"/>
              <w:rPr>
                <w:rFonts w:ascii="Arial Narrow" w:eastAsiaTheme="majorEastAsia" w:hAnsi="Arial Narrow" w:cstheme="majorBidi"/>
                <w:bCs/>
                <w:sz w:val="20"/>
              </w:rPr>
            </w:pPr>
            <w:r w:rsidRPr="00E74253">
              <w:rPr>
                <w:rFonts w:ascii="Arial Narrow" w:eastAsiaTheme="majorEastAsia" w:hAnsi="Arial Narrow" w:cstheme="majorBidi"/>
                <w:bCs/>
                <w:sz w:val="20"/>
              </w:rPr>
              <w:t>The submission inappropriately applied the RDI assuming it reflected ‘adherence’.</w:t>
            </w:r>
            <w:r w:rsidR="006E4FD2" w:rsidRPr="00E74253">
              <w:rPr>
                <w:rFonts w:ascii="Arial Narrow" w:eastAsiaTheme="majorEastAsia" w:hAnsi="Arial Narrow" w:cstheme="majorBidi"/>
                <w:bCs/>
                <w:sz w:val="20"/>
              </w:rPr>
              <w:t xml:space="preserve"> This incorrectly reduced the average daily dose to 92.9mg</w:t>
            </w:r>
            <w:r w:rsidR="00351346" w:rsidRPr="00E74253">
              <w:rPr>
                <w:rFonts w:ascii="Arial Narrow" w:eastAsiaTheme="majorEastAsia" w:hAnsi="Arial Narrow" w:cstheme="majorBidi"/>
                <w:bCs/>
                <w:sz w:val="20"/>
              </w:rPr>
              <w:t xml:space="preserve"> (108.5 </w:t>
            </w:r>
            <w:r w:rsidR="002F788C" w:rsidRPr="00E74253">
              <w:rPr>
                <w:rFonts w:ascii="Arial Narrow" w:eastAsiaTheme="majorEastAsia" w:hAnsi="Arial Narrow" w:cstheme="majorBidi"/>
                <w:bCs/>
                <w:sz w:val="20"/>
              </w:rPr>
              <w:t xml:space="preserve">mg </w:t>
            </w:r>
            <w:r w:rsidR="00351346" w:rsidRPr="00E74253">
              <w:rPr>
                <w:rFonts w:ascii="Arial Narrow" w:eastAsiaTheme="majorEastAsia" w:hAnsi="Arial Narrow" w:cstheme="majorBidi"/>
                <w:bCs/>
                <w:sz w:val="20"/>
              </w:rPr>
              <w:t>x 0.868)</w:t>
            </w:r>
            <w:r w:rsidR="006E4FD2" w:rsidRPr="00E74253">
              <w:rPr>
                <w:rFonts w:ascii="Arial Narrow" w:eastAsiaTheme="majorEastAsia" w:hAnsi="Arial Narrow" w:cstheme="majorBidi"/>
                <w:bCs/>
                <w:sz w:val="20"/>
              </w:rPr>
              <w:t>.</w:t>
            </w:r>
            <w:r w:rsidR="00701351">
              <w:rPr>
                <w:rFonts w:ascii="Arial Narrow" w:eastAsiaTheme="majorEastAsia" w:hAnsi="Arial Narrow" w:cstheme="majorBidi"/>
                <w:bCs/>
                <w:sz w:val="20"/>
              </w:rPr>
              <w:t xml:space="preserve"> The pre-PBAC response acknowledged this error.</w:t>
            </w:r>
          </w:p>
        </w:tc>
      </w:tr>
      <w:tr w:rsidR="00351346" w:rsidRPr="00E74253" w14:paraId="3CEDB3E8" w14:textId="77777777" w:rsidTr="00C7217B">
        <w:trPr>
          <w:cantSplit/>
        </w:trPr>
        <w:tc>
          <w:tcPr>
            <w:tcW w:w="1555" w:type="dxa"/>
            <w:tcMar>
              <w:left w:w="28" w:type="dxa"/>
              <w:right w:w="28" w:type="dxa"/>
            </w:tcMar>
          </w:tcPr>
          <w:p w14:paraId="5A334C53" w14:textId="470ED7D1" w:rsidR="00351346" w:rsidRPr="00E74253" w:rsidRDefault="00351346" w:rsidP="00351346">
            <w:pPr>
              <w:spacing w:before="20" w:after="20"/>
              <w:jc w:val="left"/>
              <w:rPr>
                <w:rFonts w:ascii="Arial Narrow" w:eastAsiaTheme="majorEastAsia" w:hAnsi="Arial Narrow" w:cstheme="majorBidi"/>
                <w:bCs/>
                <w:sz w:val="20"/>
              </w:rPr>
            </w:pPr>
            <w:r w:rsidRPr="00E74253">
              <w:rPr>
                <w:rFonts w:ascii="Arial Narrow" w:eastAsiaTheme="majorEastAsia" w:hAnsi="Arial Narrow" w:cstheme="majorBidi"/>
                <w:bCs/>
                <w:sz w:val="20"/>
              </w:rPr>
              <w:t xml:space="preserve">Distribution of </w:t>
            </w:r>
            <w:proofErr w:type="spellStart"/>
            <w:r w:rsidRPr="00E74253">
              <w:rPr>
                <w:rFonts w:ascii="Arial Narrow" w:eastAsiaTheme="majorEastAsia" w:hAnsi="Arial Narrow" w:cstheme="majorBidi"/>
                <w:bCs/>
                <w:sz w:val="20"/>
              </w:rPr>
              <w:t>ribociclib</w:t>
            </w:r>
            <w:proofErr w:type="spellEnd"/>
            <w:r w:rsidRPr="00E74253">
              <w:rPr>
                <w:rFonts w:ascii="Arial Narrow" w:eastAsiaTheme="majorEastAsia" w:hAnsi="Arial Narrow" w:cstheme="majorBidi"/>
                <w:bCs/>
                <w:sz w:val="20"/>
              </w:rPr>
              <w:t xml:space="preserve"> scripts</w:t>
            </w:r>
          </w:p>
        </w:tc>
        <w:tc>
          <w:tcPr>
            <w:tcW w:w="1417" w:type="dxa"/>
            <w:tcMar>
              <w:left w:w="28" w:type="dxa"/>
              <w:right w:w="28" w:type="dxa"/>
            </w:tcMar>
          </w:tcPr>
          <w:p w14:paraId="7D03FF04" w14:textId="433ED675" w:rsidR="00351346" w:rsidRPr="00E74253" w:rsidRDefault="00351346" w:rsidP="00B5753A">
            <w:pPr>
              <w:spacing w:before="20" w:after="20"/>
              <w:jc w:val="left"/>
              <w:rPr>
                <w:rFonts w:ascii="Arial Narrow" w:eastAsiaTheme="majorEastAsia" w:hAnsi="Arial Narrow" w:cstheme="majorBidi"/>
                <w:bCs/>
                <w:sz w:val="20"/>
              </w:rPr>
            </w:pPr>
            <w:r w:rsidRPr="00E74253">
              <w:rPr>
                <w:rFonts w:ascii="Arial Narrow" w:eastAsiaTheme="majorEastAsia" w:hAnsi="Arial Narrow" w:cstheme="majorBidi"/>
                <w:bCs/>
                <w:sz w:val="20"/>
              </w:rPr>
              <w:t>3 x 200</w:t>
            </w:r>
            <w:r w:rsidR="002F788C" w:rsidRPr="00E74253">
              <w:rPr>
                <w:rFonts w:ascii="Arial Narrow" w:eastAsiaTheme="majorEastAsia" w:hAnsi="Arial Narrow" w:cstheme="majorBidi"/>
                <w:bCs/>
                <w:sz w:val="20"/>
              </w:rPr>
              <w:t xml:space="preserve"> </w:t>
            </w:r>
            <w:r w:rsidRPr="00E74253">
              <w:rPr>
                <w:rFonts w:ascii="Arial Narrow" w:eastAsiaTheme="majorEastAsia" w:hAnsi="Arial Narrow" w:cstheme="majorBidi"/>
                <w:bCs/>
                <w:sz w:val="20"/>
              </w:rPr>
              <w:t>mg: 61%</w:t>
            </w:r>
          </w:p>
          <w:p w14:paraId="1D5B27C1" w14:textId="5CB610FB" w:rsidR="00351346" w:rsidRPr="00E74253" w:rsidRDefault="00351346" w:rsidP="00B5753A">
            <w:pPr>
              <w:spacing w:before="20" w:after="20"/>
              <w:jc w:val="left"/>
              <w:rPr>
                <w:rFonts w:ascii="Arial Narrow" w:eastAsiaTheme="majorEastAsia" w:hAnsi="Arial Narrow" w:cstheme="majorBidi"/>
                <w:bCs/>
                <w:sz w:val="20"/>
              </w:rPr>
            </w:pPr>
            <w:r w:rsidRPr="00E74253">
              <w:rPr>
                <w:rFonts w:ascii="Arial Narrow" w:eastAsiaTheme="majorEastAsia" w:hAnsi="Arial Narrow" w:cstheme="majorBidi"/>
                <w:bCs/>
                <w:sz w:val="20"/>
              </w:rPr>
              <w:t>2 x 200</w:t>
            </w:r>
            <w:r w:rsidR="002F788C" w:rsidRPr="00E74253">
              <w:rPr>
                <w:rFonts w:ascii="Arial Narrow" w:eastAsiaTheme="majorEastAsia" w:hAnsi="Arial Narrow" w:cstheme="majorBidi"/>
                <w:bCs/>
                <w:sz w:val="20"/>
              </w:rPr>
              <w:t xml:space="preserve"> </w:t>
            </w:r>
            <w:r w:rsidRPr="00E74253">
              <w:rPr>
                <w:rFonts w:ascii="Arial Narrow" w:eastAsiaTheme="majorEastAsia" w:hAnsi="Arial Narrow" w:cstheme="majorBidi"/>
                <w:bCs/>
                <w:sz w:val="20"/>
              </w:rPr>
              <w:t>mg: 31%</w:t>
            </w:r>
          </w:p>
          <w:p w14:paraId="4D10CEC9" w14:textId="4FB65C27" w:rsidR="00351346" w:rsidRPr="00E74253" w:rsidRDefault="00351346" w:rsidP="00351346">
            <w:pPr>
              <w:spacing w:before="20" w:after="20"/>
              <w:jc w:val="left"/>
              <w:rPr>
                <w:rFonts w:ascii="Arial Narrow" w:eastAsiaTheme="majorEastAsia" w:hAnsi="Arial Narrow" w:cstheme="majorBidi"/>
                <w:bCs/>
                <w:sz w:val="20"/>
              </w:rPr>
            </w:pPr>
            <w:r w:rsidRPr="00E74253">
              <w:rPr>
                <w:rFonts w:ascii="Arial Narrow" w:eastAsiaTheme="majorEastAsia" w:hAnsi="Arial Narrow" w:cstheme="majorBidi"/>
                <w:bCs/>
                <w:sz w:val="20"/>
              </w:rPr>
              <w:t>1 x 200</w:t>
            </w:r>
            <w:r w:rsidR="002F788C" w:rsidRPr="00E74253">
              <w:rPr>
                <w:rFonts w:ascii="Arial Narrow" w:eastAsiaTheme="majorEastAsia" w:hAnsi="Arial Narrow" w:cstheme="majorBidi"/>
                <w:bCs/>
                <w:sz w:val="20"/>
              </w:rPr>
              <w:t xml:space="preserve"> </w:t>
            </w:r>
            <w:r w:rsidRPr="00E74253">
              <w:rPr>
                <w:rFonts w:ascii="Arial Narrow" w:eastAsiaTheme="majorEastAsia" w:hAnsi="Arial Narrow" w:cstheme="majorBidi"/>
                <w:bCs/>
                <w:sz w:val="20"/>
              </w:rPr>
              <w:t>mg: 7%</w:t>
            </w:r>
          </w:p>
        </w:tc>
        <w:tc>
          <w:tcPr>
            <w:tcW w:w="2410" w:type="dxa"/>
            <w:tcMar>
              <w:left w:w="28" w:type="dxa"/>
              <w:right w:w="28" w:type="dxa"/>
            </w:tcMar>
          </w:tcPr>
          <w:p w14:paraId="18D9CD4A" w14:textId="5FD79EAF" w:rsidR="00351346" w:rsidRPr="00E74253" w:rsidRDefault="00351346" w:rsidP="00351346">
            <w:pPr>
              <w:spacing w:before="20" w:after="20"/>
              <w:jc w:val="left"/>
              <w:rPr>
                <w:rFonts w:ascii="Arial Narrow" w:eastAsiaTheme="majorEastAsia" w:hAnsi="Arial Narrow" w:cstheme="majorBidi"/>
                <w:bCs/>
                <w:sz w:val="20"/>
              </w:rPr>
            </w:pPr>
            <w:r w:rsidRPr="00E74253">
              <w:rPr>
                <w:rFonts w:ascii="Arial Narrow" w:eastAsiaTheme="majorEastAsia" w:hAnsi="Arial Narrow" w:cstheme="majorBidi"/>
                <w:bCs/>
                <w:sz w:val="20"/>
              </w:rPr>
              <w:t xml:space="preserve">PBS statistics for current </w:t>
            </w:r>
            <w:proofErr w:type="spellStart"/>
            <w:r w:rsidRPr="00E74253">
              <w:rPr>
                <w:rFonts w:ascii="Arial Narrow" w:eastAsiaTheme="majorEastAsia" w:hAnsi="Arial Narrow" w:cstheme="majorBidi"/>
                <w:bCs/>
                <w:sz w:val="20"/>
              </w:rPr>
              <w:t>ribociclib</w:t>
            </w:r>
            <w:proofErr w:type="spellEnd"/>
            <w:r w:rsidRPr="00E74253">
              <w:rPr>
                <w:rFonts w:ascii="Arial Narrow" w:eastAsiaTheme="majorEastAsia" w:hAnsi="Arial Narrow" w:cstheme="majorBidi"/>
                <w:bCs/>
                <w:sz w:val="20"/>
              </w:rPr>
              <w:t xml:space="preserve"> listing (May 19 – Sep 21)</w:t>
            </w:r>
          </w:p>
        </w:tc>
        <w:tc>
          <w:tcPr>
            <w:tcW w:w="3827" w:type="dxa"/>
            <w:tcMar>
              <w:left w:w="28" w:type="dxa"/>
              <w:right w:w="28" w:type="dxa"/>
            </w:tcMar>
          </w:tcPr>
          <w:p w14:paraId="76A5424E" w14:textId="11FDD12E" w:rsidR="00351346" w:rsidRPr="00E74253" w:rsidDel="00F92CD6" w:rsidRDefault="00351346" w:rsidP="004D7899">
            <w:pPr>
              <w:spacing w:before="20" w:after="20"/>
              <w:jc w:val="left"/>
              <w:rPr>
                <w:rFonts w:ascii="Arial Narrow" w:eastAsiaTheme="majorEastAsia" w:hAnsi="Arial Narrow" w:cstheme="majorBidi"/>
                <w:bCs/>
                <w:sz w:val="20"/>
              </w:rPr>
            </w:pPr>
            <w:r w:rsidRPr="00E74253">
              <w:rPr>
                <w:rFonts w:ascii="Arial Narrow" w:eastAsiaTheme="majorEastAsia" w:hAnsi="Arial Narrow" w:cstheme="majorBidi"/>
                <w:bCs/>
                <w:sz w:val="20"/>
              </w:rPr>
              <w:t>Based on this distribution the average dose is approximately 504</w:t>
            </w:r>
            <w:r w:rsidR="002F788C" w:rsidRPr="00E74253">
              <w:rPr>
                <w:rFonts w:ascii="Arial Narrow" w:eastAsiaTheme="majorEastAsia" w:hAnsi="Arial Narrow" w:cstheme="majorBidi"/>
                <w:bCs/>
                <w:sz w:val="20"/>
              </w:rPr>
              <w:t xml:space="preserve"> </w:t>
            </w:r>
            <w:r w:rsidRPr="00E74253">
              <w:rPr>
                <w:rFonts w:ascii="Arial Narrow" w:eastAsiaTheme="majorEastAsia" w:hAnsi="Arial Narrow" w:cstheme="majorBidi"/>
                <w:bCs/>
                <w:sz w:val="20"/>
              </w:rPr>
              <w:t>mg (0.61 x 600</w:t>
            </w:r>
            <w:r w:rsidR="002F788C" w:rsidRPr="00E74253">
              <w:rPr>
                <w:rFonts w:ascii="Arial Narrow" w:eastAsiaTheme="majorEastAsia" w:hAnsi="Arial Narrow" w:cstheme="majorBidi"/>
                <w:bCs/>
                <w:sz w:val="20"/>
              </w:rPr>
              <w:t xml:space="preserve"> </w:t>
            </w:r>
            <w:r w:rsidRPr="00E74253">
              <w:rPr>
                <w:rFonts w:ascii="Arial Narrow" w:eastAsiaTheme="majorEastAsia" w:hAnsi="Arial Narrow" w:cstheme="majorBidi"/>
                <w:bCs/>
                <w:sz w:val="20"/>
              </w:rPr>
              <w:t xml:space="preserve">mg + 0.31 x </w:t>
            </w:r>
            <w:r w:rsidR="004D7899" w:rsidRPr="00E74253">
              <w:rPr>
                <w:rFonts w:ascii="Arial Narrow" w:eastAsiaTheme="majorEastAsia" w:hAnsi="Arial Narrow" w:cstheme="majorBidi"/>
                <w:bCs/>
                <w:sz w:val="20"/>
              </w:rPr>
              <w:t>4</w:t>
            </w:r>
            <w:r w:rsidRPr="00E74253">
              <w:rPr>
                <w:rFonts w:ascii="Arial Narrow" w:eastAsiaTheme="majorEastAsia" w:hAnsi="Arial Narrow" w:cstheme="majorBidi"/>
                <w:bCs/>
                <w:sz w:val="20"/>
              </w:rPr>
              <w:t>00</w:t>
            </w:r>
            <w:r w:rsidR="002F788C" w:rsidRPr="00E74253">
              <w:rPr>
                <w:rFonts w:ascii="Arial Narrow" w:eastAsiaTheme="majorEastAsia" w:hAnsi="Arial Narrow" w:cstheme="majorBidi"/>
                <w:bCs/>
                <w:sz w:val="20"/>
              </w:rPr>
              <w:t xml:space="preserve"> </w:t>
            </w:r>
            <w:r w:rsidRPr="00E74253">
              <w:rPr>
                <w:rFonts w:ascii="Arial Narrow" w:eastAsiaTheme="majorEastAsia" w:hAnsi="Arial Narrow" w:cstheme="majorBidi"/>
                <w:bCs/>
                <w:sz w:val="20"/>
              </w:rPr>
              <w:t>mg + 0.07 x 200</w:t>
            </w:r>
            <w:r w:rsidR="002F788C" w:rsidRPr="00E74253">
              <w:rPr>
                <w:rFonts w:ascii="Arial Narrow" w:eastAsiaTheme="majorEastAsia" w:hAnsi="Arial Narrow" w:cstheme="majorBidi"/>
                <w:bCs/>
                <w:sz w:val="20"/>
              </w:rPr>
              <w:t xml:space="preserve"> </w:t>
            </w:r>
            <w:r w:rsidRPr="00E74253">
              <w:rPr>
                <w:rFonts w:ascii="Arial Narrow" w:eastAsiaTheme="majorEastAsia" w:hAnsi="Arial Narrow" w:cstheme="majorBidi"/>
                <w:bCs/>
                <w:sz w:val="20"/>
              </w:rPr>
              <w:t xml:space="preserve">mg). This is higher than the average daily dose on which the </w:t>
            </w:r>
            <w:proofErr w:type="spellStart"/>
            <w:r w:rsidRPr="00E74253">
              <w:rPr>
                <w:rFonts w:ascii="Arial Narrow" w:eastAsiaTheme="majorEastAsia" w:hAnsi="Arial Narrow" w:cstheme="majorBidi"/>
                <w:bCs/>
                <w:sz w:val="20"/>
              </w:rPr>
              <w:t>equi</w:t>
            </w:r>
            <w:proofErr w:type="spellEnd"/>
            <w:r w:rsidRPr="00E74253">
              <w:rPr>
                <w:rFonts w:ascii="Arial Narrow" w:eastAsiaTheme="majorEastAsia" w:hAnsi="Arial Narrow" w:cstheme="majorBidi"/>
                <w:bCs/>
                <w:sz w:val="20"/>
              </w:rPr>
              <w:t>-effective doses are based (477</w:t>
            </w:r>
            <w:r w:rsidR="002F788C" w:rsidRPr="00E74253">
              <w:rPr>
                <w:rFonts w:ascii="Arial Narrow" w:eastAsiaTheme="majorEastAsia" w:hAnsi="Arial Narrow" w:cstheme="majorBidi"/>
                <w:bCs/>
                <w:sz w:val="20"/>
              </w:rPr>
              <w:t xml:space="preserve"> </w:t>
            </w:r>
            <w:r w:rsidRPr="00E74253">
              <w:rPr>
                <w:rFonts w:ascii="Arial Narrow" w:eastAsiaTheme="majorEastAsia" w:hAnsi="Arial Narrow" w:cstheme="majorBidi"/>
                <w:bCs/>
                <w:sz w:val="20"/>
              </w:rPr>
              <w:t>mg).</w:t>
            </w:r>
          </w:p>
        </w:tc>
      </w:tr>
      <w:tr w:rsidR="004E582F" w:rsidRPr="00E74253" w14:paraId="33D5DAF4" w14:textId="5D9C0563" w:rsidTr="00C7217B">
        <w:trPr>
          <w:cantSplit/>
        </w:trPr>
        <w:tc>
          <w:tcPr>
            <w:tcW w:w="1555" w:type="dxa"/>
            <w:tcBorders>
              <w:bottom w:val="single" w:sz="4" w:space="0" w:color="auto"/>
            </w:tcBorders>
            <w:tcMar>
              <w:left w:w="28" w:type="dxa"/>
              <w:right w:w="28" w:type="dxa"/>
            </w:tcMar>
          </w:tcPr>
          <w:p w14:paraId="4A403D1D" w14:textId="4CDB59DB" w:rsidR="004E582F" w:rsidRPr="00E74253" w:rsidRDefault="004E582F" w:rsidP="004E582F">
            <w:pPr>
              <w:spacing w:before="20" w:after="20"/>
              <w:jc w:val="left"/>
              <w:rPr>
                <w:rFonts w:ascii="Arial Narrow" w:eastAsiaTheme="majorEastAsia" w:hAnsi="Arial Narrow" w:cstheme="majorBidi"/>
                <w:bCs/>
                <w:sz w:val="20"/>
              </w:rPr>
            </w:pPr>
            <w:r w:rsidRPr="00E74253">
              <w:rPr>
                <w:rFonts w:ascii="Arial Narrow" w:eastAsiaTheme="majorEastAsia" w:hAnsi="Arial Narrow" w:cstheme="majorBidi"/>
                <w:bCs/>
                <w:sz w:val="20"/>
              </w:rPr>
              <w:t xml:space="preserve">Compliance – </w:t>
            </w:r>
            <w:proofErr w:type="spellStart"/>
            <w:r w:rsidRPr="00E74253">
              <w:rPr>
                <w:rFonts w:ascii="Arial Narrow" w:eastAsiaTheme="majorEastAsia" w:hAnsi="Arial Narrow" w:cstheme="majorBidi"/>
                <w:bCs/>
                <w:sz w:val="20"/>
              </w:rPr>
              <w:t>ribociclib</w:t>
            </w:r>
            <w:proofErr w:type="spellEnd"/>
          </w:p>
        </w:tc>
        <w:tc>
          <w:tcPr>
            <w:tcW w:w="1417" w:type="dxa"/>
            <w:tcBorders>
              <w:bottom w:val="single" w:sz="4" w:space="0" w:color="auto"/>
            </w:tcBorders>
            <w:tcMar>
              <w:left w:w="28" w:type="dxa"/>
              <w:right w:w="28" w:type="dxa"/>
            </w:tcMar>
          </w:tcPr>
          <w:p w14:paraId="1D755CF3" w14:textId="77777777" w:rsidR="004E582F" w:rsidRPr="00E74253" w:rsidRDefault="004E582F" w:rsidP="004E582F">
            <w:pPr>
              <w:spacing w:before="20" w:after="20"/>
              <w:jc w:val="left"/>
              <w:rPr>
                <w:rFonts w:ascii="Arial Narrow" w:eastAsiaTheme="majorEastAsia" w:hAnsi="Arial Narrow" w:cstheme="majorBidi"/>
                <w:bCs/>
                <w:sz w:val="20"/>
              </w:rPr>
            </w:pPr>
            <w:r w:rsidRPr="00E74253">
              <w:rPr>
                <w:rFonts w:ascii="Arial Narrow" w:eastAsiaTheme="majorEastAsia" w:hAnsi="Arial Narrow" w:cstheme="majorBidi"/>
                <w:bCs/>
                <w:sz w:val="20"/>
              </w:rPr>
              <w:t>79.5%</w:t>
            </w:r>
          </w:p>
        </w:tc>
        <w:tc>
          <w:tcPr>
            <w:tcW w:w="2410" w:type="dxa"/>
            <w:tcBorders>
              <w:bottom w:val="single" w:sz="4" w:space="0" w:color="auto"/>
            </w:tcBorders>
            <w:tcMar>
              <w:left w:w="28" w:type="dxa"/>
              <w:right w:w="28" w:type="dxa"/>
            </w:tcMar>
          </w:tcPr>
          <w:p w14:paraId="3A7BA0D5" w14:textId="3A201CCF" w:rsidR="004E582F" w:rsidRPr="00E74253" w:rsidRDefault="004E582F" w:rsidP="004E582F">
            <w:pPr>
              <w:spacing w:before="20" w:after="20"/>
              <w:jc w:val="left"/>
              <w:rPr>
                <w:rFonts w:ascii="Arial Narrow" w:eastAsiaTheme="majorEastAsia" w:hAnsi="Arial Narrow" w:cstheme="majorBidi"/>
                <w:bCs/>
                <w:sz w:val="20"/>
              </w:rPr>
            </w:pPr>
            <w:r w:rsidRPr="00E74253">
              <w:rPr>
                <w:rFonts w:ascii="Arial Narrow" w:eastAsiaTheme="majorEastAsia" w:hAnsi="Arial Narrow" w:cstheme="majorBidi"/>
                <w:bCs/>
                <w:sz w:val="20"/>
              </w:rPr>
              <w:t xml:space="preserve">Mean RDI from MONALEESA-2 (para. 6.36, </w:t>
            </w:r>
            <w:proofErr w:type="spellStart"/>
            <w:r w:rsidRPr="00E74253">
              <w:rPr>
                <w:rFonts w:ascii="Arial Narrow" w:eastAsiaTheme="majorEastAsia" w:hAnsi="Arial Narrow" w:cstheme="majorBidi"/>
                <w:bCs/>
                <w:sz w:val="20"/>
              </w:rPr>
              <w:t>Abemaciclib</w:t>
            </w:r>
            <w:proofErr w:type="spellEnd"/>
            <w:r w:rsidRPr="00E74253">
              <w:rPr>
                <w:rFonts w:ascii="Arial Narrow" w:eastAsiaTheme="majorEastAsia" w:hAnsi="Arial Narrow" w:cstheme="majorBidi"/>
                <w:bCs/>
                <w:sz w:val="20"/>
              </w:rPr>
              <w:t xml:space="preserve"> PSD, March 2021 PBAC Meeting)</w:t>
            </w:r>
          </w:p>
        </w:tc>
        <w:tc>
          <w:tcPr>
            <w:tcW w:w="3827" w:type="dxa"/>
            <w:tcBorders>
              <w:bottom w:val="single" w:sz="4" w:space="0" w:color="auto"/>
            </w:tcBorders>
            <w:tcMar>
              <w:left w:w="28" w:type="dxa"/>
              <w:right w:w="28" w:type="dxa"/>
            </w:tcMar>
          </w:tcPr>
          <w:p w14:paraId="45877D35" w14:textId="3F780BF8" w:rsidR="004E582F" w:rsidRPr="00E74253" w:rsidRDefault="00684567" w:rsidP="00351346">
            <w:pPr>
              <w:spacing w:before="20" w:after="20"/>
              <w:jc w:val="left"/>
              <w:rPr>
                <w:rFonts w:ascii="Arial Narrow" w:eastAsiaTheme="majorEastAsia" w:hAnsi="Arial Narrow" w:cstheme="majorBidi"/>
                <w:bCs/>
                <w:sz w:val="20"/>
              </w:rPr>
            </w:pPr>
            <w:r w:rsidRPr="00E74253">
              <w:rPr>
                <w:rFonts w:ascii="Arial Narrow" w:eastAsiaTheme="majorEastAsia" w:hAnsi="Arial Narrow" w:cstheme="majorBidi"/>
                <w:bCs/>
                <w:sz w:val="20"/>
              </w:rPr>
              <w:t>The submission inappropriately applied the RDI assuming it reflected ‘adherence’.</w:t>
            </w:r>
            <w:r w:rsidR="00351346" w:rsidRPr="00E74253">
              <w:rPr>
                <w:rFonts w:ascii="Arial Narrow" w:eastAsiaTheme="majorEastAsia" w:hAnsi="Arial Narrow" w:cstheme="majorBidi"/>
                <w:bCs/>
                <w:sz w:val="20"/>
              </w:rPr>
              <w:t xml:space="preserve"> This incorrectly reduced the average daily dose to 401</w:t>
            </w:r>
            <w:r w:rsidR="002F788C" w:rsidRPr="00E74253">
              <w:rPr>
                <w:rFonts w:ascii="Arial Narrow" w:eastAsiaTheme="majorEastAsia" w:hAnsi="Arial Narrow" w:cstheme="majorBidi"/>
                <w:bCs/>
                <w:sz w:val="20"/>
              </w:rPr>
              <w:t xml:space="preserve"> </w:t>
            </w:r>
            <w:r w:rsidR="00351346" w:rsidRPr="00E74253">
              <w:rPr>
                <w:rFonts w:ascii="Arial Narrow" w:eastAsiaTheme="majorEastAsia" w:hAnsi="Arial Narrow" w:cstheme="majorBidi"/>
                <w:bCs/>
                <w:sz w:val="20"/>
              </w:rPr>
              <w:t xml:space="preserve">mg (504 </w:t>
            </w:r>
            <w:r w:rsidR="002F788C" w:rsidRPr="00E74253">
              <w:rPr>
                <w:rFonts w:ascii="Arial Narrow" w:eastAsiaTheme="majorEastAsia" w:hAnsi="Arial Narrow" w:cstheme="majorBidi"/>
                <w:bCs/>
                <w:sz w:val="20"/>
              </w:rPr>
              <w:t xml:space="preserve">mg </w:t>
            </w:r>
            <w:r w:rsidR="00351346" w:rsidRPr="00E74253">
              <w:rPr>
                <w:rFonts w:ascii="Arial Narrow" w:eastAsiaTheme="majorEastAsia" w:hAnsi="Arial Narrow" w:cstheme="majorBidi"/>
                <w:bCs/>
                <w:sz w:val="20"/>
              </w:rPr>
              <w:t>x 0.795).</w:t>
            </w:r>
            <w:r w:rsidR="00701351">
              <w:rPr>
                <w:rFonts w:ascii="Arial Narrow" w:eastAsiaTheme="majorEastAsia" w:hAnsi="Arial Narrow" w:cstheme="majorBidi"/>
                <w:bCs/>
                <w:sz w:val="20"/>
              </w:rPr>
              <w:t xml:space="preserve"> The pre-PBAC response acknowledged this error.</w:t>
            </w:r>
          </w:p>
        </w:tc>
      </w:tr>
      <w:tr w:rsidR="00C7217B" w:rsidRPr="00E74253" w14:paraId="781AB7DC" w14:textId="79DB36B6" w:rsidTr="004D610D">
        <w:trPr>
          <w:cantSplit/>
        </w:trPr>
        <w:tc>
          <w:tcPr>
            <w:tcW w:w="9209" w:type="dxa"/>
            <w:gridSpan w:val="4"/>
            <w:tcMar>
              <w:left w:w="28" w:type="dxa"/>
              <w:right w:w="28" w:type="dxa"/>
            </w:tcMar>
          </w:tcPr>
          <w:p w14:paraId="69CEE9DD" w14:textId="3C75F5AF" w:rsidR="00C7217B" w:rsidRPr="00E74253" w:rsidRDefault="00C7217B" w:rsidP="004E582F">
            <w:pPr>
              <w:spacing w:before="20" w:after="20"/>
              <w:jc w:val="left"/>
              <w:rPr>
                <w:rFonts w:ascii="Arial Narrow" w:eastAsiaTheme="majorEastAsia" w:hAnsi="Arial Narrow" w:cstheme="majorBidi"/>
                <w:bCs/>
                <w:sz w:val="20"/>
              </w:rPr>
            </w:pPr>
            <w:r w:rsidRPr="00E74253">
              <w:rPr>
                <w:rFonts w:ascii="Arial Narrow" w:eastAsiaTheme="majorEastAsia" w:hAnsi="Arial Narrow" w:cstheme="majorBidi"/>
                <w:b/>
                <w:bCs/>
                <w:sz w:val="20"/>
              </w:rPr>
              <w:t>Costs</w:t>
            </w:r>
          </w:p>
        </w:tc>
      </w:tr>
      <w:tr w:rsidR="004E582F" w:rsidRPr="00E74253" w14:paraId="0BBC6418" w14:textId="41EEA5F7" w:rsidTr="00C7217B">
        <w:trPr>
          <w:cantSplit/>
        </w:trPr>
        <w:tc>
          <w:tcPr>
            <w:tcW w:w="1555" w:type="dxa"/>
            <w:tcMar>
              <w:left w:w="28" w:type="dxa"/>
              <w:right w:w="28" w:type="dxa"/>
            </w:tcMar>
          </w:tcPr>
          <w:p w14:paraId="340C7BAB" w14:textId="77777777" w:rsidR="004E582F" w:rsidRPr="00E74253" w:rsidRDefault="004E582F" w:rsidP="004E582F">
            <w:pPr>
              <w:spacing w:before="20" w:after="20"/>
              <w:jc w:val="left"/>
              <w:rPr>
                <w:rFonts w:ascii="Arial Narrow" w:eastAsiaTheme="majorEastAsia" w:hAnsi="Arial Narrow" w:cstheme="majorBidi"/>
                <w:bCs/>
                <w:sz w:val="20"/>
              </w:rPr>
            </w:pPr>
            <w:r w:rsidRPr="00E74253">
              <w:rPr>
                <w:rFonts w:ascii="Arial Narrow" w:eastAsiaTheme="majorEastAsia" w:hAnsi="Arial Narrow" w:cstheme="majorBidi"/>
                <w:bCs/>
                <w:sz w:val="20"/>
              </w:rPr>
              <w:lastRenderedPageBreak/>
              <w:t xml:space="preserve">Patient </w:t>
            </w:r>
            <w:proofErr w:type="spellStart"/>
            <w:r w:rsidRPr="00E74253">
              <w:rPr>
                <w:rFonts w:ascii="Arial Narrow" w:eastAsiaTheme="majorEastAsia" w:hAnsi="Arial Narrow" w:cstheme="majorBidi"/>
                <w:bCs/>
                <w:sz w:val="20"/>
              </w:rPr>
              <w:t>copayment</w:t>
            </w:r>
            <w:proofErr w:type="spellEnd"/>
          </w:p>
        </w:tc>
        <w:tc>
          <w:tcPr>
            <w:tcW w:w="1417" w:type="dxa"/>
            <w:tcMar>
              <w:left w:w="28" w:type="dxa"/>
              <w:right w:w="28" w:type="dxa"/>
            </w:tcMar>
          </w:tcPr>
          <w:p w14:paraId="5DF115A1" w14:textId="77777777" w:rsidR="004E582F" w:rsidRPr="00E74253" w:rsidRDefault="004E582F" w:rsidP="004E582F">
            <w:pPr>
              <w:spacing w:before="20" w:after="20"/>
              <w:jc w:val="left"/>
              <w:rPr>
                <w:rFonts w:ascii="Arial Narrow" w:eastAsiaTheme="majorEastAsia" w:hAnsi="Arial Narrow" w:cstheme="majorBidi"/>
                <w:bCs/>
                <w:sz w:val="20"/>
              </w:rPr>
            </w:pPr>
            <w:r w:rsidRPr="00E74253">
              <w:rPr>
                <w:rFonts w:ascii="Arial Narrow" w:eastAsiaTheme="majorEastAsia" w:hAnsi="Arial Narrow" w:cstheme="majorBidi"/>
                <w:bCs/>
                <w:sz w:val="20"/>
              </w:rPr>
              <w:t>PBS $19.81</w:t>
            </w:r>
          </w:p>
          <w:p w14:paraId="04D79869" w14:textId="77777777" w:rsidR="004E582F" w:rsidRPr="00E74253" w:rsidRDefault="004E582F" w:rsidP="004E582F">
            <w:pPr>
              <w:spacing w:before="20" w:after="20"/>
              <w:jc w:val="left"/>
              <w:rPr>
                <w:rFonts w:ascii="Arial Narrow" w:eastAsiaTheme="majorEastAsia" w:hAnsi="Arial Narrow" w:cstheme="majorBidi"/>
                <w:bCs/>
                <w:sz w:val="20"/>
              </w:rPr>
            </w:pPr>
            <w:r w:rsidRPr="00E74253">
              <w:rPr>
                <w:rFonts w:ascii="Arial Narrow" w:eastAsiaTheme="majorEastAsia" w:hAnsi="Arial Narrow" w:cstheme="majorBidi"/>
                <w:bCs/>
                <w:sz w:val="20"/>
              </w:rPr>
              <w:t>RPBS $4.63</w:t>
            </w:r>
          </w:p>
        </w:tc>
        <w:tc>
          <w:tcPr>
            <w:tcW w:w="2410" w:type="dxa"/>
            <w:tcMar>
              <w:left w:w="28" w:type="dxa"/>
              <w:right w:w="28" w:type="dxa"/>
            </w:tcMar>
          </w:tcPr>
          <w:p w14:paraId="5DFE9C3B" w14:textId="1A3C961D" w:rsidR="004E582F" w:rsidRPr="00E74253" w:rsidRDefault="004E582F" w:rsidP="004E582F">
            <w:pPr>
              <w:spacing w:before="20" w:after="20"/>
              <w:jc w:val="left"/>
              <w:rPr>
                <w:rFonts w:ascii="Arial Narrow" w:eastAsiaTheme="majorEastAsia" w:hAnsi="Arial Narrow" w:cstheme="majorBidi"/>
                <w:bCs/>
                <w:sz w:val="20"/>
              </w:rPr>
            </w:pPr>
            <w:r w:rsidRPr="00E74253">
              <w:rPr>
                <w:rFonts w:ascii="Arial Narrow" w:eastAsiaTheme="majorEastAsia" w:hAnsi="Arial Narrow" w:cstheme="majorBidi"/>
                <w:bCs/>
                <w:sz w:val="20"/>
              </w:rPr>
              <w:t xml:space="preserve">PBS statistics for </w:t>
            </w:r>
            <w:proofErr w:type="spellStart"/>
            <w:r w:rsidRPr="00E74253">
              <w:rPr>
                <w:rFonts w:ascii="Arial Narrow" w:eastAsiaTheme="majorEastAsia" w:hAnsi="Arial Narrow" w:cstheme="majorBidi"/>
                <w:bCs/>
                <w:sz w:val="20"/>
              </w:rPr>
              <w:t>ribociclib</w:t>
            </w:r>
            <w:proofErr w:type="spellEnd"/>
            <w:r w:rsidRPr="00E74253">
              <w:rPr>
                <w:rFonts w:ascii="Arial Narrow" w:eastAsiaTheme="majorEastAsia" w:hAnsi="Arial Narrow" w:cstheme="majorBidi"/>
                <w:bCs/>
                <w:sz w:val="20"/>
              </w:rPr>
              <w:t xml:space="preserve"> </w:t>
            </w:r>
          </w:p>
        </w:tc>
        <w:tc>
          <w:tcPr>
            <w:tcW w:w="3827" w:type="dxa"/>
            <w:tcMar>
              <w:left w:w="28" w:type="dxa"/>
              <w:right w:w="28" w:type="dxa"/>
            </w:tcMar>
          </w:tcPr>
          <w:p w14:paraId="7B61D708" w14:textId="074C8B41" w:rsidR="004E582F" w:rsidRPr="00E74253" w:rsidRDefault="002402D7" w:rsidP="004E582F">
            <w:pPr>
              <w:spacing w:before="20" w:after="20"/>
              <w:jc w:val="left"/>
              <w:rPr>
                <w:rFonts w:ascii="Arial Narrow" w:eastAsiaTheme="majorEastAsia" w:hAnsi="Arial Narrow" w:cstheme="majorBidi"/>
                <w:bCs/>
                <w:sz w:val="20"/>
              </w:rPr>
            </w:pPr>
            <w:r w:rsidRPr="00E74253">
              <w:rPr>
                <w:rFonts w:ascii="Arial Narrow" w:eastAsiaTheme="majorEastAsia" w:hAnsi="Arial Narrow" w:cstheme="majorBidi"/>
                <w:bCs/>
                <w:sz w:val="20"/>
              </w:rPr>
              <w:t>-</w:t>
            </w:r>
          </w:p>
        </w:tc>
      </w:tr>
      <w:tr w:rsidR="004E582F" w:rsidRPr="00E74253" w14:paraId="772B7F4B" w14:textId="73835A18" w:rsidTr="00C7217B">
        <w:trPr>
          <w:cantSplit/>
        </w:trPr>
        <w:tc>
          <w:tcPr>
            <w:tcW w:w="1555" w:type="dxa"/>
            <w:tcMar>
              <w:left w:w="28" w:type="dxa"/>
              <w:right w:w="28" w:type="dxa"/>
            </w:tcMar>
          </w:tcPr>
          <w:p w14:paraId="5558AC55" w14:textId="77777777" w:rsidR="004E582F" w:rsidRPr="00E74253" w:rsidRDefault="004E582F" w:rsidP="004E582F">
            <w:pPr>
              <w:spacing w:before="20" w:after="20"/>
              <w:jc w:val="left"/>
              <w:rPr>
                <w:rFonts w:ascii="Arial Narrow" w:eastAsiaTheme="majorEastAsia" w:hAnsi="Arial Narrow" w:cstheme="majorBidi"/>
                <w:bCs/>
                <w:sz w:val="20"/>
              </w:rPr>
            </w:pPr>
            <w:r w:rsidRPr="00E74253">
              <w:rPr>
                <w:rFonts w:ascii="Arial Narrow" w:eastAsiaTheme="majorEastAsia" w:hAnsi="Arial Narrow" w:cstheme="majorBidi"/>
                <w:bCs/>
                <w:sz w:val="20"/>
              </w:rPr>
              <w:t>MBS costs</w:t>
            </w:r>
          </w:p>
        </w:tc>
        <w:tc>
          <w:tcPr>
            <w:tcW w:w="1417" w:type="dxa"/>
            <w:tcMar>
              <w:left w:w="28" w:type="dxa"/>
              <w:right w:w="28" w:type="dxa"/>
            </w:tcMar>
          </w:tcPr>
          <w:p w14:paraId="45D81AE3" w14:textId="77777777" w:rsidR="004E582F" w:rsidRPr="00E74253" w:rsidRDefault="004E582F" w:rsidP="004E582F">
            <w:pPr>
              <w:spacing w:before="20" w:after="20"/>
              <w:jc w:val="left"/>
              <w:rPr>
                <w:rFonts w:ascii="Arial Narrow" w:eastAsiaTheme="majorEastAsia" w:hAnsi="Arial Narrow" w:cstheme="majorBidi"/>
                <w:bCs/>
                <w:sz w:val="20"/>
              </w:rPr>
            </w:pPr>
            <w:r w:rsidRPr="00E74253">
              <w:rPr>
                <w:rFonts w:ascii="Arial Narrow" w:eastAsiaTheme="majorEastAsia" w:hAnsi="Arial Narrow" w:cstheme="majorBidi"/>
                <w:bCs/>
                <w:sz w:val="20"/>
              </w:rPr>
              <w:t>$26.04</w:t>
            </w:r>
          </w:p>
        </w:tc>
        <w:tc>
          <w:tcPr>
            <w:tcW w:w="2410" w:type="dxa"/>
            <w:tcMar>
              <w:left w:w="28" w:type="dxa"/>
              <w:right w:w="28" w:type="dxa"/>
            </w:tcMar>
          </w:tcPr>
          <w:p w14:paraId="35902D6D" w14:textId="3984963A" w:rsidR="004E582F" w:rsidRPr="00E74253" w:rsidRDefault="004E582F" w:rsidP="004E582F">
            <w:pPr>
              <w:spacing w:before="20" w:after="20"/>
              <w:jc w:val="left"/>
              <w:rPr>
                <w:rFonts w:ascii="Arial Narrow" w:eastAsiaTheme="majorEastAsia" w:hAnsi="Arial Narrow" w:cstheme="majorBidi"/>
                <w:bCs/>
                <w:sz w:val="20"/>
              </w:rPr>
            </w:pPr>
            <w:r w:rsidRPr="00E74253">
              <w:rPr>
                <w:rFonts w:ascii="Arial Narrow" w:eastAsiaTheme="majorEastAsia" w:hAnsi="Arial Narrow" w:cstheme="majorBidi"/>
                <w:bCs/>
                <w:sz w:val="20"/>
              </w:rPr>
              <w:t xml:space="preserve">80% of fee for MBS item 11704 </w:t>
            </w:r>
          </w:p>
        </w:tc>
        <w:tc>
          <w:tcPr>
            <w:tcW w:w="3827" w:type="dxa"/>
            <w:tcMar>
              <w:left w:w="28" w:type="dxa"/>
              <w:right w:w="28" w:type="dxa"/>
            </w:tcMar>
          </w:tcPr>
          <w:p w14:paraId="1124453B" w14:textId="59157DBC" w:rsidR="004E582F" w:rsidRPr="00E74253" w:rsidRDefault="00D649DC" w:rsidP="004E582F">
            <w:pPr>
              <w:spacing w:before="20" w:after="20"/>
              <w:jc w:val="left"/>
              <w:rPr>
                <w:rFonts w:ascii="Arial Narrow" w:eastAsiaTheme="majorEastAsia" w:hAnsi="Arial Narrow" w:cstheme="majorBidi"/>
                <w:bCs/>
                <w:sz w:val="20"/>
              </w:rPr>
            </w:pPr>
            <w:r w:rsidRPr="00E74253">
              <w:rPr>
                <w:rFonts w:ascii="Arial Narrow" w:eastAsiaTheme="majorEastAsia" w:hAnsi="Arial Narrow" w:cstheme="majorBidi"/>
                <w:bCs/>
                <w:sz w:val="20"/>
              </w:rPr>
              <w:t>85% benefit ($27.70)</w:t>
            </w:r>
            <w:r w:rsidR="004E582F" w:rsidRPr="00E74253">
              <w:rPr>
                <w:rFonts w:ascii="Arial Narrow" w:eastAsiaTheme="majorEastAsia" w:hAnsi="Arial Narrow" w:cstheme="majorBidi"/>
                <w:bCs/>
                <w:sz w:val="20"/>
              </w:rPr>
              <w:t xml:space="preserve"> should </w:t>
            </w:r>
            <w:r w:rsidRPr="00E74253">
              <w:rPr>
                <w:rFonts w:ascii="Arial Narrow" w:eastAsiaTheme="majorEastAsia" w:hAnsi="Arial Narrow" w:cstheme="majorBidi"/>
                <w:bCs/>
                <w:sz w:val="20"/>
              </w:rPr>
              <w:t>have been applied</w:t>
            </w:r>
            <w:r w:rsidR="004E582F" w:rsidRPr="00E74253">
              <w:rPr>
                <w:rFonts w:ascii="Arial Narrow" w:eastAsiaTheme="majorEastAsia" w:hAnsi="Arial Narrow" w:cstheme="majorBidi"/>
                <w:bCs/>
                <w:sz w:val="20"/>
              </w:rPr>
              <w:t xml:space="preserve"> (low financial impact)</w:t>
            </w:r>
          </w:p>
        </w:tc>
      </w:tr>
    </w:tbl>
    <w:p w14:paraId="5ABF5223" w14:textId="54F3FE35" w:rsidR="00937EEC" w:rsidRPr="00937EEC" w:rsidRDefault="00937EEC" w:rsidP="00937EEC">
      <w:pPr>
        <w:spacing w:before="20" w:after="120"/>
        <w:contextualSpacing/>
        <w:rPr>
          <w:rFonts w:ascii="Arial Narrow" w:hAnsi="Arial Narrow"/>
          <w:snapToGrid w:val="0"/>
          <w:sz w:val="18"/>
          <w:szCs w:val="22"/>
        </w:rPr>
      </w:pPr>
      <w:r w:rsidRPr="00937EEC">
        <w:rPr>
          <w:rFonts w:ascii="Arial Narrow" w:hAnsi="Arial Narrow"/>
          <w:snapToGrid w:val="0"/>
          <w:sz w:val="18"/>
          <w:szCs w:val="22"/>
        </w:rPr>
        <w:t>Source: Table 4.1.1, pp246-247 of the submission</w:t>
      </w:r>
    </w:p>
    <w:p w14:paraId="4E902D0D" w14:textId="5C64FEF4" w:rsidR="00937EEC" w:rsidRDefault="00937EEC" w:rsidP="0020223E">
      <w:pPr>
        <w:spacing w:before="20" w:after="120"/>
        <w:contextualSpacing/>
        <w:rPr>
          <w:rFonts w:ascii="Arial Narrow" w:hAnsi="Arial Narrow"/>
          <w:snapToGrid w:val="0"/>
          <w:sz w:val="18"/>
          <w:szCs w:val="22"/>
        </w:rPr>
      </w:pPr>
      <w:r w:rsidRPr="00937EEC">
        <w:rPr>
          <w:rFonts w:ascii="Arial Narrow" w:hAnsi="Arial Narrow"/>
          <w:snapToGrid w:val="0"/>
          <w:sz w:val="18"/>
          <w:szCs w:val="22"/>
        </w:rPr>
        <w:t xml:space="preserve">CSR = Clinical Study Report; </w:t>
      </w:r>
      <w:r w:rsidR="002D2A9B">
        <w:rPr>
          <w:rFonts w:ascii="Arial Narrow" w:hAnsi="Arial Narrow"/>
          <w:snapToGrid w:val="0"/>
          <w:sz w:val="18"/>
          <w:szCs w:val="22"/>
        </w:rPr>
        <w:t xml:space="preserve">ESC = Economic Sub-Committee; </w:t>
      </w:r>
      <w:r w:rsidRPr="00937EEC">
        <w:rPr>
          <w:rFonts w:ascii="Arial Narrow" w:hAnsi="Arial Narrow"/>
          <w:snapToGrid w:val="0"/>
          <w:sz w:val="18"/>
          <w:szCs w:val="22"/>
        </w:rPr>
        <w:t xml:space="preserve">FUL = </w:t>
      </w:r>
      <w:proofErr w:type="spellStart"/>
      <w:r w:rsidRPr="00937EEC">
        <w:rPr>
          <w:rFonts w:ascii="Arial Narrow" w:hAnsi="Arial Narrow"/>
          <w:snapToGrid w:val="0"/>
          <w:sz w:val="18"/>
          <w:szCs w:val="22"/>
        </w:rPr>
        <w:t>fulvestrantMBS</w:t>
      </w:r>
      <w:proofErr w:type="spellEnd"/>
      <w:r w:rsidRPr="00937EEC">
        <w:rPr>
          <w:rFonts w:ascii="Arial Narrow" w:hAnsi="Arial Narrow"/>
          <w:snapToGrid w:val="0"/>
          <w:sz w:val="18"/>
          <w:szCs w:val="22"/>
        </w:rPr>
        <w:t xml:space="preserve"> = Medical Benefits Schedule; </w:t>
      </w:r>
      <w:r w:rsidR="002D2A9B" w:rsidRPr="00567267">
        <w:rPr>
          <w:rFonts w:ascii="Arial Narrow" w:hAnsi="Arial Narrow"/>
          <w:snapToGrid w:val="0"/>
          <w:sz w:val="18"/>
          <w:szCs w:val="22"/>
        </w:rPr>
        <w:t xml:space="preserve">NSAI = non-steroidal aromatase inhibitor; </w:t>
      </w:r>
      <w:r w:rsidRPr="00937EEC">
        <w:rPr>
          <w:rFonts w:ascii="Arial Narrow" w:hAnsi="Arial Narrow"/>
          <w:snapToGrid w:val="0"/>
          <w:sz w:val="18"/>
          <w:szCs w:val="22"/>
        </w:rPr>
        <w:t xml:space="preserve">PAL = </w:t>
      </w:r>
      <w:proofErr w:type="spellStart"/>
      <w:r w:rsidRPr="00937EEC">
        <w:rPr>
          <w:rFonts w:ascii="Arial Narrow" w:hAnsi="Arial Narrow"/>
          <w:snapToGrid w:val="0"/>
          <w:sz w:val="18"/>
          <w:szCs w:val="22"/>
        </w:rPr>
        <w:t>palbociclib</w:t>
      </w:r>
      <w:proofErr w:type="spellEnd"/>
      <w:r w:rsidRPr="00937EEC">
        <w:rPr>
          <w:rFonts w:ascii="Arial Narrow" w:hAnsi="Arial Narrow"/>
          <w:snapToGrid w:val="0"/>
          <w:sz w:val="18"/>
          <w:szCs w:val="22"/>
        </w:rPr>
        <w:t xml:space="preserve">; PBS = Pharmaceutical Benefits Schedule; PSD = Public Summary Document; </w:t>
      </w:r>
      <w:r w:rsidR="00734E7C">
        <w:rPr>
          <w:rFonts w:ascii="Arial Narrow" w:hAnsi="Arial Narrow"/>
          <w:snapToGrid w:val="0"/>
          <w:sz w:val="18"/>
          <w:szCs w:val="22"/>
        </w:rPr>
        <w:t xml:space="preserve">RIB = </w:t>
      </w:r>
      <w:proofErr w:type="spellStart"/>
      <w:r w:rsidR="00734E7C">
        <w:rPr>
          <w:rFonts w:ascii="Arial Narrow" w:hAnsi="Arial Narrow"/>
          <w:snapToGrid w:val="0"/>
          <w:sz w:val="18"/>
          <w:szCs w:val="22"/>
        </w:rPr>
        <w:t>ribociclib</w:t>
      </w:r>
      <w:r w:rsidRPr="00937EEC">
        <w:rPr>
          <w:rFonts w:ascii="Arial Narrow" w:hAnsi="Arial Narrow"/>
          <w:snapToGrid w:val="0"/>
          <w:sz w:val="18"/>
          <w:szCs w:val="22"/>
        </w:rPr>
        <w:t>RDI</w:t>
      </w:r>
      <w:proofErr w:type="spellEnd"/>
      <w:r w:rsidRPr="00937EEC">
        <w:rPr>
          <w:rFonts w:ascii="Arial Narrow" w:hAnsi="Arial Narrow"/>
          <w:snapToGrid w:val="0"/>
          <w:sz w:val="18"/>
          <w:szCs w:val="22"/>
        </w:rPr>
        <w:t xml:space="preserve"> = relative dose intensity</w:t>
      </w:r>
    </w:p>
    <w:p w14:paraId="4EAEADC8" w14:textId="77777777" w:rsidR="0020223E" w:rsidRPr="009A6D58" w:rsidRDefault="0020223E" w:rsidP="0020223E">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1E4DB816" w14:textId="39F51D9C" w:rsidR="0020223E" w:rsidRPr="009A6D58" w:rsidRDefault="0020223E" w:rsidP="0020223E">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20223E">
        <w:rPr>
          <w:rFonts w:ascii="Arial Narrow" w:hAnsi="Arial Narrow"/>
          <w:i/>
          <w:sz w:val="18"/>
          <w:szCs w:val="18"/>
        </w:rPr>
        <w:t>500 to &lt; 5,000</w:t>
      </w:r>
    </w:p>
    <w:p w14:paraId="51059B78" w14:textId="5FBC3DAA" w:rsidR="00E7183E" w:rsidRDefault="0020223E" w:rsidP="0020358C">
      <w:pPr>
        <w:pStyle w:val="3-BodyText"/>
      </w:pPr>
      <w:r w:rsidRPr="009A6D58">
        <w:rPr>
          <w:rFonts w:ascii="Arial Narrow" w:hAnsi="Arial Narrow"/>
          <w:i/>
          <w:sz w:val="18"/>
          <w:szCs w:val="18"/>
          <w:vertAlign w:val="superscript"/>
        </w:rPr>
        <w:t>2</w:t>
      </w:r>
      <w:r>
        <w:rPr>
          <w:rFonts w:ascii="Arial Narrow" w:hAnsi="Arial Narrow"/>
          <w:i/>
          <w:sz w:val="18"/>
          <w:szCs w:val="18"/>
        </w:rPr>
        <w:t xml:space="preserve"> </w:t>
      </w:r>
      <w:r w:rsidRPr="0020223E">
        <w:rPr>
          <w:rFonts w:ascii="Arial Narrow" w:hAnsi="Arial Narrow"/>
          <w:i/>
          <w:sz w:val="18"/>
          <w:szCs w:val="18"/>
        </w:rPr>
        <w:t>&lt; 500</w:t>
      </w:r>
      <w:bookmarkStart w:id="53" w:name="_Hlk89212250"/>
      <w:r w:rsidR="0072701C" w:rsidRPr="0072701C">
        <w:rPr>
          <w:rFonts w:ascii="Calibri" w:hAnsi="Calibri" w:cs="Calibri"/>
          <w:b/>
          <w:bCs/>
        </w:rPr>
        <w:fldChar w:fldCharType="begin"/>
      </w:r>
      <w:r w:rsidR="0072701C" w:rsidRPr="0072701C">
        <w:rPr>
          <w:rFonts w:ascii="Calibri" w:hAnsi="Calibri" w:cs="Calibri"/>
          <w:b/>
          <w:bCs/>
        </w:rPr>
        <w:instrText xml:space="preserve"> REF _Ref90909137 \h  \* MERGEFORMAT </w:instrText>
      </w:r>
      <w:r w:rsidR="0072701C" w:rsidRPr="0072701C">
        <w:rPr>
          <w:rFonts w:ascii="Calibri" w:hAnsi="Calibri" w:cs="Calibri"/>
          <w:b/>
          <w:bCs/>
        </w:rPr>
      </w:r>
      <w:r w:rsidR="0072701C" w:rsidRPr="0072701C">
        <w:rPr>
          <w:rFonts w:ascii="Calibri" w:hAnsi="Calibri" w:cs="Calibri"/>
          <w:b/>
          <w:bCs/>
        </w:rPr>
        <w:fldChar w:fldCharType="separate"/>
      </w:r>
      <w:r w:rsidR="009728EB" w:rsidRPr="009728EB">
        <w:rPr>
          <w:rStyle w:val="CommentReference"/>
          <w:rFonts w:ascii="Calibri" w:eastAsiaTheme="majorEastAsia" w:hAnsi="Calibri" w:cs="Calibri"/>
          <w:b w:val="0"/>
          <w:bCs/>
          <w:sz w:val="24"/>
          <w:szCs w:val="24"/>
        </w:rPr>
        <w:t xml:space="preserve">Table </w:t>
      </w:r>
      <w:r w:rsidR="009728EB">
        <w:rPr>
          <w:rStyle w:val="CommentReference"/>
          <w:rFonts w:eastAsiaTheme="majorEastAsia"/>
          <w:noProof/>
        </w:rPr>
        <w:t>2</w:t>
      </w:r>
      <w:r w:rsidR="0072701C" w:rsidRPr="0072701C">
        <w:rPr>
          <w:rFonts w:ascii="Calibri" w:hAnsi="Calibri" w:cs="Calibri"/>
          <w:b/>
          <w:bCs/>
        </w:rPr>
        <w:fldChar w:fldCharType="end"/>
      </w:r>
      <w:r w:rsidR="00246AFC" w:rsidRPr="00246AFC">
        <w:rPr>
          <w:rFonts w:ascii="Calibri" w:hAnsi="Calibri" w:cs="Calibri"/>
        </w:rPr>
        <w:t>10</w:t>
      </w:r>
      <w:r w:rsidR="00E7183E">
        <w:t xml:space="preserve"> presents the estimated use and financial implications of listing </w:t>
      </w:r>
      <w:proofErr w:type="spellStart"/>
      <w:r w:rsidR="00D649DC">
        <w:t>p</w:t>
      </w:r>
      <w:r w:rsidR="00E7183E">
        <w:t>albociclib</w:t>
      </w:r>
      <w:proofErr w:type="spellEnd"/>
      <w:r w:rsidR="00E7183E">
        <w:t xml:space="preserve"> in combination with </w:t>
      </w:r>
      <w:proofErr w:type="spellStart"/>
      <w:r w:rsidR="00E7183E">
        <w:t>fulvestrant</w:t>
      </w:r>
      <w:proofErr w:type="spellEnd"/>
      <w:r w:rsidR="00E7183E">
        <w:t xml:space="preserve"> on the PBS</w:t>
      </w:r>
      <w:r w:rsidR="00BA2CAD">
        <w:t xml:space="preserve"> corrected for compliance of both </w:t>
      </w:r>
      <w:proofErr w:type="spellStart"/>
      <w:r w:rsidR="00BA2CAD">
        <w:t>palbociclib</w:t>
      </w:r>
      <w:proofErr w:type="spellEnd"/>
      <w:r w:rsidR="00BA2CAD">
        <w:t xml:space="preserve"> and </w:t>
      </w:r>
      <w:proofErr w:type="spellStart"/>
      <w:r w:rsidR="00BA2CAD">
        <w:t>ribociclib</w:t>
      </w:r>
      <w:proofErr w:type="spellEnd"/>
      <w:r w:rsidR="00E7183E">
        <w:t>.</w:t>
      </w:r>
    </w:p>
    <w:p w14:paraId="7CBC3D81" w14:textId="5C0E033C" w:rsidR="00E7183E" w:rsidRPr="00E7183E" w:rsidRDefault="00E7183E" w:rsidP="00AD1A1C">
      <w:pPr>
        <w:pStyle w:val="3-BodyText"/>
        <w:keepNext/>
        <w:numPr>
          <w:ilvl w:val="0"/>
          <w:numId w:val="0"/>
        </w:numPr>
        <w:spacing w:after="0"/>
        <w:rPr>
          <w:rStyle w:val="CommentReference"/>
          <w:rFonts w:eastAsiaTheme="majorEastAsia"/>
        </w:rPr>
      </w:pPr>
      <w:bookmarkStart w:id="54" w:name="_Ref90909137"/>
      <w:r w:rsidRPr="00E7183E">
        <w:rPr>
          <w:rStyle w:val="CommentReference"/>
          <w:rFonts w:eastAsiaTheme="majorEastAsia"/>
        </w:rPr>
        <w:t xml:space="preserve">Table </w:t>
      </w:r>
      <w:r w:rsidRPr="00E7183E">
        <w:rPr>
          <w:rStyle w:val="CommentReference"/>
          <w:rFonts w:eastAsiaTheme="majorEastAsia"/>
        </w:rPr>
        <w:fldChar w:fldCharType="begin"/>
      </w:r>
      <w:r w:rsidRPr="00E7183E">
        <w:rPr>
          <w:rStyle w:val="CommentReference"/>
          <w:rFonts w:eastAsiaTheme="majorEastAsia"/>
        </w:rPr>
        <w:instrText xml:space="preserve"> SEQ Table \* ARABIC </w:instrText>
      </w:r>
      <w:r w:rsidRPr="00E7183E">
        <w:rPr>
          <w:rStyle w:val="CommentReference"/>
          <w:rFonts w:eastAsiaTheme="majorEastAsia"/>
        </w:rPr>
        <w:fldChar w:fldCharType="separate"/>
      </w:r>
      <w:r w:rsidR="009728EB">
        <w:rPr>
          <w:rStyle w:val="CommentReference"/>
          <w:rFonts w:eastAsiaTheme="majorEastAsia"/>
          <w:noProof/>
        </w:rPr>
        <w:t>2</w:t>
      </w:r>
      <w:r w:rsidRPr="00E7183E">
        <w:rPr>
          <w:rStyle w:val="CommentReference"/>
          <w:rFonts w:eastAsiaTheme="majorEastAsia"/>
        </w:rPr>
        <w:fldChar w:fldCharType="end"/>
      </w:r>
      <w:bookmarkEnd w:id="54"/>
      <w:r w:rsidR="00246AFC">
        <w:rPr>
          <w:rStyle w:val="CommentReference"/>
          <w:rFonts w:eastAsiaTheme="majorEastAsia"/>
        </w:rPr>
        <w:t>0</w:t>
      </w:r>
      <w:r w:rsidRPr="00E7183E">
        <w:rPr>
          <w:rStyle w:val="CommentReference"/>
          <w:rFonts w:eastAsiaTheme="majorEastAsia"/>
        </w:rPr>
        <w:t xml:space="preserve">: </w:t>
      </w:r>
      <w:r w:rsidR="00BA2CAD">
        <w:rPr>
          <w:rStyle w:val="CommentReference"/>
          <w:rFonts w:eastAsiaTheme="majorEastAsia"/>
        </w:rPr>
        <w:t>Corrected</w:t>
      </w:r>
      <w:r w:rsidR="00701351">
        <w:rPr>
          <w:rStyle w:val="CommentReference"/>
          <w:rFonts w:eastAsiaTheme="majorEastAsia"/>
        </w:rPr>
        <w:t xml:space="preserve"> e</w:t>
      </w:r>
      <w:r w:rsidRPr="00E7183E">
        <w:rPr>
          <w:rStyle w:val="CommentReference"/>
          <w:rFonts w:eastAsiaTheme="majorEastAsia"/>
        </w:rPr>
        <w:t>stimat</w:t>
      </w:r>
      <w:r w:rsidR="00701351">
        <w:rPr>
          <w:rStyle w:val="CommentReference"/>
          <w:rFonts w:eastAsiaTheme="majorEastAsia"/>
        </w:rPr>
        <w:t>ions</w:t>
      </w:r>
      <w:r w:rsidRPr="00E7183E">
        <w:rPr>
          <w:rStyle w:val="CommentReference"/>
          <w:rFonts w:eastAsiaTheme="majorEastAsia"/>
        </w:rPr>
        <w:t xml:space="preserve"> use and financial implications (effective prices)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0: Corrected estimations use and financial implications (effective prices)"/>
      </w:tblPr>
      <w:tblGrid>
        <w:gridCol w:w="2264"/>
        <w:gridCol w:w="1135"/>
        <w:gridCol w:w="1134"/>
        <w:gridCol w:w="1134"/>
        <w:gridCol w:w="1134"/>
        <w:gridCol w:w="1134"/>
        <w:gridCol w:w="1082"/>
      </w:tblGrid>
      <w:tr w:rsidR="00E7183E" w:rsidRPr="00E74253" w14:paraId="1A11740A" w14:textId="77777777" w:rsidTr="00B5124C">
        <w:tc>
          <w:tcPr>
            <w:tcW w:w="1255" w:type="pct"/>
            <w:shd w:val="clear" w:color="auto" w:fill="auto"/>
            <w:vAlign w:val="center"/>
          </w:tcPr>
          <w:p w14:paraId="5C906856" w14:textId="77777777" w:rsidR="00E7183E" w:rsidRPr="00937EEC" w:rsidRDefault="00E7183E" w:rsidP="005143E9">
            <w:pPr>
              <w:keepNext/>
              <w:jc w:val="center"/>
              <w:rPr>
                <w:rFonts w:ascii="Arial Narrow" w:eastAsiaTheme="majorEastAsia" w:hAnsi="Arial Narrow" w:cs="Times New Roman"/>
                <w:b/>
                <w:sz w:val="20"/>
                <w:lang w:val="en-US"/>
              </w:rPr>
            </w:pPr>
          </w:p>
        </w:tc>
        <w:tc>
          <w:tcPr>
            <w:tcW w:w="629" w:type="pct"/>
            <w:shd w:val="clear" w:color="auto" w:fill="auto"/>
            <w:vAlign w:val="center"/>
          </w:tcPr>
          <w:p w14:paraId="2AFF896E" w14:textId="550820A7" w:rsidR="00E7183E" w:rsidRPr="00B5124C" w:rsidRDefault="00B5124C" w:rsidP="005143E9">
            <w:pPr>
              <w:keepNext/>
              <w:jc w:val="center"/>
              <w:rPr>
                <w:rFonts w:ascii="Arial Narrow" w:eastAsiaTheme="majorEastAsia" w:hAnsi="Arial Narrow" w:cs="Times New Roman"/>
                <w:b/>
                <w:sz w:val="20"/>
                <w:lang w:val="en-US"/>
              </w:rPr>
            </w:pPr>
            <w:r w:rsidRPr="00B5124C">
              <w:rPr>
                <w:rFonts w:ascii="Arial Narrow" w:eastAsiaTheme="majorEastAsia" w:hAnsi="Arial Narrow" w:cs="Times New Roman"/>
                <w:b/>
                <w:sz w:val="20"/>
                <w:lang w:val="en-US"/>
              </w:rPr>
              <w:t>2022</w:t>
            </w:r>
          </w:p>
        </w:tc>
        <w:tc>
          <w:tcPr>
            <w:tcW w:w="629" w:type="pct"/>
            <w:shd w:val="clear" w:color="auto" w:fill="auto"/>
            <w:vAlign w:val="center"/>
          </w:tcPr>
          <w:p w14:paraId="284800CD" w14:textId="5C21F772" w:rsidR="00E7183E" w:rsidRPr="00B5124C" w:rsidRDefault="00B5124C" w:rsidP="005143E9">
            <w:pPr>
              <w:keepNext/>
              <w:jc w:val="center"/>
              <w:rPr>
                <w:rFonts w:ascii="Arial Narrow" w:eastAsiaTheme="majorEastAsia" w:hAnsi="Arial Narrow" w:cs="Times New Roman"/>
                <w:b/>
                <w:sz w:val="20"/>
                <w:lang w:val="en-US"/>
              </w:rPr>
            </w:pPr>
            <w:r w:rsidRPr="00B5124C">
              <w:rPr>
                <w:rFonts w:ascii="Arial Narrow" w:eastAsiaTheme="majorEastAsia" w:hAnsi="Arial Narrow" w:cs="Times New Roman"/>
                <w:b/>
                <w:sz w:val="20"/>
                <w:lang w:val="en-US"/>
              </w:rPr>
              <w:t>2023</w:t>
            </w:r>
          </w:p>
        </w:tc>
        <w:tc>
          <w:tcPr>
            <w:tcW w:w="629" w:type="pct"/>
            <w:shd w:val="clear" w:color="auto" w:fill="auto"/>
            <w:vAlign w:val="center"/>
          </w:tcPr>
          <w:p w14:paraId="6D538905" w14:textId="1F6A8B9C" w:rsidR="00E7183E" w:rsidRPr="00B5124C" w:rsidRDefault="00B5124C" w:rsidP="005143E9">
            <w:pPr>
              <w:keepNext/>
              <w:jc w:val="center"/>
              <w:rPr>
                <w:rFonts w:ascii="Arial Narrow" w:eastAsiaTheme="majorEastAsia" w:hAnsi="Arial Narrow" w:cs="Times New Roman"/>
                <w:b/>
                <w:sz w:val="20"/>
                <w:lang w:val="en-US"/>
              </w:rPr>
            </w:pPr>
            <w:r w:rsidRPr="00B5124C">
              <w:rPr>
                <w:rFonts w:ascii="Arial Narrow" w:eastAsiaTheme="majorEastAsia" w:hAnsi="Arial Narrow" w:cs="Times New Roman"/>
                <w:b/>
                <w:sz w:val="20"/>
                <w:lang w:val="en-US"/>
              </w:rPr>
              <w:t>2024</w:t>
            </w:r>
          </w:p>
        </w:tc>
        <w:tc>
          <w:tcPr>
            <w:tcW w:w="629" w:type="pct"/>
            <w:shd w:val="clear" w:color="auto" w:fill="auto"/>
            <w:vAlign w:val="center"/>
          </w:tcPr>
          <w:p w14:paraId="38BC68C6" w14:textId="3B8C80E0" w:rsidR="00E7183E" w:rsidRPr="00B5124C" w:rsidRDefault="00B5124C" w:rsidP="005143E9">
            <w:pPr>
              <w:keepNext/>
              <w:jc w:val="center"/>
              <w:rPr>
                <w:rFonts w:ascii="Arial Narrow" w:eastAsiaTheme="majorEastAsia" w:hAnsi="Arial Narrow" w:cs="Times New Roman"/>
                <w:b/>
                <w:sz w:val="20"/>
                <w:lang w:val="en-US"/>
              </w:rPr>
            </w:pPr>
            <w:r w:rsidRPr="00B5124C">
              <w:rPr>
                <w:rFonts w:ascii="Arial Narrow" w:eastAsiaTheme="majorEastAsia" w:hAnsi="Arial Narrow" w:cs="Times New Roman"/>
                <w:b/>
                <w:sz w:val="20"/>
                <w:lang w:val="en-US"/>
              </w:rPr>
              <w:t>2025</w:t>
            </w:r>
          </w:p>
        </w:tc>
        <w:tc>
          <w:tcPr>
            <w:tcW w:w="629" w:type="pct"/>
            <w:shd w:val="clear" w:color="auto" w:fill="auto"/>
            <w:vAlign w:val="center"/>
          </w:tcPr>
          <w:p w14:paraId="2F0C3365" w14:textId="41914D39" w:rsidR="00E7183E" w:rsidRPr="00B5124C" w:rsidRDefault="00B5124C" w:rsidP="005143E9">
            <w:pPr>
              <w:keepNext/>
              <w:jc w:val="center"/>
              <w:rPr>
                <w:rFonts w:ascii="Arial Narrow" w:eastAsiaTheme="majorEastAsia" w:hAnsi="Arial Narrow" w:cs="Times New Roman"/>
                <w:b/>
                <w:sz w:val="20"/>
                <w:lang w:val="en-US"/>
              </w:rPr>
            </w:pPr>
            <w:r w:rsidRPr="00B5124C">
              <w:rPr>
                <w:rFonts w:ascii="Arial Narrow" w:eastAsiaTheme="majorEastAsia" w:hAnsi="Arial Narrow" w:cs="Times New Roman"/>
                <w:b/>
                <w:sz w:val="20"/>
                <w:lang w:val="en-US"/>
              </w:rPr>
              <w:t>2026</w:t>
            </w:r>
          </w:p>
        </w:tc>
        <w:tc>
          <w:tcPr>
            <w:tcW w:w="600" w:type="pct"/>
          </w:tcPr>
          <w:p w14:paraId="021C7DC4" w14:textId="02DB2559" w:rsidR="00E7183E" w:rsidRPr="00B5124C" w:rsidRDefault="00B5124C" w:rsidP="005143E9">
            <w:pPr>
              <w:keepNext/>
              <w:jc w:val="center"/>
              <w:rPr>
                <w:rFonts w:ascii="Arial Narrow" w:eastAsiaTheme="majorEastAsia" w:hAnsi="Arial Narrow" w:cs="Times New Roman"/>
                <w:b/>
                <w:sz w:val="20"/>
                <w:lang w:val="en-US"/>
              </w:rPr>
            </w:pPr>
            <w:r w:rsidRPr="00B5124C">
              <w:rPr>
                <w:rFonts w:ascii="Arial Narrow" w:eastAsiaTheme="majorEastAsia" w:hAnsi="Arial Narrow" w:cs="Times New Roman"/>
                <w:b/>
                <w:sz w:val="20"/>
                <w:lang w:val="en-US"/>
              </w:rPr>
              <w:t>2027</w:t>
            </w:r>
          </w:p>
        </w:tc>
      </w:tr>
      <w:tr w:rsidR="00145899" w:rsidRPr="00E74253" w14:paraId="06E7C5C7" w14:textId="77777777" w:rsidTr="00B5124C">
        <w:tc>
          <w:tcPr>
            <w:tcW w:w="1255" w:type="pct"/>
            <w:shd w:val="clear" w:color="auto" w:fill="auto"/>
            <w:vAlign w:val="center"/>
          </w:tcPr>
          <w:p w14:paraId="79FA1A44" w14:textId="4CE3CF87" w:rsidR="00145899" w:rsidRPr="00E74253" w:rsidRDefault="00C7217B" w:rsidP="00404F98">
            <w:pPr>
              <w:keepNext/>
              <w:spacing w:before="20" w:after="20"/>
              <w:jc w:val="left"/>
              <w:rPr>
                <w:rFonts w:ascii="Times" w:eastAsiaTheme="majorEastAsia" w:hAnsi="Times" w:cstheme="majorBidi"/>
                <w:bCs/>
                <w:sz w:val="20"/>
              </w:rPr>
            </w:pPr>
            <w:r w:rsidRPr="00E74253">
              <w:rPr>
                <w:rFonts w:ascii="Arial Narrow" w:eastAsiaTheme="majorEastAsia" w:hAnsi="Arial Narrow" w:cstheme="majorBidi"/>
                <w:bCs/>
                <w:sz w:val="20"/>
              </w:rPr>
              <w:t>P</w:t>
            </w:r>
            <w:r w:rsidR="00145899" w:rsidRPr="00E74253">
              <w:rPr>
                <w:rFonts w:ascii="Arial Narrow" w:eastAsiaTheme="majorEastAsia" w:hAnsi="Arial Narrow" w:cstheme="majorBidi"/>
                <w:bCs/>
                <w:sz w:val="20"/>
              </w:rPr>
              <w:t>atients treated</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14:paraId="0ACE980C" w14:textId="2EB61E19" w:rsidR="00145899" w:rsidRPr="00102519" w:rsidRDefault="007B7D69" w:rsidP="00404F98">
            <w:pPr>
              <w:keepNext/>
              <w:spacing w:before="20" w:after="20"/>
              <w:jc w:val="center"/>
              <w:rPr>
                <w:rFonts w:ascii="Arial Narrow" w:eastAsiaTheme="majorEastAsia" w:hAnsi="Arial Narrow" w:cstheme="majorBidi"/>
                <w:bCs/>
                <w:color w:val="000000"/>
                <w:sz w:val="20"/>
                <w:highlight w:val="yellow"/>
              </w:rPr>
            </w:pPr>
            <w:r w:rsidRPr="007B7D69">
              <w:rPr>
                <w:rFonts w:ascii="Arial Narrow" w:eastAsiaTheme="majorEastAsia" w:hAnsi="Arial Narrow" w:cstheme="majorBidi" w:hint="eastAsia"/>
                <w:bCs/>
                <w:color w:val="000000"/>
                <w:w w:val="15"/>
                <w:sz w:val="20"/>
                <w:shd w:val="solid" w:color="000000" w:fill="000000"/>
                <w:fitText w:val="38" w:id="-1500865009"/>
                <w14:textFill>
                  <w14:solidFill>
                    <w14:srgbClr w14:val="000000">
                      <w14:alpha w14:val="100000"/>
                    </w14:srgbClr>
                  </w14:solidFill>
                </w14:textFill>
              </w:rPr>
              <w:t xml:space="preserve">　</w:t>
            </w:r>
            <w:r w:rsidRPr="007B7D69">
              <w:rPr>
                <w:rFonts w:ascii="Arial Narrow" w:eastAsiaTheme="majorEastAsia" w:hAnsi="Arial Narrow" w:cstheme="majorBidi"/>
                <w:bCs/>
                <w:color w:val="000000"/>
                <w:w w:val="15"/>
                <w:sz w:val="20"/>
                <w:shd w:val="solid" w:color="000000" w:fill="000000"/>
                <w:fitText w:val="38" w:id="-1500865009"/>
                <w14:textFill>
                  <w14:solidFill>
                    <w14:srgbClr w14:val="000000">
                      <w14:alpha w14:val="100000"/>
                    </w14:srgbClr>
                  </w14:solidFill>
                </w14:textFill>
              </w:rPr>
              <w:t>|</w:t>
            </w:r>
            <w:r w:rsidRPr="007B7D69">
              <w:rPr>
                <w:rFonts w:ascii="Arial Narrow" w:eastAsiaTheme="majorEastAsia" w:hAnsi="Arial Narrow" w:cstheme="majorBidi" w:hint="eastAsia"/>
                <w:bCs/>
                <w:color w:val="000000"/>
                <w:spacing w:val="-27"/>
                <w:w w:val="15"/>
                <w:sz w:val="20"/>
                <w:shd w:val="solid" w:color="000000" w:fill="000000"/>
                <w:fitText w:val="38" w:id="-1500865009"/>
                <w14:textFill>
                  <w14:solidFill>
                    <w14:srgbClr w14:val="000000">
                      <w14:alpha w14:val="100000"/>
                    </w14:srgbClr>
                  </w14:solidFill>
                </w14:textFill>
              </w:rPr>
              <w:t xml:space="preserve">　</w:t>
            </w:r>
            <w:r w:rsidR="0020223E">
              <w:rPr>
                <w:rFonts w:ascii="Arial Narrow" w:eastAsiaTheme="majorEastAsia" w:hAnsi="Arial Narrow" w:cstheme="majorBidi"/>
                <w:bCs/>
                <w:sz w:val="20"/>
                <w:vertAlign w:val="superscript"/>
              </w:rPr>
              <w:t>1</w:t>
            </w:r>
          </w:p>
        </w:tc>
        <w:tc>
          <w:tcPr>
            <w:tcW w:w="629" w:type="pct"/>
            <w:tcBorders>
              <w:bottom w:val="single" w:sz="4" w:space="0" w:color="auto"/>
            </w:tcBorders>
            <w:shd w:val="clear" w:color="auto" w:fill="auto"/>
          </w:tcPr>
          <w:p w14:paraId="32ABB9C9" w14:textId="5EC92F29" w:rsidR="00145899" w:rsidRPr="00102519" w:rsidRDefault="007B7D69" w:rsidP="00404F98">
            <w:pPr>
              <w:keepNext/>
              <w:spacing w:before="20" w:after="20"/>
              <w:jc w:val="center"/>
              <w:rPr>
                <w:rFonts w:ascii="Arial Narrow" w:eastAsiaTheme="majorEastAsia" w:hAnsi="Arial Narrow" w:cstheme="majorBidi"/>
                <w:bCs/>
                <w:color w:val="000000"/>
                <w:sz w:val="20"/>
                <w:highlight w:val="yellow"/>
              </w:rPr>
            </w:pPr>
            <w:r w:rsidRPr="007B7D69">
              <w:rPr>
                <w:rFonts w:ascii="Arial Narrow" w:eastAsiaTheme="majorEastAsia" w:hAnsi="Arial Narrow" w:cstheme="majorBidi" w:hint="eastAsia"/>
                <w:bCs/>
                <w:color w:val="000000"/>
                <w:w w:val="15"/>
                <w:sz w:val="20"/>
                <w:shd w:val="solid" w:color="000000" w:fill="000000"/>
                <w:fitText w:val="37" w:id="-1500865008"/>
                <w14:textFill>
                  <w14:solidFill>
                    <w14:srgbClr w14:val="000000">
                      <w14:alpha w14:val="100000"/>
                    </w14:srgbClr>
                  </w14:solidFill>
                </w14:textFill>
              </w:rPr>
              <w:t xml:space="preserve">　</w:t>
            </w:r>
            <w:r w:rsidRPr="007B7D69">
              <w:rPr>
                <w:rFonts w:ascii="Arial Narrow" w:eastAsiaTheme="majorEastAsia" w:hAnsi="Arial Narrow" w:cstheme="majorBidi"/>
                <w:bCs/>
                <w:color w:val="000000"/>
                <w:w w:val="15"/>
                <w:sz w:val="20"/>
                <w:shd w:val="solid" w:color="000000" w:fill="000000"/>
                <w:fitText w:val="37" w:id="-1500865008"/>
                <w14:textFill>
                  <w14:solidFill>
                    <w14:srgbClr w14:val="000000">
                      <w14:alpha w14:val="100000"/>
                    </w14:srgbClr>
                  </w14:solidFill>
                </w14:textFill>
              </w:rPr>
              <w:t>|</w:t>
            </w:r>
            <w:r w:rsidRPr="007B7D69">
              <w:rPr>
                <w:rFonts w:ascii="Arial Narrow" w:eastAsiaTheme="majorEastAsia" w:hAnsi="Arial Narrow" w:cstheme="majorBidi" w:hint="eastAsia"/>
                <w:bCs/>
                <w:color w:val="000000"/>
                <w:spacing w:val="-28"/>
                <w:w w:val="15"/>
                <w:sz w:val="20"/>
                <w:shd w:val="solid" w:color="000000" w:fill="000000"/>
                <w:fitText w:val="37" w:id="-1500865008"/>
                <w14:textFill>
                  <w14:solidFill>
                    <w14:srgbClr w14:val="000000">
                      <w14:alpha w14:val="100000"/>
                    </w14:srgbClr>
                  </w14:solidFill>
                </w14:textFill>
              </w:rPr>
              <w:t xml:space="preserve">　</w:t>
            </w:r>
            <w:r w:rsidR="0020223E">
              <w:rPr>
                <w:rFonts w:ascii="Arial Narrow" w:eastAsiaTheme="majorEastAsia" w:hAnsi="Arial Narrow" w:cstheme="majorBidi"/>
                <w:bCs/>
                <w:sz w:val="20"/>
                <w:vertAlign w:val="superscript"/>
              </w:rPr>
              <w:t>1</w:t>
            </w:r>
          </w:p>
        </w:tc>
        <w:tc>
          <w:tcPr>
            <w:tcW w:w="629" w:type="pct"/>
            <w:tcBorders>
              <w:bottom w:val="single" w:sz="4" w:space="0" w:color="auto"/>
            </w:tcBorders>
            <w:shd w:val="clear" w:color="auto" w:fill="auto"/>
          </w:tcPr>
          <w:p w14:paraId="01031B0E" w14:textId="6BEC48E9" w:rsidR="00145899" w:rsidRPr="00102519" w:rsidRDefault="007B7D69" w:rsidP="00404F98">
            <w:pPr>
              <w:keepNext/>
              <w:spacing w:before="20" w:after="20"/>
              <w:jc w:val="center"/>
              <w:rPr>
                <w:rFonts w:ascii="Arial Narrow" w:eastAsiaTheme="majorEastAsia" w:hAnsi="Arial Narrow" w:cstheme="majorBidi"/>
                <w:bCs/>
                <w:color w:val="000000"/>
                <w:sz w:val="20"/>
                <w:highlight w:val="yellow"/>
              </w:rPr>
            </w:pPr>
            <w:r w:rsidRPr="007B7D69">
              <w:rPr>
                <w:rFonts w:ascii="Arial Narrow" w:eastAsiaTheme="majorEastAsia" w:hAnsi="Arial Narrow" w:cstheme="majorBidi" w:hint="eastAsia"/>
                <w:bCs/>
                <w:color w:val="000000"/>
                <w:w w:val="15"/>
                <w:sz w:val="20"/>
                <w:shd w:val="solid" w:color="000000" w:fill="000000"/>
                <w:fitText w:val="38" w:id="-1500865024"/>
                <w14:textFill>
                  <w14:solidFill>
                    <w14:srgbClr w14:val="000000">
                      <w14:alpha w14:val="100000"/>
                    </w14:srgbClr>
                  </w14:solidFill>
                </w14:textFill>
              </w:rPr>
              <w:t xml:space="preserve">　</w:t>
            </w:r>
            <w:r w:rsidRPr="007B7D69">
              <w:rPr>
                <w:rFonts w:ascii="Arial Narrow" w:eastAsiaTheme="majorEastAsia" w:hAnsi="Arial Narrow" w:cstheme="majorBidi"/>
                <w:bCs/>
                <w:color w:val="000000"/>
                <w:w w:val="15"/>
                <w:sz w:val="20"/>
                <w:shd w:val="solid" w:color="000000" w:fill="000000"/>
                <w:fitText w:val="38" w:id="-1500865024"/>
                <w14:textFill>
                  <w14:solidFill>
                    <w14:srgbClr w14:val="000000">
                      <w14:alpha w14:val="100000"/>
                    </w14:srgbClr>
                  </w14:solidFill>
                </w14:textFill>
              </w:rPr>
              <w:t>|</w:t>
            </w:r>
            <w:r w:rsidRPr="007B7D69">
              <w:rPr>
                <w:rFonts w:ascii="Arial Narrow" w:eastAsiaTheme="majorEastAsia" w:hAnsi="Arial Narrow" w:cstheme="majorBidi" w:hint="eastAsia"/>
                <w:bCs/>
                <w:color w:val="000000"/>
                <w:spacing w:val="-27"/>
                <w:w w:val="15"/>
                <w:sz w:val="20"/>
                <w:shd w:val="solid" w:color="000000" w:fill="000000"/>
                <w:fitText w:val="38" w:id="-1500865024"/>
                <w14:textFill>
                  <w14:solidFill>
                    <w14:srgbClr w14:val="000000">
                      <w14:alpha w14:val="100000"/>
                    </w14:srgbClr>
                  </w14:solidFill>
                </w14:textFill>
              </w:rPr>
              <w:t xml:space="preserve">　</w:t>
            </w:r>
            <w:r w:rsidR="0020223E">
              <w:rPr>
                <w:rFonts w:ascii="Arial Narrow" w:eastAsiaTheme="majorEastAsia" w:hAnsi="Arial Narrow" w:cstheme="majorBidi"/>
                <w:bCs/>
                <w:sz w:val="20"/>
                <w:vertAlign w:val="superscript"/>
              </w:rPr>
              <w:t>1</w:t>
            </w:r>
          </w:p>
        </w:tc>
        <w:tc>
          <w:tcPr>
            <w:tcW w:w="629" w:type="pct"/>
            <w:tcBorders>
              <w:bottom w:val="single" w:sz="4" w:space="0" w:color="auto"/>
            </w:tcBorders>
            <w:shd w:val="clear" w:color="auto" w:fill="auto"/>
          </w:tcPr>
          <w:p w14:paraId="6F31A30D" w14:textId="0F65B99C" w:rsidR="00145899" w:rsidRPr="00102519" w:rsidRDefault="007B7D69" w:rsidP="00404F98">
            <w:pPr>
              <w:keepNext/>
              <w:spacing w:before="20" w:after="20"/>
              <w:jc w:val="center"/>
              <w:rPr>
                <w:rFonts w:ascii="Arial Narrow" w:eastAsiaTheme="majorEastAsia" w:hAnsi="Arial Narrow" w:cstheme="majorBidi"/>
                <w:bCs/>
                <w:color w:val="000000"/>
                <w:sz w:val="20"/>
                <w:highlight w:val="yellow"/>
              </w:rPr>
            </w:pPr>
            <w:r w:rsidRPr="007B7D69">
              <w:rPr>
                <w:rFonts w:ascii="Arial Narrow" w:eastAsiaTheme="majorEastAsia" w:hAnsi="Arial Narrow" w:cstheme="majorBidi" w:hint="eastAsia"/>
                <w:bCs/>
                <w:color w:val="000000"/>
                <w:w w:val="15"/>
                <w:sz w:val="20"/>
                <w:shd w:val="solid" w:color="000000" w:fill="000000"/>
                <w:fitText w:val="38" w:id="-1500865023"/>
                <w14:textFill>
                  <w14:solidFill>
                    <w14:srgbClr w14:val="000000">
                      <w14:alpha w14:val="100000"/>
                    </w14:srgbClr>
                  </w14:solidFill>
                </w14:textFill>
              </w:rPr>
              <w:t xml:space="preserve">　</w:t>
            </w:r>
            <w:r w:rsidRPr="007B7D69">
              <w:rPr>
                <w:rFonts w:ascii="Arial Narrow" w:eastAsiaTheme="majorEastAsia" w:hAnsi="Arial Narrow" w:cstheme="majorBidi"/>
                <w:bCs/>
                <w:color w:val="000000"/>
                <w:w w:val="15"/>
                <w:sz w:val="20"/>
                <w:shd w:val="solid" w:color="000000" w:fill="000000"/>
                <w:fitText w:val="38" w:id="-1500865023"/>
                <w14:textFill>
                  <w14:solidFill>
                    <w14:srgbClr w14:val="000000">
                      <w14:alpha w14:val="100000"/>
                    </w14:srgbClr>
                  </w14:solidFill>
                </w14:textFill>
              </w:rPr>
              <w:t>|</w:t>
            </w:r>
            <w:r w:rsidRPr="007B7D69">
              <w:rPr>
                <w:rFonts w:ascii="Arial Narrow" w:eastAsiaTheme="majorEastAsia" w:hAnsi="Arial Narrow" w:cstheme="majorBidi" w:hint="eastAsia"/>
                <w:bCs/>
                <w:color w:val="000000"/>
                <w:spacing w:val="-27"/>
                <w:w w:val="15"/>
                <w:sz w:val="20"/>
                <w:shd w:val="solid" w:color="000000" w:fill="000000"/>
                <w:fitText w:val="38" w:id="-1500865023"/>
                <w14:textFill>
                  <w14:solidFill>
                    <w14:srgbClr w14:val="000000">
                      <w14:alpha w14:val="100000"/>
                    </w14:srgbClr>
                  </w14:solidFill>
                </w14:textFill>
              </w:rPr>
              <w:t xml:space="preserve">　</w:t>
            </w:r>
            <w:r w:rsidR="0020223E">
              <w:rPr>
                <w:rFonts w:ascii="Arial Narrow" w:eastAsiaTheme="majorEastAsia" w:hAnsi="Arial Narrow" w:cstheme="majorBidi"/>
                <w:bCs/>
                <w:sz w:val="20"/>
                <w:vertAlign w:val="superscript"/>
              </w:rPr>
              <w:t>1</w:t>
            </w:r>
          </w:p>
        </w:tc>
        <w:tc>
          <w:tcPr>
            <w:tcW w:w="629" w:type="pct"/>
            <w:tcBorders>
              <w:bottom w:val="single" w:sz="4" w:space="0" w:color="auto"/>
            </w:tcBorders>
            <w:shd w:val="clear" w:color="auto" w:fill="auto"/>
          </w:tcPr>
          <w:p w14:paraId="5E49280D" w14:textId="03B27395" w:rsidR="00145899" w:rsidRPr="00102519" w:rsidRDefault="007B7D69" w:rsidP="00404F98">
            <w:pPr>
              <w:keepNext/>
              <w:spacing w:before="20" w:after="20"/>
              <w:jc w:val="center"/>
              <w:rPr>
                <w:rFonts w:ascii="Arial Narrow" w:eastAsiaTheme="majorEastAsia" w:hAnsi="Arial Narrow" w:cstheme="majorBidi"/>
                <w:bCs/>
                <w:color w:val="000000"/>
                <w:sz w:val="20"/>
                <w:highlight w:val="yellow"/>
              </w:rPr>
            </w:pPr>
            <w:r w:rsidRPr="007B7D69">
              <w:rPr>
                <w:rFonts w:ascii="Arial Narrow" w:eastAsiaTheme="majorEastAsia" w:hAnsi="Arial Narrow" w:cstheme="majorBidi" w:hint="eastAsia"/>
                <w:bCs/>
                <w:color w:val="000000"/>
                <w:w w:val="15"/>
                <w:sz w:val="20"/>
                <w:shd w:val="solid" w:color="000000" w:fill="000000"/>
                <w:fitText w:val="37" w:id="-1500865022"/>
                <w14:textFill>
                  <w14:solidFill>
                    <w14:srgbClr w14:val="000000">
                      <w14:alpha w14:val="100000"/>
                    </w14:srgbClr>
                  </w14:solidFill>
                </w14:textFill>
              </w:rPr>
              <w:t xml:space="preserve">　</w:t>
            </w:r>
            <w:r w:rsidRPr="007B7D69">
              <w:rPr>
                <w:rFonts w:ascii="Arial Narrow" w:eastAsiaTheme="majorEastAsia" w:hAnsi="Arial Narrow" w:cstheme="majorBidi"/>
                <w:bCs/>
                <w:color w:val="000000"/>
                <w:w w:val="15"/>
                <w:sz w:val="20"/>
                <w:shd w:val="solid" w:color="000000" w:fill="000000"/>
                <w:fitText w:val="37" w:id="-1500865022"/>
                <w14:textFill>
                  <w14:solidFill>
                    <w14:srgbClr w14:val="000000">
                      <w14:alpha w14:val="100000"/>
                    </w14:srgbClr>
                  </w14:solidFill>
                </w14:textFill>
              </w:rPr>
              <w:t>|</w:t>
            </w:r>
            <w:r w:rsidRPr="007B7D69">
              <w:rPr>
                <w:rFonts w:ascii="Arial Narrow" w:eastAsiaTheme="majorEastAsia" w:hAnsi="Arial Narrow" w:cstheme="majorBidi" w:hint="eastAsia"/>
                <w:bCs/>
                <w:color w:val="000000"/>
                <w:spacing w:val="-28"/>
                <w:w w:val="15"/>
                <w:sz w:val="20"/>
                <w:shd w:val="solid" w:color="000000" w:fill="000000"/>
                <w:fitText w:val="37" w:id="-1500865022"/>
                <w14:textFill>
                  <w14:solidFill>
                    <w14:srgbClr w14:val="000000">
                      <w14:alpha w14:val="100000"/>
                    </w14:srgbClr>
                  </w14:solidFill>
                </w14:textFill>
              </w:rPr>
              <w:t xml:space="preserve">　</w:t>
            </w:r>
            <w:r w:rsidR="0020223E">
              <w:rPr>
                <w:rFonts w:ascii="Arial Narrow" w:eastAsiaTheme="majorEastAsia" w:hAnsi="Arial Narrow" w:cstheme="majorBidi"/>
                <w:bCs/>
                <w:sz w:val="20"/>
                <w:vertAlign w:val="superscript"/>
              </w:rPr>
              <w:t>1</w:t>
            </w:r>
          </w:p>
        </w:tc>
        <w:tc>
          <w:tcPr>
            <w:tcW w:w="600" w:type="pct"/>
            <w:tcBorders>
              <w:bottom w:val="single" w:sz="4" w:space="0" w:color="auto"/>
            </w:tcBorders>
            <w:shd w:val="clear" w:color="auto" w:fill="auto"/>
          </w:tcPr>
          <w:p w14:paraId="3792698B" w14:textId="7F682A0A" w:rsidR="00145899" w:rsidRPr="00102519" w:rsidRDefault="007B7D69" w:rsidP="00404F98">
            <w:pPr>
              <w:keepNext/>
              <w:spacing w:before="20" w:after="20"/>
              <w:jc w:val="center"/>
              <w:rPr>
                <w:rFonts w:ascii="Arial Narrow" w:eastAsiaTheme="majorEastAsia" w:hAnsi="Arial Narrow" w:cstheme="majorBidi"/>
                <w:bCs/>
                <w:color w:val="000000"/>
                <w:sz w:val="20"/>
                <w:highlight w:val="yellow"/>
              </w:rPr>
            </w:pPr>
            <w:r w:rsidRPr="007B7D69">
              <w:rPr>
                <w:rFonts w:ascii="Arial Narrow" w:eastAsiaTheme="majorEastAsia" w:hAnsi="Arial Narrow" w:cstheme="majorBidi" w:hint="eastAsia"/>
                <w:bCs/>
                <w:color w:val="000000"/>
                <w:w w:val="15"/>
                <w:sz w:val="20"/>
                <w:shd w:val="solid" w:color="000000" w:fill="000000"/>
                <w:fitText w:val="63" w:id="-1500865021"/>
                <w14:textFill>
                  <w14:solidFill>
                    <w14:srgbClr w14:val="000000">
                      <w14:alpha w14:val="100000"/>
                    </w14:srgbClr>
                  </w14:solidFill>
                </w14:textFill>
              </w:rPr>
              <w:t xml:space="preserve">　</w:t>
            </w:r>
            <w:r w:rsidRPr="007B7D69">
              <w:rPr>
                <w:rFonts w:ascii="Arial Narrow" w:eastAsiaTheme="majorEastAsia" w:hAnsi="Arial Narrow" w:cstheme="majorBidi"/>
                <w:bCs/>
                <w:color w:val="000000"/>
                <w:w w:val="15"/>
                <w:sz w:val="20"/>
                <w:shd w:val="solid" w:color="000000" w:fill="000000"/>
                <w:fitText w:val="63" w:id="-1500865021"/>
                <w14:textFill>
                  <w14:solidFill>
                    <w14:srgbClr w14:val="000000">
                      <w14:alpha w14:val="100000"/>
                    </w14:srgbClr>
                  </w14:solidFill>
                </w14:textFill>
              </w:rPr>
              <w:t>|</w:t>
            </w:r>
            <w:r w:rsidRPr="007B7D69">
              <w:rPr>
                <w:rFonts w:ascii="Arial Narrow" w:eastAsiaTheme="majorEastAsia" w:hAnsi="Arial Narrow" w:cstheme="majorBidi" w:hint="eastAsia"/>
                <w:bCs/>
                <w:color w:val="000000"/>
                <w:spacing w:val="-2"/>
                <w:w w:val="15"/>
                <w:sz w:val="20"/>
                <w:shd w:val="solid" w:color="000000" w:fill="000000"/>
                <w:fitText w:val="63" w:id="-1500865021"/>
                <w14:textFill>
                  <w14:solidFill>
                    <w14:srgbClr w14:val="000000">
                      <w14:alpha w14:val="100000"/>
                    </w14:srgbClr>
                  </w14:solidFill>
                </w14:textFill>
              </w:rPr>
              <w:t xml:space="preserve">　</w:t>
            </w:r>
            <w:r w:rsidR="0020223E">
              <w:rPr>
                <w:rFonts w:ascii="Arial Narrow" w:eastAsiaTheme="majorEastAsia" w:hAnsi="Arial Narrow" w:cstheme="majorBidi"/>
                <w:bCs/>
                <w:sz w:val="20"/>
                <w:vertAlign w:val="superscript"/>
              </w:rPr>
              <w:t>1</w:t>
            </w:r>
          </w:p>
        </w:tc>
      </w:tr>
      <w:tr w:rsidR="00145899" w:rsidRPr="00E74253" w14:paraId="7E3DCE66" w14:textId="77777777" w:rsidTr="00B5124C">
        <w:tc>
          <w:tcPr>
            <w:tcW w:w="1255" w:type="pct"/>
            <w:shd w:val="clear" w:color="auto" w:fill="auto"/>
            <w:vAlign w:val="center"/>
          </w:tcPr>
          <w:p w14:paraId="049B1353" w14:textId="7219505F" w:rsidR="00145899" w:rsidRPr="00E74253" w:rsidRDefault="00C7217B" w:rsidP="00404F98">
            <w:pPr>
              <w:keepNext/>
              <w:spacing w:before="20" w:after="20"/>
              <w:jc w:val="left"/>
              <w:rPr>
                <w:rFonts w:ascii="Times" w:eastAsiaTheme="majorEastAsia" w:hAnsi="Times" w:cstheme="majorBidi"/>
                <w:bCs/>
                <w:sz w:val="20"/>
              </w:rPr>
            </w:pPr>
            <w:r w:rsidRPr="00E74253">
              <w:rPr>
                <w:rFonts w:ascii="Arial Narrow" w:eastAsiaTheme="majorEastAsia" w:hAnsi="Arial Narrow" w:cstheme="majorBidi"/>
                <w:bCs/>
                <w:sz w:val="20"/>
              </w:rPr>
              <w:t>P</w:t>
            </w:r>
            <w:r w:rsidR="00145899" w:rsidRPr="00E74253">
              <w:rPr>
                <w:rFonts w:ascii="Arial Narrow" w:eastAsiaTheme="majorEastAsia" w:hAnsi="Arial Narrow" w:cstheme="majorBidi"/>
                <w:bCs/>
                <w:sz w:val="20"/>
              </w:rPr>
              <w:t xml:space="preserve">albociclib scripts </w:t>
            </w:r>
            <w:proofErr w:type="spellStart"/>
            <w:r w:rsidR="00145899" w:rsidRPr="00E74253">
              <w:rPr>
                <w:rFonts w:ascii="Arial Narrow" w:eastAsiaTheme="majorEastAsia" w:hAnsi="Arial Narrow" w:cstheme="majorBidi"/>
                <w:bCs/>
                <w:sz w:val="20"/>
              </w:rPr>
              <w:t>dispensed</w:t>
            </w:r>
            <w:r w:rsidR="00145899" w:rsidRPr="00E74253">
              <w:rPr>
                <w:rFonts w:ascii="Arial Narrow" w:eastAsiaTheme="majorEastAsia" w:hAnsi="Arial Narrow" w:cstheme="majorBidi"/>
                <w:bCs/>
                <w:sz w:val="20"/>
                <w:vertAlign w:val="superscript"/>
              </w:rPr>
              <w:t>a</w:t>
            </w:r>
            <w:proofErr w:type="spellEnd"/>
          </w:p>
        </w:tc>
        <w:tc>
          <w:tcPr>
            <w:tcW w:w="629" w:type="pct"/>
            <w:tcBorders>
              <w:left w:val="nil"/>
              <w:right w:val="single" w:sz="4" w:space="0" w:color="auto"/>
            </w:tcBorders>
            <w:shd w:val="clear" w:color="auto" w:fill="auto"/>
            <w:vAlign w:val="center"/>
          </w:tcPr>
          <w:p w14:paraId="4C411B30" w14:textId="1F4BD80C" w:rsidR="00145899" w:rsidRPr="0020223E" w:rsidRDefault="007B7D69" w:rsidP="00404F98">
            <w:pPr>
              <w:keepNext/>
              <w:spacing w:before="20" w:after="20"/>
              <w:jc w:val="center"/>
              <w:rPr>
                <w:rFonts w:ascii="Arial Narrow" w:eastAsiaTheme="majorEastAsia" w:hAnsi="Arial Narrow" w:cstheme="majorBidi"/>
                <w:bCs/>
                <w:color w:val="000000"/>
                <w:sz w:val="20"/>
                <w:highlight w:val="yellow"/>
                <w:vertAlign w:val="superscript"/>
              </w:rPr>
            </w:pPr>
            <w:r w:rsidRPr="007B7D69">
              <w:rPr>
                <w:rFonts w:ascii="Arial Narrow" w:eastAsiaTheme="majorEastAsia" w:hAnsi="Arial Narrow" w:cstheme="majorBidi" w:hint="eastAsia"/>
                <w:bCs/>
                <w:color w:val="000000"/>
                <w:w w:val="15"/>
                <w:sz w:val="20"/>
                <w:shd w:val="solid" w:color="000000" w:fill="000000"/>
                <w:fitText w:val="37" w:id="-1500865020"/>
                <w14:textFill>
                  <w14:solidFill>
                    <w14:srgbClr w14:val="000000">
                      <w14:alpha w14:val="100000"/>
                    </w14:srgbClr>
                  </w14:solidFill>
                </w14:textFill>
              </w:rPr>
              <w:t xml:space="preserve">　</w:t>
            </w:r>
            <w:r w:rsidRPr="007B7D69">
              <w:rPr>
                <w:rFonts w:ascii="Arial Narrow" w:eastAsiaTheme="majorEastAsia" w:hAnsi="Arial Narrow" w:cstheme="majorBidi"/>
                <w:bCs/>
                <w:color w:val="000000"/>
                <w:w w:val="15"/>
                <w:sz w:val="20"/>
                <w:shd w:val="solid" w:color="000000" w:fill="000000"/>
                <w:fitText w:val="37" w:id="-1500865020"/>
                <w14:textFill>
                  <w14:solidFill>
                    <w14:srgbClr w14:val="000000">
                      <w14:alpha w14:val="100000"/>
                    </w14:srgbClr>
                  </w14:solidFill>
                </w14:textFill>
              </w:rPr>
              <w:t>|</w:t>
            </w:r>
            <w:r w:rsidRPr="007B7D69">
              <w:rPr>
                <w:rFonts w:ascii="Arial Narrow" w:eastAsiaTheme="majorEastAsia" w:hAnsi="Arial Narrow" w:cstheme="majorBidi" w:hint="eastAsia"/>
                <w:bCs/>
                <w:color w:val="000000"/>
                <w:spacing w:val="-28"/>
                <w:w w:val="15"/>
                <w:sz w:val="20"/>
                <w:shd w:val="solid" w:color="000000" w:fill="000000"/>
                <w:fitText w:val="37" w:id="-1500865020"/>
                <w14:textFill>
                  <w14:solidFill>
                    <w14:srgbClr w14:val="000000">
                      <w14:alpha w14:val="100000"/>
                    </w14:srgbClr>
                  </w14:solidFill>
                </w14:textFill>
              </w:rPr>
              <w:t xml:space="preserve">　</w:t>
            </w:r>
            <w:r w:rsidR="0020223E" w:rsidRPr="005E20BC">
              <w:rPr>
                <w:rFonts w:ascii="Arial Narrow" w:eastAsiaTheme="majorEastAsia" w:hAnsi="Arial Narrow" w:cstheme="majorBidi"/>
                <w:bCs/>
                <w:sz w:val="20"/>
                <w:vertAlign w:val="superscript"/>
              </w:rPr>
              <w:t>2</w:t>
            </w:r>
          </w:p>
        </w:tc>
        <w:tc>
          <w:tcPr>
            <w:tcW w:w="629" w:type="pct"/>
            <w:tcBorders>
              <w:left w:val="single" w:sz="4" w:space="0" w:color="auto"/>
              <w:right w:val="single" w:sz="4" w:space="0" w:color="auto"/>
            </w:tcBorders>
            <w:shd w:val="clear" w:color="auto" w:fill="auto"/>
            <w:vAlign w:val="center"/>
          </w:tcPr>
          <w:p w14:paraId="78BCD793" w14:textId="4739B9E9" w:rsidR="00145899" w:rsidRPr="00102519" w:rsidRDefault="007B7D69" w:rsidP="00404F98">
            <w:pPr>
              <w:keepNext/>
              <w:spacing w:before="20" w:after="20"/>
              <w:jc w:val="center"/>
              <w:rPr>
                <w:rFonts w:ascii="Arial Narrow" w:eastAsiaTheme="majorEastAsia" w:hAnsi="Arial Narrow" w:cstheme="majorBidi"/>
                <w:bCs/>
                <w:color w:val="000000"/>
                <w:sz w:val="20"/>
                <w:highlight w:val="yellow"/>
              </w:rPr>
            </w:pPr>
            <w:r w:rsidRPr="007B7D69">
              <w:rPr>
                <w:rFonts w:ascii="Arial Narrow" w:eastAsiaTheme="majorEastAsia" w:hAnsi="Arial Narrow" w:cstheme="majorBidi" w:hint="eastAsia"/>
                <w:bCs/>
                <w:color w:val="000000"/>
                <w:w w:val="15"/>
                <w:sz w:val="20"/>
                <w:shd w:val="solid" w:color="000000" w:fill="000000"/>
                <w:fitText w:val="37" w:id="-1500865019"/>
                <w14:textFill>
                  <w14:solidFill>
                    <w14:srgbClr w14:val="000000">
                      <w14:alpha w14:val="100000"/>
                    </w14:srgbClr>
                  </w14:solidFill>
                </w14:textFill>
              </w:rPr>
              <w:t xml:space="preserve">　</w:t>
            </w:r>
            <w:r w:rsidRPr="007B7D69">
              <w:rPr>
                <w:rFonts w:ascii="Arial Narrow" w:eastAsiaTheme="majorEastAsia" w:hAnsi="Arial Narrow" w:cstheme="majorBidi"/>
                <w:bCs/>
                <w:color w:val="000000"/>
                <w:w w:val="15"/>
                <w:sz w:val="20"/>
                <w:shd w:val="solid" w:color="000000" w:fill="000000"/>
                <w:fitText w:val="37" w:id="-1500865019"/>
                <w14:textFill>
                  <w14:solidFill>
                    <w14:srgbClr w14:val="000000">
                      <w14:alpha w14:val="100000"/>
                    </w14:srgbClr>
                  </w14:solidFill>
                </w14:textFill>
              </w:rPr>
              <w:t>|</w:t>
            </w:r>
            <w:r w:rsidRPr="007B7D69">
              <w:rPr>
                <w:rFonts w:ascii="Arial Narrow" w:eastAsiaTheme="majorEastAsia" w:hAnsi="Arial Narrow" w:cstheme="majorBidi" w:hint="eastAsia"/>
                <w:bCs/>
                <w:color w:val="000000"/>
                <w:spacing w:val="-28"/>
                <w:w w:val="15"/>
                <w:sz w:val="20"/>
                <w:shd w:val="solid" w:color="000000" w:fill="000000"/>
                <w:fitText w:val="37" w:id="-1500865019"/>
                <w14:textFill>
                  <w14:solidFill>
                    <w14:srgbClr w14:val="000000">
                      <w14:alpha w14:val="100000"/>
                    </w14:srgbClr>
                  </w14:solidFill>
                </w14:textFill>
              </w:rPr>
              <w:t xml:space="preserve">　</w:t>
            </w:r>
            <w:r w:rsidR="0020223E" w:rsidRPr="005E20BC">
              <w:rPr>
                <w:rFonts w:ascii="Arial Narrow" w:eastAsiaTheme="majorEastAsia" w:hAnsi="Arial Narrow" w:cstheme="majorBidi"/>
                <w:bCs/>
                <w:sz w:val="20"/>
                <w:vertAlign w:val="superscript"/>
              </w:rPr>
              <w:t>2</w:t>
            </w:r>
          </w:p>
        </w:tc>
        <w:tc>
          <w:tcPr>
            <w:tcW w:w="629" w:type="pct"/>
            <w:tcBorders>
              <w:left w:val="single" w:sz="4" w:space="0" w:color="auto"/>
              <w:right w:val="single" w:sz="4" w:space="0" w:color="auto"/>
            </w:tcBorders>
            <w:shd w:val="clear" w:color="auto" w:fill="auto"/>
            <w:vAlign w:val="center"/>
          </w:tcPr>
          <w:p w14:paraId="7FA72C1E" w14:textId="2B295278" w:rsidR="00145899" w:rsidRPr="0020223E" w:rsidRDefault="007B7D69" w:rsidP="00404F98">
            <w:pPr>
              <w:keepNext/>
              <w:spacing w:before="20" w:after="20"/>
              <w:jc w:val="center"/>
              <w:rPr>
                <w:rFonts w:ascii="Arial Narrow" w:eastAsiaTheme="majorEastAsia" w:hAnsi="Arial Narrow" w:cstheme="majorBidi"/>
                <w:bCs/>
                <w:color w:val="000000"/>
                <w:sz w:val="20"/>
                <w:highlight w:val="yellow"/>
                <w:vertAlign w:val="superscript"/>
              </w:rPr>
            </w:pPr>
            <w:r w:rsidRPr="007B7D69">
              <w:rPr>
                <w:rFonts w:ascii="Arial Narrow" w:eastAsiaTheme="majorEastAsia" w:hAnsi="Arial Narrow" w:cstheme="majorBidi" w:hint="eastAsia"/>
                <w:bCs/>
                <w:color w:val="000000"/>
                <w:w w:val="15"/>
                <w:sz w:val="20"/>
                <w:shd w:val="solid" w:color="000000" w:fill="000000"/>
                <w:fitText w:val="38" w:id="-1500865018"/>
                <w14:textFill>
                  <w14:solidFill>
                    <w14:srgbClr w14:val="000000">
                      <w14:alpha w14:val="100000"/>
                    </w14:srgbClr>
                  </w14:solidFill>
                </w14:textFill>
              </w:rPr>
              <w:t xml:space="preserve">　</w:t>
            </w:r>
            <w:r w:rsidRPr="007B7D69">
              <w:rPr>
                <w:rFonts w:ascii="Arial Narrow" w:eastAsiaTheme="majorEastAsia" w:hAnsi="Arial Narrow" w:cstheme="majorBidi"/>
                <w:bCs/>
                <w:color w:val="000000"/>
                <w:w w:val="15"/>
                <w:sz w:val="20"/>
                <w:shd w:val="solid" w:color="000000" w:fill="000000"/>
                <w:fitText w:val="38" w:id="-1500865018"/>
                <w14:textFill>
                  <w14:solidFill>
                    <w14:srgbClr w14:val="000000">
                      <w14:alpha w14:val="100000"/>
                    </w14:srgbClr>
                  </w14:solidFill>
                </w14:textFill>
              </w:rPr>
              <w:t>|</w:t>
            </w:r>
            <w:r w:rsidRPr="007B7D69">
              <w:rPr>
                <w:rFonts w:ascii="Arial Narrow" w:eastAsiaTheme="majorEastAsia" w:hAnsi="Arial Narrow" w:cstheme="majorBidi" w:hint="eastAsia"/>
                <w:bCs/>
                <w:color w:val="000000"/>
                <w:spacing w:val="-27"/>
                <w:w w:val="15"/>
                <w:sz w:val="20"/>
                <w:shd w:val="solid" w:color="000000" w:fill="000000"/>
                <w:fitText w:val="38" w:id="-1500865018"/>
                <w14:textFill>
                  <w14:solidFill>
                    <w14:srgbClr w14:val="000000">
                      <w14:alpha w14:val="100000"/>
                    </w14:srgbClr>
                  </w14:solidFill>
                </w14:textFill>
              </w:rPr>
              <w:t xml:space="preserve">　</w:t>
            </w:r>
            <w:r w:rsidR="0020223E" w:rsidRPr="005E20BC">
              <w:rPr>
                <w:rFonts w:ascii="Arial Narrow" w:eastAsiaTheme="majorEastAsia" w:hAnsi="Arial Narrow" w:cstheme="majorBidi"/>
                <w:bCs/>
                <w:color w:val="000000"/>
                <w:sz w:val="20"/>
                <w:vertAlign w:val="superscript"/>
              </w:rPr>
              <w:t>5</w:t>
            </w:r>
          </w:p>
        </w:tc>
        <w:tc>
          <w:tcPr>
            <w:tcW w:w="629" w:type="pct"/>
            <w:tcBorders>
              <w:left w:val="single" w:sz="4" w:space="0" w:color="auto"/>
              <w:right w:val="single" w:sz="4" w:space="0" w:color="auto"/>
            </w:tcBorders>
            <w:shd w:val="clear" w:color="auto" w:fill="auto"/>
            <w:vAlign w:val="center"/>
          </w:tcPr>
          <w:p w14:paraId="4B5475B5" w14:textId="6E485256" w:rsidR="00145899" w:rsidRPr="00102519" w:rsidRDefault="007B7D69" w:rsidP="00404F98">
            <w:pPr>
              <w:keepNext/>
              <w:spacing w:before="20" w:after="20"/>
              <w:jc w:val="center"/>
              <w:rPr>
                <w:rFonts w:ascii="Arial Narrow" w:eastAsiaTheme="majorEastAsia" w:hAnsi="Arial Narrow" w:cstheme="majorBidi"/>
                <w:bCs/>
                <w:color w:val="000000"/>
                <w:sz w:val="20"/>
                <w:highlight w:val="yellow"/>
              </w:rPr>
            </w:pPr>
            <w:r w:rsidRPr="007B7D69">
              <w:rPr>
                <w:rFonts w:ascii="Arial Narrow" w:eastAsiaTheme="majorEastAsia" w:hAnsi="Arial Narrow" w:cstheme="majorBidi" w:hint="eastAsia"/>
                <w:bCs/>
                <w:color w:val="000000"/>
                <w:w w:val="15"/>
                <w:sz w:val="20"/>
                <w:shd w:val="solid" w:color="000000" w:fill="000000"/>
                <w:fitText w:val="38" w:id="-1500865017"/>
                <w14:textFill>
                  <w14:solidFill>
                    <w14:srgbClr w14:val="000000">
                      <w14:alpha w14:val="100000"/>
                    </w14:srgbClr>
                  </w14:solidFill>
                </w14:textFill>
              </w:rPr>
              <w:t xml:space="preserve">　</w:t>
            </w:r>
            <w:r w:rsidRPr="007B7D69">
              <w:rPr>
                <w:rFonts w:ascii="Arial Narrow" w:eastAsiaTheme="majorEastAsia" w:hAnsi="Arial Narrow" w:cstheme="majorBidi"/>
                <w:bCs/>
                <w:color w:val="000000"/>
                <w:w w:val="15"/>
                <w:sz w:val="20"/>
                <w:shd w:val="solid" w:color="000000" w:fill="000000"/>
                <w:fitText w:val="38" w:id="-1500865017"/>
                <w14:textFill>
                  <w14:solidFill>
                    <w14:srgbClr w14:val="000000">
                      <w14:alpha w14:val="100000"/>
                    </w14:srgbClr>
                  </w14:solidFill>
                </w14:textFill>
              </w:rPr>
              <w:t>|</w:t>
            </w:r>
            <w:r w:rsidRPr="007B7D69">
              <w:rPr>
                <w:rFonts w:ascii="Arial Narrow" w:eastAsiaTheme="majorEastAsia" w:hAnsi="Arial Narrow" w:cstheme="majorBidi" w:hint="eastAsia"/>
                <w:bCs/>
                <w:color w:val="000000"/>
                <w:spacing w:val="-27"/>
                <w:w w:val="15"/>
                <w:sz w:val="20"/>
                <w:shd w:val="solid" w:color="000000" w:fill="000000"/>
                <w:fitText w:val="38" w:id="-1500865017"/>
                <w14:textFill>
                  <w14:solidFill>
                    <w14:srgbClr w14:val="000000">
                      <w14:alpha w14:val="100000"/>
                    </w14:srgbClr>
                  </w14:solidFill>
                </w14:textFill>
              </w:rPr>
              <w:t xml:space="preserve">　</w:t>
            </w:r>
            <w:r w:rsidR="0020223E" w:rsidRPr="005E20BC">
              <w:rPr>
                <w:rFonts w:ascii="Arial Narrow" w:eastAsiaTheme="majorEastAsia" w:hAnsi="Arial Narrow" w:cstheme="majorBidi"/>
                <w:bCs/>
                <w:color w:val="000000"/>
                <w:sz w:val="20"/>
                <w:vertAlign w:val="superscript"/>
              </w:rPr>
              <w:t>5</w:t>
            </w:r>
          </w:p>
        </w:tc>
        <w:tc>
          <w:tcPr>
            <w:tcW w:w="629" w:type="pct"/>
            <w:tcBorders>
              <w:left w:val="single" w:sz="4" w:space="0" w:color="auto"/>
              <w:right w:val="single" w:sz="4" w:space="0" w:color="auto"/>
            </w:tcBorders>
            <w:shd w:val="clear" w:color="auto" w:fill="auto"/>
            <w:vAlign w:val="center"/>
          </w:tcPr>
          <w:p w14:paraId="02346F82" w14:textId="6BFFEDC2" w:rsidR="00145899" w:rsidRPr="00102519" w:rsidRDefault="007B7D69" w:rsidP="00404F98">
            <w:pPr>
              <w:keepNext/>
              <w:spacing w:before="20" w:after="20"/>
              <w:jc w:val="center"/>
              <w:rPr>
                <w:rFonts w:ascii="Arial Narrow" w:eastAsiaTheme="majorEastAsia" w:hAnsi="Arial Narrow" w:cstheme="majorBidi"/>
                <w:bCs/>
                <w:color w:val="000000"/>
                <w:sz w:val="20"/>
                <w:highlight w:val="yellow"/>
              </w:rPr>
            </w:pPr>
            <w:r w:rsidRPr="007B7D69">
              <w:rPr>
                <w:rFonts w:ascii="Arial Narrow" w:eastAsiaTheme="majorEastAsia" w:hAnsi="Arial Narrow" w:cstheme="majorBidi" w:hint="eastAsia"/>
                <w:bCs/>
                <w:color w:val="000000"/>
                <w:w w:val="15"/>
                <w:sz w:val="20"/>
                <w:shd w:val="solid" w:color="000000" w:fill="000000"/>
                <w:fitText w:val="37" w:id="-1500865016"/>
                <w14:textFill>
                  <w14:solidFill>
                    <w14:srgbClr w14:val="000000">
                      <w14:alpha w14:val="100000"/>
                    </w14:srgbClr>
                  </w14:solidFill>
                </w14:textFill>
              </w:rPr>
              <w:t xml:space="preserve">　</w:t>
            </w:r>
            <w:r w:rsidRPr="007B7D69">
              <w:rPr>
                <w:rFonts w:ascii="Arial Narrow" w:eastAsiaTheme="majorEastAsia" w:hAnsi="Arial Narrow" w:cstheme="majorBidi"/>
                <w:bCs/>
                <w:color w:val="000000"/>
                <w:w w:val="15"/>
                <w:sz w:val="20"/>
                <w:shd w:val="solid" w:color="000000" w:fill="000000"/>
                <w:fitText w:val="37" w:id="-1500865016"/>
                <w14:textFill>
                  <w14:solidFill>
                    <w14:srgbClr w14:val="000000">
                      <w14:alpha w14:val="100000"/>
                    </w14:srgbClr>
                  </w14:solidFill>
                </w14:textFill>
              </w:rPr>
              <w:t>|</w:t>
            </w:r>
            <w:r w:rsidRPr="007B7D69">
              <w:rPr>
                <w:rFonts w:ascii="Arial Narrow" w:eastAsiaTheme="majorEastAsia" w:hAnsi="Arial Narrow" w:cstheme="majorBidi" w:hint="eastAsia"/>
                <w:bCs/>
                <w:color w:val="000000"/>
                <w:spacing w:val="-28"/>
                <w:w w:val="15"/>
                <w:sz w:val="20"/>
                <w:shd w:val="solid" w:color="000000" w:fill="000000"/>
                <w:fitText w:val="37" w:id="-1500865016"/>
                <w14:textFill>
                  <w14:solidFill>
                    <w14:srgbClr w14:val="000000">
                      <w14:alpha w14:val="100000"/>
                    </w14:srgbClr>
                  </w14:solidFill>
                </w14:textFill>
              </w:rPr>
              <w:t xml:space="preserve">　</w:t>
            </w:r>
            <w:r w:rsidR="0020223E" w:rsidRPr="005E20BC">
              <w:rPr>
                <w:rFonts w:ascii="Arial Narrow" w:eastAsiaTheme="majorEastAsia" w:hAnsi="Arial Narrow" w:cstheme="majorBidi"/>
                <w:bCs/>
                <w:color w:val="000000"/>
                <w:sz w:val="20"/>
                <w:vertAlign w:val="superscript"/>
              </w:rPr>
              <w:t>5</w:t>
            </w:r>
          </w:p>
        </w:tc>
        <w:tc>
          <w:tcPr>
            <w:tcW w:w="600" w:type="pct"/>
            <w:tcBorders>
              <w:left w:val="single" w:sz="4" w:space="0" w:color="auto"/>
            </w:tcBorders>
            <w:shd w:val="clear" w:color="auto" w:fill="auto"/>
            <w:vAlign w:val="center"/>
          </w:tcPr>
          <w:p w14:paraId="30A67E08" w14:textId="37B727ED" w:rsidR="00145899" w:rsidRPr="00102519" w:rsidRDefault="007B7D69" w:rsidP="00404F98">
            <w:pPr>
              <w:keepNext/>
              <w:spacing w:before="20" w:after="20"/>
              <w:jc w:val="center"/>
              <w:rPr>
                <w:rFonts w:ascii="Arial Narrow" w:eastAsiaTheme="majorEastAsia" w:hAnsi="Arial Narrow" w:cstheme="majorBidi"/>
                <w:bCs/>
                <w:color w:val="000000"/>
                <w:sz w:val="20"/>
                <w:highlight w:val="yellow"/>
              </w:rPr>
            </w:pPr>
            <w:r w:rsidRPr="007B7D69">
              <w:rPr>
                <w:rFonts w:ascii="Arial Narrow" w:eastAsiaTheme="majorEastAsia" w:hAnsi="Arial Narrow" w:cstheme="majorBidi" w:hint="eastAsia"/>
                <w:bCs/>
                <w:color w:val="000000"/>
                <w:w w:val="15"/>
                <w:sz w:val="20"/>
                <w:shd w:val="solid" w:color="000000" w:fill="000000"/>
                <w:fitText w:val="63" w:id="-1500865015"/>
                <w14:textFill>
                  <w14:solidFill>
                    <w14:srgbClr w14:val="000000">
                      <w14:alpha w14:val="100000"/>
                    </w14:srgbClr>
                  </w14:solidFill>
                </w14:textFill>
              </w:rPr>
              <w:t xml:space="preserve">　</w:t>
            </w:r>
            <w:r w:rsidRPr="007B7D69">
              <w:rPr>
                <w:rFonts w:ascii="Arial Narrow" w:eastAsiaTheme="majorEastAsia" w:hAnsi="Arial Narrow" w:cstheme="majorBidi"/>
                <w:bCs/>
                <w:color w:val="000000"/>
                <w:w w:val="15"/>
                <w:sz w:val="20"/>
                <w:shd w:val="solid" w:color="000000" w:fill="000000"/>
                <w:fitText w:val="63" w:id="-1500865015"/>
                <w14:textFill>
                  <w14:solidFill>
                    <w14:srgbClr w14:val="000000">
                      <w14:alpha w14:val="100000"/>
                    </w14:srgbClr>
                  </w14:solidFill>
                </w14:textFill>
              </w:rPr>
              <w:t>|</w:t>
            </w:r>
            <w:r w:rsidRPr="007B7D69">
              <w:rPr>
                <w:rFonts w:ascii="Arial Narrow" w:eastAsiaTheme="majorEastAsia" w:hAnsi="Arial Narrow" w:cstheme="majorBidi" w:hint="eastAsia"/>
                <w:bCs/>
                <w:color w:val="000000"/>
                <w:spacing w:val="-2"/>
                <w:w w:val="15"/>
                <w:sz w:val="20"/>
                <w:shd w:val="solid" w:color="000000" w:fill="000000"/>
                <w:fitText w:val="63" w:id="-1500865015"/>
                <w14:textFill>
                  <w14:solidFill>
                    <w14:srgbClr w14:val="000000">
                      <w14:alpha w14:val="100000"/>
                    </w14:srgbClr>
                  </w14:solidFill>
                </w14:textFill>
              </w:rPr>
              <w:t xml:space="preserve">　</w:t>
            </w:r>
            <w:r w:rsidR="0020223E" w:rsidRPr="005E20BC">
              <w:rPr>
                <w:rFonts w:ascii="Arial Narrow" w:eastAsiaTheme="majorEastAsia" w:hAnsi="Arial Narrow" w:cstheme="majorBidi"/>
                <w:bCs/>
                <w:color w:val="000000"/>
                <w:sz w:val="20"/>
                <w:vertAlign w:val="superscript"/>
              </w:rPr>
              <w:t>5</w:t>
            </w:r>
          </w:p>
        </w:tc>
      </w:tr>
      <w:tr w:rsidR="00145899" w:rsidRPr="00E74253" w14:paraId="5BFC65B0" w14:textId="77777777" w:rsidTr="00B5124C">
        <w:tc>
          <w:tcPr>
            <w:tcW w:w="1255" w:type="pct"/>
            <w:shd w:val="clear" w:color="auto" w:fill="auto"/>
            <w:vAlign w:val="center"/>
          </w:tcPr>
          <w:p w14:paraId="24241991" w14:textId="610CB3D3" w:rsidR="00145899" w:rsidRPr="00E74253" w:rsidRDefault="00C7217B" w:rsidP="00404F98">
            <w:pPr>
              <w:keepNext/>
              <w:spacing w:before="20" w:after="20"/>
              <w:jc w:val="left"/>
              <w:rPr>
                <w:rFonts w:ascii="Arial Narrow" w:eastAsiaTheme="majorEastAsia" w:hAnsi="Arial Narrow" w:cstheme="majorBidi"/>
                <w:bCs/>
                <w:sz w:val="20"/>
              </w:rPr>
            </w:pPr>
            <w:proofErr w:type="spellStart"/>
            <w:r w:rsidRPr="00E74253">
              <w:rPr>
                <w:rFonts w:ascii="Arial Narrow" w:eastAsiaTheme="majorEastAsia" w:hAnsi="Arial Narrow" w:cstheme="majorBidi"/>
                <w:bCs/>
                <w:sz w:val="20"/>
              </w:rPr>
              <w:t>R</w:t>
            </w:r>
            <w:r w:rsidR="00145899" w:rsidRPr="00E74253">
              <w:rPr>
                <w:rFonts w:ascii="Arial Narrow" w:eastAsiaTheme="majorEastAsia" w:hAnsi="Arial Narrow" w:cstheme="majorBidi"/>
                <w:bCs/>
                <w:sz w:val="20"/>
              </w:rPr>
              <w:t>ibociclib</w:t>
            </w:r>
            <w:proofErr w:type="spellEnd"/>
            <w:r w:rsidR="00145899" w:rsidRPr="00E74253">
              <w:rPr>
                <w:rFonts w:ascii="Arial Narrow" w:eastAsiaTheme="majorEastAsia" w:hAnsi="Arial Narrow" w:cstheme="majorBidi"/>
                <w:bCs/>
                <w:sz w:val="20"/>
              </w:rPr>
              <w:t xml:space="preserve"> scripts not </w:t>
            </w:r>
            <w:proofErr w:type="spellStart"/>
            <w:r w:rsidR="00145899" w:rsidRPr="00E74253">
              <w:rPr>
                <w:rFonts w:ascii="Arial Narrow" w:eastAsiaTheme="majorEastAsia" w:hAnsi="Arial Narrow" w:cstheme="majorBidi"/>
                <w:bCs/>
                <w:sz w:val="20"/>
              </w:rPr>
              <w:t>dispensed</w:t>
            </w:r>
            <w:r w:rsidR="00145899" w:rsidRPr="00E74253">
              <w:rPr>
                <w:rFonts w:ascii="Arial Narrow" w:eastAsiaTheme="majorEastAsia" w:hAnsi="Arial Narrow" w:cstheme="majorBidi"/>
                <w:bCs/>
                <w:sz w:val="20"/>
                <w:vertAlign w:val="superscript"/>
              </w:rPr>
              <w:t>b</w:t>
            </w:r>
            <w:proofErr w:type="spellEnd"/>
          </w:p>
        </w:tc>
        <w:tc>
          <w:tcPr>
            <w:tcW w:w="629" w:type="pct"/>
            <w:tcBorders>
              <w:bottom w:val="single" w:sz="4" w:space="0" w:color="auto"/>
            </w:tcBorders>
            <w:shd w:val="clear" w:color="auto" w:fill="auto"/>
            <w:vAlign w:val="center"/>
          </w:tcPr>
          <w:p w14:paraId="17F5828E" w14:textId="41C7F579" w:rsidR="00145899" w:rsidRPr="00102519" w:rsidRDefault="007B7D69" w:rsidP="00404F98">
            <w:pPr>
              <w:keepNext/>
              <w:spacing w:before="20" w:after="20"/>
              <w:jc w:val="center"/>
              <w:rPr>
                <w:rFonts w:ascii="Arial Narrow" w:eastAsiaTheme="majorEastAsia" w:hAnsi="Arial Narrow" w:cstheme="majorBidi"/>
                <w:bCs/>
                <w:sz w:val="20"/>
                <w:highlight w:val="yellow"/>
              </w:rPr>
            </w:pPr>
            <w:r w:rsidRPr="007B7D69">
              <w:rPr>
                <w:rFonts w:ascii="Arial Narrow" w:eastAsiaTheme="majorEastAsia" w:hAnsi="Arial Narrow" w:cstheme="majorBidi" w:hint="eastAsia"/>
                <w:bCs/>
                <w:color w:val="000000"/>
                <w:w w:val="15"/>
                <w:sz w:val="20"/>
                <w:shd w:val="solid" w:color="000000" w:fill="000000"/>
                <w:fitText w:val="38" w:id="-1500865014"/>
                <w14:textFill>
                  <w14:solidFill>
                    <w14:srgbClr w14:val="000000">
                      <w14:alpha w14:val="100000"/>
                    </w14:srgbClr>
                  </w14:solidFill>
                </w14:textFill>
              </w:rPr>
              <w:t xml:space="preserve">　</w:t>
            </w:r>
            <w:r w:rsidRPr="007B7D69">
              <w:rPr>
                <w:rFonts w:ascii="Arial Narrow" w:eastAsiaTheme="majorEastAsia" w:hAnsi="Arial Narrow" w:cstheme="majorBidi"/>
                <w:bCs/>
                <w:color w:val="000000"/>
                <w:w w:val="15"/>
                <w:sz w:val="20"/>
                <w:shd w:val="solid" w:color="000000" w:fill="000000"/>
                <w:fitText w:val="38" w:id="-1500865014"/>
                <w14:textFill>
                  <w14:solidFill>
                    <w14:srgbClr w14:val="000000">
                      <w14:alpha w14:val="100000"/>
                    </w14:srgbClr>
                  </w14:solidFill>
                </w14:textFill>
              </w:rPr>
              <w:t>|</w:t>
            </w:r>
            <w:r w:rsidRPr="007B7D69">
              <w:rPr>
                <w:rFonts w:ascii="Arial Narrow" w:eastAsiaTheme="majorEastAsia" w:hAnsi="Arial Narrow" w:cstheme="majorBidi" w:hint="eastAsia"/>
                <w:bCs/>
                <w:color w:val="000000"/>
                <w:spacing w:val="-27"/>
                <w:w w:val="15"/>
                <w:sz w:val="20"/>
                <w:shd w:val="solid" w:color="000000" w:fill="000000"/>
                <w:fitText w:val="38" w:id="-1500865014"/>
                <w14:textFill>
                  <w14:solidFill>
                    <w14:srgbClr w14:val="000000">
                      <w14:alpha w14:val="100000"/>
                    </w14:srgbClr>
                  </w14:solidFill>
                </w14:textFill>
              </w:rPr>
              <w:t xml:space="preserve">　</w:t>
            </w:r>
            <w:r w:rsidR="0020223E" w:rsidRPr="005E20BC">
              <w:rPr>
                <w:rFonts w:ascii="Arial Narrow" w:eastAsiaTheme="majorEastAsia" w:hAnsi="Arial Narrow" w:cstheme="majorBidi"/>
                <w:bCs/>
                <w:sz w:val="20"/>
                <w:vertAlign w:val="superscript"/>
              </w:rPr>
              <w:t>2</w:t>
            </w:r>
          </w:p>
        </w:tc>
        <w:tc>
          <w:tcPr>
            <w:tcW w:w="629" w:type="pct"/>
            <w:tcBorders>
              <w:bottom w:val="single" w:sz="4" w:space="0" w:color="auto"/>
            </w:tcBorders>
            <w:shd w:val="clear" w:color="auto" w:fill="auto"/>
            <w:vAlign w:val="center"/>
          </w:tcPr>
          <w:p w14:paraId="409E41E0" w14:textId="4AA293AE" w:rsidR="00145899" w:rsidRPr="00102519" w:rsidRDefault="007B7D69" w:rsidP="00404F98">
            <w:pPr>
              <w:keepNext/>
              <w:spacing w:before="20" w:after="20"/>
              <w:jc w:val="center"/>
              <w:rPr>
                <w:rFonts w:ascii="Arial Narrow" w:eastAsiaTheme="majorEastAsia" w:hAnsi="Arial Narrow" w:cstheme="majorBidi"/>
                <w:bCs/>
                <w:sz w:val="20"/>
                <w:highlight w:val="yellow"/>
              </w:rPr>
            </w:pPr>
            <w:r w:rsidRPr="007B7D69">
              <w:rPr>
                <w:rFonts w:ascii="Arial Narrow" w:eastAsiaTheme="majorEastAsia" w:hAnsi="Arial Narrow" w:cstheme="majorBidi" w:hint="eastAsia"/>
                <w:bCs/>
                <w:color w:val="000000"/>
                <w:w w:val="15"/>
                <w:sz w:val="20"/>
                <w:shd w:val="solid" w:color="000000" w:fill="000000"/>
                <w:fitText w:val="37" w:id="-1500865013"/>
                <w14:textFill>
                  <w14:solidFill>
                    <w14:srgbClr w14:val="000000">
                      <w14:alpha w14:val="100000"/>
                    </w14:srgbClr>
                  </w14:solidFill>
                </w14:textFill>
              </w:rPr>
              <w:t xml:space="preserve">　</w:t>
            </w:r>
            <w:r w:rsidRPr="007B7D69">
              <w:rPr>
                <w:rFonts w:ascii="Arial Narrow" w:eastAsiaTheme="majorEastAsia" w:hAnsi="Arial Narrow" w:cstheme="majorBidi"/>
                <w:bCs/>
                <w:color w:val="000000"/>
                <w:w w:val="15"/>
                <w:sz w:val="20"/>
                <w:shd w:val="solid" w:color="000000" w:fill="000000"/>
                <w:fitText w:val="37" w:id="-1500865013"/>
                <w14:textFill>
                  <w14:solidFill>
                    <w14:srgbClr w14:val="000000">
                      <w14:alpha w14:val="100000"/>
                    </w14:srgbClr>
                  </w14:solidFill>
                </w14:textFill>
              </w:rPr>
              <w:t>|</w:t>
            </w:r>
            <w:r w:rsidRPr="007B7D69">
              <w:rPr>
                <w:rFonts w:ascii="Arial Narrow" w:eastAsiaTheme="majorEastAsia" w:hAnsi="Arial Narrow" w:cstheme="majorBidi" w:hint="eastAsia"/>
                <w:bCs/>
                <w:color w:val="000000"/>
                <w:spacing w:val="-28"/>
                <w:w w:val="15"/>
                <w:sz w:val="20"/>
                <w:shd w:val="solid" w:color="000000" w:fill="000000"/>
                <w:fitText w:val="37" w:id="-1500865013"/>
                <w14:textFill>
                  <w14:solidFill>
                    <w14:srgbClr w14:val="000000">
                      <w14:alpha w14:val="100000"/>
                    </w14:srgbClr>
                  </w14:solidFill>
                </w14:textFill>
              </w:rPr>
              <w:t xml:space="preserve">　</w:t>
            </w:r>
            <w:r w:rsidR="0020223E" w:rsidRPr="005E20BC">
              <w:rPr>
                <w:rFonts w:ascii="Arial Narrow" w:eastAsiaTheme="majorEastAsia" w:hAnsi="Arial Narrow" w:cstheme="majorBidi"/>
                <w:bCs/>
                <w:sz w:val="20"/>
                <w:vertAlign w:val="superscript"/>
              </w:rPr>
              <w:t>2</w:t>
            </w:r>
          </w:p>
        </w:tc>
        <w:tc>
          <w:tcPr>
            <w:tcW w:w="629" w:type="pct"/>
            <w:tcBorders>
              <w:bottom w:val="single" w:sz="4" w:space="0" w:color="auto"/>
            </w:tcBorders>
            <w:shd w:val="clear" w:color="auto" w:fill="auto"/>
            <w:vAlign w:val="center"/>
          </w:tcPr>
          <w:p w14:paraId="1252025F" w14:textId="6B9C4303" w:rsidR="00145899" w:rsidRPr="00102519" w:rsidRDefault="007B7D69" w:rsidP="00404F98">
            <w:pPr>
              <w:keepNext/>
              <w:spacing w:before="20" w:after="20"/>
              <w:jc w:val="center"/>
              <w:rPr>
                <w:rFonts w:ascii="Arial Narrow" w:eastAsiaTheme="majorEastAsia" w:hAnsi="Arial Narrow" w:cstheme="majorBidi"/>
                <w:bCs/>
                <w:sz w:val="20"/>
                <w:highlight w:val="yellow"/>
              </w:rPr>
            </w:pPr>
            <w:r w:rsidRPr="007B7D69">
              <w:rPr>
                <w:rFonts w:ascii="Arial Narrow" w:eastAsiaTheme="majorEastAsia" w:hAnsi="Arial Narrow" w:cstheme="majorBidi" w:hint="eastAsia"/>
                <w:bCs/>
                <w:color w:val="000000"/>
                <w:w w:val="15"/>
                <w:sz w:val="20"/>
                <w:shd w:val="solid" w:color="000000" w:fill="000000"/>
                <w:fitText w:val="38" w:id="-1500865012"/>
                <w14:textFill>
                  <w14:solidFill>
                    <w14:srgbClr w14:val="000000">
                      <w14:alpha w14:val="100000"/>
                    </w14:srgbClr>
                  </w14:solidFill>
                </w14:textFill>
              </w:rPr>
              <w:t xml:space="preserve">　</w:t>
            </w:r>
            <w:r w:rsidRPr="007B7D69">
              <w:rPr>
                <w:rFonts w:ascii="Arial Narrow" w:eastAsiaTheme="majorEastAsia" w:hAnsi="Arial Narrow" w:cstheme="majorBidi"/>
                <w:bCs/>
                <w:color w:val="000000"/>
                <w:w w:val="15"/>
                <w:sz w:val="20"/>
                <w:shd w:val="solid" w:color="000000" w:fill="000000"/>
                <w:fitText w:val="38" w:id="-1500865012"/>
                <w14:textFill>
                  <w14:solidFill>
                    <w14:srgbClr w14:val="000000">
                      <w14:alpha w14:val="100000"/>
                    </w14:srgbClr>
                  </w14:solidFill>
                </w14:textFill>
              </w:rPr>
              <w:t>|</w:t>
            </w:r>
            <w:r w:rsidRPr="007B7D69">
              <w:rPr>
                <w:rFonts w:ascii="Arial Narrow" w:eastAsiaTheme="majorEastAsia" w:hAnsi="Arial Narrow" w:cstheme="majorBidi" w:hint="eastAsia"/>
                <w:bCs/>
                <w:color w:val="000000"/>
                <w:spacing w:val="-27"/>
                <w:w w:val="15"/>
                <w:sz w:val="20"/>
                <w:shd w:val="solid" w:color="000000" w:fill="000000"/>
                <w:fitText w:val="38" w:id="-1500865012"/>
                <w14:textFill>
                  <w14:solidFill>
                    <w14:srgbClr w14:val="000000">
                      <w14:alpha w14:val="100000"/>
                    </w14:srgbClr>
                  </w14:solidFill>
                </w14:textFill>
              </w:rPr>
              <w:t xml:space="preserve">　</w:t>
            </w:r>
            <w:r w:rsidR="0020223E" w:rsidRPr="005E20BC">
              <w:rPr>
                <w:rFonts w:ascii="Arial Narrow" w:eastAsiaTheme="majorEastAsia" w:hAnsi="Arial Narrow" w:cstheme="majorBidi"/>
                <w:bCs/>
                <w:color w:val="000000"/>
                <w:sz w:val="20"/>
                <w:vertAlign w:val="superscript"/>
              </w:rPr>
              <w:t>5</w:t>
            </w:r>
          </w:p>
        </w:tc>
        <w:tc>
          <w:tcPr>
            <w:tcW w:w="629" w:type="pct"/>
            <w:tcBorders>
              <w:bottom w:val="single" w:sz="4" w:space="0" w:color="auto"/>
            </w:tcBorders>
            <w:shd w:val="clear" w:color="auto" w:fill="auto"/>
            <w:vAlign w:val="center"/>
          </w:tcPr>
          <w:p w14:paraId="6F31C1BD" w14:textId="67B26702" w:rsidR="00145899" w:rsidRPr="00102519" w:rsidRDefault="007B7D69" w:rsidP="00404F98">
            <w:pPr>
              <w:keepNext/>
              <w:spacing w:before="20" w:after="20"/>
              <w:jc w:val="center"/>
              <w:rPr>
                <w:rFonts w:ascii="Arial Narrow" w:eastAsiaTheme="majorEastAsia" w:hAnsi="Arial Narrow" w:cstheme="majorBidi"/>
                <w:bCs/>
                <w:sz w:val="20"/>
                <w:highlight w:val="yellow"/>
              </w:rPr>
            </w:pPr>
            <w:r w:rsidRPr="007B7D69">
              <w:rPr>
                <w:rFonts w:ascii="Arial Narrow" w:eastAsiaTheme="majorEastAsia" w:hAnsi="Arial Narrow" w:cstheme="majorBidi" w:hint="eastAsia"/>
                <w:bCs/>
                <w:color w:val="000000"/>
                <w:w w:val="15"/>
                <w:sz w:val="20"/>
                <w:shd w:val="solid" w:color="000000" w:fill="000000"/>
                <w:fitText w:val="38" w:id="-1500865011"/>
                <w14:textFill>
                  <w14:solidFill>
                    <w14:srgbClr w14:val="000000">
                      <w14:alpha w14:val="100000"/>
                    </w14:srgbClr>
                  </w14:solidFill>
                </w14:textFill>
              </w:rPr>
              <w:t xml:space="preserve">　</w:t>
            </w:r>
            <w:r w:rsidRPr="007B7D69">
              <w:rPr>
                <w:rFonts w:ascii="Arial Narrow" w:eastAsiaTheme="majorEastAsia" w:hAnsi="Arial Narrow" w:cstheme="majorBidi"/>
                <w:bCs/>
                <w:color w:val="000000"/>
                <w:w w:val="15"/>
                <w:sz w:val="20"/>
                <w:shd w:val="solid" w:color="000000" w:fill="000000"/>
                <w:fitText w:val="38" w:id="-1500865011"/>
                <w14:textFill>
                  <w14:solidFill>
                    <w14:srgbClr w14:val="000000">
                      <w14:alpha w14:val="100000"/>
                    </w14:srgbClr>
                  </w14:solidFill>
                </w14:textFill>
              </w:rPr>
              <w:t>|</w:t>
            </w:r>
            <w:r w:rsidRPr="007B7D69">
              <w:rPr>
                <w:rFonts w:ascii="Arial Narrow" w:eastAsiaTheme="majorEastAsia" w:hAnsi="Arial Narrow" w:cstheme="majorBidi" w:hint="eastAsia"/>
                <w:bCs/>
                <w:color w:val="000000"/>
                <w:spacing w:val="-27"/>
                <w:w w:val="15"/>
                <w:sz w:val="20"/>
                <w:shd w:val="solid" w:color="000000" w:fill="000000"/>
                <w:fitText w:val="38" w:id="-1500865011"/>
                <w14:textFill>
                  <w14:solidFill>
                    <w14:srgbClr w14:val="000000">
                      <w14:alpha w14:val="100000"/>
                    </w14:srgbClr>
                  </w14:solidFill>
                </w14:textFill>
              </w:rPr>
              <w:t xml:space="preserve">　</w:t>
            </w:r>
            <w:r w:rsidR="0020223E" w:rsidRPr="005E20BC">
              <w:rPr>
                <w:rFonts w:ascii="Arial Narrow" w:eastAsiaTheme="majorEastAsia" w:hAnsi="Arial Narrow" w:cstheme="majorBidi"/>
                <w:bCs/>
                <w:color w:val="000000"/>
                <w:sz w:val="20"/>
                <w:vertAlign w:val="superscript"/>
              </w:rPr>
              <w:t>5</w:t>
            </w:r>
          </w:p>
        </w:tc>
        <w:tc>
          <w:tcPr>
            <w:tcW w:w="629" w:type="pct"/>
            <w:tcBorders>
              <w:bottom w:val="single" w:sz="4" w:space="0" w:color="auto"/>
            </w:tcBorders>
            <w:shd w:val="clear" w:color="auto" w:fill="auto"/>
            <w:vAlign w:val="center"/>
          </w:tcPr>
          <w:p w14:paraId="62E25795" w14:textId="0A570900" w:rsidR="00145899" w:rsidRPr="00102519" w:rsidRDefault="007B7D69" w:rsidP="00404F98">
            <w:pPr>
              <w:keepNext/>
              <w:spacing w:before="20" w:after="20"/>
              <w:jc w:val="center"/>
              <w:rPr>
                <w:rFonts w:ascii="Arial Narrow" w:eastAsiaTheme="majorEastAsia" w:hAnsi="Arial Narrow" w:cstheme="majorBidi"/>
                <w:bCs/>
                <w:sz w:val="20"/>
                <w:highlight w:val="yellow"/>
              </w:rPr>
            </w:pPr>
            <w:r w:rsidRPr="007B7D69">
              <w:rPr>
                <w:rFonts w:ascii="Arial Narrow" w:eastAsiaTheme="majorEastAsia" w:hAnsi="Arial Narrow" w:cstheme="majorBidi" w:hint="eastAsia"/>
                <w:bCs/>
                <w:color w:val="000000"/>
                <w:w w:val="15"/>
                <w:sz w:val="20"/>
                <w:shd w:val="solid" w:color="000000" w:fill="000000"/>
                <w:fitText w:val="37" w:id="-1500865010"/>
                <w14:textFill>
                  <w14:solidFill>
                    <w14:srgbClr w14:val="000000">
                      <w14:alpha w14:val="100000"/>
                    </w14:srgbClr>
                  </w14:solidFill>
                </w14:textFill>
              </w:rPr>
              <w:t xml:space="preserve">　</w:t>
            </w:r>
            <w:r w:rsidRPr="007B7D69">
              <w:rPr>
                <w:rFonts w:ascii="Arial Narrow" w:eastAsiaTheme="majorEastAsia" w:hAnsi="Arial Narrow" w:cstheme="majorBidi"/>
                <w:bCs/>
                <w:color w:val="000000"/>
                <w:w w:val="15"/>
                <w:sz w:val="20"/>
                <w:shd w:val="solid" w:color="000000" w:fill="000000"/>
                <w:fitText w:val="37" w:id="-1500865010"/>
                <w14:textFill>
                  <w14:solidFill>
                    <w14:srgbClr w14:val="000000">
                      <w14:alpha w14:val="100000"/>
                    </w14:srgbClr>
                  </w14:solidFill>
                </w14:textFill>
              </w:rPr>
              <w:t>|</w:t>
            </w:r>
            <w:r w:rsidRPr="007B7D69">
              <w:rPr>
                <w:rFonts w:ascii="Arial Narrow" w:eastAsiaTheme="majorEastAsia" w:hAnsi="Arial Narrow" w:cstheme="majorBidi" w:hint="eastAsia"/>
                <w:bCs/>
                <w:color w:val="000000"/>
                <w:spacing w:val="-28"/>
                <w:w w:val="15"/>
                <w:sz w:val="20"/>
                <w:shd w:val="solid" w:color="000000" w:fill="000000"/>
                <w:fitText w:val="37" w:id="-1500865010"/>
                <w14:textFill>
                  <w14:solidFill>
                    <w14:srgbClr w14:val="000000">
                      <w14:alpha w14:val="100000"/>
                    </w14:srgbClr>
                  </w14:solidFill>
                </w14:textFill>
              </w:rPr>
              <w:t xml:space="preserve">　</w:t>
            </w:r>
            <w:r w:rsidR="0020223E" w:rsidRPr="005E20BC">
              <w:rPr>
                <w:rFonts w:ascii="Arial Narrow" w:eastAsiaTheme="majorEastAsia" w:hAnsi="Arial Narrow" w:cstheme="majorBidi"/>
                <w:bCs/>
                <w:color w:val="000000"/>
                <w:sz w:val="20"/>
                <w:vertAlign w:val="superscript"/>
              </w:rPr>
              <w:t>5</w:t>
            </w:r>
          </w:p>
        </w:tc>
        <w:tc>
          <w:tcPr>
            <w:tcW w:w="600" w:type="pct"/>
            <w:tcBorders>
              <w:bottom w:val="single" w:sz="4" w:space="0" w:color="auto"/>
            </w:tcBorders>
            <w:shd w:val="clear" w:color="auto" w:fill="auto"/>
            <w:vAlign w:val="center"/>
          </w:tcPr>
          <w:p w14:paraId="2046ECF0" w14:textId="37D64D80" w:rsidR="00145899" w:rsidRPr="00102519" w:rsidRDefault="007B7D69" w:rsidP="00404F98">
            <w:pPr>
              <w:keepNext/>
              <w:spacing w:before="20" w:after="20"/>
              <w:jc w:val="center"/>
              <w:rPr>
                <w:rFonts w:ascii="Arial Narrow" w:eastAsiaTheme="majorEastAsia" w:hAnsi="Arial Narrow" w:cstheme="majorBidi"/>
                <w:bCs/>
                <w:sz w:val="20"/>
                <w:highlight w:val="yellow"/>
              </w:rPr>
            </w:pPr>
            <w:r w:rsidRPr="007B7D69">
              <w:rPr>
                <w:rFonts w:ascii="Arial Narrow" w:eastAsiaTheme="majorEastAsia" w:hAnsi="Arial Narrow" w:cstheme="majorBidi" w:hint="eastAsia"/>
                <w:bCs/>
                <w:color w:val="000000"/>
                <w:w w:val="15"/>
                <w:sz w:val="20"/>
                <w:shd w:val="solid" w:color="000000" w:fill="000000"/>
                <w:fitText w:val="63" w:id="-1500865009"/>
                <w14:textFill>
                  <w14:solidFill>
                    <w14:srgbClr w14:val="000000">
                      <w14:alpha w14:val="100000"/>
                    </w14:srgbClr>
                  </w14:solidFill>
                </w14:textFill>
              </w:rPr>
              <w:t xml:space="preserve">　</w:t>
            </w:r>
            <w:r w:rsidRPr="007B7D69">
              <w:rPr>
                <w:rFonts w:ascii="Arial Narrow" w:eastAsiaTheme="majorEastAsia" w:hAnsi="Arial Narrow" w:cstheme="majorBidi"/>
                <w:bCs/>
                <w:color w:val="000000"/>
                <w:w w:val="15"/>
                <w:sz w:val="20"/>
                <w:shd w:val="solid" w:color="000000" w:fill="000000"/>
                <w:fitText w:val="63" w:id="-1500865009"/>
                <w14:textFill>
                  <w14:solidFill>
                    <w14:srgbClr w14:val="000000">
                      <w14:alpha w14:val="100000"/>
                    </w14:srgbClr>
                  </w14:solidFill>
                </w14:textFill>
              </w:rPr>
              <w:t>|</w:t>
            </w:r>
            <w:r w:rsidRPr="007B7D69">
              <w:rPr>
                <w:rFonts w:ascii="Arial Narrow" w:eastAsiaTheme="majorEastAsia" w:hAnsi="Arial Narrow" w:cstheme="majorBidi" w:hint="eastAsia"/>
                <w:bCs/>
                <w:color w:val="000000"/>
                <w:spacing w:val="-2"/>
                <w:w w:val="15"/>
                <w:sz w:val="20"/>
                <w:shd w:val="solid" w:color="000000" w:fill="000000"/>
                <w:fitText w:val="63" w:id="-1500865009"/>
                <w14:textFill>
                  <w14:solidFill>
                    <w14:srgbClr w14:val="000000">
                      <w14:alpha w14:val="100000"/>
                    </w14:srgbClr>
                  </w14:solidFill>
                </w14:textFill>
              </w:rPr>
              <w:t xml:space="preserve">　</w:t>
            </w:r>
            <w:r w:rsidR="0020223E" w:rsidRPr="005E20BC">
              <w:rPr>
                <w:rFonts w:ascii="Arial Narrow" w:eastAsiaTheme="majorEastAsia" w:hAnsi="Arial Narrow" w:cstheme="majorBidi"/>
                <w:bCs/>
                <w:color w:val="000000"/>
                <w:sz w:val="20"/>
                <w:vertAlign w:val="superscript"/>
              </w:rPr>
              <w:t>5</w:t>
            </w:r>
          </w:p>
        </w:tc>
      </w:tr>
      <w:tr w:rsidR="00145899" w:rsidRPr="00E74253" w14:paraId="380F49C6" w14:textId="77777777" w:rsidTr="00404F98">
        <w:tc>
          <w:tcPr>
            <w:tcW w:w="5000" w:type="pct"/>
            <w:gridSpan w:val="7"/>
            <w:shd w:val="clear" w:color="auto" w:fill="auto"/>
            <w:vAlign w:val="center"/>
          </w:tcPr>
          <w:p w14:paraId="7CD5FB1C" w14:textId="77777777" w:rsidR="00145899" w:rsidRPr="00E74253" w:rsidRDefault="00145899" w:rsidP="00404F98">
            <w:pPr>
              <w:keepNext/>
              <w:jc w:val="left"/>
              <w:rPr>
                <w:rFonts w:ascii="Arial Narrow" w:eastAsiaTheme="majorEastAsia" w:hAnsi="Arial Narrow" w:cs="Times New Roman"/>
                <w:b/>
                <w:sz w:val="20"/>
                <w:lang w:val="en-US"/>
              </w:rPr>
            </w:pPr>
            <w:r w:rsidRPr="00E74253">
              <w:rPr>
                <w:rFonts w:ascii="Arial Narrow" w:eastAsiaTheme="majorEastAsia" w:hAnsi="Arial Narrow" w:cs="Times New Roman"/>
                <w:b/>
                <w:sz w:val="20"/>
                <w:lang w:val="en-US"/>
              </w:rPr>
              <w:t xml:space="preserve">Estimated financial implications of </w:t>
            </w:r>
            <w:proofErr w:type="spellStart"/>
            <w:r w:rsidRPr="00E74253">
              <w:rPr>
                <w:rFonts w:ascii="Arial Narrow" w:eastAsiaTheme="majorEastAsia" w:hAnsi="Arial Narrow" w:cs="Times New Roman"/>
                <w:b/>
                <w:sz w:val="20"/>
                <w:lang w:val="en-US"/>
              </w:rPr>
              <w:t>palbociclib</w:t>
            </w:r>
            <w:proofErr w:type="spellEnd"/>
          </w:p>
        </w:tc>
      </w:tr>
      <w:tr w:rsidR="00145899" w:rsidRPr="00E74253" w14:paraId="29F13F7C" w14:textId="77777777" w:rsidTr="00B5124C">
        <w:tc>
          <w:tcPr>
            <w:tcW w:w="1255" w:type="pct"/>
            <w:shd w:val="clear" w:color="auto" w:fill="auto"/>
            <w:vAlign w:val="center"/>
          </w:tcPr>
          <w:p w14:paraId="3D8DFA49" w14:textId="77777777" w:rsidR="00145899" w:rsidRPr="00FF27D1" w:rsidRDefault="00145899" w:rsidP="00404F98">
            <w:pPr>
              <w:keepNext/>
              <w:spacing w:before="20" w:after="20"/>
              <w:jc w:val="left"/>
              <w:rPr>
                <w:rFonts w:ascii="Arial Narrow" w:eastAsiaTheme="majorEastAsia" w:hAnsi="Arial Narrow" w:cstheme="majorBidi"/>
                <w:bCs/>
                <w:sz w:val="20"/>
                <w:szCs w:val="20"/>
              </w:rPr>
            </w:pPr>
            <w:r w:rsidRPr="00FF27D1">
              <w:rPr>
                <w:rFonts w:ascii="Arial Narrow" w:eastAsiaTheme="majorEastAsia" w:hAnsi="Arial Narrow" w:cstheme="majorBidi"/>
                <w:bCs/>
                <w:sz w:val="20"/>
                <w:szCs w:val="20"/>
              </w:rPr>
              <w:t xml:space="preserve">Cost to PBS/RPBS less </w:t>
            </w:r>
            <w:proofErr w:type="spellStart"/>
            <w:r w:rsidRPr="00FF27D1">
              <w:rPr>
                <w:rFonts w:ascii="Arial Narrow" w:eastAsiaTheme="majorEastAsia" w:hAnsi="Arial Narrow" w:cstheme="majorBidi"/>
                <w:bCs/>
                <w:sz w:val="20"/>
                <w:szCs w:val="20"/>
              </w:rPr>
              <w:t>copayments</w:t>
            </w:r>
            <w:proofErr w:type="spellEnd"/>
          </w:p>
        </w:tc>
        <w:tc>
          <w:tcPr>
            <w:tcW w:w="629" w:type="pct"/>
            <w:tcBorders>
              <w:top w:val="nil"/>
            </w:tcBorders>
            <w:shd w:val="clear" w:color="auto" w:fill="auto"/>
            <w:vAlign w:val="center"/>
          </w:tcPr>
          <w:p w14:paraId="0AC795B2" w14:textId="73092D00" w:rsidR="00145899" w:rsidRPr="0020223E" w:rsidRDefault="00145899" w:rsidP="00404F98">
            <w:pPr>
              <w:keepNext/>
              <w:spacing w:before="20" w:after="20"/>
              <w:jc w:val="center"/>
              <w:rPr>
                <w:rFonts w:ascii="Arial Narrow" w:eastAsiaTheme="majorEastAsia" w:hAnsi="Arial Narrow" w:cstheme="majorBidi"/>
                <w:bCs/>
                <w:sz w:val="20"/>
                <w:vertAlign w:val="superscript"/>
              </w:rPr>
            </w:pPr>
            <w:r w:rsidRPr="00E74253">
              <w:rPr>
                <w:rFonts w:ascii="Arial Narrow" w:eastAsiaTheme="majorEastAsia" w:hAnsi="Arial Narrow" w:cstheme="majorBidi"/>
                <w:bCs/>
                <w:sz w:val="20"/>
              </w:rPr>
              <w:t>$</w:t>
            </w:r>
            <w:r w:rsidR="007B7D69" w:rsidRPr="007B7D69">
              <w:rPr>
                <w:rFonts w:ascii="Arial Narrow" w:eastAsiaTheme="majorEastAsia" w:hAnsi="Arial Narrow" w:cstheme="majorBidi" w:hint="eastAsia"/>
                <w:bCs/>
                <w:color w:val="000000"/>
                <w:w w:val="16"/>
                <w:sz w:val="20"/>
                <w:shd w:val="solid" w:color="000000" w:fill="000000"/>
                <w:fitText w:val="75" w:id="-1500865008"/>
                <w14:textFill>
                  <w14:solidFill>
                    <w14:srgbClr w14:val="000000">
                      <w14:alpha w14:val="100000"/>
                    </w14:srgbClr>
                  </w14:solidFill>
                </w14:textFill>
              </w:rPr>
              <w:t xml:space="preserve">　</w:t>
            </w:r>
            <w:r w:rsidR="007B7D69" w:rsidRPr="007B7D69">
              <w:rPr>
                <w:rFonts w:ascii="Arial Narrow" w:eastAsiaTheme="majorEastAsia" w:hAnsi="Arial Narrow" w:cstheme="majorBidi"/>
                <w:bCs/>
                <w:color w:val="000000"/>
                <w:w w:val="16"/>
                <w:sz w:val="20"/>
                <w:shd w:val="solid" w:color="000000" w:fill="000000"/>
                <w:fitText w:val="75" w:id="-1500865008"/>
                <w14:textFill>
                  <w14:solidFill>
                    <w14:srgbClr w14:val="000000">
                      <w14:alpha w14:val="100000"/>
                    </w14:srgbClr>
                  </w14:solidFill>
                </w14:textFill>
              </w:rPr>
              <w:t>|</w:t>
            </w:r>
            <w:r w:rsidR="007B7D69" w:rsidRPr="007B7D69">
              <w:rPr>
                <w:rFonts w:ascii="Arial Narrow" w:eastAsiaTheme="majorEastAsia" w:hAnsi="Arial Narrow" w:cstheme="majorBidi" w:hint="eastAsia"/>
                <w:bCs/>
                <w:color w:val="000000"/>
                <w:spacing w:val="5"/>
                <w:w w:val="16"/>
                <w:sz w:val="20"/>
                <w:shd w:val="solid" w:color="000000" w:fill="000000"/>
                <w:fitText w:val="75" w:id="-1500865008"/>
                <w14:textFill>
                  <w14:solidFill>
                    <w14:srgbClr w14:val="000000">
                      <w14:alpha w14:val="100000"/>
                    </w14:srgbClr>
                  </w14:solidFill>
                </w14:textFill>
              </w:rPr>
              <w:t xml:space="preserve">　</w:t>
            </w:r>
            <w:r w:rsidR="0020223E">
              <w:rPr>
                <w:rFonts w:ascii="Arial Narrow" w:eastAsiaTheme="majorEastAsia" w:hAnsi="Arial Narrow" w:cstheme="majorBidi"/>
                <w:bCs/>
                <w:sz w:val="20"/>
                <w:vertAlign w:val="superscript"/>
              </w:rPr>
              <w:t>3</w:t>
            </w:r>
          </w:p>
        </w:tc>
        <w:tc>
          <w:tcPr>
            <w:tcW w:w="629" w:type="pct"/>
            <w:tcBorders>
              <w:top w:val="nil"/>
            </w:tcBorders>
            <w:shd w:val="clear" w:color="auto" w:fill="auto"/>
            <w:vAlign w:val="center"/>
          </w:tcPr>
          <w:p w14:paraId="25C6729B" w14:textId="5C29C8B0" w:rsidR="00145899" w:rsidRPr="00E74253" w:rsidRDefault="00145899" w:rsidP="00404F98">
            <w:pPr>
              <w:keepNext/>
              <w:spacing w:before="20" w:after="20"/>
              <w:jc w:val="center"/>
              <w:rPr>
                <w:rFonts w:ascii="Arial Narrow" w:eastAsiaTheme="majorEastAsia" w:hAnsi="Arial Narrow" w:cstheme="majorBidi"/>
                <w:bCs/>
                <w:sz w:val="20"/>
              </w:rPr>
            </w:pPr>
            <w:r w:rsidRPr="00E74253">
              <w:rPr>
                <w:rFonts w:ascii="Arial Narrow" w:eastAsiaTheme="majorEastAsia" w:hAnsi="Arial Narrow" w:cstheme="majorBidi"/>
                <w:bCs/>
                <w:sz w:val="20"/>
              </w:rPr>
              <w:t>$</w:t>
            </w:r>
            <w:r w:rsidR="007B7D69" w:rsidRPr="007B7D69">
              <w:rPr>
                <w:rFonts w:ascii="Arial Narrow" w:eastAsiaTheme="majorEastAsia" w:hAnsi="Arial Narrow" w:cstheme="majorBidi" w:hint="eastAsia"/>
                <w:bCs/>
                <w:color w:val="000000"/>
                <w:w w:val="16"/>
                <w:sz w:val="20"/>
                <w:shd w:val="solid" w:color="000000" w:fill="000000"/>
                <w:fitText w:val="75" w:id="-1500865024"/>
                <w14:textFill>
                  <w14:solidFill>
                    <w14:srgbClr w14:val="000000">
                      <w14:alpha w14:val="100000"/>
                    </w14:srgbClr>
                  </w14:solidFill>
                </w14:textFill>
              </w:rPr>
              <w:t xml:space="preserve">　</w:t>
            </w:r>
            <w:r w:rsidR="007B7D69" w:rsidRPr="007B7D69">
              <w:rPr>
                <w:rFonts w:ascii="Arial Narrow" w:eastAsiaTheme="majorEastAsia" w:hAnsi="Arial Narrow" w:cstheme="majorBidi"/>
                <w:bCs/>
                <w:color w:val="000000"/>
                <w:w w:val="16"/>
                <w:sz w:val="20"/>
                <w:shd w:val="solid" w:color="000000" w:fill="000000"/>
                <w:fitText w:val="75" w:id="-1500865024"/>
                <w14:textFill>
                  <w14:solidFill>
                    <w14:srgbClr w14:val="000000">
                      <w14:alpha w14:val="100000"/>
                    </w14:srgbClr>
                  </w14:solidFill>
                </w14:textFill>
              </w:rPr>
              <w:t>|</w:t>
            </w:r>
            <w:r w:rsidR="007B7D69" w:rsidRPr="007B7D69">
              <w:rPr>
                <w:rFonts w:ascii="Arial Narrow" w:eastAsiaTheme="majorEastAsia" w:hAnsi="Arial Narrow" w:cstheme="majorBidi" w:hint="eastAsia"/>
                <w:bCs/>
                <w:color w:val="000000"/>
                <w:spacing w:val="5"/>
                <w:w w:val="16"/>
                <w:sz w:val="20"/>
                <w:shd w:val="solid" w:color="000000" w:fill="000000"/>
                <w:fitText w:val="75" w:id="-1500865024"/>
                <w14:textFill>
                  <w14:solidFill>
                    <w14:srgbClr w14:val="000000">
                      <w14:alpha w14:val="100000"/>
                    </w14:srgbClr>
                  </w14:solidFill>
                </w14:textFill>
              </w:rPr>
              <w:t xml:space="preserve">　</w:t>
            </w:r>
            <w:r w:rsidR="0020223E">
              <w:rPr>
                <w:rFonts w:ascii="Arial Narrow" w:eastAsiaTheme="majorEastAsia" w:hAnsi="Arial Narrow" w:cstheme="majorBidi"/>
                <w:bCs/>
                <w:sz w:val="20"/>
                <w:vertAlign w:val="superscript"/>
              </w:rPr>
              <w:t>3</w:t>
            </w:r>
          </w:p>
        </w:tc>
        <w:tc>
          <w:tcPr>
            <w:tcW w:w="629" w:type="pct"/>
            <w:tcBorders>
              <w:top w:val="nil"/>
            </w:tcBorders>
            <w:shd w:val="clear" w:color="auto" w:fill="auto"/>
            <w:vAlign w:val="center"/>
          </w:tcPr>
          <w:p w14:paraId="49276CD7" w14:textId="6154C595" w:rsidR="00145899" w:rsidRPr="00E74253" w:rsidRDefault="00145899" w:rsidP="00404F98">
            <w:pPr>
              <w:keepNext/>
              <w:spacing w:before="20" w:after="20"/>
              <w:jc w:val="center"/>
              <w:rPr>
                <w:rFonts w:ascii="Arial Narrow" w:eastAsiaTheme="majorEastAsia" w:hAnsi="Arial Narrow" w:cstheme="majorBidi"/>
                <w:bCs/>
                <w:sz w:val="20"/>
              </w:rPr>
            </w:pPr>
            <w:r w:rsidRPr="00E74253">
              <w:rPr>
                <w:rFonts w:ascii="Arial Narrow" w:eastAsiaTheme="majorEastAsia" w:hAnsi="Arial Narrow" w:cstheme="majorBidi"/>
                <w:bCs/>
                <w:sz w:val="20"/>
              </w:rPr>
              <w:t>$</w:t>
            </w:r>
            <w:r w:rsidR="007B7D69" w:rsidRPr="007B7D69">
              <w:rPr>
                <w:rFonts w:ascii="Arial Narrow" w:eastAsiaTheme="majorEastAsia" w:hAnsi="Arial Narrow" w:cstheme="majorBidi" w:hint="eastAsia"/>
                <w:bCs/>
                <w:color w:val="000000"/>
                <w:w w:val="16"/>
                <w:sz w:val="20"/>
                <w:shd w:val="solid" w:color="000000" w:fill="000000"/>
                <w:fitText w:val="75" w:id="-1500865023"/>
                <w14:textFill>
                  <w14:solidFill>
                    <w14:srgbClr w14:val="000000">
                      <w14:alpha w14:val="100000"/>
                    </w14:srgbClr>
                  </w14:solidFill>
                </w14:textFill>
              </w:rPr>
              <w:t xml:space="preserve">　</w:t>
            </w:r>
            <w:r w:rsidR="007B7D69" w:rsidRPr="007B7D69">
              <w:rPr>
                <w:rFonts w:ascii="Arial Narrow" w:eastAsiaTheme="majorEastAsia" w:hAnsi="Arial Narrow" w:cstheme="majorBidi"/>
                <w:bCs/>
                <w:color w:val="000000"/>
                <w:w w:val="16"/>
                <w:sz w:val="20"/>
                <w:shd w:val="solid" w:color="000000" w:fill="000000"/>
                <w:fitText w:val="75" w:id="-1500865023"/>
                <w14:textFill>
                  <w14:solidFill>
                    <w14:srgbClr w14:val="000000">
                      <w14:alpha w14:val="100000"/>
                    </w14:srgbClr>
                  </w14:solidFill>
                </w14:textFill>
              </w:rPr>
              <w:t>|</w:t>
            </w:r>
            <w:r w:rsidR="007B7D69" w:rsidRPr="007B7D69">
              <w:rPr>
                <w:rFonts w:ascii="Arial Narrow" w:eastAsiaTheme="majorEastAsia" w:hAnsi="Arial Narrow" w:cstheme="majorBidi" w:hint="eastAsia"/>
                <w:bCs/>
                <w:color w:val="000000"/>
                <w:spacing w:val="5"/>
                <w:w w:val="16"/>
                <w:sz w:val="20"/>
                <w:shd w:val="solid" w:color="000000" w:fill="000000"/>
                <w:fitText w:val="75" w:id="-1500865023"/>
                <w14:textFill>
                  <w14:solidFill>
                    <w14:srgbClr w14:val="000000">
                      <w14:alpha w14:val="100000"/>
                    </w14:srgbClr>
                  </w14:solidFill>
                </w14:textFill>
              </w:rPr>
              <w:t xml:space="preserve">　</w:t>
            </w:r>
            <w:r w:rsidR="0020223E">
              <w:rPr>
                <w:rFonts w:ascii="Arial Narrow" w:eastAsiaTheme="majorEastAsia" w:hAnsi="Arial Narrow" w:cstheme="majorBidi"/>
                <w:bCs/>
                <w:sz w:val="20"/>
                <w:vertAlign w:val="superscript"/>
              </w:rPr>
              <w:t>3</w:t>
            </w:r>
          </w:p>
        </w:tc>
        <w:tc>
          <w:tcPr>
            <w:tcW w:w="629" w:type="pct"/>
            <w:tcBorders>
              <w:top w:val="nil"/>
            </w:tcBorders>
            <w:shd w:val="clear" w:color="auto" w:fill="auto"/>
            <w:vAlign w:val="center"/>
          </w:tcPr>
          <w:p w14:paraId="0887475B" w14:textId="29C4AC12" w:rsidR="00145899" w:rsidRPr="00E74253" w:rsidRDefault="00145899" w:rsidP="00404F98">
            <w:pPr>
              <w:keepNext/>
              <w:spacing w:before="20" w:after="20"/>
              <w:jc w:val="center"/>
              <w:rPr>
                <w:rFonts w:ascii="Arial Narrow" w:eastAsiaTheme="majorEastAsia" w:hAnsi="Arial Narrow" w:cstheme="majorBidi"/>
                <w:bCs/>
                <w:sz w:val="20"/>
              </w:rPr>
            </w:pPr>
            <w:r w:rsidRPr="00E74253">
              <w:rPr>
                <w:rFonts w:ascii="Arial Narrow" w:eastAsiaTheme="majorEastAsia" w:hAnsi="Arial Narrow" w:cstheme="majorBidi"/>
                <w:bCs/>
                <w:sz w:val="20"/>
              </w:rPr>
              <w:t>$</w:t>
            </w:r>
            <w:r w:rsidR="007B7D69" w:rsidRPr="007B7D69">
              <w:rPr>
                <w:rFonts w:ascii="Arial Narrow" w:eastAsiaTheme="majorEastAsia" w:hAnsi="Arial Narrow" w:cstheme="majorBidi" w:hint="eastAsia"/>
                <w:bCs/>
                <w:color w:val="000000"/>
                <w:w w:val="16"/>
                <w:sz w:val="20"/>
                <w:shd w:val="solid" w:color="000000" w:fill="000000"/>
                <w:fitText w:val="75" w:id="-1500865022"/>
                <w14:textFill>
                  <w14:solidFill>
                    <w14:srgbClr w14:val="000000">
                      <w14:alpha w14:val="100000"/>
                    </w14:srgbClr>
                  </w14:solidFill>
                </w14:textFill>
              </w:rPr>
              <w:t xml:space="preserve">　</w:t>
            </w:r>
            <w:r w:rsidR="007B7D69" w:rsidRPr="007B7D69">
              <w:rPr>
                <w:rFonts w:ascii="Arial Narrow" w:eastAsiaTheme="majorEastAsia" w:hAnsi="Arial Narrow" w:cstheme="majorBidi"/>
                <w:bCs/>
                <w:color w:val="000000"/>
                <w:w w:val="16"/>
                <w:sz w:val="20"/>
                <w:shd w:val="solid" w:color="000000" w:fill="000000"/>
                <w:fitText w:val="75" w:id="-1500865022"/>
                <w14:textFill>
                  <w14:solidFill>
                    <w14:srgbClr w14:val="000000">
                      <w14:alpha w14:val="100000"/>
                    </w14:srgbClr>
                  </w14:solidFill>
                </w14:textFill>
              </w:rPr>
              <w:t>|</w:t>
            </w:r>
            <w:r w:rsidR="007B7D69" w:rsidRPr="007B7D69">
              <w:rPr>
                <w:rFonts w:ascii="Arial Narrow" w:eastAsiaTheme="majorEastAsia" w:hAnsi="Arial Narrow" w:cstheme="majorBidi" w:hint="eastAsia"/>
                <w:bCs/>
                <w:color w:val="000000"/>
                <w:spacing w:val="5"/>
                <w:w w:val="16"/>
                <w:sz w:val="20"/>
                <w:shd w:val="solid" w:color="000000" w:fill="000000"/>
                <w:fitText w:val="75" w:id="-1500865022"/>
                <w14:textFill>
                  <w14:solidFill>
                    <w14:srgbClr w14:val="000000">
                      <w14:alpha w14:val="100000"/>
                    </w14:srgbClr>
                  </w14:solidFill>
                </w14:textFill>
              </w:rPr>
              <w:t xml:space="preserve">　</w:t>
            </w:r>
            <w:r w:rsidR="0020223E">
              <w:rPr>
                <w:rFonts w:ascii="Arial Narrow" w:eastAsiaTheme="majorEastAsia" w:hAnsi="Arial Narrow" w:cstheme="majorBidi"/>
                <w:bCs/>
                <w:sz w:val="20"/>
                <w:vertAlign w:val="superscript"/>
              </w:rPr>
              <w:t>3</w:t>
            </w:r>
          </w:p>
        </w:tc>
        <w:tc>
          <w:tcPr>
            <w:tcW w:w="629" w:type="pct"/>
            <w:tcBorders>
              <w:top w:val="nil"/>
            </w:tcBorders>
            <w:shd w:val="clear" w:color="auto" w:fill="auto"/>
            <w:vAlign w:val="center"/>
          </w:tcPr>
          <w:p w14:paraId="48C919F7" w14:textId="65417C03" w:rsidR="00145899" w:rsidRPr="00E74253" w:rsidRDefault="00145899" w:rsidP="00404F98">
            <w:pPr>
              <w:keepNext/>
              <w:spacing w:before="20" w:after="20"/>
              <w:jc w:val="center"/>
              <w:rPr>
                <w:rFonts w:ascii="Arial Narrow" w:eastAsiaTheme="majorEastAsia" w:hAnsi="Arial Narrow" w:cstheme="majorBidi"/>
                <w:bCs/>
                <w:sz w:val="20"/>
              </w:rPr>
            </w:pPr>
            <w:r w:rsidRPr="00E74253">
              <w:rPr>
                <w:rFonts w:ascii="Arial Narrow" w:eastAsiaTheme="majorEastAsia" w:hAnsi="Arial Narrow" w:cstheme="majorBidi"/>
                <w:bCs/>
                <w:sz w:val="20"/>
              </w:rPr>
              <w:t>$</w:t>
            </w:r>
            <w:r w:rsidR="007B7D69" w:rsidRPr="007B7D69">
              <w:rPr>
                <w:rFonts w:ascii="Arial Narrow" w:eastAsiaTheme="majorEastAsia" w:hAnsi="Arial Narrow" w:cstheme="majorBidi" w:hint="eastAsia"/>
                <w:bCs/>
                <w:color w:val="000000"/>
                <w:w w:val="16"/>
                <w:sz w:val="20"/>
                <w:shd w:val="solid" w:color="000000" w:fill="000000"/>
                <w:fitText w:val="75" w:id="-1500865021"/>
                <w14:textFill>
                  <w14:solidFill>
                    <w14:srgbClr w14:val="000000">
                      <w14:alpha w14:val="100000"/>
                    </w14:srgbClr>
                  </w14:solidFill>
                </w14:textFill>
              </w:rPr>
              <w:t xml:space="preserve">　</w:t>
            </w:r>
            <w:r w:rsidR="007B7D69" w:rsidRPr="007B7D69">
              <w:rPr>
                <w:rFonts w:ascii="Arial Narrow" w:eastAsiaTheme="majorEastAsia" w:hAnsi="Arial Narrow" w:cstheme="majorBidi"/>
                <w:bCs/>
                <w:color w:val="000000"/>
                <w:w w:val="16"/>
                <w:sz w:val="20"/>
                <w:shd w:val="solid" w:color="000000" w:fill="000000"/>
                <w:fitText w:val="75" w:id="-1500865021"/>
                <w14:textFill>
                  <w14:solidFill>
                    <w14:srgbClr w14:val="000000">
                      <w14:alpha w14:val="100000"/>
                    </w14:srgbClr>
                  </w14:solidFill>
                </w14:textFill>
              </w:rPr>
              <w:t>|</w:t>
            </w:r>
            <w:r w:rsidR="007B7D69" w:rsidRPr="007B7D69">
              <w:rPr>
                <w:rFonts w:ascii="Arial Narrow" w:eastAsiaTheme="majorEastAsia" w:hAnsi="Arial Narrow" w:cstheme="majorBidi" w:hint="eastAsia"/>
                <w:bCs/>
                <w:color w:val="000000"/>
                <w:spacing w:val="5"/>
                <w:w w:val="16"/>
                <w:sz w:val="20"/>
                <w:shd w:val="solid" w:color="000000" w:fill="000000"/>
                <w:fitText w:val="75" w:id="-1500865021"/>
                <w14:textFill>
                  <w14:solidFill>
                    <w14:srgbClr w14:val="000000">
                      <w14:alpha w14:val="100000"/>
                    </w14:srgbClr>
                  </w14:solidFill>
                </w14:textFill>
              </w:rPr>
              <w:t xml:space="preserve">　</w:t>
            </w:r>
            <w:r w:rsidR="0020223E">
              <w:rPr>
                <w:rFonts w:ascii="Arial Narrow" w:eastAsiaTheme="majorEastAsia" w:hAnsi="Arial Narrow" w:cstheme="majorBidi"/>
                <w:bCs/>
                <w:sz w:val="20"/>
                <w:vertAlign w:val="superscript"/>
              </w:rPr>
              <w:t>3</w:t>
            </w:r>
          </w:p>
        </w:tc>
        <w:tc>
          <w:tcPr>
            <w:tcW w:w="600" w:type="pct"/>
            <w:tcBorders>
              <w:top w:val="nil"/>
            </w:tcBorders>
            <w:shd w:val="clear" w:color="auto" w:fill="auto"/>
            <w:vAlign w:val="center"/>
          </w:tcPr>
          <w:p w14:paraId="65F60380" w14:textId="6C025603" w:rsidR="00145899" w:rsidRPr="00E74253" w:rsidRDefault="00145899" w:rsidP="00404F98">
            <w:pPr>
              <w:keepNext/>
              <w:spacing w:before="20" w:after="20"/>
              <w:jc w:val="center"/>
              <w:rPr>
                <w:rFonts w:ascii="Arial Narrow" w:eastAsiaTheme="majorEastAsia" w:hAnsi="Arial Narrow" w:cstheme="majorBidi"/>
                <w:bCs/>
                <w:sz w:val="20"/>
              </w:rPr>
            </w:pPr>
            <w:r w:rsidRPr="00E74253">
              <w:rPr>
                <w:rFonts w:ascii="Arial Narrow" w:eastAsiaTheme="majorEastAsia" w:hAnsi="Arial Narrow" w:cstheme="majorBidi"/>
                <w:bCs/>
                <w:sz w:val="20"/>
              </w:rPr>
              <w:t>$</w:t>
            </w:r>
            <w:r w:rsidR="007B7D69" w:rsidRPr="007B7D69">
              <w:rPr>
                <w:rFonts w:ascii="Arial Narrow" w:eastAsiaTheme="majorEastAsia" w:hAnsi="Arial Narrow" w:cstheme="majorBidi" w:hint="eastAsia"/>
                <w:bCs/>
                <w:color w:val="000000"/>
                <w:w w:val="25"/>
                <w:sz w:val="20"/>
                <w:shd w:val="solid" w:color="000000" w:fill="000000"/>
                <w:fitText w:val="112" w:id="-1500865020"/>
                <w14:textFill>
                  <w14:solidFill>
                    <w14:srgbClr w14:val="000000">
                      <w14:alpha w14:val="100000"/>
                    </w14:srgbClr>
                  </w14:solidFill>
                </w14:textFill>
              </w:rPr>
              <w:t xml:space="preserve">　</w:t>
            </w:r>
            <w:r w:rsidR="007B7D69" w:rsidRPr="007B7D69">
              <w:rPr>
                <w:rFonts w:ascii="Arial Narrow" w:eastAsiaTheme="majorEastAsia" w:hAnsi="Arial Narrow" w:cstheme="majorBidi"/>
                <w:bCs/>
                <w:color w:val="000000"/>
                <w:w w:val="25"/>
                <w:sz w:val="20"/>
                <w:shd w:val="solid" w:color="000000" w:fill="000000"/>
                <w:fitText w:val="112" w:id="-1500865020"/>
                <w14:textFill>
                  <w14:solidFill>
                    <w14:srgbClr w14:val="000000">
                      <w14:alpha w14:val="100000"/>
                    </w14:srgbClr>
                  </w14:solidFill>
                </w14:textFill>
              </w:rPr>
              <w:t>|</w:t>
            </w:r>
            <w:r w:rsidR="007B7D69" w:rsidRPr="007B7D69">
              <w:rPr>
                <w:rFonts w:ascii="Arial Narrow" w:eastAsiaTheme="majorEastAsia" w:hAnsi="Arial Narrow" w:cstheme="majorBidi" w:hint="eastAsia"/>
                <w:bCs/>
                <w:color w:val="000000"/>
                <w:spacing w:val="1"/>
                <w:w w:val="25"/>
                <w:sz w:val="20"/>
                <w:shd w:val="solid" w:color="000000" w:fill="000000"/>
                <w:fitText w:val="112" w:id="-1500865020"/>
                <w14:textFill>
                  <w14:solidFill>
                    <w14:srgbClr w14:val="000000">
                      <w14:alpha w14:val="100000"/>
                    </w14:srgbClr>
                  </w14:solidFill>
                </w14:textFill>
              </w:rPr>
              <w:t xml:space="preserve">　</w:t>
            </w:r>
            <w:r w:rsidR="0020223E">
              <w:rPr>
                <w:rFonts w:ascii="Arial Narrow" w:eastAsiaTheme="majorEastAsia" w:hAnsi="Arial Narrow" w:cstheme="majorBidi"/>
                <w:bCs/>
                <w:sz w:val="20"/>
                <w:vertAlign w:val="superscript"/>
              </w:rPr>
              <w:t>3</w:t>
            </w:r>
          </w:p>
        </w:tc>
      </w:tr>
      <w:tr w:rsidR="00145899" w:rsidRPr="00E74253" w14:paraId="2931D647" w14:textId="77777777" w:rsidTr="00404F98">
        <w:tc>
          <w:tcPr>
            <w:tcW w:w="5000" w:type="pct"/>
            <w:gridSpan w:val="7"/>
            <w:shd w:val="clear" w:color="auto" w:fill="auto"/>
            <w:vAlign w:val="center"/>
          </w:tcPr>
          <w:p w14:paraId="271D46CC" w14:textId="77777777" w:rsidR="00145899" w:rsidRPr="00FF27D1" w:rsidRDefault="00145899" w:rsidP="00404F98">
            <w:pPr>
              <w:keepNext/>
              <w:spacing w:before="20" w:after="20"/>
              <w:jc w:val="left"/>
              <w:rPr>
                <w:rFonts w:ascii="Arial Narrow" w:eastAsiaTheme="majorEastAsia" w:hAnsi="Arial Narrow" w:cstheme="majorBidi"/>
                <w:b/>
                <w:sz w:val="20"/>
                <w:szCs w:val="20"/>
              </w:rPr>
            </w:pPr>
            <w:r w:rsidRPr="00FF27D1">
              <w:rPr>
                <w:rFonts w:ascii="Arial Narrow" w:eastAsiaTheme="majorEastAsia" w:hAnsi="Arial Narrow" w:cstheme="majorBidi"/>
                <w:b/>
                <w:sz w:val="20"/>
                <w:szCs w:val="20"/>
              </w:rPr>
              <w:t xml:space="preserve">Estimated financial implications for </w:t>
            </w:r>
            <w:proofErr w:type="spellStart"/>
            <w:r w:rsidRPr="00FF27D1">
              <w:rPr>
                <w:rFonts w:ascii="Arial Narrow" w:eastAsiaTheme="majorEastAsia" w:hAnsi="Arial Narrow" w:cstheme="majorBidi"/>
                <w:b/>
                <w:sz w:val="20"/>
                <w:szCs w:val="20"/>
              </w:rPr>
              <w:t>ribociclib</w:t>
            </w:r>
            <w:proofErr w:type="spellEnd"/>
          </w:p>
        </w:tc>
      </w:tr>
      <w:tr w:rsidR="00145899" w:rsidRPr="00E74253" w14:paraId="7595828F" w14:textId="77777777" w:rsidTr="00B5124C">
        <w:tc>
          <w:tcPr>
            <w:tcW w:w="1255" w:type="pct"/>
            <w:shd w:val="clear" w:color="auto" w:fill="auto"/>
            <w:vAlign w:val="center"/>
          </w:tcPr>
          <w:p w14:paraId="77F63748" w14:textId="77777777" w:rsidR="00145899" w:rsidRPr="00FF27D1" w:rsidRDefault="00145899" w:rsidP="00404F98">
            <w:pPr>
              <w:keepNext/>
              <w:spacing w:before="20" w:after="20"/>
              <w:jc w:val="left"/>
              <w:rPr>
                <w:rFonts w:ascii="Arial Narrow" w:eastAsiaTheme="majorEastAsia" w:hAnsi="Arial Narrow" w:cstheme="majorBidi"/>
                <w:bCs/>
                <w:sz w:val="20"/>
                <w:szCs w:val="20"/>
              </w:rPr>
            </w:pPr>
            <w:r w:rsidRPr="00FF27D1">
              <w:rPr>
                <w:rFonts w:ascii="Arial Narrow" w:eastAsiaTheme="majorEastAsia" w:hAnsi="Arial Narrow" w:cstheme="majorBidi"/>
                <w:bCs/>
                <w:sz w:val="20"/>
                <w:szCs w:val="20"/>
              </w:rPr>
              <w:t xml:space="preserve">Cost to PBS/RPBS less </w:t>
            </w:r>
            <w:proofErr w:type="spellStart"/>
            <w:r w:rsidRPr="00FF27D1">
              <w:rPr>
                <w:rFonts w:ascii="Arial Narrow" w:eastAsiaTheme="majorEastAsia" w:hAnsi="Arial Narrow" w:cstheme="majorBidi"/>
                <w:bCs/>
                <w:sz w:val="20"/>
                <w:szCs w:val="20"/>
              </w:rPr>
              <w:t>copayments</w:t>
            </w:r>
            <w:proofErr w:type="spellEnd"/>
          </w:p>
        </w:tc>
        <w:tc>
          <w:tcPr>
            <w:tcW w:w="629" w:type="pct"/>
            <w:tcBorders>
              <w:top w:val="nil"/>
            </w:tcBorders>
            <w:shd w:val="clear" w:color="auto" w:fill="auto"/>
            <w:vAlign w:val="center"/>
          </w:tcPr>
          <w:p w14:paraId="3BB3CF06" w14:textId="08A40DB7" w:rsidR="00145899" w:rsidRPr="00E74253" w:rsidRDefault="00145899" w:rsidP="00404F98">
            <w:pPr>
              <w:keepNext/>
              <w:spacing w:before="20" w:after="20"/>
              <w:jc w:val="center"/>
              <w:rPr>
                <w:rFonts w:ascii="Arial Narrow" w:eastAsiaTheme="majorEastAsia" w:hAnsi="Arial Narrow" w:cstheme="majorBidi"/>
                <w:bCs/>
                <w:sz w:val="20"/>
              </w:rPr>
            </w:pPr>
            <w:r w:rsidRPr="00E74253">
              <w:rPr>
                <w:rFonts w:ascii="Arial Narrow" w:eastAsiaTheme="majorEastAsia" w:hAnsi="Arial Narrow" w:cstheme="majorBidi"/>
                <w:bCs/>
                <w:sz w:val="20"/>
              </w:rPr>
              <w:t>$</w:t>
            </w:r>
            <w:r w:rsidR="007B7D69" w:rsidRPr="007B7D69">
              <w:rPr>
                <w:rFonts w:ascii="Arial Narrow" w:eastAsiaTheme="majorEastAsia" w:hAnsi="Arial Narrow" w:cstheme="majorBidi" w:hint="eastAsia"/>
                <w:bCs/>
                <w:color w:val="000000"/>
                <w:w w:val="16"/>
                <w:sz w:val="20"/>
                <w:shd w:val="solid" w:color="000000" w:fill="000000"/>
                <w:fitText w:val="75" w:id="-1500865019"/>
                <w14:textFill>
                  <w14:solidFill>
                    <w14:srgbClr w14:val="000000">
                      <w14:alpha w14:val="100000"/>
                    </w14:srgbClr>
                  </w14:solidFill>
                </w14:textFill>
              </w:rPr>
              <w:t xml:space="preserve">　</w:t>
            </w:r>
            <w:r w:rsidR="007B7D69" w:rsidRPr="007B7D69">
              <w:rPr>
                <w:rFonts w:ascii="Arial Narrow" w:eastAsiaTheme="majorEastAsia" w:hAnsi="Arial Narrow" w:cstheme="majorBidi"/>
                <w:bCs/>
                <w:color w:val="000000"/>
                <w:w w:val="16"/>
                <w:sz w:val="20"/>
                <w:shd w:val="solid" w:color="000000" w:fill="000000"/>
                <w:fitText w:val="75" w:id="-1500865019"/>
                <w14:textFill>
                  <w14:solidFill>
                    <w14:srgbClr w14:val="000000">
                      <w14:alpha w14:val="100000"/>
                    </w14:srgbClr>
                  </w14:solidFill>
                </w14:textFill>
              </w:rPr>
              <w:t>|</w:t>
            </w:r>
            <w:r w:rsidR="007B7D69" w:rsidRPr="007B7D69">
              <w:rPr>
                <w:rFonts w:ascii="Arial Narrow" w:eastAsiaTheme="majorEastAsia" w:hAnsi="Arial Narrow" w:cstheme="majorBidi" w:hint="eastAsia"/>
                <w:bCs/>
                <w:color w:val="000000"/>
                <w:spacing w:val="5"/>
                <w:w w:val="16"/>
                <w:sz w:val="20"/>
                <w:shd w:val="solid" w:color="000000" w:fill="000000"/>
                <w:fitText w:val="75" w:id="-1500865019"/>
                <w14:textFill>
                  <w14:solidFill>
                    <w14:srgbClr w14:val="000000">
                      <w14:alpha w14:val="100000"/>
                    </w14:srgbClr>
                  </w14:solidFill>
                </w14:textFill>
              </w:rPr>
              <w:t xml:space="preserve">　</w:t>
            </w:r>
            <w:r w:rsidR="0020223E">
              <w:rPr>
                <w:rFonts w:ascii="Arial Narrow" w:eastAsiaTheme="majorEastAsia" w:hAnsi="Arial Narrow" w:cstheme="majorBidi"/>
                <w:bCs/>
                <w:sz w:val="20"/>
                <w:vertAlign w:val="superscript"/>
              </w:rPr>
              <w:t>3</w:t>
            </w:r>
          </w:p>
        </w:tc>
        <w:tc>
          <w:tcPr>
            <w:tcW w:w="629" w:type="pct"/>
            <w:tcBorders>
              <w:top w:val="nil"/>
            </w:tcBorders>
            <w:shd w:val="clear" w:color="auto" w:fill="auto"/>
            <w:vAlign w:val="center"/>
          </w:tcPr>
          <w:p w14:paraId="7C19FB68" w14:textId="75C1116D" w:rsidR="00145899" w:rsidRPr="00E74253" w:rsidRDefault="00145899" w:rsidP="00404F98">
            <w:pPr>
              <w:keepNext/>
              <w:spacing w:before="20" w:after="20"/>
              <w:jc w:val="center"/>
              <w:rPr>
                <w:rFonts w:ascii="Arial Narrow" w:eastAsiaTheme="majorEastAsia" w:hAnsi="Arial Narrow" w:cstheme="majorBidi"/>
                <w:bCs/>
                <w:sz w:val="20"/>
              </w:rPr>
            </w:pPr>
            <w:r w:rsidRPr="00E74253">
              <w:rPr>
                <w:rFonts w:ascii="Arial Narrow" w:eastAsiaTheme="majorEastAsia" w:hAnsi="Arial Narrow" w:cstheme="majorBidi"/>
                <w:bCs/>
                <w:sz w:val="20"/>
              </w:rPr>
              <w:t>$</w:t>
            </w:r>
            <w:r w:rsidR="007B7D69" w:rsidRPr="007B7D69">
              <w:rPr>
                <w:rFonts w:ascii="Arial Narrow" w:eastAsiaTheme="majorEastAsia" w:hAnsi="Arial Narrow" w:cstheme="majorBidi" w:hint="eastAsia"/>
                <w:bCs/>
                <w:color w:val="000000"/>
                <w:w w:val="16"/>
                <w:sz w:val="20"/>
                <w:shd w:val="solid" w:color="000000" w:fill="000000"/>
                <w:fitText w:val="75" w:id="-1500865018"/>
                <w14:textFill>
                  <w14:solidFill>
                    <w14:srgbClr w14:val="000000">
                      <w14:alpha w14:val="100000"/>
                    </w14:srgbClr>
                  </w14:solidFill>
                </w14:textFill>
              </w:rPr>
              <w:t xml:space="preserve">　</w:t>
            </w:r>
            <w:r w:rsidR="007B7D69" w:rsidRPr="007B7D69">
              <w:rPr>
                <w:rFonts w:ascii="Arial Narrow" w:eastAsiaTheme="majorEastAsia" w:hAnsi="Arial Narrow" w:cstheme="majorBidi"/>
                <w:bCs/>
                <w:color w:val="000000"/>
                <w:w w:val="16"/>
                <w:sz w:val="20"/>
                <w:shd w:val="solid" w:color="000000" w:fill="000000"/>
                <w:fitText w:val="75" w:id="-1500865018"/>
                <w14:textFill>
                  <w14:solidFill>
                    <w14:srgbClr w14:val="000000">
                      <w14:alpha w14:val="100000"/>
                    </w14:srgbClr>
                  </w14:solidFill>
                </w14:textFill>
              </w:rPr>
              <w:t>|</w:t>
            </w:r>
            <w:r w:rsidR="007B7D69" w:rsidRPr="007B7D69">
              <w:rPr>
                <w:rFonts w:ascii="Arial Narrow" w:eastAsiaTheme="majorEastAsia" w:hAnsi="Arial Narrow" w:cstheme="majorBidi" w:hint="eastAsia"/>
                <w:bCs/>
                <w:color w:val="000000"/>
                <w:spacing w:val="5"/>
                <w:w w:val="16"/>
                <w:sz w:val="20"/>
                <w:shd w:val="solid" w:color="000000" w:fill="000000"/>
                <w:fitText w:val="75" w:id="-1500865018"/>
                <w14:textFill>
                  <w14:solidFill>
                    <w14:srgbClr w14:val="000000">
                      <w14:alpha w14:val="100000"/>
                    </w14:srgbClr>
                  </w14:solidFill>
                </w14:textFill>
              </w:rPr>
              <w:t xml:space="preserve">　</w:t>
            </w:r>
            <w:r w:rsidR="0020223E">
              <w:rPr>
                <w:rFonts w:ascii="Arial Narrow" w:eastAsiaTheme="majorEastAsia" w:hAnsi="Arial Narrow" w:cstheme="majorBidi"/>
                <w:bCs/>
                <w:sz w:val="20"/>
                <w:vertAlign w:val="superscript"/>
              </w:rPr>
              <w:t>3</w:t>
            </w:r>
          </w:p>
        </w:tc>
        <w:tc>
          <w:tcPr>
            <w:tcW w:w="629" w:type="pct"/>
            <w:tcBorders>
              <w:top w:val="nil"/>
            </w:tcBorders>
            <w:shd w:val="clear" w:color="auto" w:fill="auto"/>
            <w:vAlign w:val="center"/>
          </w:tcPr>
          <w:p w14:paraId="0BCECA02" w14:textId="4AB6200E" w:rsidR="00145899" w:rsidRPr="00E74253" w:rsidRDefault="00145899" w:rsidP="00404F98">
            <w:pPr>
              <w:keepNext/>
              <w:spacing w:before="20" w:after="20"/>
              <w:jc w:val="center"/>
              <w:rPr>
                <w:rFonts w:ascii="Arial Narrow" w:eastAsiaTheme="majorEastAsia" w:hAnsi="Arial Narrow" w:cstheme="majorBidi"/>
                <w:bCs/>
                <w:sz w:val="20"/>
              </w:rPr>
            </w:pPr>
            <w:r w:rsidRPr="00E74253">
              <w:rPr>
                <w:rFonts w:ascii="Arial Narrow" w:eastAsiaTheme="majorEastAsia" w:hAnsi="Arial Narrow" w:cstheme="majorBidi"/>
                <w:bCs/>
                <w:sz w:val="20"/>
              </w:rPr>
              <w:t>$</w:t>
            </w:r>
            <w:r w:rsidR="007B7D69" w:rsidRPr="007B7D69">
              <w:rPr>
                <w:rFonts w:ascii="Arial Narrow" w:eastAsiaTheme="majorEastAsia" w:hAnsi="Arial Narrow" w:cstheme="majorBidi" w:hint="eastAsia"/>
                <w:bCs/>
                <w:color w:val="000000"/>
                <w:w w:val="16"/>
                <w:sz w:val="20"/>
                <w:shd w:val="solid" w:color="000000" w:fill="000000"/>
                <w:fitText w:val="75" w:id="-1500865017"/>
                <w14:textFill>
                  <w14:solidFill>
                    <w14:srgbClr w14:val="000000">
                      <w14:alpha w14:val="100000"/>
                    </w14:srgbClr>
                  </w14:solidFill>
                </w14:textFill>
              </w:rPr>
              <w:t xml:space="preserve">　</w:t>
            </w:r>
            <w:r w:rsidR="007B7D69" w:rsidRPr="007B7D69">
              <w:rPr>
                <w:rFonts w:ascii="Arial Narrow" w:eastAsiaTheme="majorEastAsia" w:hAnsi="Arial Narrow" w:cstheme="majorBidi"/>
                <w:bCs/>
                <w:color w:val="000000"/>
                <w:w w:val="16"/>
                <w:sz w:val="20"/>
                <w:shd w:val="solid" w:color="000000" w:fill="000000"/>
                <w:fitText w:val="75" w:id="-1500865017"/>
                <w14:textFill>
                  <w14:solidFill>
                    <w14:srgbClr w14:val="000000">
                      <w14:alpha w14:val="100000"/>
                    </w14:srgbClr>
                  </w14:solidFill>
                </w14:textFill>
              </w:rPr>
              <w:t>|</w:t>
            </w:r>
            <w:r w:rsidR="007B7D69" w:rsidRPr="007B7D69">
              <w:rPr>
                <w:rFonts w:ascii="Arial Narrow" w:eastAsiaTheme="majorEastAsia" w:hAnsi="Arial Narrow" w:cstheme="majorBidi" w:hint="eastAsia"/>
                <w:bCs/>
                <w:color w:val="000000"/>
                <w:spacing w:val="5"/>
                <w:w w:val="16"/>
                <w:sz w:val="20"/>
                <w:shd w:val="solid" w:color="000000" w:fill="000000"/>
                <w:fitText w:val="75" w:id="-1500865017"/>
                <w14:textFill>
                  <w14:solidFill>
                    <w14:srgbClr w14:val="000000">
                      <w14:alpha w14:val="100000"/>
                    </w14:srgbClr>
                  </w14:solidFill>
                </w14:textFill>
              </w:rPr>
              <w:t xml:space="preserve">　</w:t>
            </w:r>
            <w:r w:rsidR="0020223E">
              <w:rPr>
                <w:rFonts w:ascii="Arial Narrow" w:eastAsiaTheme="majorEastAsia" w:hAnsi="Arial Narrow" w:cstheme="majorBidi"/>
                <w:bCs/>
                <w:sz w:val="20"/>
                <w:vertAlign w:val="superscript"/>
              </w:rPr>
              <w:t>3</w:t>
            </w:r>
          </w:p>
        </w:tc>
        <w:tc>
          <w:tcPr>
            <w:tcW w:w="629" w:type="pct"/>
            <w:tcBorders>
              <w:top w:val="nil"/>
            </w:tcBorders>
            <w:shd w:val="clear" w:color="auto" w:fill="auto"/>
            <w:vAlign w:val="center"/>
          </w:tcPr>
          <w:p w14:paraId="172860B5" w14:textId="1BC6196B" w:rsidR="00145899" w:rsidRPr="00E74253" w:rsidRDefault="00145899" w:rsidP="00404F98">
            <w:pPr>
              <w:keepNext/>
              <w:spacing w:before="20" w:after="20"/>
              <w:jc w:val="center"/>
              <w:rPr>
                <w:rFonts w:ascii="Arial Narrow" w:eastAsiaTheme="majorEastAsia" w:hAnsi="Arial Narrow" w:cstheme="majorBidi"/>
                <w:bCs/>
                <w:sz w:val="20"/>
              </w:rPr>
            </w:pPr>
            <w:r w:rsidRPr="00E74253">
              <w:rPr>
                <w:rFonts w:ascii="Arial Narrow" w:eastAsiaTheme="majorEastAsia" w:hAnsi="Arial Narrow" w:cstheme="majorBidi"/>
                <w:bCs/>
                <w:sz w:val="20"/>
              </w:rPr>
              <w:t>$</w:t>
            </w:r>
            <w:r w:rsidR="007B7D69" w:rsidRPr="007B7D69">
              <w:rPr>
                <w:rFonts w:ascii="Arial Narrow" w:eastAsiaTheme="majorEastAsia" w:hAnsi="Arial Narrow" w:cstheme="majorBidi" w:hint="eastAsia"/>
                <w:bCs/>
                <w:color w:val="000000"/>
                <w:w w:val="16"/>
                <w:sz w:val="20"/>
                <w:shd w:val="solid" w:color="000000" w:fill="000000"/>
                <w:fitText w:val="75" w:id="-1500865016"/>
                <w14:textFill>
                  <w14:solidFill>
                    <w14:srgbClr w14:val="000000">
                      <w14:alpha w14:val="100000"/>
                    </w14:srgbClr>
                  </w14:solidFill>
                </w14:textFill>
              </w:rPr>
              <w:t xml:space="preserve">　</w:t>
            </w:r>
            <w:r w:rsidR="007B7D69" w:rsidRPr="007B7D69">
              <w:rPr>
                <w:rFonts w:ascii="Arial Narrow" w:eastAsiaTheme="majorEastAsia" w:hAnsi="Arial Narrow" w:cstheme="majorBidi"/>
                <w:bCs/>
                <w:color w:val="000000"/>
                <w:w w:val="16"/>
                <w:sz w:val="20"/>
                <w:shd w:val="solid" w:color="000000" w:fill="000000"/>
                <w:fitText w:val="75" w:id="-1500865016"/>
                <w14:textFill>
                  <w14:solidFill>
                    <w14:srgbClr w14:val="000000">
                      <w14:alpha w14:val="100000"/>
                    </w14:srgbClr>
                  </w14:solidFill>
                </w14:textFill>
              </w:rPr>
              <w:t>|</w:t>
            </w:r>
            <w:r w:rsidR="007B7D69" w:rsidRPr="007B7D69">
              <w:rPr>
                <w:rFonts w:ascii="Arial Narrow" w:eastAsiaTheme="majorEastAsia" w:hAnsi="Arial Narrow" w:cstheme="majorBidi" w:hint="eastAsia"/>
                <w:bCs/>
                <w:color w:val="000000"/>
                <w:spacing w:val="5"/>
                <w:w w:val="16"/>
                <w:sz w:val="20"/>
                <w:shd w:val="solid" w:color="000000" w:fill="000000"/>
                <w:fitText w:val="75" w:id="-1500865016"/>
                <w14:textFill>
                  <w14:solidFill>
                    <w14:srgbClr w14:val="000000">
                      <w14:alpha w14:val="100000"/>
                    </w14:srgbClr>
                  </w14:solidFill>
                </w14:textFill>
              </w:rPr>
              <w:t xml:space="preserve">　</w:t>
            </w:r>
            <w:r w:rsidR="0020223E">
              <w:rPr>
                <w:rFonts w:ascii="Arial Narrow" w:eastAsiaTheme="majorEastAsia" w:hAnsi="Arial Narrow" w:cstheme="majorBidi"/>
                <w:bCs/>
                <w:sz w:val="20"/>
                <w:vertAlign w:val="superscript"/>
              </w:rPr>
              <w:t>3</w:t>
            </w:r>
          </w:p>
        </w:tc>
        <w:tc>
          <w:tcPr>
            <w:tcW w:w="629" w:type="pct"/>
            <w:tcBorders>
              <w:top w:val="nil"/>
            </w:tcBorders>
            <w:shd w:val="clear" w:color="auto" w:fill="auto"/>
            <w:vAlign w:val="center"/>
          </w:tcPr>
          <w:p w14:paraId="0312B927" w14:textId="0834A22D" w:rsidR="00145899" w:rsidRPr="00E74253" w:rsidRDefault="00145899" w:rsidP="00404F98">
            <w:pPr>
              <w:keepNext/>
              <w:spacing w:before="20" w:after="20"/>
              <w:jc w:val="center"/>
              <w:rPr>
                <w:rFonts w:ascii="Arial Narrow" w:eastAsiaTheme="majorEastAsia" w:hAnsi="Arial Narrow" w:cstheme="majorBidi"/>
                <w:bCs/>
                <w:sz w:val="20"/>
              </w:rPr>
            </w:pPr>
            <w:r w:rsidRPr="00E74253">
              <w:rPr>
                <w:rFonts w:ascii="Arial Narrow" w:eastAsiaTheme="majorEastAsia" w:hAnsi="Arial Narrow" w:cstheme="majorBidi"/>
                <w:bCs/>
                <w:sz w:val="20"/>
              </w:rPr>
              <w:t>$</w:t>
            </w:r>
            <w:r w:rsidR="007B7D69" w:rsidRPr="007B7D69">
              <w:rPr>
                <w:rFonts w:ascii="Arial Narrow" w:eastAsiaTheme="majorEastAsia" w:hAnsi="Arial Narrow" w:cstheme="majorBidi" w:hint="eastAsia"/>
                <w:bCs/>
                <w:color w:val="000000"/>
                <w:w w:val="16"/>
                <w:sz w:val="20"/>
                <w:shd w:val="solid" w:color="000000" w:fill="000000"/>
                <w:fitText w:val="75" w:id="-1500865015"/>
                <w14:textFill>
                  <w14:solidFill>
                    <w14:srgbClr w14:val="000000">
                      <w14:alpha w14:val="100000"/>
                    </w14:srgbClr>
                  </w14:solidFill>
                </w14:textFill>
              </w:rPr>
              <w:t xml:space="preserve">　</w:t>
            </w:r>
            <w:r w:rsidR="007B7D69" w:rsidRPr="007B7D69">
              <w:rPr>
                <w:rFonts w:ascii="Arial Narrow" w:eastAsiaTheme="majorEastAsia" w:hAnsi="Arial Narrow" w:cstheme="majorBidi"/>
                <w:bCs/>
                <w:color w:val="000000"/>
                <w:w w:val="16"/>
                <w:sz w:val="20"/>
                <w:shd w:val="solid" w:color="000000" w:fill="000000"/>
                <w:fitText w:val="75" w:id="-1500865015"/>
                <w14:textFill>
                  <w14:solidFill>
                    <w14:srgbClr w14:val="000000">
                      <w14:alpha w14:val="100000"/>
                    </w14:srgbClr>
                  </w14:solidFill>
                </w14:textFill>
              </w:rPr>
              <w:t>|</w:t>
            </w:r>
            <w:r w:rsidR="007B7D69" w:rsidRPr="007B7D69">
              <w:rPr>
                <w:rFonts w:ascii="Arial Narrow" w:eastAsiaTheme="majorEastAsia" w:hAnsi="Arial Narrow" w:cstheme="majorBidi" w:hint="eastAsia"/>
                <w:bCs/>
                <w:color w:val="000000"/>
                <w:spacing w:val="5"/>
                <w:w w:val="16"/>
                <w:sz w:val="20"/>
                <w:shd w:val="solid" w:color="000000" w:fill="000000"/>
                <w:fitText w:val="75" w:id="-1500865015"/>
                <w14:textFill>
                  <w14:solidFill>
                    <w14:srgbClr w14:val="000000">
                      <w14:alpha w14:val="100000"/>
                    </w14:srgbClr>
                  </w14:solidFill>
                </w14:textFill>
              </w:rPr>
              <w:t xml:space="preserve">　</w:t>
            </w:r>
            <w:r w:rsidR="0020223E">
              <w:rPr>
                <w:rFonts w:ascii="Arial Narrow" w:eastAsiaTheme="majorEastAsia" w:hAnsi="Arial Narrow" w:cstheme="majorBidi"/>
                <w:bCs/>
                <w:sz w:val="20"/>
                <w:vertAlign w:val="superscript"/>
              </w:rPr>
              <w:t>3</w:t>
            </w:r>
          </w:p>
        </w:tc>
        <w:tc>
          <w:tcPr>
            <w:tcW w:w="600" w:type="pct"/>
            <w:tcBorders>
              <w:top w:val="nil"/>
            </w:tcBorders>
            <w:shd w:val="clear" w:color="auto" w:fill="auto"/>
            <w:vAlign w:val="center"/>
          </w:tcPr>
          <w:p w14:paraId="0055C5E5" w14:textId="21B5E2D2" w:rsidR="00145899" w:rsidRPr="00E74253" w:rsidRDefault="00145899" w:rsidP="00404F98">
            <w:pPr>
              <w:keepNext/>
              <w:spacing w:before="20" w:after="20"/>
              <w:jc w:val="center"/>
              <w:rPr>
                <w:rFonts w:ascii="Arial Narrow" w:eastAsiaTheme="majorEastAsia" w:hAnsi="Arial Narrow" w:cstheme="majorBidi"/>
                <w:bCs/>
                <w:sz w:val="20"/>
              </w:rPr>
            </w:pPr>
            <w:r w:rsidRPr="00E74253">
              <w:rPr>
                <w:rFonts w:ascii="Arial Narrow" w:eastAsiaTheme="majorEastAsia" w:hAnsi="Arial Narrow" w:cstheme="majorBidi"/>
                <w:bCs/>
                <w:sz w:val="20"/>
              </w:rPr>
              <w:t>$</w:t>
            </w:r>
            <w:r w:rsidR="007B7D69" w:rsidRPr="007B7D69">
              <w:rPr>
                <w:rFonts w:ascii="Arial Narrow" w:eastAsiaTheme="majorEastAsia" w:hAnsi="Arial Narrow" w:cstheme="majorBidi" w:hint="eastAsia"/>
                <w:bCs/>
                <w:color w:val="000000"/>
                <w:w w:val="25"/>
                <w:sz w:val="20"/>
                <w:shd w:val="solid" w:color="000000" w:fill="000000"/>
                <w:fitText w:val="112" w:id="-1500865014"/>
                <w14:textFill>
                  <w14:solidFill>
                    <w14:srgbClr w14:val="000000">
                      <w14:alpha w14:val="100000"/>
                    </w14:srgbClr>
                  </w14:solidFill>
                </w14:textFill>
              </w:rPr>
              <w:t xml:space="preserve">　</w:t>
            </w:r>
            <w:r w:rsidR="007B7D69" w:rsidRPr="007B7D69">
              <w:rPr>
                <w:rFonts w:ascii="Arial Narrow" w:eastAsiaTheme="majorEastAsia" w:hAnsi="Arial Narrow" w:cstheme="majorBidi"/>
                <w:bCs/>
                <w:color w:val="000000"/>
                <w:w w:val="25"/>
                <w:sz w:val="20"/>
                <w:shd w:val="solid" w:color="000000" w:fill="000000"/>
                <w:fitText w:val="112" w:id="-1500865014"/>
                <w14:textFill>
                  <w14:solidFill>
                    <w14:srgbClr w14:val="000000">
                      <w14:alpha w14:val="100000"/>
                    </w14:srgbClr>
                  </w14:solidFill>
                </w14:textFill>
              </w:rPr>
              <w:t>|</w:t>
            </w:r>
            <w:r w:rsidR="007B7D69" w:rsidRPr="007B7D69">
              <w:rPr>
                <w:rFonts w:ascii="Arial Narrow" w:eastAsiaTheme="majorEastAsia" w:hAnsi="Arial Narrow" w:cstheme="majorBidi" w:hint="eastAsia"/>
                <w:bCs/>
                <w:color w:val="000000"/>
                <w:spacing w:val="1"/>
                <w:w w:val="25"/>
                <w:sz w:val="20"/>
                <w:shd w:val="solid" w:color="000000" w:fill="000000"/>
                <w:fitText w:val="112" w:id="-1500865014"/>
                <w14:textFill>
                  <w14:solidFill>
                    <w14:srgbClr w14:val="000000">
                      <w14:alpha w14:val="100000"/>
                    </w14:srgbClr>
                  </w14:solidFill>
                </w14:textFill>
              </w:rPr>
              <w:t xml:space="preserve">　</w:t>
            </w:r>
            <w:r w:rsidR="0020223E">
              <w:rPr>
                <w:rFonts w:ascii="Arial Narrow" w:eastAsiaTheme="majorEastAsia" w:hAnsi="Arial Narrow" w:cstheme="majorBidi"/>
                <w:bCs/>
                <w:sz w:val="20"/>
                <w:vertAlign w:val="superscript"/>
              </w:rPr>
              <w:t>3</w:t>
            </w:r>
          </w:p>
        </w:tc>
      </w:tr>
      <w:tr w:rsidR="00145899" w:rsidRPr="00E74253" w14:paraId="44AA16C4" w14:textId="77777777" w:rsidTr="00404F98">
        <w:tc>
          <w:tcPr>
            <w:tcW w:w="5000" w:type="pct"/>
            <w:gridSpan w:val="7"/>
            <w:shd w:val="clear" w:color="auto" w:fill="auto"/>
            <w:vAlign w:val="center"/>
          </w:tcPr>
          <w:p w14:paraId="03BEAAC6" w14:textId="77777777" w:rsidR="00145899" w:rsidRPr="00E74253" w:rsidRDefault="00145899" w:rsidP="00404F98">
            <w:pPr>
              <w:keepNext/>
              <w:jc w:val="left"/>
              <w:rPr>
                <w:rFonts w:ascii="Arial Narrow" w:eastAsiaTheme="majorEastAsia" w:hAnsi="Arial Narrow" w:cs="Times New Roman"/>
                <w:b/>
                <w:sz w:val="20"/>
                <w:lang w:val="en-US"/>
              </w:rPr>
            </w:pPr>
            <w:r w:rsidRPr="00E74253">
              <w:rPr>
                <w:rFonts w:ascii="Arial Narrow" w:eastAsiaTheme="majorEastAsia" w:hAnsi="Arial Narrow" w:cs="Times New Roman"/>
                <w:b/>
                <w:sz w:val="20"/>
                <w:lang w:val="en-US"/>
              </w:rPr>
              <w:t>Net financial implications</w:t>
            </w:r>
            <w:r w:rsidRPr="00E74253">
              <w:rPr>
                <w:rFonts w:ascii="Arial Narrow" w:eastAsiaTheme="majorEastAsia" w:hAnsi="Arial Narrow" w:cs="Times New Roman"/>
                <w:b/>
                <w:color w:val="4BACC6" w:themeColor="accent5"/>
                <w:sz w:val="20"/>
                <w:lang w:val="en-US"/>
              </w:rPr>
              <w:t xml:space="preserve"> </w:t>
            </w:r>
          </w:p>
        </w:tc>
      </w:tr>
      <w:tr w:rsidR="00145899" w:rsidRPr="00E74253" w14:paraId="5ADA0F8A" w14:textId="77777777" w:rsidTr="00B5124C">
        <w:trPr>
          <w:trHeight w:val="155"/>
        </w:trPr>
        <w:tc>
          <w:tcPr>
            <w:tcW w:w="1255" w:type="pct"/>
            <w:shd w:val="clear" w:color="auto" w:fill="auto"/>
            <w:vAlign w:val="center"/>
          </w:tcPr>
          <w:p w14:paraId="4C3836D1" w14:textId="77777777" w:rsidR="00145899" w:rsidRPr="00FF27D1" w:rsidRDefault="00145899" w:rsidP="00404F98">
            <w:pPr>
              <w:keepNext/>
              <w:spacing w:before="20" w:after="20"/>
              <w:jc w:val="left"/>
              <w:rPr>
                <w:rFonts w:ascii="Arial Narrow" w:eastAsiaTheme="majorEastAsia" w:hAnsi="Arial Narrow" w:cstheme="majorBidi"/>
                <w:bCs/>
                <w:sz w:val="20"/>
                <w:szCs w:val="20"/>
              </w:rPr>
            </w:pPr>
            <w:r w:rsidRPr="00FF27D1">
              <w:rPr>
                <w:rFonts w:ascii="Arial Narrow" w:eastAsiaTheme="majorEastAsia" w:hAnsi="Arial Narrow" w:cstheme="majorBidi"/>
                <w:bCs/>
                <w:sz w:val="20"/>
                <w:szCs w:val="20"/>
              </w:rPr>
              <w:t>Net cost to PBS/RPBS</w:t>
            </w:r>
          </w:p>
        </w:tc>
        <w:tc>
          <w:tcPr>
            <w:tcW w:w="629" w:type="pct"/>
            <w:shd w:val="clear" w:color="auto" w:fill="auto"/>
            <w:vAlign w:val="center"/>
          </w:tcPr>
          <w:p w14:paraId="239BD30F" w14:textId="22D4129D" w:rsidR="00145899" w:rsidRPr="0020223E" w:rsidRDefault="00095977" w:rsidP="00404F98">
            <w:pPr>
              <w:keepNext/>
              <w:spacing w:before="20" w:after="20"/>
              <w:jc w:val="center"/>
              <w:rPr>
                <w:rFonts w:ascii="Arial Narrow" w:eastAsiaTheme="majorEastAsia" w:hAnsi="Arial Narrow" w:cstheme="majorBidi"/>
                <w:sz w:val="20"/>
                <w:vertAlign w:val="superscript"/>
              </w:rPr>
            </w:pPr>
            <w:r w:rsidRPr="00E74253">
              <w:rPr>
                <w:rFonts w:ascii="Arial Narrow" w:eastAsiaTheme="majorEastAsia" w:hAnsi="Arial Narrow" w:cstheme="majorBidi"/>
                <w:sz w:val="20"/>
              </w:rPr>
              <w:t>-</w:t>
            </w:r>
            <w:r w:rsidR="00145899" w:rsidRPr="00E74253">
              <w:rPr>
                <w:rFonts w:ascii="Arial Narrow" w:eastAsiaTheme="majorEastAsia" w:hAnsi="Arial Narrow" w:cstheme="majorBidi"/>
                <w:sz w:val="20"/>
              </w:rPr>
              <w:t>$</w:t>
            </w:r>
            <w:r w:rsidR="007B7D69" w:rsidRPr="007B7D69">
              <w:rPr>
                <w:rFonts w:ascii="Arial Narrow" w:eastAsiaTheme="majorEastAsia" w:hAnsi="Arial Narrow" w:cstheme="majorBidi" w:hint="eastAsia"/>
                <w:color w:val="000000"/>
                <w:w w:val="25"/>
                <w:sz w:val="20"/>
                <w:shd w:val="solid" w:color="000000" w:fill="000000"/>
                <w:fitText w:val="113" w:id="-1500865013"/>
                <w14:textFill>
                  <w14:solidFill>
                    <w14:srgbClr w14:val="000000">
                      <w14:alpha w14:val="100000"/>
                    </w14:srgbClr>
                  </w14:solidFill>
                </w14:textFill>
              </w:rPr>
              <w:t xml:space="preserve">　</w:t>
            </w:r>
            <w:r w:rsidR="007B7D69" w:rsidRPr="007B7D69">
              <w:rPr>
                <w:rFonts w:ascii="Arial Narrow" w:eastAsiaTheme="majorEastAsia" w:hAnsi="Arial Narrow" w:cstheme="majorBidi"/>
                <w:color w:val="000000"/>
                <w:w w:val="25"/>
                <w:sz w:val="20"/>
                <w:shd w:val="solid" w:color="000000" w:fill="000000"/>
                <w:fitText w:val="113" w:id="-1500865013"/>
                <w14:textFill>
                  <w14:solidFill>
                    <w14:srgbClr w14:val="000000">
                      <w14:alpha w14:val="100000"/>
                    </w14:srgbClr>
                  </w14:solidFill>
                </w14:textFill>
              </w:rPr>
              <w:t>|</w:t>
            </w:r>
            <w:r w:rsidR="007B7D69" w:rsidRPr="007B7D69">
              <w:rPr>
                <w:rFonts w:ascii="Arial Narrow" w:eastAsiaTheme="majorEastAsia" w:hAnsi="Arial Narrow" w:cstheme="majorBidi" w:hint="eastAsia"/>
                <w:color w:val="000000"/>
                <w:spacing w:val="2"/>
                <w:w w:val="25"/>
                <w:sz w:val="20"/>
                <w:shd w:val="solid" w:color="000000" w:fill="000000"/>
                <w:fitText w:val="113" w:id="-1500865013"/>
                <w14:textFill>
                  <w14:solidFill>
                    <w14:srgbClr w14:val="000000">
                      <w14:alpha w14:val="100000"/>
                    </w14:srgbClr>
                  </w14:solidFill>
                </w14:textFill>
              </w:rPr>
              <w:t xml:space="preserve">　</w:t>
            </w:r>
            <w:r w:rsidR="0020223E">
              <w:rPr>
                <w:rFonts w:ascii="Arial Narrow" w:eastAsiaTheme="majorEastAsia" w:hAnsi="Arial Narrow" w:cstheme="majorBidi"/>
                <w:sz w:val="20"/>
                <w:vertAlign w:val="superscript"/>
              </w:rPr>
              <w:t>4</w:t>
            </w:r>
          </w:p>
        </w:tc>
        <w:tc>
          <w:tcPr>
            <w:tcW w:w="629" w:type="pct"/>
            <w:shd w:val="clear" w:color="auto" w:fill="auto"/>
            <w:vAlign w:val="center"/>
          </w:tcPr>
          <w:p w14:paraId="2BFCA5D7" w14:textId="5FAE0F4E" w:rsidR="00145899" w:rsidRPr="00E74253" w:rsidRDefault="00095977" w:rsidP="00404F98">
            <w:pPr>
              <w:keepNext/>
              <w:spacing w:before="20" w:after="20"/>
              <w:jc w:val="center"/>
              <w:rPr>
                <w:rFonts w:ascii="Arial Narrow" w:eastAsiaTheme="majorEastAsia" w:hAnsi="Arial Narrow" w:cstheme="majorBidi"/>
                <w:sz w:val="20"/>
              </w:rPr>
            </w:pPr>
            <w:r w:rsidRPr="00E74253">
              <w:rPr>
                <w:rFonts w:ascii="Arial Narrow" w:eastAsiaTheme="majorEastAsia" w:hAnsi="Arial Narrow" w:cstheme="majorBidi"/>
                <w:sz w:val="20"/>
              </w:rPr>
              <w:t>-</w:t>
            </w:r>
            <w:r w:rsidR="00145899" w:rsidRPr="00E74253">
              <w:rPr>
                <w:rFonts w:ascii="Arial Narrow" w:eastAsiaTheme="majorEastAsia" w:hAnsi="Arial Narrow" w:cstheme="majorBidi"/>
                <w:sz w:val="20"/>
              </w:rPr>
              <w:t>$</w:t>
            </w:r>
            <w:r w:rsidR="007B7D69" w:rsidRPr="007B7D69">
              <w:rPr>
                <w:rFonts w:ascii="Arial Narrow" w:eastAsiaTheme="majorEastAsia" w:hAnsi="Arial Narrow" w:cstheme="majorBidi" w:hint="eastAsia"/>
                <w:color w:val="000000"/>
                <w:w w:val="25"/>
                <w:sz w:val="20"/>
                <w:shd w:val="solid" w:color="000000" w:fill="000000"/>
                <w:fitText w:val="112" w:id="-1500865012"/>
                <w14:textFill>
                  <w14:solidFill>
                    <w14:srgbClr w14:val="000000">
                      <w14:alpha w14:val="100000"/>
                    </w14:srgbClr>
                  </w14:solidFill>
                </w14:textFill>
              </w:rPr>
              <w:t xml:space="preserve">　</w:t>
            </w:r>
            <w:r w:rsidR="007B7D69" w:rsidRPr="007B7D69">
              <w:rPr>
                <w:rFonts w:ascii="Arial Narrow" w:eastAsiaTheme="majorEastAsia" w:hAnsi="Arial Narrow" w:cstheme="majorBidi"/>
                <w:color w:val="000000"/>
                <w:w w:val="25"/>
                <w:sz w:val="20"/>
                <w:shd w:val="solid" w:color="000000" w:fill="000000"/>
                <w:fitText w:val="112" w:id="-1500865012"/>
                <w14:textFill>
                  <w14:solidFill>
                    <w14:srgbClr w14:val="000000">
                      <w14:alpha w14:val="100000"/>
                    </w14:srgbClr>
                  </w14:solidFill>
                </w14:textFill>
              </w:rPr>
              <w:t>|</w:t>
            </w:r>
            <w:r w:rsidR="007B7D69" w:rsidRPr="007B7D69">
              <w:rPr>
                <w:rFonts w:ascii="Arial Narrow" w:eastAsiaTheme="majorEastAsia" w:hAnsi="Arial Narrow" w:cstheme="majorBidi" w:hint="eastAsia"/>
                <w:color w:val="000000"/>
                <w:spacing w:val="1"/>
                <w:w w:val="25"/>
                <w:sz w:val="20"/>
                <w:shd w:val="solid" w:color="000000" w:fill="000000"/>
                <w:fitText w:val="112" w:id="-1500865012"/>
                <w14:textFill>
                  <w14:solidFill>
                    <w14:srgbClr w14:val="000000">
                      <w14:alpha w14:val="100000"/>
                    </w14:srgbClr>
                  </w14:solidFill>
                </w14:textFill>
              </w:rPr>
              <w:t xml:space="preserve">　</w:t>
            </w:r>
            <w:r w:rsidR="0020223E">
              <w:rPr>
                <w:rFonts w:ascii="Arial Narrow" w:eastAsiaTheme="majorEastAsia" w:hAnsi="Arial Narrow" w:cstheme="majorBidi"/>
                <w:sz w:val="20"/>
                <w:vertAlign w:val="superscript"/>
              </w:rPr>
              <w:t>4</w:t>
            </w:r>
          </w:p>
        </w:tc>
        <w:tc>
          <w:tcPr>
            <w:tcW w:w="629" w:type="pct"/>
            <w:shd w:val="clear" w:color="auto" w:fill="auto"/>
            <w:vAlign w:val="center"/>
          </w:tcPr>
          <w:p w14:paraId="1672F636" w14:textId="2FE0E19B" w:rsidR="00145899" w:rsidRPr="00E74253" w:rsidRDefault="00095977" w:rsidP="00404F98">
            <w:pPr>
              <w:keepNext/>
              <w:spacing w:before="20" w:after="20"/>
              <w:jc w:val="center"/>
              <w:rPr>
                <w:rFonts w:ascii="Arial Narrow" w:eastAsiaTheme="majorEastAsia" w:hAnsi="Arial Narrow" w:cstheme="majorBidi"/>
                <w:sz w:val="20"/>
              </w:rPr>
            </w:pPr>
            <w:r w:rsidRPr="00E74253">
              <w:rPr>
                <w:rFonts w:ascii="Arial Narrow" w:eastAsiaTheme="majorEastAsia" w:hAnsi="Arial Narrow" w:cstheme="majorBidi"/>
                <w:sz w:val="20"/>
              </w:rPr>
              <w:t>-</w:t>
            </w:r>
            <w:r w:rsidR="00145899" w:rsidRPr="00E74253">
              <w:rPr>
                <w:rFonts w:ascii="Arial Narrow" w:eastAsiaTheme="majorEastAsia" w:hAnsi="Arial Narrow" w:cstheme="majorBidi"/>
                <w:sz w:val="20"/>
              </w:rPr>
              <w:t>$</w:t>
            </w:r>
            <w:r w:rsidR="007B7D69" w:rsidRPr="007B7D69">
              <w:rPr>
                <w:rFonts w:ascii="Arial Narrow" w:eastAsiaTheme="majorEastAsia" w:hAnsi="Arial Narrow" w:cstheme="majorBidi" w:hint="eastAsia"/>
                <w:color w:val="000000"/>
                <w:w w:val="25"/>
                <w:sz w:val="20"/>
                <w:shd w:val="solid" w:color="000000" w:fill="000000"/>
                <w:fitText w:val="113" w:id="-1500865011"/>
                <w14:textFill>
                  <w14:solidFill>
                    <w14:srgbClr w14:val="000000">
                      <w14:alpha w14:val="100000"/>
                    </w14:srgbClr>
                  </w14:solidFill>
                </w14:textFill>
              </w:rPr>
              <w:t xml:space="preserve">　</w:t>
            </w:r>
            <w:r w:rsidR="007B7D69" w:rsidRPr="007B7D69">
              <w:rPr>
                <w:rFonts w:ascii="Arial Narrow" w:eastAsiaTheme="majorEastAsia" w:hAnsi="Arial Narrow" w:cstheme="majorBidi"/>
                <w:color w:val="000000"/>
                <w:w w:val="25"/>
                <w:sz w:val="20"/>
                <w:shd w:val="solid" w:color="000000" w:fill="000000"/>
                <w:fitText w:val="113" w:id="-1500865011"/>
                <w14:textFill>
                  <w14:solidFill>
                    <w14:srgbClr w14:val="000000">
                      <w14:alpha w14:val="100000"/>
                    </w14:srgbClr>
                  </w14:solidFill>
                </w14:textFill>
              </w:rPr>
              <w:t>|</w:t>
            </w:r>
            <w:r w:rsidR="007B7D69" w:rsidRPr="007B7D69">
              <w:rPr>
                <w:rFonts w:ascii="Arial Narrow" w:eastAsiaTheme="majorEastAsia" w:hAnsi="Arial Narrow" w:cstheme="majorBidi" w:hint="eastAsia"/>
                <w:color w:val="000000"/>
                <w:spacing w:val="2"/>
                <w:w w:val="25"/>
                <w:sz w:val="20"/>
                <w:shd w:val="solid" w:color="000000" w:fill="000000"/>
                <w:fitText w:val="113" w:id="-1500865011"/>
                <w14:textFill>
                  <w14:solidFill>
                    <w14:srgbClr w14:val="000000">
                      <w14:alpha w14:val="100000"/>
                    </w14:srgbClr>
                  </w14:solidFill>
                </w14:textFill>
              </w:rPr>
              <w:t xml:space="preserve">　</w:t>
            </w:r>
            <w:r w:rsidR="0020223E">
              <w:rPr>
                <w:rFonts w:ascii="Arial Narrow" w:eastAsiaTheme="majorEastAsia" w:hAnsi="Arial Narrow" w:cstheme="majorBidi"/>
                <w:sz w:val="20"/>
                <w:vertAlign w:val="superscript"/>
              </w:rPr>
              <w:t>4</w:t>
            </w:r>
          </w:p>
        </w:tc>
        <w:tc>
          <w:tcPr>
            <w:tcW w:w="629" w:type="pct"/>
            <w:shd w:val="clear" w:color="auto" w:fill="auto"/>
            <w:vAlign w:val="center"/>
          </w:tcPr>
          <w:p w14:paraId="535C2592" w14:textId="7A773D0C" w:rsidR="00145899" w:rsidRPr="00E74253" w:rsidRDefault="00095977" w:rsidP="00404F98">
            <w:pPr>
              <w:keepNext/>
              <w:spacing w:before="20" w:after="20"/>
              <w:jc w:val="center"/>
              <w:rPr>
                <w:rFonts w:ascii="Arial Narrow" w:eastAsiaTheme="majorEastAsia" w:hAnsi="Arial Narrow" w:cstheme="majorBidi"/>
                <w:sz w:val="20"/>
              </w:rPr>
            </w:pPr>
            <w:r w:rsidRPr="00E74253">
              <w:rPr>
                <w:rFonts w:ascii="Arial Narrow" w:eastAsiaTheme="majorEastAsia" w:hAnsi="Arial Narrow" w:cstheme="majorBidi"/>
                <w:sz w:val="20"/>
              </w:rPr>
              <w:t>-</w:t>
            </w:r>
            <w:r w:rsidR="00145899" w:rsidRPr="00E74253">
              <w:rPr>
                <w:rFonts w:ascii="Arial Narrow" w:eastAsiaTheme="majorEastAsia" w:hAnsi="Arial Narrow" w:cstheme="majorBidi"/>
                <w:sz w:val="20"/>
              </w:rPr>
              <w:t>$</w:t>
            </w:r>
            <w:r w:rsidR="007B7D69" w:rsidRPr="007B7D69">
              <w:rPr>
                <w:rFonts w:ascii="Arial Narrow" w:eastAsiaTheme="majorEastAsia" w:hAnsi="Arial Narrow" w:cstheme="majorBidi" w:hint="eastAsia"/>
                <w:color w:val="000000"/>
                <w:w w:val="25"/>
                <w:sz w:val="20"/>
                <w:shd w:val="solid" w:color="000000" w:fill="000000"/>
                <w:fitText w:val="113" w:id="-1500865010"/>
                <w14:textFill>
                  <w14:solidFill>
                    <w14:srgbClr w14:val="000000">
                      <w14:alpha w14:val="100000"/>
                    </w14:srgbClr>
                  </w14:solidFill>
                </w14:textFill>
              </w:rPr>
              <w:t xml:space="preserve">　</w:t>
            </w:r>
            <w:r w:rsidR="007B7D69" w:rsidRPr="007B7D69">
              <w:rPr>
                <w:rFonts w:ascii="Arial Narrow" w:eastAsiaTheme="majorEastAsia" w:hAnsi="Arial Narrow" w:cstheme="majorBidi"/>
                <w:color w:val="000000"/>
                <w:w w:val="25"/>
                <w:sz w:val="20"/>
                <w:shd w:val="solid" w:color="000000" w:fill="000000"/>
                <w:fitText w:val="113" w:id="-1500865010"/>
                <w14:textFill>
                  <w14:solidFill>
                    <w14:srgbClr w14:val="000000">
                      <w14:alpha w14:val="100000"/>
                    </w14:srgbClr>
                  </w14:solidFill>
                </w14:textFill>
              </w:rPr>
              <w:t>|</w:t>
            </w:r>
            <w:r w:rsidR="007B7D69" w:rsidRPr="007B7D69">
              <w:rPr>
                <w:rFonts w:ascii="Arial Narrow" w:eastAsiaTheme="majorEastAsia" w:hAnsi="Arial Narrow" w:cstheme="majorBidi" w:hint="eastAsia"/>
                <w:color w:val="000000"/>
                <w:spacing w:val="2"/>
                <w:w w:val="25"/>
                <w:sz w:val="20"/>
                <w:shd w:val="solid" w:color="000000" w:fill="000000"/>
                <w:fitText w:val="113" w:id="-1500865010"/>
                <w14:textFill>
                  <w14:solidFill>
                    <w14:srgbClr w14:val="000000">
                      <w14:alpha w14:val="100000"/>
                    </w14:srgbClr>
                  </w14:solidFill>
                </w14:textFill>
              </w:rPr>
              <w:t xml:space="preserve">　</w:t>
            </w:r>
            <w:r w:rsidR="0020223E">
              <w:rPr>
                <w:rFonts w:ascii="Arial Narrow" w:eastAsiaTheme="majorEastAsia" w:hAnsi="Arial Narrow" w:cstheme="majorBidi"/>
                <w:sz w:val="20"/>
                <w:vertAlign w:val="superscript"/>
              </w:rPr>
              <w:t>4</w:t>
            </w:r>
          </w:p>
        </w:tc>
        <w:tc>
          <w:tcPr>
            <w:tcW w:w="629" w:type="pct"/>
            <w:shd w:val="clear" w:color="auto" w:fill="auto"/>
            <w:vAlign w:val="center"/>
          </w:tcPr>
          <w:p w14:paraId="111A3579" w14:textId="4BBCEFEA" w:rsidR="00145899" w:rsidRPr="00E74253" w:rsidRDefault="00095977" w:rsidP="00404F98">
            <w:pPr>
              <w:keepNext/>
              <w:spacing w:before="20" w:after="20"/>
              <w:jc w:val="center"/>
              <w:rPr>
                <w:rFonts w:ascii="Arial Narrow" w:eastAsiaTheme="majorEastAsia" w:hAnsi="Arial Narrow" w:cstheme="majorBidi"/>
                <w:sz w:val="20"/>
              </w:rPr>
            </w:pPr>
            <w:r w:rsidRPr="00E74253">
              <w:rPr>
                <w:rFonts w:ascii="Arial Narrow" w:eastAsiaTheme="majorEastAsia" w:hAnsi="Arial Narrow" w:cstheme="majorBidi"/>
                <w:sz w:val="20"/>
              </w:rPr>
              <w:t>-</w:t>
            </w:r>
            <w:r w:rsidR="00145899" w:rsidRPr="00E74253">
              <w:rPr>
                <w:rFonts w:ascii="Arial Narrow" w:eastAsiaTheme="majorEastAsia" w:hAnsi="Arial Narrow" w:cstheme="majorBidi"/>
                <w:sz w:val="20"/>
              </w:rPr>
              <w:t>$</w:t>
            </w:r>
            <w:r w:rsidR="007B7D69" w:rsidRPr="007B7D69">
              <w:rPr>
                <w:rFonts w:ascii="Arial Narrow" w:eastAsiaTheme="majorEastAsia" w:hAnsi="Arial Narrow" w:cstheme="majorBidi" w:hint="eastAsia"/>
                <w:color w:val="000000"/>
                <w:w w:val="25"/>
                <w:sz w:val="20"/>
                <w:shd w:val="solid" w:color="000000" w:fill="000000"/>
                <w:fitText w:val="112" w:id="-1500865009"/>
                <w14:textFill>
                  <w14:solidFill>
                    <w14:srgbClr w14:val="000000">
                      <w14:alpha w14:val="100000"/>
                    </w14:srgbClr>
                  </w14:solidFill>
                </w14:textFill>
              </w:rPr>
              <w:t xml:space="preserve">　</w:t>
            </w:r>
            <w:r w:rsidR="007B7D69" w:rsidRPr="007B7D69">
              <w:rPr>
                <w:rFonts w:ascii="Arial Narrow" w:eastAsiaTheme="majorEastAsia" w:hAnsi="Arial Narrow" w:cstheme="majorBidi"/>
                <w:color w:val="000000"/>
                <w:w w:val="25"/>
                <w:sz w:val="20"/>
                <w:shd w:val="solid" w:color="000000" w:fill="000000"/>
                <w:fitText w:val="112" w:id="-1500865009"/>
                <w14:textFill>
                  <w14:solidFill>
                    <w14:srgbClr w14:val="000000">
                      <w14:alpha w14:val="100000"/>
                    </w14:srgbClr>
                  </w14:solidFill>
                </w14:textFill>
              </w:rPr>
              <w:t>|</w:t>
            </w:r>
            <w:r w:rsidR="007B7D69" w:rsidRPr="007B7D69">
              <w:rPr>
                <w:rFonts w:ascii="Arial Narrow" w:eastAsiaTheme="majorEastAsia" w:hAnsi="Arial Narrow" w:cstheme="majorBidi" w:hint="eastAsia"/>
                <w:color w:val="000000"/>
                <w:spacing w:val="1"/>
                <w:w w:val="25"/>
                <w:sz w:val="20"/>
                <w:shd w:val="solid" w:color="000000" w:fill="000000"/>
                <w:fitText w:val="112" w:id="-1500865009"/>
                <w14:textFill>
                  <w14:solidFill>
                    <w14:srgbClr w14:val="000000">
                      <w14:alpha w14:val="100000"/>
                    </w14:srgbClr>
                  </w14:solidFill>
                </w14:textFill>
              </w:rPr>
              <w:t xml:space="preserve">　</w:t>
            </w:r>
            <w:r w:rsidR="0020223E">
              <w:rPr>
                <w:rFonts w:ascii="Arial Narrow" w:eastAsiaTheme="majorEastAsia" w:hAnsi="Arial Narrow" w:cstheme="majorBidi"/>
                <w:sz w:val="20"/>
                <w:vertAlign w:val="superscript"/>
              </w:rPr>
              <w:t>4</w:t>
            </w:r>
          </w:p>
        </w:tc>
        <w:tc>
          <w:tcPr>
            <w:tcW w:w="600" w:type="pct"/>
            <w:shd w:val="clear" w:color="auto" w:fill="auto"/>
            <w:vAlign w:val="center"/>
          </w:tcPr>
          <w:p w14:paraId="358217DB" w14:textId="2F069B64" w:rsidR="00145899" w:rsidRPr="00E74253" w:rsidRDefault="00095977" w:rsidP="00404F98">
            <w:pPr>
              <w:keepNext/>
              <w:spacing w:before="20" w:after="20"/>
              <w:jc w:val="center"/>
              <w:rPr>
                <w:rFonts w:ascii="Arial Narrow" w:eastAsiaTheme="majorEastAsia" w:hAnsi="Arial Narrow" w:cstheme="majorBidi"/>
                <w:sz w:val="20"/>
              </w:rPr>
            </w:pPr>
            <w:r w:rsidRPr="00E74253">
              <w:rPr>
                <w:rFonts w:ascii="Arial Narrow" w:eastAsiaTheme="majorEastAsia" w:hAnsi="Arial Narrow" w:cstheme="majorBidi"/>
                <w:sz w:val="20"/>
              </w:rPr>
              <w:t>-</w:t>
            </w:r>
            <w:r w:rsidR="00145899" w:rsidRPr="00E74253">
              <w:rPr>
                <w:rFonts w:ascii="Arial Narrow" w:eastAsiaTheme="majorEastAsia" w:hAnsi="Arial Narrow" w:cstheme="majorBidi"/>
                <w:sz w:val="20"/>
              </w:rPr>
              <w:t>$</w:t>
            </w:r>
            <w:r w:rsidR="007B7D69" w:rsidRPr="007B7D69">
              <w:rPr>
                <w:rFonts w:ascii="Arial Narrow" w:eastAsiaTheme="majorEastAsia" w:hAnsi="Arial Narrow" w:cstheme="majorBidi" w:hint="eastAsia"/>
                <w:color w:val="000000"/>
                <w:w w:val="30"/>
                <w:sz w:val="20"/>
                <w:shd w:val="solid" w:color="000000" w:fill="000000"/>
                <w:fitText w:val="137" w:id="-1500865008"/>
                <w14:textFill>
                  <w14:solidFill>
                    <w14:srgbClr w14:val="000000">
                      <w14:alpha w14:val="100000"/>
                    </w14:srgbClr>
                  </w14:solidFill>
                </w14:textFill>
              </w:rPr>
              <w:t xml:space="preserve">　</w:t>
            </w:r>
            <w:r w:rsidR="007B7D69" w:rsidRPr="007B7D69">
              <w:rPr>
                <w:rFonts w:ascii="Arial Narrow" w:eastAsiaTheme="majorEastAsia" w:hAnsi="Arial Narrow" w:cstheme="majorBidi"/>
                <w:color w:val="000000"/>
                <w:w w:val="30"/>
                <w:sz w:val="20"/>
                <w:shd w:val="solid" w:color="000000" w:fill="000000"/>
                <w:fitText w:val="137" w:id="-1500865008"/>
                <w14:textFill>
                  <w14:solidFill>
                    <w14:srgbClr w14:val="000000">
                      <w14:alpha w14:val="100000"/>
                    </w14:srgbClr>
                  </w14:solidFill>
                </w14:textFill>
              </w:rPr>
              <w:t>|</w:t>
            </w:r>
            <w:r w:rsidR="007B7D69" w:rsidRPr="007B7D69">
              <w:rPr>
                <w:rFonts w:ascii="Arial Narrow" w:eastAsiaTheme="majorEastAsia" w:hAnsi="Arial Narrow" w:cstheme="majorBidi" w:hint="eastAsia"/>
                <w:color w:val="000000"/>
                <w:spacing w:val="5"/>
                <w:w w:val="30"/>
                <w:sz w:val="20"/>
                <w:shd w:val="solid" w:color="000000" w:fill="000000"/>
                <w:fitText w:val="137" w:id="-1500865008"/>
                <w14:textFill>
                  <w14:solidFill>
                    <w14:srgbClr w14:val="000000">
                      <w14:alpha w14:val="100000"/>
                    </w14:srgbClr>
                  </w14:solidFill>
                </w14:textFill>
              </w:rPr>
              <w:t xml:space="preserve">　</w:t>
            </w:r>
            <w:r w:rsidR="0020223E">
              <w:rPr>
                <w:rFonts w:ascii="Arial Narrow" w:eastAsiaTheme="majorEastAsia" w:hAnsi="Arial Narrow" w:cstheme="majorBidi"/>
                <w:sz w:val="20"/>
                <w:vertAlign w:val="superscript"/>
              </w:rPr>
              <w:t>4</w:t>
            </w:r>
          </w:p>
        </w:tc>
      </w:tr>
      <w:tr w:rsidR="00145899" w:rsidRPr="00E74253" w14:paraId="05517830" w14:textId="77777777" w:rsidTr="00B5124C">
        <w:trPr>
          <w:trHeight w:val="60"/>
        </w:trPr>
        <w:tc>
          <w:tcPr>
            <w:tcW w:w="1255" w:type="pct"/>
            <w:shd w:val="clear" w:color="auto" w:fill="auto"/>
            <w:vAlign w:val="center"/>
          </w:tcPr>
          <w:p w14:paraId="7A92F8F2" w14:textId="77777777" w:rsidR="00145899" w:rsidRPr="00FF27D1" w:rsidRDefault="00145899" w:rsidP="00404F98">
            <w:pPr>
              <w:keepNext/>
              <w:spacing w:before="20" w:after="20"/>
              <w:jc w:val="left"/>
              <w:rPr>
                <w:rFonts w:ascii="Times" w:eastAsiaTheme="majorEastAsia" w:hAnsi="Times" w:cstheme="majorBidi"/>
                <w:bCs/>
                <w:sz w:val="20"/>
                <w:szCs w:val="20"/>
              </w:rPr>
            </w:pPr>
            <w:r w:rsidRPr="00FF27D1">
              <w:rPr>
                <w:rFonts w:ascii="Arial Narrow" w:eastAsiaTheme="majorEastAsia" w:hAnsi="Arial Narrow" w:cstheme="majorBidi"/>
                <w:bCs/>
                <w:sz w:val="20"/>
                <w:szCs w:val="20"/>
              </w:rPr>
              <w:t>Net cost to MBS</w:t>
            </w:r>
          </w:p>
        </w:tc>
        <w:tc>
          <w:tcPr>
            <w:tcW w:w="629" w:type="pct"/>
            <w:shd w:val="clear" w:color="auto" w:fill="auto"/>
            <w:vAlign w:val="center"/>
          </w:tcPr>
          <w:p w14:paraId="7365579E" w14:textId="36D98C17" w:rsidR="00145899" w:rsidRPr="00E74253" w:rsidRDefault="00145899" w:rsidP="00404F98">
            <w:pPr>
              <w:keepNext/>
              <w:spacing w:before="20" w:after="20"/>
              <w:jc w:val="center"/>
              <w:rPr>
                <w:rFonts w:ascii="Arial Narrow" w:eastAsiaTheme="majorEastAsia" w:hAnsi="Arial Narrow" w:cstheme="majorBidi"/>
                <w:bCs/>
                <w:sz w:val="20"/>
              </w:rPr>
            </w:pPr>
            <w:r w:rsidRPr="00E74253">
              <w:rPr>
                <w:rFonts w:ascii="Arial Narrow" w:eastAsiaTheme="majorEastAsia" w:hAnsi="Arial Narrow" w:cstheme="majorBidi"/>
                <w:bCs/>
                <w:sz w:val="20"/>
              </w:rPr>
              <w:t>-$</w:t>
            </w:r>
            <w:r w:rsidR="007B7D69" w:rsidRPr="007B7D69">
              <w:rPr>
                <w:rFonts w:ascii="Arial Narrow" w:eastAsiaTheme="majorEastAsia" w:hAnsi="Arial Narrow" w:cstheme="majorBidi" w:hint="eastAsia"/>
                <w:bCs/>
                <w:color w:val="000000"/>
                <w:w w:val="25"/>
                <w:sz w:val="20"/>
                <w:shd w:val="solid" w:color="000000" w:fill="000000"/>
                <w:fitText w:val="113" w:id="-1500865024"/>
                <w14:textFill>
                  <w14:solidFill>
                    <w14:srgbClr w14:val="000000">
                      <w14:alpha w14:val="100000"/>
                    </w14:srgbClr>
                  </w14:solidFill>
                </w14:textFill>
              </w:rPr>
              <w:t xml:space="preserve">　</w:t>
            </w:r>
            <w:r w:rsidR="007B7D69" w:rsidRPr="007B7D69">
              <w:rPr>
                <w:rFonts w:ascii="Arial Narrow" w:eastAsiaTheme="majorEastAsia" w:hAnsi="Arial Narrow" w:cstheme="majorBidi"/>
                <w:bCs/>
                <w:color w:val="000000"/>
                <w:w w:val="25"/>
                <w:sz w:val="20"/>
                <w:shd w:val="solid" w:color="000000" w:fill="000000"/>
                <w:fitText w:val="113" w:id="-1500865024"/>
                <w14:textFill>
                  <w14:solidFill>
                    <w14:srgbClr w14:val="000000">
                      <w14:alpha w14:val="100000"/>
                    </w14:srgbClr>
                  </w14:solidFill>
                </w14:textFill>
              </w:rPr>
              <w:t>|</w:t>
            </w:r>
            <w:r w:rsidR="007B7D69" w:rsidRPr="007B7D69">
              <w:rPr>
                <w:rFonts w:ascii="Arial Narrow" w:eastAsiaTheme="majorEastAsia" w:hAnsi="Arial Narrow" w:cstheme="majorBidi" w:hint="eastAsia"/>
                <w:bCs/>
                <w:color w:val="000000"/>
                <w:spacing w:val="2"/>
                <w:w w:val="25"/>
                <w:sz w:val="20"/>
                <w:shd w:val="solid" w:color="000000" w:fill="000000"/>
                <w:fitText w:val="113" w:id="-1500865024"/>
                <w14:textFill>
                  <w14:solidFill>
                    <w14:srgbClr w14:val="000000">
                      <w14:alpha w14:val="100000"/>
                    </w14:srgbClr>
                  </w14:solidFill>
                </w14:textFill>
              </w:rPr>
              <w:t xml:space="preserve">　</w:t>
            </w:r>
            <w:r w:rsidR="0020223E">
              <w:rPr>
                <w:rFonts w:ascii="Arial Narrow" w:eastAsiaTheme="majorEastAsia" w:hAnsi="Arial Narrow" w:cstheme="majorBidi"/>
                <w:sz w:val="20"/>
                <w:vertAlign w:val="superscript"/>
              </w:rPr>
              <w:t>4</w:t>
            </w:r>
          </w:p>
        </w:tc>
        <w:tc>
          <w:tcPr>
            <w:tcW w:w="629" w:type="pct"/>
            <w:shd w:val="clear" w:color="auto" w:fill="auto"/>
            <w:vAlign w:val="center"/>
          </w:tcPr>
          <w:p w14:paraId="11DF4468" w14:textId="12FE4E46" w:rsidR="00145899" w:rsidRPr="00E74253" w:rsidRDefault="00145899" w:rsidP="00404F98">
            <w:pPr>
              <w:keepNext/>
              <w:spacing w:before="20" w:after="20"/>
              <w:jc w:val="center"/>
              <w:rPr>
                <w:rFonts w:ascii="Arial Narrow" w:eastAsiaTheme="majorEastAsia" w:hAnsi="Arial Narrow" w:cstheme="majorBidi"/>
                <w:bCs/>
                <w:sz w:val="20"/>
              </w:rPr>
            </w:pPr>
            <w:r w:rsidRPr="00E74253">
              <w:rPr>
                <w:rFonts w:ascii="Arial Narrow" w:eastAsiaTheme="majorEastAsia" w:hAnsi="Arial Narrow" w:cstheme="majorBidi"/>
                <w:bCs/>
                <w:sz w:val="20"/>
              </w:rPr>
              <w:t>-$</w:t>
            </w:r>
            <w:r w:rsidR="007B7D69" w:rsidRPr="007B7D69">
              <w:rPr>
                <w:rFonts w:ascii="Arial Narrow" w:eastAsiaTheme="majorEastAsia" w:hAnsi="Arial Narrow" w:cstheme="majorBidi" w:hint="eastAsia"/>
                <w:bCs/>
                <w:color w:val="000000"/>
                <w:w w:val="25"/>
                <w:sz w:val="20"/>
                <w:shd w:val="solid" w:color="000000" w:fill="000000"/>
                <w:fitText w:val="112" w:id="-1500865023"/>
                <w14:textFill>
                  <w14:solidFill>
                    <w14:srgbClr w14:val="000000">
                      <w14:alpha w14:val="100000"/>
                    </w14:srgbClr>
                  </w14:solidFill>
                </w14:textFill>
              </w:rPr>
              <w:t xml:space="preserve">　</w:t>
            </w:r>
            <w:r w:rsidR="007B7D69" w:rsidRPr="007B7D69">
              <w:rPr>
                <w:rFonts w:ascii="Arial Narrow" w:eastAsiaTheme="majorEastAsia" w:hAnsi="Arial Narrow" w:cstheme="majorBidi"/>
                <w:bCs/>
                <w:color w:val="000000"/>
                <w:w w:val="25"/>
                <w:sz w:val="20"/>
                <w:shd w:val="solid" w:color="000000" w:fill="000000"/>
                <w:fitText w:val="112" w:id="-1500865023"/>
                <w14:textFill>
                  <w14:solidFill>
                    <w14:srgbClr w14:val="000000">
                      <w14:alpha w14:val="100000"/>
                    </w14:srgbClr>
                  </w14:solidFill>
                </w14:textFill>
              </w:rPr>
              <w:t>|</w:t>
            </w:r>
            <w:r w:rsidR="007B7D69" w:rsidRPr="007B7D69">
              <w:rPr>
                <w:rFonts w:ascii="Arial Narrow" w:eastAsiaTheme="majorEastAsia" w:hAnsi="Arial Narrow" w:cstheme="majorBidi" w:hint="eastAsia"/>
                <w:bCs/>
                <w:color w:val="000000"/>
                <w:spacing w:val="1"/>
                <w:w w:val="25"/>
                <w:sz w:val="20"/>
                <w:shd w:val="solid" w:color="000000" w:fill="000000"/>
                <w:fitText w:val="112" w:id="-1500865023"/>
                <w14:textFill>
                  <w14:solidFill>
                    <w14:srgbClr w14:val="000000">
                      <w14:alpha w14:val="100000"/>
                    </w14:srgbClr>
                  </w14:solidFill>
                </w14:textFill>
              </w:rPr>
              <w:t xml:space="preserve">　</w:t>
            </w:r>
            <w:r w:rsidR="0020223E">
              <w:rPr>
                <w:rFonts w:ascii="Arial Narrow" w:eastAsiaTheme="majorEastAsia" w:hAnsi="Arial Narrow" w:cstheme="majorBidi"/>
                <w:sz w:val="20"/>
                <w:vertAlign w:val="superscript"/>
              </w:rPr>
              <w:t>4</w:t>
            </w:r>
          </w:p>
        </w:tc>
        <w:tc>
          <w:tcPr>
            <w:tcW w:w="629" w:type="pct"/>
            <w:shd w:val="clear" w:color="auto" w:fill="auto"/>
            <w:vAlign w:val="center"/>
          </w:tcPr>
          <w:p w14:paraId="3D5014EF" w14:textId="68112E70" w:rsidR="00145899" w:rsidRPr="00E74253" w:rsidRDefault="00145899" w:rsidP="00404F98">
            <w:pPr>
              <w:keepNext/>
              <w:spacing w:before="20" w:after="20"/>
              <w:jc w:val="center"/>
              <w:rPr>
                <w:rFonts w:ascii="Arial Narrow" w:eastAsiaTheme="majorEastAsia" w:hAnsi="Arial Narrow" w:cstheme="majorBidi"/>
                <w:bCs/>
                <w:sz w:val="20"/>
              </w:rPr>
            </w:pPr>
            <w:r w:rsidRPr="00E74253">
              <w:rPr>
                <w:rFonts w:ascii="Arial Narrow" w:eastAsiaTheme="majorEastAsia" w:hAnsi="Arial Narrow" w:cstheme="majorBidi"/>
                <w:bCs/>
                <w:sz w:val="20"/>
              </w:rPr>
              <w:t>-$</w:t>
            </w:r>
            <w:r w:rsidR="007B7D69" w:rsidRPr="007B7D69">
              <w:rPr>
                <w:rFonts w:ascii="Arial Narrow" w:eastAsiaTheme="majorEastAsia" w:hAnsi="Arial Narrow" w:cstheme="majorBidi" w:hint="eastAsia"/>
                <w:bCs/>
                <w:color w:val="000000"/>
                <w:w w:val="25"/>
                <w:sz w:val="20"/>
                <w:shd w:val="solid" w:color="000000" w:fill="000000"/>
                <w:fitText w:val="113" w:id="-1500865022"/>
                <w14:textFill>
                  <w14:solidFill>
                    <w14:srgbClr w14:val="000000">
                      <w14:alpha w14:val="100000"/>
                    </w14:srgbClr>
                  </w14:solidFill>
                </w14:textFill>
              </w:rPr>
              <w:t xml:space="preserve">　</w:t>
            </w:r>
            <w:r w:rsidR="007B7D69" w:rsidRPr="007B7D69">
              <w:rPr>
                <w:rFonts w:ascii="Arial Narrow" w:eastAsiaTheme="majorEastAsia" w:hAnsi="Arial Narrow" w:cstheme="majorBidi"/>
                <w:bCs/>
                <w:color w:val="000000"/>
                <w:w w:val="25"/>
                <w:sz w:val="20"/>
                <w:shd w:val="solid" w:color="000000" w:fill="000000"/>
                <w:fitText w:val="113" w:id="-1500865022"/>
                <w14:textFill>
                  <w14:solidFill>
                    <w14:srgbClr w14:val="000000">
                      <w14:alpha w14:val="100000"/>
                    </w14:srgbClr>
                  </w14:solidFill>
                </w14:textFill>
              </w:rPr>
              <w:t>|</w:t>
            </w:r>
            <w:r w:rsidR="007B7D69" w:rsidRPr="007B7D69">
              <w:rPr>
                <w:rFonts w:ascii="Arial Narrow" w:eastAsiaTheme="majorEastAsia" w:hAnsi="Arial Narrow" w:cstheme="majorBidi" w:hint="eastAsia"/>
                <w:bCs/>
                <w:color w:val="000000"/>
                <w:spacing w:val="2"/>
                <w:w w:val="25"/>
                <w:sz w:val="20"/>
                <w:shd w:val="solid" w:color="000000" w:fill="000000"/>
                <w:fitText w:val="113" w:id="-1500865022"/>
                <w14:textFill>
                  <w14:solidFill>
                    <w14:srgbClr w14:val="000000">
                      <w14:alpha w14:val="100000"/>
                    </w14:srgbClr>
                  </w14:solidFill>
                </w14:textFill>
              </w:rPr>
              <w:t xml:space="preserve">　</w:t>
            </w:r>
            <w:r w:rsidR="0020223E">
              <w:rPr>
                <w:rFonts w:ascii="Arial Narrow" w:eastAsiaTheme="majorEastAsia" w:hAnsi="Arial Narrow" w:cstheme="majorBidi"/>
                <w:sz w:val="20"/>
                <w:vertAlign w:val="superscript"/>
              </w:rPr>
              <w:t>4</w:t>
            </w:r>
          </w:p>
        </w:tc>
        <w:tc>
          <w:tcPr>
            <w:tcW w:w="629" w:type="pct"/>
            <w:shd w:val="clear" w:color="auto" w:fill="auto"/>
            <w:vAlign w:val="center"/>
          </w:tcPr>
          <w:p w14:paraId="443FF5C8" w14:textId="6B272333" w:rsidR="00145899" w:rsidRPr="00E74253" w:rsidRDefault="00145899" w:rsidP="00404F98">
            <w:pPr>
              <w:keepNext/>
              <w:spacing w:before="20" w:after="20"/>
              <w:jc w:val="center"/>
              <w:rPr>
                <w:rFonts w:ascii="Arial Narrow" w:eastAsiaTheme="majorEastAsia" w:hAnsi="Arial Narrow" w:cstheme="majorBidi"/>
                <w:bCs/>
                <w:sz w:val="20"/>
              </w:rPr>
            </w:pPr>
            <w:r w:rsidRPr="00E74253">
              <w:rPr>
                <w:rFonts w:ascii="Arial Narrow" w:eastAsiaTheme="majorEastAsia" w:hAnsi="Arial Narrow" w:cstheme="majorBidi"/>
                <w:bCs/>
                <w:sz w:val="20"/>
              </w:rPr>
              <w:t>-$</w:t>
            </w:r>
            <w:r w:rsidR="007B7D69" w:rsidRPr="007B7D69">
              <w:rPr>
                <w:rFonts w:ascii="Arial Narrow" w:eastAsiaTheme="majorEastAsia" w:hAnsi="Arial Narrow" w:cstheme="majorBidi" w:hint="eastAsia"/>
                <w:bCs/>
                <w:color w:val="000000"/>
                <w:w w:val="25"/>
                <w:sz w:val="20"/>
                <w:shd w:val="solid" w:color="000000" w:fill="000000"/>
                <w:fitText w:val="113" w:id="-1500865021"/>
                <w14:textFill>
                  <w14:solidFill>
                    <w14:srgbClr w14:val="000000">
                      <w14:alpha w14:val="100000"/>
                    </w14:srgbClr>
                  </w14:solidFill>
                </w14:textFill>
              </w:rPr>
              <w:t xml:space="preserve">　</w:t>
            </w:r>
            <w:r w:rsidR="007B7D69" w:rsidRPr="007B7D69">
              <w:rPr>
                <w:rFonts w:ascii="Arial Narrow" w:eastAsiaTheme="majorEastAsia" w:hAnsi="Arial Narrow" w:cstheme="majorBidi"/>
                <w:bCs/>
                <w:color w:val="000000"/>
                <w:w w:val="25"/>
                <w:sz w:val="20"/>
                <w:shd w:val="solid" w:color="000000" w:fill="000000"/>
                <w:fitText w:val="113" w:id="-1500865021"/>
                <w14:textFill>
                  <w14:solidFill>
                    <w14:srgbClr w14:val="000000">
                      <w14:alpha w14:val="100000"/>
                    </w14:srgbClr>
                  </w14:solidFill>
                </w14:textFill>
              </w:rPr>
              <w:t>|</w:t>
            </w:r>
            <w:r w:rsidR="007B7D69" w:rsidRPr="007B7D69">
              <w:rPr>
                <w:rFonts w:ascii="Arial Narrow" w:eastAsiaTheme="majorEastAsia" w:hAnsi="Arial Narrow" w:cstheme="majorBidi" w:hint="eastAsia"/>
                <w:bCs/>
                <w:color w:val="000000"/>
                <w:spacing w:val="2"/>
                <w:w w:val="25"/>
                <w:sz w:val="20"/>
                <w:shd w:val="solid" w:color="000000" w:fill="000000"/>
                <w:fitText w:val="113" w:id="-1500865021"/>
                <w14:textFill>
                  <w14:solidFill>
                    <w14:srgbClr w14:val="000000">
                      <w14:alpha w14:val="100000"/>
                    </w14:srgbClr>
                  </w14:solidFill>
                </w14:textFill>
              </w:rPr>
              <w:t xml:space="preserve">　</w:t>
            </w:r>
            <w:r w:rsidR="0020223E">
              <w:rPr>
                <w:rFonts w:ascii="Arial Narrow" w:eastAsiaTheme="majorEastAsia" w:hAnsi="Arial Narrow" w:cstheme="majorBidi"/>
                <w:sz w:val="20"/>
                <w:vertAlign w:val="superscript"/>
              </w:rPr>
              <w:t>4</w:t>
            </w:r>
          </w:p>
        </w:tc>
        <w:tc>
          <w:tcPr>
            <w:tcW w:w="629" w:type="pct"/>
            <w:shd w:val="clear" w:color="auto" w:fill="auto"/>
            <w:vAlign w:val="center"/>
          </w:tcPr>
          <w:p w14:paraId="64C4D524" w14:textId="769201D7" w:rsidR="00145899" w:rsidRPr="00E74253" w:rsidRDefault="00145899" w:rsidP="00404F98">
            <w:pPr>
              <w:keepNext/>
              <w:spacing w:before="20" w:after="20"/>
              <w:jc w:val="center"/>
              <w:rPr>
                <w:rFonts w:ascii="Arial Narrow" w:eastAsiaTheme="majorEastAsia" w:hAnsi="Arial Narrow" w:cstheme="majorBidi"/>
                <w:bCs/>
                <w:sz w:val="20"/>
              </w:rPr>
            </w:pPr>
            <w:r w:rsidRPr="00E74253">
              <w:rPr>
                <w:rFonts w:ascii="Arial Narrow" w:eastAsiaTheme="majorEastAsia" w:hAnsi="Arial Narrow" w:cstheme="majorBidi"/>
                <w:bCs/>
                <w:sz w:val="20"/>
              </w:rPr>
              <w:t>-$</w:t>
            </w:r>
            <w:r w:rsidR="007B7D69" w:rsidRPr="007B7D69">
              <w:rPr>
                <w:rFonts w:ascii="Arial Narrow" w:eastAsiaTheme="majorEastAsia" w:hAnsi="Arial Narrow" w:cstheme="majorBidi" w:hint="eastAsia"/>
                <w:bCs/>
                <w:color w:val="000000"/>
                <w:w w:val="25"/>
                <w:sz w:val="20"/>
                <w:shd w:val="solid" w:color="000000" w:fill="000000"/>
                <w:fitText w:val="112" w:id="-1500865020"/>
                <w14:textFill>
                  <w14:solidFill>
                    <w14:srgbClr w14:val="000000">
                      <w14:alpha w14:val="100000"/>
                    </w14:srgbClr>
                  </w14:solidFill>
                </w14:textFill>
              </w:rPr>
              <w:t xml:space="preserve">　</w:t>
            </w:r>
            <w:r w:rsidR="007B7D69" w:rsidRPr="007B7D69">
              <w:rPr>
                <w:rFonts w:ascii="Arial Narrow" w:eastAsiaTheme="majorEastAsia" w:hAnsi="Arial Narrow" w:cstheme="majorBidi"/>
                <w:bCs/>
                <w:color w:val="000000"/>
                <w:w w:val="25"/>
                <w:sz w:val="20"/>
                <w:shd w:val="solid" w:color="000000" w:fill="000000"/>
                <w:fitText w:val="112" w:id="-1500865020"/>
                <w14:textFill>
                  <w14:solidFill>
                    <w14:srgbClr w14:val="000000">
                      <w14:alpha w14:val="100000"/>
                    </w14:srgbClr>
                  </w14:solidFill>
                </w14:textFill>
              </w:rPr>
              <w:t>|</w:t>
            </w:r>
            <w:r w:rsidR="007B7D69" w:rsidRPr="007B7D69">
              <w:rPr>
                <w:rFonts w:ascii="Arial Narrow" w:eastAsiaTheme="majorEastAsia" w:hAnsi="Arial Narrow" w:cstheme="majorBidi" w:hint="eastAsia"/>
                <w:bCs/>
                <w:color w:val="000000"/>
                <w:spacing w:val="1"/>
                <w:w w:val="25"/>
                <w:sz w:val="20"/>
                <w:shd w:val="solid" w:color="000000" w:fill="000000"/>
                <w:fitText w:val="112" w:id="-1500865020"/>
                <w14:textFill>
                  <w14:solidFill>
                    <w14:srgbClr w14:val="000000">
                      <w14:alpha w14:val="100000"/>
                    </w14:srgbClr>
                  </w14:solidFill>
                </w14:textFill>
              </w:rPr>
              <w:t xml:space="preserve">　</w:t>
            </w:r>
            <w:r w:rsidR="0020223E">
              <w:rPr>
                <w:rFonts w:ascii="Arial Narrow" w:eastAsiaTheme="majorEastAsia" w:hAnsi="Arial Narrow" w:cstheme="majorBidi"/>
                <w:sz w:val="20"/>
                <w:vertAlign w:val="superscript"/>
              </w:rPr>
              <w:t>4</w:t>
            </w:r>
          </w:p>
        </w:tc>
        <w:tc>
          <w:tcPr>
            <w:tcW w:w="600" w:type="pct"/>
            <w:shd w:val="clear" w:color="auto" w:fill="auto"/>
            <w:vAlign w:val="center"/>
          </w:tcPr>
          <w:p w14:paraId="6E31BDF6" w14:textId="77DB26DC" w:rsidR="00145899" w:rsidRPr="00E74253" w:rsidRDefault="00145899" w:rsidP="00404F98">
            <w:pPr>
              <w:keepNext/>
              <w:spacing w:before="20" w:after="20"/>
              <w:jc w:val="center"/>
              <w:rPr>
                <w:rFonts w:ascii="Arial Narrow" w:eastAsiaTheme="majorEastAsia" w:hAnsi="Arial Narrow" w:cstheme="majorBidi"/>
                <w:bCs/>
                <w:sz w:val="20"/>
              </w:rPr>
            </w:pPr>
            <w:r w:rsidRPr="00E74253">
              <w:rPr>
                <w:rFonts w:ascii="Arial Narrow" w:eastAsiaTheme="majorEastAsia" w:hAnsi="Arial Narrow" w:cstheme="majorBidi"/>
                <w:bCs/>
                <w:sz w:val="20"/>
              </w:rPr>
              <w:t>-$</w:t>
            </w:r>
            <w:r w:rsidR="007B7D69" w:rsidRPr="007B7D69">
              <w:rPr>
                <w:rFonts w:ascii="Arial Narrow" w:eastAsiaTheme="majorEastAsia" w:hAnsi="Arial Narrow" w:cstheme="majorBidi" w:hint="eastAsia"/>
                <w:bCs/>
                <w:color w:val="000000"/>
                <w:w w:val="30"/>
                <w:sz w:val="20"/>
                <w:shd w:val="solid" w:color="000000" w:fill="000000"/>
                <w:fitText w:val="137" w:id="-1500865019"/>
                <w14:textFill>
                  <w14:solidFill>
                    <w14:srgbClr w14:val="000000">
                      <w14:alpha w14:val="100000"/>
                    </w14:srgbClr>
                  </w14:solidFill>
                </w14:textFill>
              </w:rPr>
              <w:t xml:space="preserve">　</w:t>
            </w:r>
            <w:r w:rsidR="007B7D69" w:rsidRPr="007B7D69">
              <w:rPr>
                <w:rFonts w:ascii="Arial Narrow" w:eastAsiaTheme="majorEastAsia" w:hAnsi="Arial Narrow" w:cstheme="majorBidi"/>
                <w:bCs/>
                <w:color w:val="000000"/>
                <w:w w:val="30"/>
                <w:sz w:val="20"/>
                <w:shd w:val="solid" w:color="000000" w:fill="000000"/>
                <w:fitText w:val="137" w:id="-1500865019"/>
                <w14:textFill>
                  <w14:solidFill>
                    <w14:srgbClr w14:val="000000">
                      <w14:alpha w14:val="100000"/>
                    </w14:srgbClr>
                  </w14:solidFill>
                </w14:textFill>
              </w:rPr>
              <w:t>|</w:t>
            </w:r>
            <w:r w:rsidR="007B7D69" w:rsidRPr="007B7D69">
              <w:rPr>
                <w:rFonts w:ascii="Arial Narrow" w:eastAsiaTheme="majorEastAsia" w:hAnsi="Arial Narrow" w:cstheme="majorBidi" w:hint="eastAsia"/>
                <w:bCs/>
                <w:color w:val="000000"/>
                <w:spacing w:val="5"/>
                <w:w w:val="30"/>
                <w:sz w:val="20"/>
                <w:shd w:val="solid" w:color="000000" w:fill="000000"/>
                <w:fitText w:val="137" w:id="-1500865019"/>
                <w14:textFill>
                  <w14:solidFill>
                    <w14:srgbClr w14:val="000000">
                      <w14:alpha w14:val="100000"/>
                    </w14:srgbClr>
                  </w14:solidFill>
                </w14:textFill>
              </w:rPr>
              <w:t xml:space="preserve">　</w:t>
            </w:r>
            <w:r w:rsidR="0020223E">
              <w:rPr>
                <w:rFonts w:ascii="Arial Narrow" w:eastAsiaTheme="majorEastAsia" w:hAnsi="Arial Narrow" w:cstheme="majorBidi"/>
                <w:sz w:val="20"/>
                <w:vertAlign w:val="superscript"/>
              </w:rPr>
              <w:t>4</w:t>
            </w:r>
          </w:p>
        </w:tc>
      </w:tr>
      <w:tr w:rsidR="00145899" w:rsidRPr="00E74253" w14:paraId="0C06A9BB" w14:textId="77777777" w:rsidTr="00B5124C">
        <w:tc>
          <w:tcPr>
            <w:tcW w:w="1255" w:type="pct"/>
            <w:tcBorders>
              <w:bottom w:val="single" w:sz="4" w:space="0" w:color="auto"/>
            </w:tcBorders>
            <w:shd w:val="clear" w:color="auto" w:fill="auto"/>
            <w:vAlign w:val="center"/>
          </w:tcPr>
          <w:p w14:paraId="217C799E" w14:textId="77777777" w:rsidR="00145899" w:rsidRPr="00FF27D1" w:rsidRDefault="00145899" w:rsidP="00404F98">
            <w:pPr>
              <w:keepNext/>
              <w:spacing w:before="20" w:after="20"/>
              <w:jc w:val="left"/>
              <w:rPr>
                <w:rFonts w:ascii="Arial Narrow" w:eastAsiaTheme="majorEastAsia" w:hAnsi="Arial Narrow" w:cstheme="majorBidi"/>
                <w:bCs/>
                <w:sz w:val="20"/>
                <w:szCs w:val="20"/>
              </w:rPr>
            </w:pPr>
            <w:r w:rsidRPr="00FF27D1">
              <w:rPr>
                <w:rFonts w:ascii="Arial Narrow" w:eastAsiaTheme="majorEastAsia" w:hAnsi="Arial Narrow" w:cstheme="majorBidi"/>
                <w:bCs/>
                <w:sz w:val="20"/>
                <w:szCs w:val="20"/>
              </w:rPr>
              <w:t>Net cost to PBS/RPBS/MBS</w:t>
            </w:r>
          </w:p>
        </w:tc>
        <w:tc>
          <w:tcPr>
            <w:tcW w:w="629" w:type="pct"/>
            <w:tcBorders>
              <w:bottom w:val="single" w:sz="4" w:space="0" w:color="auto"/>
            </w:tcBorders>
            <w:shd w:val="clear" w:color="auto" w:fill="auto"/>
            <w:vAlign w:val="center"/>
          </w:tcPr>
          <w:p w14:paraId="3F52745F" w14:textId="15EACBB8" w:rsidR="00145899" w:rsidRPr="00E74253" w:rsidRDefault="00095977" w:rsidP="00404F98">
            <w:pPr>
              <w:keepNext/>
              <w:spacing w:before="20" w:after="20"/>
              <w:jc w:val="center"/>
              <w:rPr>
                <w:rFonts w:ascii="Arial Narrow" w:eastAsiaTheme="majorEastAsia" w:hAnsi="Arial Narrow" w:cstheme="majorBidi"/>
                <w:b/>
                <w:bCs/>
                <w:sz w:val="20"/>
              </w:rPr>
            </w:pPr>
            <w:r w:rsidRPr="00E74253">
              <w:rPr>
                <w:rFonts w:ascii="Arial Narrow" w:eastAsiaTheme="majorEastAsia" w:hAnsi="Arial Narrow" w:cstheme="majorBidi"/>
                <w:b/>
                <w:sz w:val="20"/>
              </w:rPr>
              <w:t>-</w:t>
            </w:r>
            <w:r w:rsidR="00145899" w:rsidRPr="00E74253">
              <w:rPr>
                <w:rFonts w:ascii="Arial Narrow" w:eastAsiaTheme="majorEastAsia" w:hAnsi="Arial Narrow" w:cstheme="majorBidi"/>
                <w:b/>
                <w:sz w:val="20"/>
              </w:rPr>
              <w:t>$</w:t>
            </w:r>
            <w:r w:rsidR="007B7D69" w:rsidRPr="007B7D69">
              <w:rPr>
                <w:rFonts w:ascii="Arial Narrow" w:eastAsiaTheme="majorEastAsia" w:hAnsi="Arial Narrow" w:cstheme="majorBidi" w:hint="eastAsia"/>
                <w:b/>
                <w:color w:val="000000"/>
                <w:w w:val="33"/>
                <w:sz w:val="20"/>
                <w:shd w:val="solid" w:color="000000" w:fill="000000"/>
                <w:fitText w:val="150" w:id="-1500865018"/>
                <w14:textFill>
                  <w14:solidFill>
                    <w14:srgbClr w14:val="000000">
                      <w14:alpha w14:val="100000"/>
                    </w14:srgbClr>
                  </w14:solidFill>
                </w14:textFill>
              </w:rPr>
              <w:t xml:space="preserve">　</w:t>
            </w:r>
            <w:r w:rsidR="007B7D69" w:rsidRPr="007B7D69">
              <w:rPr>
                <w:rFonts w:ascii="Arial Narrow" w:eastAsiaTheme="majorEastAsia" w:hAnsi="Arial Narrow" w:cstheme="majorBidi"/>
                <w:b/>
                <w:color w:val="000000"/>
                <w:w w:val="33"/>
                <w:sz w:val="20"/>
                <w:shd w:val="solid" w:color="000000" w:fill="000000"/>
                <w:fitText w:val="150" w:id="-1500865018"/>
                <w14:textFill>
                  <w14:solidFill>
                    <w14:srgbClr w14:val="000000">
                      <w14:alpha w14:val="100000"/>
                    </w14:srgbClr>
                  </w14:solidFill>
                </w14:textFill>
              </w:rPr>
              <w:t>|</w:t>
            </w:r>
            <w:r w:rsidR="007B7D69" w:rsidRPr="007B7D69">
              <w:rPr>
                <w:rFonts w:ascii="Arial Narrow" w:eastAsiaTheme="majorEastAsia" w:hAnsi="Arial Narrow" w:cstheme="majorBidi" w:hint="eastAsia"/>
                <w:b/>
                <w:color w:val="000000"/>
                <w:spacing w:val="3"/>
                <w:w w:val="33"/>
                <w:sz w:val="20"/>
                <w:shd w:val="solid" w:color="000000" w:fill="000000"/>
                <w:fitText w:val="150" w:id="-1500865018"/>
                <w14:textFill>
                  <w14:solidFill>
                    <w14:srgbClr w14:val="000000">
                      <w14:alpha w14:val="100000"/>
                    </w14:srgbClr>
                  </w14:solidFill>
                </w14:textFill>
              </w:rPr>
              <w:t xml:space="preserve">　</w:t>
            </w:r>
            <w:r w:rsidR="0020223E">
              <w:rPr>
                <w:rFonts w:ascii="Arial Narrow" w:eastAsiaTheme="majorEastAsia" w:hAnsi="Arial Narrow" w:cstheme="majorBidi"/>
                <w:sz w:val="20"/>
                <w:vertAlign w:val="superscript"/>
              </w:rPr>
              <w:t>4</w:t>
            </w:r>
          </w:p>
        </w:tc>
        <w:tc>
          <w:tcPr>
            <w:tcW w:w="629" w:type="pct"/>
            <w:tcBorders>
              <w:bottom w:val="single" w:sz="4" w:space="0" w:color="auto"/>
            </w:tcBorders>
            <w:shd w:val="clear" w:color="auto" w:fill="auto"/>
            <w:vAlign w:val="center"/>
          </w:tcPr>
          <w:p w14:paraId="59472F69" w14:textId="5343254B" w:rsidR="00145899" w:rsidRPr="00E74253" w:rsidRDefault="00095977" w:rsidP="00404F98">
            <w:pPr>
              <w:keepNext/>
              <w:spacing w:before="20" w:after="20"/>
              <w:jc w:val="center"/>
              <w:rPr>
                <w:rFonts w:ascii="Arial Narrow" w:eastAsiaTheme="majorEastAsia" w:hAnsi="Arial Narrow" w:cstheme="majorBidi"/>
                <w:b/>
                <w:bCs/>
                <w:sz w:val="20"/>
              </w:rPr>
            </w:pPr>
            <w:r w:rsidRPr="00E74253">
              <w:rPr>
                <w:rFonts w:ascii="Arial Narrow" w:eastAsiaTheme="majorEastAsia" w:hAnsi="Arial Narrow" w:cstheme="majorBidi"/>
                <w:b/>
                <w:sz w:val="20"/>
              </w:rPr>
              <w:t>-</w:t>
            </w:r>
            <w:r w:rsidR="00145899" w:rsidRPr="00E74253">
              <w:rPr>
                <w:rFonts w:ascii="Arial Narrow" w:eastAsiaTheme="majorEastAsia" w:hAnsi="Arial Narrow" w:cstheme="majorBidi"/>
                <w:b/>
                <w:sz w:val="20"/>
              </w:rPr>
              <w:t>$</w:t>
            </w:r>
            <w:r w:rsidR="007B7D69" w:rsidRPr="007B7D69">
              <w:rPr>
                <w:rFonts w:ascii="Arial Narrow" w:eastAsiaTheme="majorEastAsia" w:hAnsi="Arial Narrow" w:cstheme="majorBidi"/>
                <w:b/>
                <w:color w:val="000000"/>
                <w:spacing w:val="59"/>
                <w:sz w:val="20"/>
                <w:shd w:val="solid" w:color="000000" w:fill="000000"/>
                <w:fitText w:val="151" w:id="-1500865017"/>
                <w14:textFill>
                  <w14:solidFill>
                    <w14:srgbClr w14:val="000000">
                      <w14:alpha w14:val="100000"/>
                    </w14:srgbClr>
                  </w14:solidFill>
                </w14:textFill>
              </w:rPr>
              <w:t>|</w:t>
            </w:r>
            <w:r w:rsidR="007B7D69" w:rsidRPr="007B7D69">
              <w:rPr>
                <w:rFonts w:ascii="Arial Narrow" w:eastAsiaTheme="majorEastAsia" w:hAnsi="Arial Narrow" w:cstheme="majorBidi"/>
                <w:b/>
                <w:color w:val="000000"/>
                <w:spacing w:val="1"/>
                <w:sz w:val="20"/>
                <w:shd w:val="solid" w:color="000000" w:fill="000000"/>
                <w:fitText w:val="151" w:id="-1500865017"/>
                <w14:textFill>
                  <w14:solidFill>
                    <w14:srgbClr w14:val="000000">
                      <w14:alpha w14:val="100000"/>
                    </w14:srgbClr>
                  </w14:solidFill>
                </w14:textFill>
              </w:rPr>
              <w:t>|</w:t>
            </w:r>
            <w:r w:rsidR="0020223E">
              <w:rPr>
                <w:rFonts w:ascii="Arial Narrow" w:eastAsiaTheme="majorEastAsia" w:hAnsi="Arial Narrow" w:cstheme="majorBidi"/>
                <w:sz w:val="20"/>
                <w:vertAlign w:val="superscript"/>
              </w:rPr>
              <w:t>4</w:t>
            </w:r>
          </w:p>
        </w:tc>
        <w:tc>
          <w:tcPr>
            <w:tcW w:w="629" w:type="pct"/>
            <w:tcBorders>
              <w:bottom w:val="single" w:sz="4" w:space="0" w:color="auto"/>
            </w:tcBorders>
            <w:shd w:val="clear" w:color="auto" w:fill="auto"/>
            <w:vAlign w:val="center"/>
          </w:tcPr>
          <w:p w14:paraId="1AF2B340" w14:textId="10F95622" w:rsidR="00145899" w:rsidRPr="00E74253" w:rsidRDefault="00095977" w:rsidP="00404F98">
            <w:pPr>
              <w:keepNext/>
              <w:spacing w:before="20" w:after="20"/>
              <w:jc w:val="center"/>
              <w:rPr>
                <w:rFonts w:ascii="Arial Narrow" w:eastAsiaTheme="majorEastAsia" w:hAnsi="Arial Narrow" w:cstheme="majorBidi"/>
                <w:b/>
                <w:bCs/>
                <w:sz w:val="20"/>
              </w:rPr>
            </w:pPr>
            <w:r w:rsidRPr="00E74253">
              <w:rPr>
                <w:rFonts w:ascii="Arial Narrow" w:eastAsiaTheme="majorEastAsia" w:hAnsi="Arial Narrow" w:cstheme="majorBidi"/>
                <w:b/>
                <w:sz w:val="20"/>
              </w:rPr>
              <w:t>-</w:t>
            </w:r>
            <w:r w:rsidR="00145899" w:rsidRPr="00E74253">
              <w:rPr>
                <w:rFonts w:ascii="Arial Narrow" w:eastAsiaTheme="majorEastAsia" w:hAnsi="Arial Narrow" w:cstheme="majorBidi"/>
                <w:b/>
                <w:sz w:val="20"/>
              </w:rPr>
              <w:t>$</w:t>
            </w:r>
            <w:r w:rsidR="007B7D69" w:rsidRPr="007B7D69">
              <w:rPr>
                <w:rFonts w:ascii="Arial Narrow" w:eastAsiaTheme="majorEastAsia" w:hAnsi="Arial Narrow" w:cstheme="majorBidi" w:hint="eastAsia"/>
                <w:b/>
                <w:color w:val="000000"/>
                <w:w w:val="33"/>
                <w:sz w:val="20"/>
                <w:shd w:val="solid" w:color="000000" w:fill="000000"/>
                <w:fitText w:val="150" w:id="-1500865016"/>
                <w14:textFill>
                  <w14:solidFill>
                    <w14:srgbClr w14:val="000000">
                      <w14:alpha w14:val="100000"/>
                    </w14:srgbClr>
                  </w14:solidFill>
                </w14:textFill>
              </w:rPr>
              <w:t xml:space="preserve">　</w:t>
            </w:r>
            <w:r w:rsidR="007B7D69" w:rsidRPr="007B7D69">
              <w:rPr>
                <w:rFonts w:ascii="Arial Narrow" w:eastAsiaTheme="majorEastAsia" w:hAnsi="Arial Narrow" w:cstheme="majorBidi"/>
                <w:b/>
                <w:color w:val="000000"/>
                <w:w w:val="33"/>
                <w:sz w:val="20"/>
                <w:shd w:val="solid" w:color="000000" w:fill="000000"/>
                <w:fitText w:val="150" w:id="-1500865016"/>
                <w14:textFill>
                  <w14:solidFill>
                    <w14:srgbClr w14:val="000000">
                      <w14:alpha w14:val="100000"/>
                    </w14:srgbClr>
                  </w14:solidFill>
                </w14:textFill>
              </w:rPr>
              <w:t>|</w:t>
            </w:r>
            <w:r w:rsidR="007B7D69" w:rsidRPr="007B7D69">
              <w:rPr>
                <w:rFonts w:ascii="Arial Narrow" w:eastAsiaTheme="majorEastAsia" w:hAnsi="Arial Narrow" w:cstheme="majorBidi" w:hint="eastAsia"/>
                <w:b/>
                <w:color w:val="000000"/>
                <w:spacing w:val="3"/>
                <w:w w:val="33"/>
                <w:sz w:val="20"/>
                <w:shd w:val="solid" w:color="000000" w:fill="000000"/>
                <w:fitText w:val="150" w:id="-1500865016"/>
                <w14:textFill>
                  <w14:solidFill>
                    <w14:srgbClr w14:val="000000">
                      <w14:alpha w14:val="100000"/>
                    </w14:srgbClr>
                  </w14:solidFill>
                </w14:textFill>
              </w:rPr>
              <w:t xml:space="preserve">　</w:t>
            </w:r>
            <w:r w:rsidR="0020223E">
              <w:rPr>
                <w:rFonts w:ascii="Arial Narrow" w:eastAsiaTheme="majorEastAsia" w:hAnsi="Arial Narrow" w:cstheme="majorBidi"/>
                <w:sz w:val="20"/>
                <w:vertAlign w:val="superscript"/>
              </w:rPr>
              <w:t>4</w:t>
            </w:r>
          </w:p>
        </w:tc>
        <w:tc>
          <w:tcPr>
            <w:tcW w:w="629" w:type="pct"/>
            <w:tcBorders>
              <w:bottom w:val="single" w:sz="4" w:space="0" w:color="auto"/>
            </w:tcBorders>
            <w:shd w:val="clear" w:color="auto" w:fill="auto"/>
            <w:vAlign w:val="center"/>
          </w:tcPr>
          <w:p w14:paraId="6BD36B80" w14:textId="6E296692" w:rsidR="00145899" w:rsidRPr="00E74253" w:rsidRDefault="00095977" w:rsidP="00404F98">
            <w:pPr>
              <w:keepNext/>
              <w:spacing w:before="20" w:after="20"/>
              <w:jc w:val="center"/>
              <w:rPr>
                <w:rFonts w:ascii="Arial Narrow" w:eastAsiaTheme="majorEastAsia" w:hAnsi="Arial Narrow" w:cstheme="majorBidi"/>
                <w:b/>
                <w:bCs/>
                <w:sz w:val="20"/>
              </w:rPr>
            </w:pPr>
            <w:r w:rsidRPr="00E74253">
              <w:rPr>
                <w:rFonts w:ascii="Arial Narrow" w:eastAsiaTheme="majorEastAsia" w:hAnsi="Arial Narrow" w:cstheme="majorBidi"/>
                <w:b/>
                <w:sz w:val="20"/>
              </w:rPr>
              <w:t>-</w:t>
            </w:r>
            <w:r w:rsidR="00145899" w:rsidRPr="00E74253">
              <w:rPr>
                <w:rFonts w:ascii="Arial Narrow" w:eastAsiaTheme="majorEastAsia" w:hAnsi="Arial Narrow" w:cstheme="majorBidi"/>
                <w:b/>
                <w:sz w:val="20"/>
              </w:rPr>
              <w:t>$</w:t>
            </w:r>
            <w:r w:rsidR="007B7D69" w:rsidRPr="007B7D69">
              <w:rPr>
                <w:rFonts w:ascii="Arial Narrow" w:eastAsiaTheme="majorEastAsia" w:hAnsi="Arial Narrow" w:cstheme="majorBidi" w:hint="eastAsia"/>
                <w:b/>
                <w:color w:val="000000"/>
                <w:w w:val="33"/>
                <w:sz w:val="20"/>
                <w:shd w:val="solid" w:color="000000" w:fill="000000"/>
                <w:fitText w:val="150" w:id="-1500865015"/>
                <w14:textFill>
                  <w14:solidFill>
                    <w14:srgbClr w14:val="000000">
                      <w14:alpha w14:val="100000"/>
                    </w14:srgbClr>
                  </w14:solidFill>
                </w14:textFill>
              </w:rPr>
              <w:t xml:space="preserve">　</w:t>
            </w:r>
            <w:r w:rsidR="007B7D69" w:rsidRPr="007B7D69">
              <w:rPr>
                <w:rFonts w:ascii="Arial Narrow" w:eastAsiaTheme="majorEastAsia" w:hAnsi="Arial Narrow" w:cstheme="majorBidi"/>
                <w:b/>
                <w:color w:val="000000"/>
                <w:w w:val="33"/>
                <w:sz w:val="20"/>
                <w:shd w:val="solid" w:color="000000" w:fill="000000"/>
                <w:fitText w:val="150" w:id="-1500865015"/>
                <w14:textFill>
                  <w14:solidFill>
                    <w14:srgbClr w14:val="000000">
                      <w14:alpha w14:val="100000"/>
                    </w14:srgbClr>
                  </w14:solidFill>
                </w14:textFill>
              </w:rPr>
              <w:t>|</w:t>
            </w:r>
            <w:r w:rsidR="007B7D69" w:rsidRPr="007B7D69">
              <w:rPr>
                <w:rFonts w:ascii="Arial Narrow" w:eastAsiaTheme="majorEastAsia" w:hAnsi="Arial Narrow" w:cstheme="majorBidi" w:hint="eastAsia"/>
                <w:b/>
                <w:color w:val="000000"/>
                <w:spacing w:val="3"/>
                <w:w w:val="33"/>
                <w:sz w:val="20"/>
                <w:shd w:val="solid" w:color="000000" w:fill="000000"/>
                <w:fitText w:val="150" w:id="-1500865015"/>
                <w14:textFill>
                  <w14:solidFill>
                    <w14:srgbClr w14:val="000000">
                      <w14:alpha w14:val="100000"/>
                    </w14:srgbClr>
                  </w14:solidFill>
                </w14:textFill>
              </w:rPr>
              <w:t xml:space="preserve">　</w:t>
            </w:r>
            <w:r w:rsidR="0020223E">
              <w:rPr>
                <w:rFonts w:ascii="Arial Narrow" w:eastAsiaTheme="majorEastAsia" w:hAnsi="Arial Narrow" w:cstheme="majorBidi"/>
                <w:sz w:val="20"/>
                <w:vertAlign w:val="superscript"/>
              </w:rPr>
              <w:t>4</w:t>
            </w:r>
          </w:p>
        </w:tc>
        <w:tc>
          <w:tcPr>
            <w:tcW w:w="629" w:type="pct"/>
            <w:tcBorders>
              <w:bottom w:val="single" w:sz="4" w:space="0" w:color="auto"/>
            </w:tcBorders>
            <w:shd w:val="clear" w:color="auto" w:fill="auto"/>
            <w:vAlign w:val="center"/>
          </w:tcPr>
          <w:p w14:paraId="28CFF1C1" w14:textId="35818745" w:rsidR="00145899" w:rsidRPr="00E74253" w:rsidRDefault="00095977" w:rsidP="00404F98">
            <w:pPr>
              <w:keepNext/>
              <w:spacing w:before="20" w:after="20"/>
              <w:jc w:val="center"/>
              <w:rPr>
                <w:rFonts w:ascii="Arial Narrow" w:eastAsiaTheme="majorEastAsia" w:hAnsi="Arial Narrow" w:cstheme="majorBidi"/>
                <w:b/>
                <w:bCs/>
                <w:sz w:val="20"/>
              </w:rPr>
            </w:pPr>
            <w:r w:rsidRPr="00E74253">
              <w:rPr>
                <w:rFonts w:ascii="Arial Narrow" w:eastAsiaTheme="majorEastAsia" w:hAnsi="Arial Narrow" w:cstheme="majorBidi"/>
                <w:b/>
                <w:sz w:val="20"/>
              </w:rPr>
              <w:t>-$</w:t>
            </w:r>
            <w:r w:rsidR="007B7D69" w:rsidRPr="007B7D69">
              <w:rPr>
                <w:rFonts w:ascii="Arial Narrow" w:eastAsiaTheme="majorEastAsia" w:hAnsi="Arial Narrow" w:cstheme="majorBidi" w:hint="eastAsia"/>
                <w:b/>
                <w:color w:val="000000"/>
                <w:w w:val="33"/>
                <w:sz w:val="20"/>
                <w:shd w:val="solid" w:color="000000" w:fill="000000"/>
                <w:fitText w:val="150" w:id="-1500865014"/>
                <w14:textFill>
                  <w14:solidFill>
                    <w14:srgbClr w14:val="000000">
                      <w14:alpha w14:val="100000"/>
                    </w14:srgbClr>
                  </w14:solidFill>
                </w14:textFill>
              </w:rPr>
              <w:t xml:space="preserve">　</w:t>
            </w:r>
            <w:r w:rsidR="007B7D69" w:rsidRPr="007B7D69">
              <w:rPr>
                <w:rFonts w:ascii="Arial Narrow" w:eastAsiaTheme="majorEastAsia" w:hAnsi="Arial Narrow" w:cstheme="majorBidi"/>
                <w:b/>
                <w:color w:val="000000"/>
                <w:w w:val="33"/>
                <w:sz w:val="20"/>
                <w:shd w:val="solid" w:color="000000" w:fill="000000"/>
                <w:fitText w:val="150" w:id="-1500865014"/>
                <w14:textFill>
                  <w14:solidFill>
                    <w14:srgbClr w14:val="000000">
                      <w14:alpha w14:val="100000"/>
                    </w14:srgbClr>
                  </w14:solidFill>
                </w14:textFill>
              </w:rPr>
              <w:t>|</w:t>
            </w:r>
            <w:r w:rsidR="007B7D69" w:rsidRPr="007B7D69">
              <w:rPr>
                <w:rFonts w:ascii="Arial Narrow" w:eastAsiaTheme="majorEastAsia" w:hAnsi="Arial Narrow" w:cstheme="majorBidi" w:hint="eastAsia"/>
                <w:b/>
                <w:color w:val="000000"/>
                <w:spacing w:val="3"/>
                <w:w w:val="33"/>
                <w:sz w:val="20"/>
                <w:shd w:val="solid" w:color="000000" w:fill="000000"/>
                <w:fitText w:val="150" w:id="-1500865014"/>
                <w14:textFill>
                  <w14:solidFill>
                    <w14:srgbClr w14:val="000000">
                      <w14:alpha w14:val="100000"/>
                    </w14:srgbClr>
                  </w14:solidFill>
                </w14:textFill>
              </w:rPr>
              <w:t xml:space="preserve">　</w:t>
            </w:r>
            <w:r w:rsidR="0020223E">
              <w:rPr>
                <w:rFonts w:ascii="Arial Narrow" w:eastAsiaTheme="majorEastAsia" w:hAnsi="Arial Narrow" w:cstheme="majorBidi"/>
                <w:sz w:val="20"/>
                <w:vertAlign w:val="superscript"/>
              </w:rPr>
              <w:t>4</w:t>
            </w:r>
          </w:p>
        </w:tc>
        <w:tc>
          <w:tcPr>
            <w:tcW w:w="600" w:type="pct"/>
            <w:tcBorders>
              <w:bottom w:val="single" w:sz="4" w:space="0" w:color="auto"/>
            </w:tcBorders>
            <w:shd w:val="clear" w:color="auto" w:fill="auto"/>
            <w:vAlign w:val="center"/>
          </w:tcPr>
          <w:p w14:paraId="4C7A5473" w14:textId="54B1E596" w:rsidR="00145899" w:rsidRPr="00E74253" w:rsidRDefault="00095977" w:rsidP="00404F98">
            <w:pPr>
              <w:keepNext/>
              <w:spacing w:before="20" w:after="20"/>
              <w:jc w:val="center"/>
              <w:rPr>
                <w:rFonts w:ascii="Arial Narrow" w:eastAsiaTheme="majorEastAsia" w:hAnsi="Arial Narrow" w:cstheme="majorBidi"/>
                <w:b/>
                <w:bCs/>
                <w:sz w:val="20"/>
              </w:rPr>
            </w:pPr>
            <w:r w:rsidRPr="00E74253">
              <w:rPr>
                <w:rFonts w:ascii="Arial Narrow" w:eastAsiaTheme="majorEastAsia" w:hAnsi="Arial Narrow" w:cstheme="majorBidi"/>
                <w:b/>
                <w:sz w:val="20"/>
              </w:rPr>
              <w:t>-</w:t>
            </w:r>
            <w:r w:rsidR="00145899" w:rsidRPr="00E74253">
              <w:rPr>
                <w:rFonts w:ascii="Arial Narrow" w:eastAsiaTheme="majorEastAsia" w:hAnsi="Arial Narrow" w:cstheme="majorBidi"/>
                <w:b/>
                <w:sz w:val="20"/>
              </w:rPr>
              <w:t>$</w:t>
            </w:r>
            <w:r w:rsidR="007B7D69" w:rsidRPr="007B7D69">
              <w:rPr>
                <w:rFonts w:ascii="Arial Narrow" w:eastAsiaTheme="majorEastAsia" w:hAnsi="Arial Narrow" w:cstheme="majorBidi"/>
                <w:b/>
                <w:color w:val="000000"/>
                <w:spacing w:val="83"/>
                <w:sz w:val="20"/>
                <w:shd w:val="solid" w:color="000000" w:fill="000000"/>
                <w:fitText w:val="175" w:id="-1500865013"/>
                <w14:textFill>
                  <w14:solidFill>
                    <w14:srgbClr w14:val="000000">
                      <w14:alpha w14:val="100000"/>
                    </w14:srgbClr>
                  </w14:solidFill>
                </w14:textFill>
              </w:rPr>
              <w:t>|</w:t>
            </w:r>
            <w:r w:rsidR="007B7D69" w:rsidRPr="007B7D69">
              <w:rPr>
                <w:rFonts w:ascii="Arial Narrow" w:eastAsiaTheme="majorEastAsia" w:hAnsi="Arial Narrow" w:cstheme="majorBidi"/>
                <w:b/>
                <w:color w:val="000000"/>
                <w:spacing w:val="1"/>
                <w:sz w:val="20"/>
                <w:shd w:val="solid" w:color="000000" w:fill="000000"/>
                <w:fitText w:val="175" w:id="-1500865013"/>
                <w14:textFill>
                  <w14:solidFill>
                    <w14:srgbClr w14:val="000000">
                      <w14:alpha w14:val="100000"/>
                    </w14:srgbClr>
                  </w14:solidFill>
                </w14:textFill>
              </w:rPr>
              <w:t>|</w:t>
            </w:r>
            <w:r w:rsidR="0020223E">
              <w:rPr>
                <w:rFonts w:ascii="Arial Narrow" w:eastAsiaTheme="majorEastAsia" w:hAnsi="Arial Narrow" w:cstheme="majorBidi"/>
                <w:sz w:val="20"/>
                <w:vertAlign w:val="superscript"/>
              </w:rPr>
              <w:t>4</w:t>
            </w:r>
          </w:p>
        </w:tc>
      </w:tr>
      <w:tr w:rsidR="00E7183E" w:rsidRPr="00E74253" w14:paraId="719BA634" w14:textId="77777777" w:rsidTr="005143E9">
        <w:tc>
          <w:tcPr>
            <w:tcW w:w="5000" w:type="pct"/>
            <w:gridSpan w:val="7"/>
            <w:tcBorders>
              <w:left w:val="nil"/>
              <w:bottom w:val="nil"/>
              <w:right w:val="nil"/>
            </w:tcBorders>
            <w:shd w:val="clear" w:color="auto" w:fill="auto"/>
            <w:vAlign w:val="center"/>
          </w:tcPr>
          <w:p w14:paraId="0E627127" w14:textId="28856FBD" w:rsidR="00E7183E" w:rsidRPr="00E74253" w:rsidRDefault="00E7183E" w:rsidP="005143E9">
            <w:pPr>
              <w:contextualSpacing/>
              <w:rPr>
                <w:rFonts w:ascii="Arial Narrow" w:hAnsi="Arial Narrow"/>
                <w:b/>
                <w:bCs/>
                <w:snapToGrid w:val="0"/>
                <w:sz w:val="18"/>
                <w:szCs w:val="22"/>
              </w:rPr>
            </w:pPr>
            <w:proofErr w:type="spellStart"/>
            <w:proofErr w:type="gramStart"/>
            <w:r w:rsidRPr="00E74253">
              <w:rPr>
                <w:rFonts w:ascii="Arial Narrow" w:hAnsi="Arial Narrow"/>
                <w:snapToGrid w:val="0"/>
                <w:sz w:val="18"/>
                <w:szCs w:val="22"/>
                <w:vertAlign w:val="superscript"/>
              </w:rPr>
              <w:t>a</w:t>
            </w:r>
            <w:proofErr w:type="spellEnd"/>
            <w:proofErr w:type="gramEnd"/>
            <w:r w:rsidRPr="00E74253">
              <w:rPr>
                <w:rFonts w:ascii="Arial Narrow" w:hAnsi="Arial Narrow"/>
                <w:snapToGrid w:val="0"/>
                <w:sz w:val="18"/>
                <w:szCs w:val="22"/>
              </w:rPr>
              <w:t xml:space="preserve"> Assuming </w:t>
            </w:r>
            <w:r w:rsidR="002A0E39" w:rsidRPr="00E74253">
              <w:rPr>
                <w:rFonts w:ascii="Arial Narrow" w:hAnsi="Arial Narrow"/>
                <w:snapToGrid w:val="0"/>
                <w:sz w:val="18"/>
                <w:szCs w:val="22"/>
              </w:rPr>
              <w:t xml:space="preserve">11.32 </w:t>
            </w:r>
            <w:r w:rsidRPr="00E74253">
              <w:rPr>
                <w:rFonts w:ascii="Arial Narrow" w:hAnsi="Arial Narrow"/>
                <w:snapToGrid w:val="0"/>
                <w:sz w:val="18"/>
                <w:szCs w:val="22"/>
              </w:rPr>
              <w:t xml:space="preserve">scripts per year </w:t>
            </w:r>
            <w:r w:rsidR="00351346" w:rsidRPr="00E74253">
              <w:rPr>
                <w:rFonts w:ascii="Arial Narrow" w:hAnsi="Arial Narrow"/>
                <w:snapToGrid w:val="0"/>
                <w:sz w:val="18"/>
                <w:szCs w:val="22"/>
              </w:rPr>
              <w:t xml:space="preserve">in the initial year and 3.13 in subsequent years </w:t>
            </w:r>
            <w:r w:rsidRPr="00E74253">
              <w:rPr>
                <w:rFonts w:ascii="Arial Narrow" w:hAnsi="Arial Narrow"/>
                <w:snapToGrid w:val="0"/>
                <w:sz w:val="18"/>
                <w:szCs w:val="22"/>
              </w:rPr>
              <w:t>as estimated by the submission.</w:t>
            </w:r>
            <w:r w:rsidR="00351346" w:rsidRPr="00E74253">
              <w:rPr>
                <w:rFonts w:ascii="Arial Narrow" w:hAnsi="Arial Narrow"/>
                <w:snapToGrid w:val="0"/>
                <w:sz w:val="18"/>
                <w:szCs w:val="22"/>
              </w:rPr>
              <w:t xml:space="preserve"> Calculation incorrect, </w:t>
            </w:r>
            <w:r w:rsidR="00095977" w:rsidRPr="00E74253">
              <w:rPr>
                <w:rFonts w:ascii="Arial Narrow" w:hAnsi="Arial Narrow"/>
                <w:snapToGrid w:val="0"/>
                <w:sz w:val="18"/>
                <w:szCs w:val="22"/>
              </w:rPr>
              <w:t xml:space="preserve">corrected to </w:t>
            </w:r>
            <w:r w:rsidR="00351346" w:rsidRPr="00E74253">
              <w:rPr>
                <w:rFonts w:ascii="Arial Narrow" w:hAnsi="Arial Narrow"/>
                <w:snapToGrid w:val="0"/>
                <w:sz w:val="18"/>
                <w:szCs w:val="22"/>
              </w:rPr>
              <w:t>13.04 scripts</w:t>
            </w:r>
            <w:r w:rsidR="00095977" w:rsidRPr="00E74253">
              <w:rPr>
                <w:rFonts w:ascii="Arial Narrow" w:hAnsi="Arial Narrow"/>
                <w:snapToGrid w:val="0"/>
                <w:sz w:val="18"/>
                <w:szCs w:val="22"/>
              </w:rPr>
              <w:t xml:space="preserve"> per patient in revised calculations</w:t>
            </w:r>
            <w:r w:rsidR="00351346" w:rsidRPr="00E74253">
              <w:rPr>
                <w:rFonts w:ascii="Arial Narrow" w:hAnsi="Arial Narrow"/>
                <w:snapToGrid w:val="0"/>
                <w:sz w:val="18"/>
                <w:szCs w:val="22"/>
              </w:rPr>
              <w:t>.</w:t>
            </w:r>
          </w:p>
        </w:tc>
      </w:tr>
      <w:tr w:rsidR="00E7183E" w:rsidRPr="00E74253" w14:paraId="7C9515B5" w14:textId="77777777" w:rsidTr="005143E9">
        <w:tc>
          <w:tcPr>
            <w:tcW w:w="5000" w:type="pct"/>
            <w:gridSpan w:val="7"/>
            <w:tcBorders>
              <w:top w:val="nil"/>
              <w:left w:val="nil"/>
              <w:bottom w:val="nil"/>
              <w:right w:val="nil"/>
            </w:tcBorders>
            <w:shd w:val="clear" w:color="auto" w:fill="auto"/>
            <w:vAlign w:val="center"/>
          </w:tcPr>
          <w:p w14:paraId="7B440C34" w14:textId="4B5496A0" w:rsidR="00E7183E" w:rsidRPr="00E74253" w:rsidRDefault="00E7183E" w:rsidP="005143E9">
            <w:pPr>
              <w:contextualSpacing/>
              <w:rPr>
                <w:rFonts w:ascii="Arial Narrow" w:hAnsi="Arial Narrow"/>
                <w:b/>
                <w:bCs/>
                <w:snapToGrid w:val="0"/>
                <w:sz w:val="18"/>
                <w:szCs w:val="22"/>
              </w:rPr>
            </w:pPr>
            <w:r w:rsidRPr="00E74253">
              <w:rPr>
                <w:rFonts w:ascii="Arial Narrow" w:hAnsi="Arial Narrow"/>
                <w:snapToGrid w:val="0"/>
                <w:sz w:val="18"/>
                <w:szCs w:val="22"/>
                <w:vertAlign w:val="superscript"/>
              </w:rPr>
              <w:t>b</w:t>
            </w:r>
            <w:r w:rsidRPr="00E74253">
              <w:rPr>
                <w:rFonts w:ascii="Arial Narrow" w:hAnsi="Arial Narrow"/>
                <w:snapToGrid w:val="0"/>
                <w:sz w:val="18"/>
                <w:szCs w:val="22"/>
              </w:rPr>
              <w:t xml:space="preserve"> Assuming </w:t>
            </w:r>
            <w:r w:rsidR="002A0E39" w:rsidRPr="00E74253">
              <w:rPr>
                <w:rFonts w:ascii="Arial Narrow" w:hAnsi="Arial Narrow"/>
                <w:snapToGrid w:val="0"/>
                <w:sz w:val="18"/>
                <w:szCs w:val="22"/>
              </w:rPr>
              <w:t xml:space="preserve">10.36 </w:t>
            </w:r>
            <w:r w:rsidRPr="00E74253">
              <w:rPr>
                <w:rFonts w:ascii="Arial Narrow" w:hAnsi="Arial Narrow"/>
                <w:snapToGrid w:val="0"/>
                <w:sz w:val="18"/>
                <w:szCs w:val="22"/>
              </w:rPr>
              <w:t xml:space="preserve">scripts per year </w:t>
            </w:r>
            <w:r w:rsidR="00351346" w:rsidRPr="00E74253">
              <w:rPr>
                <w:rFonts w:ascii="Arial Narrow" w:hAnsi="Arial Narrow"/>
                <w:snapToGrid w:val="0"/>
                <w:sz w:val="18"/>
                <w:szCs w:val="22"/>
              </w:rPr>
              <w:t xml:space="preserve">in the initial year and 2.87 in subsequent years </w:t>
            </w:r>
            <w:r w:rsidRPr="00E74253">
              <w:rPr>
                <w:rFonts w:ascii="Arial Narrow" w:hAnsi="Arial Narrow"/>
                <w:snapToGrid w:val="0"/>
                <w:sz w:val="18"/>
                <w:szCs w:val="22"/>
              </w:rPr>
              <w:t>as estimated by the submission.</w:t>
            </w:r>
            <w:r w:rsidR="001B5BF0" w:rsidRPr="00E74253">
              <w:rPr>
                <w:rFonts w:ascii="Arial Narrow" w:hAnsi="Arial Narrow"/>
                <w:snapToGrid w:val="0"/>
                <w:sz w:val="18"/>
                <w:szCs w:val="22"/>
              </w:rPr>
              <w:t xml:space="preserve"> </w:t>
            </w:r>
            <w:r w:rsidR="00095977" w:rsidRPr="00E74253">
              <w:rPr>
                <w:rFonts w:ascii="Arial Narrow" w:hAnsi="Arial Narrow"/>
                <w:snapToGrid w:val="0"/>
                <w:sz w:val="18"/>
                <w:szCs w:val="22"/>
              </w:rPr>
              <w:t>Calculation incorrect, corrected to 13.04 scripts per patient in revised calculations.</w:t>
            </w:r>
          </w:p>
        </w:tc>
      </w:tr>
    </w:tbl>
    <w:p w14:paraId="7E6EB377" w14:textId="2231403D" w:rsidR="00E7183E" w:rsidRDefault="00E7183E" w:rsidP="0020223E">
      <w:pPr>
        <w:pStyle w:val="3-BodyText"/>
        <w:numPr>
          <w:ilvl w:val="0"/>
          <w:numId w:val="0"/>
        </w:numPr>
        <w:spacing w:after="0"/>
        <w:rPr>
          <w:rFonts w:ascii="Arial Narrow" w:hAnsi="Arial Narrow"/>
          <w:sz w:val="18"/>
          <w:szCs w:val="18"/>
        </w:rPr>
      </w:pPr>
      <w:r w:rsidRPr="00E7183E">
        <w:rPr>
          <w:rFonts w:ascii="Arial Narrow" w:hAnsi="Arial Narrow"/>
          <w:sz w:val="18"/>
          <w:szCs w:val="18"/>
        </w:rPr>
        <w:t>Source: Tables 4.2.6, 4.2.7 and 4.5.3, pp256-257 and 265 of the submission.</w:t>
      </w:r>
    </w:p>
    <w:p w14:paraId="6C57D404" w14:textId="77777777" w:rsidR="0020223E" w:rsidRPr="009A6D58" w:rsidRDefault="0020223E" w:rsidP="0020223E">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006D91AC" w14:textId="2FF918B2" w:rsidR="0020223E" w:rsidRPr="009A6D58" w:rsidRDefault="0020223E" w:rsidP="0020223E">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20223E">
        <w:rPr>
          <w:rFonts w:ascii="Arial Narrow" w:hAnsi="Arial Narrow"/>
          <w:i/>
          <w:sz w:val="18"/>
          <w:szCs w:val="18"/>
        </w:rPr>
        <w:t>&lt; 500</w:t>
      </w:r>
    </w:p>
    <w:p w14:paraId="067A1C79" w14:textId="60C5E8D0" w:rsidR="0020223E" w:rsidRPr="009A6D58" w:rsidRDefault="0020223E" w:rsidP="0020223E">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20223E">
        <w:rPr>
          <w:rFonts w:ascii="Arial Narrow" w:hAnsi="Arial Narrow"/>
          <w:i/>
          <w:sz w:val="18"/>
          <w:szCs w:val="18"/>
        </w:rPr>
        <w:t>500 to &lt; 5,000</w:t>
      </w:r>
    </w:p>
    <w:p w14:paraId="15A30F26" w14:textId="4C187945" w:rsidR="0020223E" w:rsidRDefault="0020223E" w:rsidP="0020223E">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Pr="0020223E">
        <w:rPr>
          <w:rFonts w:ascii="Arial Narrow" w:hAnsi="Arial Narrow"/>
          <w:i/>
          <w:sz w:val="18"/>
          <w:szCs w:val="18"/>
        </w:rPr>
        <w:t>$0 to &lt; $10 million</w:t>
      </w:r>
    </w:p>
    <w:p w14:paraId="2B88E4D4" w14:textId="48F0B0C3" w:rsidR="0020223E" w:rsidRDefault="0020223E" w:rsidP="0020223E">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Pr="0020223E">
        <w:rPr>
          <w:rFonts w:ascii="Arial Narrow" w:hAnsi="Arial Narrow"/>
          <w:i/>
          <w:sz w:val="18"/>
          <w:szCs w:val="18"/>
        </w:rPr>
        <w:t>net cost saving</w:t>
      </w:r>
    </w:p>
    <w:p w14:paraId="567A1DEE" w14:textId="31E64B15" w:rsidR="0020223E" w:rsidRPr="0020223E" w:rsidRDefault="0020223E" w:rsidP="0020223E">
      <w:pPr>
        <w:spacing w:after="120"/>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Pr="0020223E">
        <w:rPr>
          <w:rFonts w:ascii="Arial Narrow" w:hAnsi="Arial Narrow"/>
          <w:i/>
          <w:sz w:val="18"/>
          <w:szCs w:val="18"/>
        </w:rPr>
        <w:t>5,000 to &lt; 10,000</w:t>
      </w:r>
    </w:p>
    <w:p w14:paraId="4495F2E1" w14:textId="2BCCA113" w:rsidR="007B3F24" w:rsidRPr="00E74253" w:rsidRDefault="001B5BF0" w:rsidP="0020358C">
      <w:pPr>
        <w:pStyle w:val="3-BodyText"/>
        <w:rPr>
          <w:color w:val="000000" w:themeColor="text1"/>
        </w:rPr>
      </w:pPr>
      <w:r w:rsidRPr="00E74253">
        <w:rPr>
          <w:color w:val="000000" w:themeColor="text1"/>
        </w:rPr>
        <w:t xml:space="preserve">The </w:t>
      </w:r>
      <w:r w:rsidR="00701351">
        <w:rPr>
          <w:color w:val="000000" w:themeColor="text1"/>
        </w:rPr>
        <w:t xml:space="preserve">submission underestimated the </w:t>
      </w:r>
      <w:r w:rsidRPr="00E74253">
        <w:rPr>
          <w:color w:val="000000" w:themeColor="text1"/>
        </w:rPr>
        <w:t xml:space="preserve">number of prescriptions for both </w:t>
      </w:r>
      <w:proofErr w:type="spellStart"/>
      <w:r w:rsidRPr="00E74253">
        <w:rPr>
          <w:color w:val="000000" w:themeColor="text1"/>
        </w:rPr>
        <w:t>palbociclib</w:t>
      </w:r>
      <w:proofErr w:type="spellEnd"/>
      <w:r w:rsidRPr="00E74253">
        <w:rPr>
          <w:color w:val="000000" w:themeColor="text1"/>
        </w:rPr>
        <w:t xml:space="preserve"> and </w:t>
      </w:r>
      <w:proofErr w:type="spellStart"/>
      <w:r w:rsidRPr="00E74253">
        <w:rPr>
          <w:color w:val="000000" w:themeColor="text1"/>
        </w:rPr>
        <w:t>ribociclib</w:t>
      </w:r>
      <w:proofErr w:type="spellEnd"/>
      <w:r w:rsidRPr="00E74253">
        <w:rPr>
          <w:color w:val="000000" w:themeColor="text1"/>
        </w:rPr>
        <w:t xml:space="preserve"> due to </w:t>
      </w:r>
      <w:r w:rsidR="007B3F24" w:rsidRPr="00E74253">
        <w:rPr>
          <w:color w:val="000000" w:themeColor="text1"/>
        </w:rPr>
        <w:t xml:space="preserve">incorrectly </w:t>
      </w:r>
      <w:proofErr w:type="gramStart"/>
      <w:r w:rsidRPr="00E74253">
        <w:rPr>
          <w:color w:val="000000" w:themeColor="text1"/>
        </w:rPr>
        <w:t>assuming th</w:t>
      </w:r>
      <w:r w:rsidR="007B3F24" w:rsidRPr="00E74253">
        <w:rPr>
          <w:color w:val="000000" w:themeColor="text1"/>
        </w:rPr>
        <w:t>at</w:t>
      </w:r>
      <w:proofErr w:type="gramEnd"/>
      <w:r w:rsidR="007B3F24" w:rsidRPr="00E74253">
        <w:rPr>
          <w:color w:val="000000" w:themeColor="text1"/>
        </w:rPr>
        <w:t xml:space="preserve"> the </w:t>
      </w:r>
      <w:r w:rsidRPr="00E74253">
        <w:rPr>
          <w:color w:val="000000" w:themeColor="text1"/>
        </w:rPr>
        <w:t>RDI reflect</w:t>
      </w:r>
      <w:r w:rsidR="007B3F24" w:rsidRPr="00E74253">
        <w:rPr>
          <w:color w:val="000000" w:themeColor="text1"/>
        </w:rPr>
        <w:t>ed</w:t>
      </w:r>
      <w:r w:rsidRPr="00E74253">
        <w:rPr>
          <w:color w:val="000000" w:themeColor="text1"/>
        </w:rPr>
        <w:t xml:space="preserve"> adherence. The RDI reflects dose reductions which are accounted for with the use of lower strength tablets (for </w:t>
      </w:r>
      <w:proofErr w:type="spellStart"/>
      <w:r w:rsidRPr="00E74253">
        <w:rPr>
          <w:color w:val="000000" w:themeColor="text1"/>
        </w:rPr>
        <w:t>palbociclib</w:t>
      </w:r>
      <w:proofErr w:type="spellEnd"/>
      <w:r w:rsidRPr="00E74253">
        <w:rPr>
          <w:color w:val="000000" w:themeColor="text1"/>
        </w:rPr>
        <w:t xml:space="preserve">) or lower quantities (for </w:t>
      </w:r>
      <w:proofErr w:type="spellStart"/>
      <w:r w:rsidRPr="00E74253">
        <w:rPr>
          <w:color w:val="000000" w:themeColor="text1"/>
        </w:rPr>
        <w:t>ribociclib</w:t>
      </w:r>
      <w:proofErr w:type="spellEnd"/>
      <w:r w:rsidRPr="00E74253">
        <w:rPr>
          <w:color w:val="000000" w:themeColor="text1"/>
        </w:rPr>
        <w:t xml:space="preserve">). </w:t>
      </w:r>
      <w:r w:rsidR="00701351">
        <w:rPr>
          <w:color w:val="000000" w:themeColor="text1"/>
        </w:rPr>
        <w:t>The pre-PBAC</w:t>
      </w:r>
      <w:r w:rsidR="0020223E">
        <w:rPr>
          <w:color w:val="000000" w:themeColor="text1"/>
        </w:rPr>
        <w:t xml:space="preserve"> response</w:t>
      </w:r>
      <w:r w:rsidR="00701351">
        <w:rPr>
          <w:color w:val="000000" w:themeColor="text1"/>
        </w:rPr>
        <w:t xml:space="preserve"> acknowledged this error and accepted the </w:t>
      </w:r>
      <w:r w:rsidR="00BA2CAD">
        <w:rPr>
          <w:color w:val="000000" w:themeColor="text1"/>
        </w:rPr>
        <w:t>corrected</w:t>
      </w:r>
      <w:r w:rsidR="00701351">
        <w:rPr>
          <w:color w:val="000000" w:themeColor="text1"/>
        </w:rPr>
        <w:t xml:space="preserve"> estimates presented in Table 10.</w:t>
      </w:r>
    </w:p>
    <w:p w14:paraId="7ABEB7F7" w14:textId="12A7A5F2" w:rsidR="001B5BF0" w:rsidRPr="00E74253" w:rsidRDefault="001B5BF0" w:rsidP="0020358C">
      <w:pPr>
        <w:pStyle w:val="3-BodyText"/>
        <w:rPr>
          <w:color w:val="000000" w:themeColor="text1"/>
        </w:rPr>
      </w:pPr>
      <w:r w:rsidRPr="00E74253">
        <w:rPr>
          <w:color w:val="000000" w:themeColor="text1"/>
        </w:rPr>
        <w:t xml:space="preserve">For </w:t>
      </w:r>
      <w:proofErr w:type="spellStart"/>
      <w:r w:rsidRPr="00E74253">
        <w:rPr>
          <w:color w:val="000000" w:themeColor="text1"/>
        </w:rPr>
        <w:t>palbociclib</w:t>
      </w:r>
      <w:proofErr w:type="spellEnd"/>
      <w:r w:rsidRPr="00E74253">
        <w:rPr>
          <w:color w:val="000000" w:themeColor="text1"/>
        </w:rPr>
        <w:t xml:space="preserve"> </w:t>
      </w:r>
      <w:r w:rsidR="004D7899" w:rsidRPr="00E74253">
        <w:rPr>
          <w:color w:val="000000" w:themeColor="text1"/>
        </w:rPr>
        <w:t xml:space="preserve">the assumed distribution of use was </w:t>
      </w:r>
      <w:r w:rsidR="002D2A9B" w:rsidRPr="00E74253">
        <w:rPr>
          <w:color w:val="000000" w:themeColor="text1"/>
        </w:rPr>
        <w:t xml:space="preserve">57% use of </w:t>
      </w:r>
      <w:r w:rsidR="004D7899" w:rsidRPr="00E74253">
        <w:rPr>
          <w:color w:val="000000" w:themeColor="text1"/>
        </w:rPr>
        <w:t>125</w:t>
      </w:r>
      <w:r w:rsidR="002D2A9B" w:rsidRPr="00E74253">
        <w:rPr>
          <w:color w:val="000000" w:themeColor="text1"/>
        </w:rPr>
        <w:t xml:space="preserve"> </w:t>
      </w:r>
      <w:r w:rsidR="004D7899" w:rsidRPr="00E74253">
        <w:rPr>
          <w:color w:val="000000" w:themeColor="text1"/>
        </w:rPr>
        <w:t>mg</w:t>
      </w:r>
      <w:r w:rsidR="002D2A9B" w:rsidRPr="00E74253">
        <w:rPr>
          <w:color w:val="000000" w:themeColor="text1"/>
        </w:rPr>
        <w:t>, 14% use of</w:t>
      </w:r>
      <w:r w:rsidR="004D7899" w:rsidRPr="00E74253">
        <w:rPr>
          <w:color w:val="000000" w:themeColor="text1"/>
        </w:rPr>
        <w:t xml:space="preserve"> 100</w:t>
      </w:r>
      <w:r w:rsidR="002D2A9B" w:rsidRPr="00E74253">
        <w:rPr>
          <w:color w:val="000000" w:themeColor="text1"/>
        </w:rPr>
        <w:t xml:space="preserve"> </w:t>
      </w:r>
      <w:r w:rsidR="004D7899" w:rsidRPr="00E74253">
        <w:rPr>
          <w:color w:val="000000" w:themeColor="text1"/>
        </w:rPr>
        <w:t xml:space="preserve">mg and </w:t>
      </w:r>
      <w:r w:rsidR="002D2A9B" w:rsidRPr="00E74253">
        <w:rPr>
          <w:color w:val="000000" w:themeColor="text1"/>
        </w:rPr>
        <w:t xml:space="preserve">29% use of </w:t>
      </w:r>
      <w:r w:rsidR="004D7899" w:rsidRPr="00E74253">
        <w:rPr>
          <w:color w:val="000000" w:themeColor="text1"/>
        </w:rPr>
        <w:t xml:space="preserve">75mg </w:t>
      </w:r>
      <w:r w:rsidR="002D2A9B" w:rsidRPr="00E74253">
        <w:rPr>
          <w:color w:val="000000" w:themeColor="text1"/>
        </w:rPr>
        <w:t>tablets, resulting in an average dose of approximately</w:t>
      </w:r>
      <w:r w:rsidR="004D7899" w:rsidRPr="00E74253">
        <w:rPr>
          <w:color w:val="000000" w:themeColor="text1"/>
        </w:rPr>
        <w:t xml:space="preserve"> </w:t>
      </w:r>
      <w:r w:rsidR="004D7899" w:rsidRPr="00E74253">
        <w:rPr>
          <w:color w:val="000000" w:themeColor="text1"/>
        </w:rPr>
        <w:lastRenderedPageBreak/>
        <w:t>107</w:t>
      </w:r>
      <w:r w:rsidR="007B3F24" w:rsidRPr="00E74253">
        <w:rPr>
          <w:color w:val="000000" w:themeColor="text1"/>
        </w:rPr>
        <w:t xml:space="preserve"> </w:t>
      </w:r>
      <w:r w:rsidR="004D7899" w:rsidRPr="00E74253">
        <w:rPr>
          <w:color w:val="000000" w:themeColor="text1"/>
        </w:rPr>
        <w:t>mg</w:t>
      </w:r>
      <w:r w:rsidRPr="00E74253">
        <w:rPr>
          <w:color w:val="000000" w:themeColor="text1"/>
        </w:rPr>
        <w:t xml:space="preserve">. This is </w:t>
      </w:r>
      <w:proofErr w:type="gramStart"/>
      <w:r w:rsidRPr="00E74253">
        <w:rPr>
          <w:color w:val="000000" w:themeColor="text1"/>
        </w:rPr>
        <w:t>similar to</w:t>
      </w:r>
      <w:proofErr w:type="gramEnd"/>
      <w:r w:rsidRPr="00E74253">
        <w:rPr>
          <w:color w:val="000000" w:themeColor="text1"/>
        </w:rPr>
        <w:t xml:space="preserve"> the average daily dose on which the </w:t>
      </w:r>
      <w:proofErr w:type="spellStart"/>
      <w:r w:rsidRPr="00E74253">
        <w:rPr>
          <w:color w:val="000000" w:themeColor="text1"/>
        </w:rPr>
        <w:t>equi</w:t>
      </w:r>
      <w:proofErr w:type="spellEnd"/>
      <w:r w:rsidRPr="00E74253">
        <w:rPr>
          <w:color w:val="000000" w:themeColor="text1"/>
        </w:rPr>
        <w:t xml:space="preserve">-effective doses are </w:t>
      </w:r>
      <w:r w:rsidRPr="008D3267">
        <w:rPr>
          <w:color w:val="000000" w:themeColor="text1"/>
        </w:rPr>
        <w:t>based (108.5</w:t>
      </w:r>
      <w:r w:rsidR="007B3F24" w:rsidRPr="008D3267">
        <w:rPr>
          <w:color w:val="000000" w:themeColor="text1"/>
        </w:rPr>
        <w:t xml:space="preserve"> </w:t>
      </w:r>
      <w:r w:rsidRPr="008D3267">
        <w:rPr>
          <w:color w:val="000000" w:themeColor="text1"/>
        </w:rPr>
        <w:t>mg).</w:t>
      </w:r>
      <w:r w:rsidR="004D7899" w:rsidRPr="008D3267">
        <w:rPr>
          <w:color w:val="000000" w:themeColor="text1"/>
        </w:rPr>
        <w:t xml:space="preserve"> For</w:t>
      </w:r>
      <w:r w:rsidR="004D7899" w:rsidRPr="00E74253">
        <w:rPr>
          <w:color w:val="000000" w:themeColor="text1"/>
        </w:rPr>
        <w:t xml:space="preserve"> </w:t>
      </w:r>
      <w:proofErr w:type="spellStart"/>
      <w:r w:rsidR="004D7899" w:rsidRPr="00E74253">
        <w:rPr>
          <w:color w:val="000000" w:themeColor="text1"/>
        </w:rPr>
        <w:t>ribociclib</w:t>
      </w:r>
      <w:proofErr w:type="spellEnd"/>
      <w:r w:rsidR="004D7899" w:rsidRPr="00E74253">
        <w:rPr>
          <w:color w:val="000000" w:themeColor="text1"/>
        </w:rPr>
        <w:t xml:space="preserve"> the assumed distribution of use was </w:t>
      </w:r>
      <w:r w:rsidR="007B3F24" w:rsidRPr="00E74253">
        <w:rPr>
          <w:color w:val="000000" w:themeColor="text1"/>
        </w:rPr>
        <w:t xml:space="preserve">61% use of </w:t>
      </w:r>
      <w:r w:rsidR="004D7899" w:rsidRPr="00E74253">
        <w:rPr>
          <w:color w:val="000000" w:themeColor="text1"/>
        </w:rPr>
        <w:t>600</w:t>
      </w:r>
      <w:r w:rsidR="007B3F24" w:rsidRPr="00E74253">
        <w:rPr>
          <w:color w:val="000000" w:themeColor="text1"/>
        </w:rPr>
        <w:t xml:space="preserve"> </w:t>
      </w:r>
      <w:r w:rsidR="004D7899" w:rsidRPr="00E74253">
        <w:rPr>
          <w:color w:val="000000" w:themeColor="text1"/>
        </w:rPr>
        <w:t xml:space="preserve">mg, </w:t>
      </w:r>
      <w:r w:rsidR="007B3F24" w:rsidRPr="00E74253">
        <w:rPr>
          <w:color w:val="000000" w:themeColor="text1"/>
        </w:rPr>
        <w:t xml:space="preserve">31% use of </w:t>
      </w:r>
      <w:r w:rsidR="004D7899" w:rsidRPr="00E74253">
        <w:rPr>
          <w:color w:val="000000" w:themeColor="text1"/>
        </w:rPr>
        <w:t>400</w:t>
      </w:r>
      <w:r w:rsidR="007B3F24" w:rsidRPr="00E74253">
        <w:rPr>
          <w:color w:val="000000" w:themeColor="text1"/>
        </w:rPr>
        <w:t xml:space="preserve"> </w:t>
      </w:r>
      <w:r w:rsidR="004D7899" w:rsidRPr="00E74253">
        <w:rPr>
          <w:color w:val="000000" w:themeColor="text1"/>
        </w:rPr>
        <w:t xml:space="preserve">mg and </w:t>
      </w:r>
      <w:r w:rsidR="007B3F24" w:rsidRPr="00E74253">
        <w:rPr>
          <w:color w:val="000000" w:themeColor="text1"/>
        </w:rPr>
        <w:t xml:space="preserve">7% use of </w:t>
      </w:r>
      <w:r w:rsidR="004D7899" w:rsidRPr="00E74253">
        <w:rPr>
          <w:color w:val="000000" w:themeColor="text1"/>
        </w:rPr>
        <w:t>200</w:t>
      </w:r>
      <w:r w:rsidR="007B3F24" w:rsidRPr="00E74253">
        <w:rPr>
          <w:color w:val="000000" w:themeColor="text1"/>
        </w:rPr>
        <w:t xml:space="preserve"> </w:t>
      </w:r>
      <w:r w:rsidR="004D7899" w:rsidRPr="00E74253">
        <w:rPr>
          <w:color w:val="000000" w:themeColor="text1"/>
        </w:rPr>
        <w:t xml:space="preserve">mg </w:t>
      </w:r>
      <w:r w:rsidR="007B3F24" w:rsidRPr="00E74253">
        <w:rPr>
          <w:color w:val="000000" w:themeColor="text1"/>
        </w:rPr>
        <w:t>tablets, resulting in an</w:t>
      </w:r>
      <w:r w:rsidR="004D7899" w:rsidRPr="00E74253">
        <w:rPr>
          <w:color w:val="000000" w:themeColor="text1"/>
        </w:rPr>
        <w:t xml:space="preserve"> average dose is approximately 504</w:t>
      </w:r>
      <w:r w:rsidR="007B3F24" w:rsidRPr="00E74253">
        <w:rPr>
          <w:color w:val="000000" w:themeColor="text1"/>
        </w:rPr>
        <w:t xml:space="preserve"> </w:t>
      </w:r>
      <w:r w:rsidR="004D7899" w:rsidRPr="00E74253">
        <w:rPr>
          <w:color w:val="000000" w:themeColor="text1"/>
        </w:rPr>
        <w:t xml:space="preserve">mg. This is higher than the average daily dose on which the </w:t>
      </w:r>
      <w:proofErr w:type="spellStart"/>
      <w:r w:rsidR="004D7899" w:rsidRPr="00E74253">
        <w:rPr>
          <w:color w:val="000000" w:themeColor="text1"/>
        </w:rPr>
        <w:t>equi</w:t>
      </w:r>
      <w:proofErr w:type="spellEnd"/>
      <w:r w:rsidR="004D7899" w:rsidRPr="00E74253">
        <w:rPr>
          <w:color w:val="000000" w:themeColor="text1"/>
        </w:rPr>
        <w:t>-effective doses are based (477</w:t>
      </w:r>
      <w:r w:rsidR="007B3F24" w:rsidRPr="00E74253">
        <w:rPr>
          <w:color w:val="000000" w:themeColor="text1"/>
        </w:rPr>
        <w:t xml:space="preserve"> </w:t>
      </w:r>
      <w:r w:rsidR="004D7899" w:rsidRPr="00E74253">
        <w:rPr>
          <w:color w:val="000000" w:themeColor="text1"/>
        </w:rPr>
        <w:t>mg).</w:t>
      </w:r>
    </w:p>
    <w:p w14:paraId="02D2F87D" w14:textId="65BC80DA" w:rsidR="00701351" w:rsidRDefault="004D7899" w:rsidP="0020358C">
      <w:pPr>
        <w:pStyle w:val="3-BodyText"/>
      </w:pPr>
      <w:r w:rsidRPr="00E74253">
        <w:t xml:space="preserve">Removing the ‘adherence’ adjustment, </w:t>
      </w:r>
      <w:r w:rsidR="007B3F24" w:rsidRPr="00E74253">
        <w:t xml:space="preserve">the saving to the PBS/RPBS (effective prices) was </w:t>
      </w:r>
      <w:r w:rsidRPr="00E74253">
        <w:t xml:space="preserve">estimated to be </w:t>
      </w:r>
      <w:r w:rsidR="0020223E" w:rsidRPr="0020223E">
        <w:t>net cost saving</w:t>
      </w:r>
      <w:r w:rsidR="005E20BC">
        <w:t xml:space="preserve"> </w:t>
      </w:r>
      <w:r w:rsidRPr="00E74253">
        <w:t xml:space="preserve">in Year 6, and </w:t>
      </w:r>
      <w:r w:rsidR="0020223E" w:rsidRPr="0020223E">
        <w:t>net cost saving</w:t>
      </w:r>
      <w:r w:rsidR="005E20BC">
        <w:t xml:space="preserve"> </w:t>
      </w:r>
      <w:r w:rsidRPr="00E74253">
        <w:t xml:space="preserve">over the first 6 years of listing. The savings reflect that the average dose of </w:t>
      </w:r>
      <w:proofErr w:type="spellStart"/>
      <w:r w:rsidRPr="00E74253">
        <w:t>ribociclib</w:t>
      </w:r>
      <w:proofErr w:type="spellEnd"/>
      <w:r w:rsidRPr="00E74253">
        <w:t xml:space="preserve">, and hence the cost offsets for </w:t>
      </w:r>
      <w:proofErr w:type="spellStart"/>
      <w:r w:rsidRPr="00E74253">
        <w:t>ribociclib</w:t>
      </w:r>
      <w:proofErr w:type="spellEnd"/>
      <w:r w:rsidRPr="00E74253">
        <w:t>, were overestimated.</w:t>
      </w:r>
      <w:r w:rsidR="00E4213D" w:rsidRPr="00E74253">
        <w:t xml:space="preserve"> Reducing the dose of </w:t>
      </w:r>
      <w:proofErr w:type="spellStart"/>
      <w:r w:rsidR="00E4213D" w:rsidRPr="00E74253">
        <w:t>ribociclib</w:t>
      </w:r>
      <w:proofErr w:type="spellEnd"/>
      <w:r w:rsidR="00E4213D" w:rsidRPr="00E74253">
        <w:t xml:space="preserve"> to be consistent with that assumed for the </w:t>
      </w:r>
      <w:proofErr w:type="spellStart"/>
      <w:r w:rsidR="00E4213D" w:rsidRPr="00E74253">
        <w:t>equi</w:t>
      </w:r>
      <w:proofErr w:type="spellEnd"/>
      <w:r w:rsidR="00E4213D" w:rsidRPr="00E74253">
        <w:t xml:space="preserve">-effective doses would result in the listing of </w:t>
      </w:r>
      <w:proofErr w:type="spellStart"/>
      <w:r w:rsidR="00E4213D" w:rsidRPr="00E74253">
        <w:t>palbociclib</w:t>
      </w:r>
      <w:proofErr w:type="spellEnd"/>
      <w:r w:rsidR="00E4213D" w:rsidRPr="00E74253">
        <w:t xml:space="preserve"> being cost neutral.</w:t>
      </w:r>
      <w:r w:rsidR="009B06C2" w:rsidRPr="00E74253">
        <w:t xml:space="preserve"> </w:t>
      </w:r>
      <w:r w:rsidR="00701351">
        <w:t xml:space="preserve">The pre-PBAC response stated that PBS statistics indicated that the average daily dose of </w:t>
      </w:r>
      <w:proofErr w:type="spellStart"/>
      <w:r w:rsidR="00701351">
        <w:t>palbociclib</w:t>
      </w:r>
      <w:proofErr w:type="spellEnd"/>
      <w:r w:rsidR="00701351">
        <w:t xml:space="preserve"> was slightly lower and the average daily dose of </w:t>
      </w:r>
      <w:proofErr w:type="spellStart"/>
      <w:r w:rsidR="00701351">
        <w:t>ribociclib</w:t>
      </w:r>
      <w:proofErr w:type="spellEnd"/>
      <w:r w:rsidR="00701351">
        <w:t xml:space="preserve"> was slightly higher than the average daily doses on which the </w:t>
      </w:r>
      <w:proofErr w:type="spellStart"/>
      <w:r w:rsidR="00701351">
        <w:t>equi</w:t>
      </w:r>
      <w:proofErr w:type="spellEnd"/>
      <w:r w:rsidR="00701351">
        <w:t xml:space="preserve">-effective doses were based. The pre-PBAC response stated that if the current pattern of use for </w:t>
      </w:r>
      <w:proofErr w:type="spellStart"/>
      <w:r w:rsidR="00701351">
        <w:t>palbociclib</w:t>
      </w:r>
      <w:proofErr w:type="spellEnd"/>
      <w:r w:rsidR="00701351">
        <w:t xml:space="preserve"> and </w:t>
      </w:r>
      <w:proofErr w:type="spellStart"/>
      <w:r w:rsidR="00701351">
        <w:t>ribociclib</w:t>
      </w:r>
      <w:proofErr w:type="spellEnd"/>
      <w:r w:rsidR="00701351">
        <w:t xml:space="preserve"> remained the same, then the PBS listing of </w:t>
      </w:r>
      <w:proofErr w:type="spellStart"/>
      <w:r w:rsidR="00701351">
        <w:t>palbociclib</w:t>
      </w:r>
      <w:proofErr w:type="spellEnd"/>
      <w:r w:rsidR="00701351">
        <w:t xml:space="preserve"> would be cost saving rather than cost neutral.</w:t>
      </w:r>
    </w:p>
    <w:p w14:paraId="39FFBCB4" w14:textId="6C7E4CDD" w:rsidR="004D7899" w:rsidRPr="00E74253" w:rsidRDefault="009B06C2" w:rsidP="0020358C">
      <w:pPr>
        <w:pStyle w:val="3-BodyText"/>
      </w:pPr>
      <w:r w:rsidRPr="00E74253">
        <w:t xml:space="preserve">The submission assumed no market growth with the listing of </w:t>
      </w:r>
      <w:proofErr w:type="spellStart"/>
      <w:r w:rsidRPr="00E74253">
        <w:t>palbociclib</w:t>
      </w:r>
      <w:proofErr w:type="spellEnd"/>
      <w:r w:rsidRPr="00E74253">
        <w:t xml:space="preserve"> in combination with </w:t>
      </w:r>
      <w:proofErr w:type="spellStart"/>
      <w:r w:rsidRPr="00E74253">
        <w:t>fluvestrant</w:t>
      </w:r>
      <w:proofErr w:type="spellEnd"/>
      <w:r w:rsidRPr="00E74253">
        <w:t xml:space="preserve">. This </w:t>
      </w:r>
      <w:r w:rsidR="00D529BA">
        <w:t>was</w:t>
      </w:r>
      <w:r w:rsidRPr="00E74253">
        <w:t xml:space="preserve"> reasonable given this will be the third CDK 4/6 inhibitor listed on the PBS.</w:t>
      </w:r>
    </w:p>
    <w:bookmarkEnd w:id="53"/>
    <w:p w14:paraId="78BD2661" w14:textId="3DD4422D" w:rsidR="00937EEC" w:rsidRPr="00E74253" w:rsidRDefault="002320C5" w:rsidP="0020358C">
      <w:pPr>
        <w:pStyle w:val="3-BodyText"/>
      </w:pPr>
      <w:r w:rsidRPr="00E74253">
        <w:t xml:space="preserve">The </w:t>
      </w:r>
      <w:r w:rsidR="002E4391" w:rsidRPr="00E74253">
        <w:t xml:space="preserve">submission included </w:t>
      </w:r>
      <w:r w:rsidR="00D529BA">
        <w:t xml:space="preserve">MBS </w:t>
      </w:r>
      <w:r w:rsidR="002E4391" w:rsidRPr="00E74253">
        <w:t xml:space="preserve">cost-savings </w:t>
      </w:r>
      <w:r w:rsidR="00860DF2">
        <w:t xml:space="preserve">associated </w:t>
      </w:r>
      <w:r w:rsidR="002E4391" w:rsidRPr="00E74253">
        <w:t xml:space="preserve">with </w:t>
      </w:r>
      <w:r w:rsidR="00860DF2">
        <w:t xml:space="preserve">reduced </w:t>
      </w:r>
      <w:r w:rsidR="002E4391" w:rsidRPr="00E74253">
        <w:t xml:space="preserve">cardiac monitoring from substitution of </w:t>
      </w:r>
      <w:proofErr w:type="spellStart"/>
      <w:r w:rsidR="002E4391" w:rsidRPr="00E74253">
        <w:t>ribociclib</w:t>
      </w:r>
      <w:proofErr w:type="spellEnd"/>
      <w:r w:rsidR="002E4391" w:rsidRPr="00E74253">
        <w:t xml:space="preserve"> with </w:t>
      </w:r>
      <w:proofErr w:type="spellStart"/>
      <w:r w:rsidR="002E4391" w:rsidRPr="00E74253">
        <w:t>palbociclib</w:t>
      </w:r>
      <w:proofErr w:type="spellEnd"/>
      <w:r w:rsidR="002E4391" w:rsidRPr="00E74253">
        <w:t xml:space="preserve">. </w:t>
      </w:r>
    </w:p>
    <w:p w14:paraId="523F8740" w14:textId="0BA81DD7" w:rsidR="00937EEC" w:rsidRPr="00E74253" w:rsidRDefault="0020223E" w:rsidP="0020358C">
      <w:pPr>
        <w:pStyle w:val="3-BodyText"/>
        <w:rPr>
          <w:color w:val="0066FF"/>
        </w:rPr>
      </w:pPr>
      <w:r>
        <w:t>&lt; 500</w:t>
      </w:r>
      <w:r w:rsidRPr="00E74253">
        <w:t xml:space="preserve"> </w:t>
      </w:r>
      <w:r w:rsidR="00937EEC" w:rsidRPr="00E74253">
        <w:t xml:space="preserve">grandfathered patients were included in the estimated number of patients in Year 1. </w:t>
      </w:r>
    </w:p>
    <w:p w14:paraId="6A348634" w14:textId="77777777" w:rsidR="00937EEC" w:rsidRPr="00937EEC" w:rsidRDefault="00937EEC" w:rsidP="00937EEC">
      <w:pPr>
        <w:keepNext/>
        <w:spacing w:before="120" w:after="120"/>
        <w:outlineLvl w:val="1"/>
        <w:rPr>
          <w:rFonts w:asciiTheme="minorHAnsi" w:eastAsiaTheme="majorEastAsia" w:hAnsiTheme="minorHAnsi" w:cstheme="majorBidi"/>
          <w:b/>
          <w:i/>
          <w:spacing w:val="5"/>
          <w:kern w:val="28"/>
          <w:sz w:val="28"/>
          <w:szCs w:val="36"/>
        </w:rPr>
      </w:pPr>
      <w:bookmarkStart w:id="55" w:name="_Toc22897648"/>
      <w:r w:rsidRPr="00937EEC">
        <w:rPr>
          <w:rFonts w:asciiTheme="minorHAnsi" w:eastAsiaTheme="majorEastAsia" w:hAnsiTheme="minorHAnsi" w:cstheme="majorBidi"/>
          <w:b/>
          <w:i/>
          <w:spacing w:val="5"/>
          <w:kern w:val="28"/>
          <w:sz w:val="28"/>
          <w:szCs w:val="36"/>
        </w:rPr>
        <w:t>Quality Use of Medicines</w:t>
      </w:r>
      <w:bookmarkEnd w:id="55"/>
    </w:p>
    <w:p w14:paraId="57A8BEEA" w14:textId="77777777" w:rsidR="00D261F1" w:rsidRDefault="00D261F1" w:rsidP="00D261F1">
      <w:pPr>
        <w:pStyle w:val="3-BodyText"/>
      </w:pPr>
      <w:r>
        <w:t>The submission reported the following activities to support the quality use of medicines:</w:t>
      </w:r>
    </w:p>
    <w:p w14:paraId="7FB0F08B" w14:textId="77777777" w:rsidR="00D261F1" w:rsidRDefault="00D261F1" w:rsidP="00264833">
      <w:pPr>
        <w:pStyle w:val="3-BodyText"/>
        <w:numPr>
          <w:ilvl w:val="0"/>
          <w:numId w:val="11"/>
        </w:numPr>
        <w:ind w:left="1077" w:hanging="357"/>
      </w:pPr>
      <w:r>
        <w:t xml:space="preserve">Provision of educational materials (Product Information, information on the safety and efficacy of </w:t>
      </w:r>
      <w:proofErr w:type="spellStart"/>
      <w:r>
        <w:t>palbociclib</w:t>
      </w:r>
      <w:proofErr w:type="spellEnd"/>
      <w:r>
        <w:t xml:space="preserve">, Patient Management Guide, educational programs for oncologists) to healthcare </w:t>
      </w:r>
      <w:proofErr w:type="gramStart"/>
      <w:r>
        <w:t>professionals;</w:t>
      </w:r>
      <w:proofErr w:type="gramEnd"/>
    </w:p>
    <w:p w14:paraId="4209127C" w14:textId="77777777" w:rsidR="00D261F1" w:rsidRDefault="00D261F1" w:rsidP="00264833">
      <w:pPr>
        <w:pStyle w:val="3-BodyText"/>
        <w:numPr>
          <w:ilvl w:val="0"/>
          <w:numId w:val="11"/>
        </w:numPr>
        <w:ind w:left="1077" w:hanging="357"/>
      </w:pPr>
      <w:r>
        <w:t xml:space="preserve">Provision of Consumer Medicine Information and patient information booklets to </w:t>
      </w:r>
      <w:proofErr w:type="gramStart"/>
      <w:r>
        <w:t>patients;</w:t>
      </w:r>
      <w:proofErr w:type="gramEnd"/>
    </w:p>
    <w:p w14:paraId="711700FA" w14:textId="6C32A898" w:rsidR="00D261F1" w:rsidRDefault="00D261F1" w:rsidP="00264833">
      <w:pPr>
        <w:pStyle w:val="3-BodyText"/>
        <w:numPr>
          <w:ilvl w:val="0"/>
          <w:numId w:val="11"/>
        </w:numPr>
        <w:ind w:left="1077" w:hanging="357"/>
      </w:pPr>
      <w:r>
        <w:t>Engagement with relevant stakeholders, e.g., the Medical Oncology Group of Australian and the Breast Cancer Network of Australia.</w:t>
      </w:r>
    </w:p>
    <w:p w14:paraId="27F1CD2C" w14:textId="77777777" w:rsidR="00937EEC" w:rsidRPr="00937EEC" w:rsidRDefault="00937EEC" w:rsidP="00937EEC">
      <w:pPr>
        <w:keepNext/>
        <w:spacing w:before="120" w:after="120"/>
        <w:outlineLvl w:val="1"/>
        <w:rPr>
          <w:rFonts w:asciiTheme="minorHAnsi" w:eastAsiaTheme="majorEastAsia" w:hAnsiTheme="minorHAnsi" w:cstheme="majorBidi"/>
          <w:b/>
          <w:i/>
          <w:spacing w:val="5"/>
          <w:kern w:val="28"/>
          <w:sz w:val="28"/>
          <w:szCs w:val="36"/>
        </w:rPr>
      </w:pPr>
      <w:bookmarkStart w:id="56" w:name="_Toc22897649"/>
      <w:r w:rsidRPr="00937EEC">
        <w:rPr>
          <w:rFonts w:asciiTheme="minorHAnsi" w:eastAsiaTheme="majorEastAsia" w:hAnsiTheme="minorHAnsi" w:cstheme="majorBidi"/>
          <w:b/>
          <w:i/>
          <w:spacing w:val="5"/>
          <w:kern w:val="28"/>
          <w:sz w:val="28"/>
          <w:szCs w:val="36"/>
        </w:rPr>
        <w:t>Financial Management – Risk Sharing Arrangements</w:t>
      </w:r>
      <w:bookmarkEnd w:id="56"/>
    </w:p>
    <w:p w14:paraId="455110AA" w14:textId="77777777" w:rsidR="00E74253" w:rsidRPr="00E74253" w:rsidRDefault="00937EEC" w:rsidP="00E74253">
      <w:pPr>
        <w:numPr>
          <w:ilvl w:val="1"/>
          <w:numId w:val="1"/>
        </w:numPr>
        <w:spacing w:after="120"/>
        <w:rPr>
          <w:rFonts w:asciiTheme="minorHAnsi" w:hAnsiTheme="minorHAnsi"/>
          <w:snapToGrid w:val="0"/>
          <w:color w:val="0066FF"/>
        </w:rPr>
      </w:pPr>
      <w:r w:rsidRPr="00937EEC">
        <w:rPr>
          <w:rFonts w:asciiTheme="minorHAnsi" w:hAnsiTheme="minorHAnsi"/>
          <w:snapToGrid w:val="0"/>
          <w:color w:val="000000" w:themeColor="text1"/>
        </w:rPr>
        <w:t xml:space="preserve">The submission requested that the proposed extended listing of </w:t>
      </w:r>
      <w:proofErr w:type="spellStart"/>
      <w:r w:rsidRPr="00937EEC">
        <w:rPr>
          <w:rFonts w:asciiTheme="minorHAnsi" w:hAnsiTheme="minorHAnsi"/>
          <w:snapToGrid w:val="0"/>
          <w:color w:val="000000" w:themeColor="text1"/>
        </w:rPr>
        <w:t>palbociclib</w:t>
      </w:r>
      <w:proofErr w:type="spellEnd"/>
      <w:r w:rsidRPr="00937EEC">
        <w:rPr>
          <w:rFonts w:asciiTheme="minorHAnsi" w:hAnsiTheme="minorHAnsi"/>
          <w:snapToGrid w:val="0"/>
          <w:color w:val="000000" w:themeColor="text1"/>
        </w:rPr>
        <w:t xml:space="preserve">, for use in combination with </w:t>
      </w:r>
      <w:proofErr w:type="spellStart"/>
      <w:r w:rsidRPr="00937EEC">
        <w:rPr>
          <w:rFonts w:asciiTheme="minorHAnsi" w:hAnsiTheme="minorHAnsi"/>
          <w:snapToGrid w:val="0"/>
          <w:color w:val="000000" w:themeColor="text1"/>
        </w:rPr>
        <w:t>fulvestrant</w:t>
      </w:r>
      <w:proofErr w:type="spellEnd"/>
      <w:r w:rsidRPr="00937EEC">
        <w:rPr>
          <w:rFonts w:asciiTheme="minorHAnsi" w:hAnsiTheme="minorHAnsi"/>
          <w:snapToGrid w:val="0"/>
          <w:color w:val="000000" w:themeColor="text1"/>
        </w:rPr>
        <w:t xml:space="preserve">, be included in the existing </w:t>
      </w:r>
      <w:r w:rsidR="00EC27F7">
        <w:rPr>
          <w:rFonts w:asciiTheme="minorHAnsi" w:hAnsiTheme="minorHAnsi"/>
          <w:snapToGrid w:val="0"/>
          <w:color w:val="000000" w:themeColor="text1"/>
        </w:rPr>
        <w:t>RSA</w:t>
      </w:r>
      <w:r w:rsidRPr="00937EEC">
        <w:rPr>
          <w:rFonts w:asciiTheme="minorHAnsi" w:hAnsiTheme="minorHAnsi"/>
          <w:snapToGrid w:val="0"/>
          <w:color w:val="000000" w:themeColor="text1"/>
        </w:rPr>
        <w:t xml:space="preserve"> that </w:t>
      </w:r>
      <w:proofErr w:type="spellStart"/>
      <w:r w:rsidRPr="00937EEC">
        <w:rPr>
          <w:rFonts w:asciiTheme="minorHAnsi" w:hAnsiTheme="minorHAnsi"/>
          <w:snapToGrid w:val="0"/>
          <w:color w:val="000000" w:themeColor="text1"/>
        </w:rPr>
        <w:t>palbociclib</w:t>
      </w:r>
      <w:proofErr w:type="spellEnd"/>
      <w:r w:rsidRPr="00937EEC">
        <w:rPr>
          <w:rFonts w:asciiTheme="minorHAnsi" w:hAnsiTheme="minorHAnsi"/>
          <w:snapToGrid w:val="0"/>
          <w:color w:val="000000" w:themeColor="text1"/>
        </w:rPr>
        <w:t xml:space="preserve"> </w:t>
      </w:r>
      <w:r w:rsidR="00E7183E">
        <w:rPr>
          <w:rFonts w:asciiTheme="minorHAnsi" w:hAnsiTheme="minorHAnsi"/>
          <w:snapToGrid w:val="0"/>
          <w:color w:val="000000" w:themeColor="text1"/>
        </w:rPr>
        <w:t xml:space="preserve">currently </w:t>
      </w:r>
      <w:r w:rsidRPr="00937EEC">
        <w:rPr>
          <w:rFonts w:asciiTheme="minorHAnsi" w:hAnsiTheme="minorHAnsi"/>
          <w:snapToGrid w:val="0"/>
          <w:color w:val="000000" w:themeColor="text1"/>
        </w:rPr>
        <w:t xml:space="preserve">shares with </w:t>
      </w:r>
      <w:proofErr w:type="spellStart"/>
      <w:r w:rsidRPr="00937EEC">
        <w:rPr>
          <w:rFonts w:asciiTheme="minorHAnsi" w:hAnsiTheme="minorHAnsi"/>
          <w:snapToGrid w:val="0"/>
          <w:color w:val="000000" w:themeColor="text1"/>
        </w:rPr>
        <w:t>ribociclib</w:t>
      </w:r>
      <w:proofErr w:type="spellEnd"/>
      <w:r w:rsidRPr="00937EEC">
        <w:rPr>
          <w:rFonts w:asciiTheme="minorHAnsi" w:hAnsiTheme="minorHAnsi"/>
          <w:snapToGrid w:val="0"/>
          <w:color w:val="000000" w:themeColor="text1"/>
        </w:rPr>
        <w:t xml:space="preserve"> and </w:t>
      </w:r>
      <w:proofErr w:type="spellStart"/>
      <w:r w:rsidRPr="00937EEC">
        <w:rPr>
          <w:rFonts w:asciiTheme="minorHAnsi" w:hAnsiTheme="minorHAnsi"/>
          <w:snapToGrid w:val="0"/>
          <w:color w:val="000000" w:themeColor="text1"/>
        </w:rPr>
        <w:t>abemaciclib</w:t>
      </w:r>
      <w:proofErr w:type="spellEnd"/>
      <w:r w:rsidRPr="00937EEC">
        <w:rPr>
          <w:rFonts w:asciiTheme="minorHAnsi" w:hAnsiTheme="minorHAnsi"/>
          <w:snapToGrid w:val="0"/>
          <w:color w:val="000000" w:themeColor="text1"/>
        </w:rPr>
        <w:t>.</w:t>
      </w:r>
      <w:r w:rsidRPr="00937EEC">
        <w:rPr>
          <w:rFonts w:asciiTheme="minorHAnsi" w:hAnsiTheme="minorHAnsi"/>
          <w:snapToGrid w:val="0"/>
          <w:color w:val="0066FF"/>
        </w:rPr>
        <w:t xml:space="preserve"> </w:t>
      </w:r>
      <w:r w:rsidR="007C322E" w:rsidRPr="00E74253">
        <w:rPr>
          <w:rFonts w:asciiTheme="minorHAnsi" w:hAnsiTheme="minorHAnsi"/>
          <w:snapToGrid w:val="0"/>
        </w:rPr>
        <w:t xml:space="preserve">The ESC considered that this would be </w:t>
      </w:r>
      <w:r w:rsidR="007C322E" w:rsidRPr="00E74253">
        <w:rPr>
          <w:rFonts w:asciiTheme="minorHAnsi" w:hAnsiTheme="minorHAnsi"/>
          <w:snapToGrid w:val="0"/>
        </w:rPr>
        <w:lastRenderedPageBreak/>
        <w:t xml:space="preserve">appropriate and align with the </w:t>
      </w:r>
      <w:r w:rsidR="00E81DFC" w:rsidRPr="00E74253">
        <w:rPr>
          <w:rFonts w:asciiTheme="minorHAnsi" w:hAnsiTheme="minorHAnsi"/>
          <w:snapToGrid w:val="0"/>
        </w:rPr>
        <w:t xml:space="preserve">PBAC recommendations for </w:t>
      </w:r>
      <w:proofErr w:type="spellStart"/>
      <w:r w:rsidR="00E81DFC" w:rsidRPr="00E74253">
        <w:rPr>
          <w:rFonts w:asciiTheme="minorHAnsi" w:hAnsiTheme="minorHAnsi"/>
          <w:snapToGrid w:val="0"/>
        </w:rPr>
        <w:t>ribociclib</w:t>
      </w:r>
      <w:proofErr w:type="spellEnd"/>
      <w:r w:rsidR="00E81DFC" w:rsidRPr="00E74253">
        <w:rPr>
          <w:rFonts w:asciiTheme="minorHAnsi" w:hAnsiTheme="minorHAnsi"/>
          <w:snapToGrid w:val="0"/>
        </w:rPr>
        <w:t xml:space="preserve"> and </w:t>
      </w:r>
      <w:proofErr w:type="spellStart"/>
      <w:r w:rsidR="00E81DFC" w:rsidRPr="00E74253">
        <w:rPr>
          <w:rFonts w:asciiTheme="minorHAnsi" w:hAnsiTheme="minorHAnsi"/>
          <w:snapToGrid w:val="0"/>
        </w:rPr>
        <w:t>abemaciclib</w:t>
      </w:r>
      <w:proofErr w:type="spellEnd"/>
      <w:r w:rsidR="00E81DFC" w:rsidRPr="00E74253">
        <w:rPr>
          <w:rFonts w:asciiTheme="minorHAnsi" w:hAnsiTheme="minorHAnsi"/>
          <w:snapToGrid w:val="0"/>
        </w:rPr>
        <w:t xml:space="preserve"> plus </w:t>
      </w:r>
      <w:proofErr w:type="spellStart"/>
      <w:r w:rsidR="00E81DFC" w:rsidRPr="00E74253">
        <w:rPr>
          <w:rFonts w:asciiTheme="minorHAnsi" w:hAnsiTheme="minorHAnsi"/>
          <w:snapToGrid w:val="0"/>
        </w:rPr>
        <w:t>fulvestrant</w:t>
      </w:r>
      <w:proofErr w:type="spellEnd"/>
      <w:r w:rsidR="00E81DFC" w:rsidRPr="00E74253">
        <w:rPr>
          <w:rFonts w:asciiTheme="minorHAnsi" w:hAnsiTheme="minorHAnsi"/>
          <w:snapToGrid w:val="0"/>
        </w:rPr>
        <w:t>.</w:t>
      </w:r>
    </w:p>
    <w:p w14:paraId="489914FA" w14:textId="55A8BC6A" w:rsidR="00E74253" w:rsidRPr="00E74253" w:rsidRDefault="00E74253" w:rsidP="00E74253">
      <w:pPr>
        <w:spacing w:after="120"/>
        <w:ind w:left="720"/>
        <w:rPr>
          <w:rFonts w:asciiTheme="minorHAnsi" w:hAnsiTheme="minorHAnsi"/>
          <w:i/>
          <w:iCs/>
          <w:snapToGrid w:val="0"/>
          <w:color w:val="0066FF"/>
        </w:rPr>
      </w:pPr>
      <w:r w:rsidRPr="00E74253">
        <w:rPr>
          <w:i/>
          <w:iCs/>
        </w:rPr>
        <w:t>For more detail on PBAC’s view, see section 7 PBAC outcome.</w:t>
      </w:r>
    </w:p>
    <w:p w14:paraId="1ED28B80" w14:textId="77777777" w:rsidR="00E74253" w:rsidRPr="0090150D" w:rsidRDefault="00E74253" w:rsidP="00973EB3">
      <w:pPr>
        <w:pStyle w:val="2-SectionHeading"/>
      </w:pPr>
      <w:bookmarkStart w:id="57" w:name="_Hlk76381249"/>
      <w:bookmarkStart w:id="58" w:name="_Hlk76377955"/>
      <w:r w:rsidRPr="0090150D">
        <w:t>PBAC Outcome</w:t>
      </w:r>
    </w:p>
    <w:p w14:paraId="5AF48BC1" w14:textId="6DC65254" w:rsidR="00992A6E" w:rsidRDefault="00992A6E" w:rsidP="00E74253">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recommended the listing of </w:t>
      </w:r>
      <w:proofErr w:type="spellStart"/>
      <w:r>
        <w:rPr>
          <w:rFonts w:asciiTheme="minorHAnsi" w:hAnsiTheme="minorHAnsi"/>
          <w:snapToGrid w:val="0"/>
          <w:lang w:val="en-GB"/>
        </w:rPr>
        <w:t>palbociclib</w:t>
      </w:r>
      <w:proofErr w:type="spellEnd"/>
      <w:r>
        <w:rPr>
          <w:rFonts w:asciiTheme="minorHAnsi" w:hAnsiTheme="minorHAnsi"/>
          <w:snapToGrid w:val="0"/>
          <w:lang w:val="en-GB"/>
        </w:rPr>
        <w:t xml:space="preserve">, in combination with </w:t>
      </w:r>
      <w:proofErr w:type="spellStart"/>
      <w:r>
        <w:rPr>
          <w:rFonts w:asciiTheme="minorHAnsi" w:hAnsiTheme="minorHAnsi"/>
          <w:snapToGrid w:val="0"/>
          <w:lang w:val="en-GB"/>
        </w:rPr>
        <w:t>fulvestrant</w:t>
      </w:r>
      <w:proofErr w:type="spellEnd"/>
      <w:r>
        <w:rPr>
          <w:rFonts w:asciiTheme="minorHAnsi" w:hAnsiTheme="minorHAnsi"/>
          <w:snapToGrid w:val="0"/>
          <w:lang w:val="en-GB"/>
        </w:rPr>
        <w:t xml:space="preserve">, for the treatment of patients with locally advanced (stage IIIB/IIIC) or metastatic (stage IV) hormone receptor positive (HR+), human epidermal growth factor receptor 2 negative (HER2-) breast cancer who have received previous endocrine therapy. The PBAC’s recommendation for listing was based on, among other matters, its assessment that the cost minimisation approach between </w:t>
      </w:r>
      <w:proofErr w:type="spellStart"/>
      <w:r>
        <w:rPr>
          <w:rFonts w:asciiTheme="minorHAnsi" w:hAnsiTheme="minorHAnsi"/>
          <w:snapToGrid w:val="0"/>
          <w:lang w:val="en-GB"/>
        </w:rPr>
        <w:t>palbociclib</w:t>
      </w:r>
      <w:proofErr w:type="spellEnd"/>
      <w:r>
        <w:rPr>
          <w:rFonts w:asciiTheme="minorHAnsi" w:hAnsiTheme="minorHAnsi"/>
          <w:snapToGrid w:val="0"/>
          <w:lang w:val="en-GB"/>
        </w:rPr>
        <w:t xml:space="preserve"> plus </w:t>
      </w:r>
      <w:proofErr w:type="spellStart"/>
      <w:r>
        <w:rPr>
          <w:rFonts w:asciiTheme="minorHAnsi" w:hAnsiTheme="minorHAnsi"/>
          <w:snapToGrid w:val="0"/>
          <w:lang w:val="en-GB"/>
        </w:rPr>
        <w:t>fulvestrant</w:t>
      </w:r>
      <w:proofErr w:type="spellEnd"/>
      <w:r>
        <w:rPr>
          <w:rFonts w:asciiTheme="minorHAnsi" w:hAnsiTheme="minorHAnsi"/>
          <w:snapToGrid w:val="0"/>
          <w:lang w:val="en-GB"/>
        </w:rPr>
        <w:t xml:space="preserve"> and </w:t>
      </w:r>
      <w:proofErr w:type="spellStart"/>
      <w:r>
        <w:rPr>
          <w:rFonts w:asciiTheme="minorHAnsi" w:hAnsiTheme="minorHAnsi"/>
          <w:snapToGrid w:val="0"/>
          <w:lang w:val="en-GB"/>
        </w:rPr>
        <w:t>ribociclib</w:t>
      </w:r>
      <w:proofErr w:type="spellEnd"/>
      <w:r>
        <w:rPr>
          <w:rFonts w:asciiTheme="minorHAnsi" w:hAnsiTheme="minorHAnsi"/>
          <w:snapToGrid w:val="0"/>
          <w:lang w:val="en-GB"/>
        </w:rPr>
        <w:t xml:space="preserve"> and </w:t>
      </w:r>
      <w:proofErr w:type="spellStart"/>
      <w:r>
        <w:rPr>
          <w:rFonts w:asciiTheme="minorHAnsi" w:hAnsiTheme="minorHAnsi"/>
          <w:snapToGrid w:val="0"/>
          <w:lang w:val="en-GB"/>
        </w:rPr>
        <w:t>fulvestrant</w:t>
      </w:r>
      <w:proofErr w:type="spellEnd"/>
      <w:r>
        <w:rPr>
          <w:rFonts w:asciiTheme="minorHAnsi" w:hAnsiTheme="minorHAnsi"/>
          <w:snapToGrid w:val="0"/>
          <w:lang w:val="en-GB"/>
        </w:rPr>
        <w:t xml:space="preserve"> was acceptable and that the listing </w:t>
      </w:r>
      <w:r w:rsidR="00D529BA">
        <w:rPr>
          <w:rFonts w:asciiTheme="minorHAnsi" w:hAnsiTheme="minorHAnsi"/>
          <w:snapToGrid w:val="0"/>
          <w:lang w:val="en-GB"/>
        </w:rPr>
        <w:t xml:space="preserve">should result in no net cost </w:t>
      </w:r>
      <w:r>
        <w:rPr>
          <w:rFonts w:asciiTheme="minorHAnsi" w:hAnsiTheme="minorHAnsi"/>
          <w:snapToGrid w:val="0"/>
          <w:lang w:val="en-GB"/>
        </w:rPr>
        <w:t>to Government.</w:t>
      </w:r>
    </w:p>
    <w:p w14:paraId="44C40CFC" w14:textId="27BB66B8" w:rsidR="00705DCA" w:rsidRDefault="00701351" w:rsidP="00705DCA">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w:t>
      </w:r>
      <w:r w:rsidR="00705DCA">
        <w:rPr>
          <w:rFonts w:asciiTheme="minorHAnsi" w:hAnsiTheme="minorHAnsi"/>
          <w:snapToGrid w:val="0"/>
          <w:lang w:val="en-GB"/>
        </w:rPr>
        <w:t xml:space="preserve">noted that the Medical Oncology Group of Australia supported the listing of </w:t>
      </w:r>
      <w:proofErr w:type="spellStart"/>
      <w:r w:rsidR="00705DCA">
        <w:rPr>
          <w:rFonts w:asciiTheme="minorHAnsi" w:hAnsiTheme="minorHAnsi"/>
          <w:snapToGrid w:val="0"/>
          <w:lang w:val="en-GB"/>
        </w:rPr>
        <w:t>palbociclib</w:t>
      </w:r>
      <w:proofErr w:type="spellEnd"/>
      <w:r w:rsidR="00705DCA">
        <w:rPr>
          <w:rFonts w:asciiTheme="minorHAnsi" w:hAnsiTheme="minorHAnsi"/>
          <w:snapToGrid w:val="0"/>
          <w:lang w:val="en-GB"/>
        </w:rPr>
        <w:t xml:space="preserve"> plus </w:t>
      </w:r>
      <w:proofErr w:type="spellStart"/>
      <w:r w:rsidR="00705DCA">
        <w:rPr>
          <w:rFonts w:asciiTheme="minorHAnsi" w:hAnsiTheme="minorHAnsi"/>
          <w:snapToGrid w:val="0"/>
          <w:lang w:val="en-GB"/>
        </w:rPr>
        <w:t>fulvestrant</w:t>
      </w:r>
      <w:proofErr w:type="spellEnd"/>
      <w:r w:rsidR="00705DCA">
        <w:rPr>
          <w:rFonts w:asciiTheme="minorHAnsi" w:hAnsiTheme="minorHAnsi"/>
          <w:snapToGrid w:val="0"/>
          <w:lang w:val="en-GB"/>
        </w:rPr>
        <w:t xml:space="preserve"> on the PBS for the treatment of breast cancer.</w:t>
      </w:r>
    </w:p>
    <w:p w14:paraId="48BFC895" w14:textId="4BF541E3" w:rsidR="00992A6E" w:rsidRPr="002E47EE" w:rsidRDefault="0073517C" w:rsidP="00E74253">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noted </w:t>
      </w:r>
      <w:r w:rsidR="007A3B69">
        <w:rPr>
          <w:rFonts w:asciiTheme="minorHAnsi" w:hAnsiTheme="minorHAnsi"/>
          <w:snapToGrid w:val="0"/>
          <w:lang w:val="en-GB"/>
        </w:rPr>
        <w:t>that</w:t>
      </w:r>
      <w:r>
        <w:rPr>
          <w:rFonts w:asciiTheme="minorHAnsi" w:hAnsiTheme="minorHAnsi"/>
          <w:snapToGrid w:val="0"/>
          <w:lang w:val="en-GB"/>
        </w:rPr>
        <w:t xml:space="preserve"> the proposed restriction for </w:t>
      </w:r>
      <w:proofErr w:type="spellStart"/>
      <w:r>
        <w:rPr>
          <w:rFonts w:asciiTheme="minorHAnsi" w:hAnsiTheme="minorHAnsi"/>
          <w:snapToGrid w:val="0"/>
          <w:lang w:val="en-GB"/>
        </w:rPr>
        <w:t>palbociclib</w:t>
      </w:r>
      <w:proofErr w:type="spellEnd"/>
      <w:r>
        <w:rPr>
          <w:rFonts w:asciiTheme="minorHAnsi" w:hAnsiTheme="minorHAnsi"/>
          <w:snapToGrid w:val="0"/>
          <w:lang w:val="en-GB"/>
        </w:rPr>
        <w:t xml:space="preserve"> plus </w:t>
      </w:r>
      <w:proofErr w:type="spellStart"/>
      <w:r>
        <w:rPr>
          <w:rFonts w:asciiTheme="minorHAnsi" w:hAnsiTheme="minorHAnsi"/>
          <w:snapToGrid w:val="0"/>
          <w:lang w:val="en-GB"/>
        </w:rPr>
        <w:t>fulvestrant</w:t>
      </w:r>
      <w:proofErr w:type="spellEnd"/>
      <w:r>
        <w:rPr>
          <w:rFonts w:asciiTheme="minorHAnsi" w:hAnsiTheme="minorHAnsi"/>
          <w:snapToGrid w:val="0"/>
          <w:lang w:val="en-GB"/>
        </w:rPr>
        <w:t xml:space="preserve"> w</w:t>
      </w:r>
      <w:r w:rsidR="007A3B69">
        <w:rPr>
          <w:rFonts w:asciiTheme="minorHAnsi" w:hAnsiTheme="minorHAnsi"/>
          <w:snapToGrid w:val="0"/>
          <w:lang w:val="en-GB"/>
        </w:rPr>
        <w:t>as</w:t>
      </w:r>
      <w:r>
        <w:rPr>
          <w:rFonts w:asciiTheme="minorHAnsi" w:hAnsiTheme="minorHAnsi"/>
          <w:snapToGrid w:val="0"/>
          <w:lang w:val="en-GB"/>
        </w:rPr>
        <w:t xml:space="preserve"> slightly narrower than the current PBS-listed populations for </w:t>
      </w:r>
      <w:proofErr w:type="spellStart"/>
      <w:r>
        <w:rPr>
          <w:rFonts w:asciiTheme="minorHAnsi" w:hAnsiTheme="minorHAnsi"/>
          <w:snapToGrid w:val="0"/>
          <w:lang w:val="en-GB"/>
        </w:rPr>
        <w:t>ribociclib</w:t>
      </w:r>
      <w:proofErr w:type="spellEnd"/>
      <w:r>
        <w:rPr>
          <w:rFonts w:asciiTheme="minorHAnsi" w:hAnsiTheme="minorHAnsi"/>
          <w:snapToGrid w:val="0"/>
          <w:lang w:val="en-GB"/>
        </w:rPr>
        <w:t xml:space="preserve"> plus </w:t>
      </w:r>
      <w:proofErr w:type="spellStart"/>
      <w:r>
        <w:rPr>
          <w:rFonts w:asciiTheme="minorHAnsi" w:hAnsiTheme="minorHAnsi"/>
          <w:snapToGrid w:val="0"/>
          <w:lang w:val="en-GB"/>
        </w:rPr>
        <w:t>fulvestrant</w:t>
      </w:r>
      <w:proofErr w:type="spellEnd"/>
      <w:r>
        <w:rPr>
          <w:rFonts w:asciiTheme="minorHAnsi" w:hAnsiTheme="minorHAnsi"/>
          <w:snapToGrid w:val="0"/>
          <w:lang w:val="en-GB"/>
        </w:rPr>
        <w:t xml:space="preserve"> and </w:t>
      </w:r>
      <w:proofErr w:type="spellStart"/>
      <w:r>
        <w:rPr>
          <w:rFonts w:asciiTheme="minorHAnsi" w:hAnsiTheme="minorHAnsi"/>
          <w:snapToGrid w:val="0"/>
          <w:lang w:val="en-GB"/>
        </w:rPr>
        <w:t>abemaciclib</w:t>
      </w:r>
      <w:proofErr w:type="spellEnd"/>
      <w:r>
        <w:rPr>
          <w:rFonts w:asciiTheme="minorHAnsi" w:hAnsiTheme="minorHAnsi"/>
          <w:snapToGrid w:val="0"/>
          <w:lang w:val="en-GB"/>
        </w:rPr>
        <w:t xml:space="preserve"> plus </w:t>
      </w:r>
      <w:proofErr w:type="spellStart"/>
      <w:r>
        <w:rPr>
          <w:rFonts w:asciiTheme="minorHAnsi" w:hAnsiTheme="minorHAnsi"/>
          <w:snapToGrid w:val="0"/>
          <w:lang w:val="en-GB"/>
        </w:rPr>
        <w:t>fulvestrant</w:t>
      </w:r>
      <w:proofErr w:type="spellEnd"/>
      <w:r>
        <w:rPr>
          <w:rFonts w:asciiTheme="minorHAnsi" w:hAnsiTheme="minorHAnsi"/>
          <w:snapToGrid w:val="0"/>
          <w:lang w:val="en-GB"/>
        </w:rPr>
        <w:t xml:space="preserve">. </w:t>
      </w:r>
      <w:proofErr w:type="spellStart"/>
      <w:r w:rsidRPr="00081A39">
        <w:t>Ribociclib</w:t>
      </w:r>
      <w:proofErr w:type="spellEnd"/>
      <w:r>
        <w:t xml:space="preserve"> or </w:t>
      </w:r>
      <w:proofErr w:type="spellStart"/>
      <w:r w:rsidRPr="00081A39">
        <w:t>abemaciclib</w:t>
      </w:r>
      <w:proofErr w:type="spellEnd"/>
      <w:r w:rsidRPr="00081A39">
        <w:t xml:space="preserve"> plus </w:t>
      </w:r>
      <w:proofErr w:type="spellStart"/>
      <w:r w:rsidRPr="00081A39">
        <w:t>fulvestrant</w:t>
      </w:r>
      <w:proofErr w:type="spellEnd"/>
      <w:r w:rsidRPr="00081A39">
        <w:t xml:space="preserve"> may be used in patients who have not been treated with endocrine therapy for advanced/metastatic </w:t>
      </w:r>
      <w:proofErr w:type="gramStart"/>
      <w:r w:rsidRPr="00081A39">
        <w:t>disease;</w:t>
      </w:r>
      <w:proofErr w:type="gramEnd"/>
      <w:r w:rsidRPr="00081A39">
        <w:t xml:space="preserve"> whereas, the proposed restriction for </w:t>
      </w:r>
      <w:proofErr w:type="spellStart"/>
      <w:r w:rsidRPr="00081A39">
        <w:t>palbociclib</w:t>
      </w:r>
      <w:proofErr w:type="spellEnd"/>
      <w:r w:rsidRPr="00081A39">
        <w:t xml:space="preserve"> plus </w:t>
      </w:r>
      <w:proofErr w:type="spellStart"/>
      <w:r w:rsidRPr="00081A39">
        <w:t>fulvestrant</w:t>
      </w:r>
      <w:proofErr w:type="spellEnd"/>
      <w:r w:rsidRPr="00081A39">
        <w:t xml:space="preserve"> do</w:t>
      </w:r>
      <w:r w:rsidR="007A3B69">
        <w:t>es</w:t>
      </w:r>
      <w:r w:rsidRPr="00081A39">
        <w:t xml:space="preserve"> not allow use in these patients.</w:t>
      </w:r>
      <w:r>
        <w:t xml:space="preserve"> The PBAC considered that this difference in the proposed restriction was reasonable</w:t>
      </w:r>
      <w:r w:rsidR="007A3B69">
        <w:t xml:space="preserve"> as it aligned with the PALOMA-3 trial and the TGA indication for </w:t>
      </w:r>
      <w:proofErr w:type="spellStart"/>
      <w:r w:rsidR="007A3B69">
        <w:t>palbociclib</w:t>
      </w:r>
      <w:proofErr w:type="spellEnd"/>
      <w:r w:rsidR="007A3B69">
        <w:t xml:space="preserve">. The PBAC advised </w:t>
      </w:r>
      <w:r>
        <w:t>that the existing restriction</w:t>
      </w:r>
      <w:r w:rsidR="00DD5304">
        <w:t>s</w:t>
      </w:r>
      <w:r>
        <w:t xml:space="preserve"> for </w:t>
      </w:r>
      <w:proofErr w:type="spellStart"/>
      <w:r>
        <w:t>palbociclib</w:t>
      </w:r>
      <w:proofErr w:type="spellEnd"/>
      <w:r>
        <w:t xml:space="preserve"> </w:t>
      </w:r>
      <w:r w:rsidR="007A3B69">
        <w:t xml:space="preserve">for use </w:t>
      </w:r>
      <w:r w:rsidR="00DD5304">
        <w:t xml:space="preserve">in combination with non-steroidal </w:t>
      </w:r>
      <w:proofErr w:type="spellStart"/>
      <w:r w:rsidR="00DD5304">
        <w:t>aromatse</w:t>
      </w:r>
      <w:proofErr w:type="spellEnd"/>
      <w:r w:rsidR="00DD5304">
        <w:t xml:space="preserve"> inhibitors (NSAIs; initial and continuing) </w:t>
      </w:r>
      <w:r>
        <w:t xml:space="preserve">should </w:t>
      </w:r>
      <w:r w:rsidR="00DD5304">
        <w:t xml:space="preserve">be amended to allow combination use with </w:t>
      </w:r>
      <w:proofErr w:type="spellStart"/>
      <w:r w:rsidR="00DD5304">
        <w:t>fulvestrant</w:t>
      </w:r>
      <w:proofErr w:type="spellEnd"/>
      <w:r w:rsidR="00DD5304">
        <w:t xml:space="preserve"> and to </w:t>
      </w:r>
      <w:r w:rsidR="007A3B69">
        <w:t xml:space="preserve">otherwise </w:t>
      </w:r>
      <w:r>
        <w:t xml:space="preserve">align with those for </w:t>
      </w:r>
      <w:proofErr w:type="spellStart"/>
      <w:r>
        <w:t>ribociclib</w:t>
      </w:r>
      <w:proofErr w:type="spellEnd"/>
      <w:r>
        <w:t xml:space="preserve"> and </w:t>
      </w:r>
      <w:proofErr w:type="spellStart"/>
      <w:r>
        <w:t>abemaciclib</w:t>
      </w:r>
      <w:proofErr w:type="spellEnd"/>
      <w:r>
        <w:t>.</w:t>
      </w:r>
    </w:p>
    <w:p w14:paraId="1AED6FC4" w14:textId="0FD68952" w:rsidR="002E47EE" w:rsidRDefault="002E47EE" w:rsidP="00E74253">
      <w:pPr>
        <w:widowControl w:val="0"/>
        <w:numPr>
          <w:ilvl w:val="1"/>
          <w:numId w:val="1"/>
        </w:numPr>
        <w:spacing w:after="120"/>
        <w:rPr>
          <w:rFonts w:asciiTheme="minorHAnsi" w:hAnsiTheme="minorHAnsi"/>
          <w:snapToGrid w:val="0"/>
          <w:lang w:val="en-GB"/>
        </w:rPr>
      </w:pPr>
      <w:r>
        <w:t xml:space="preserve">The PBAC advised that flow on restriction changes would be required for </w:t>
      </w:r>
      <w:proofErr w:type="spellStart"/>
      <w:r>
        <w:t>ribociclib</w:t>
      </w:r>
      <w:proofErr w:type="spellEnd"/>
      <w:r>
        <w:t xml:space="preserve"> and </w:t>
      </w:r>
      <w:proofErr w:type="spellStart"/>
      <w:r>
        <w:t>abemaciclib</w:t>
      </w:r>
      <w:proofErr w:type="spellEnd"/>
      <w:r>
        <w:t xml:space="preserve"> to prevent the sequential use of </w:t>
      </w:r>
      <w:r>
        <w:rPr>
          <w:rFonts w:asciiTheme="minorHAnsi" w:hAnsiTheme="minorHAnsi"/>
          <w:snapToGrid w:val="0"/>
          <w:lang w:val="en-GB"/>
        </w:rPr>
        <w:t>cyclin-dependent kinase 4 and 6 (CDK4/6) inhibitors.</w:t>
      </w:r>
    </w:p>
    <w:p w14:paraId="68263DE0" w14:textId="2DCDF109" w:rsidR="00DD5304" w:rsidRDefault="0073517C" w:rsidP="00E74253">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w:t>
      </w:r>
      <w:r w:rsidR="007A3B69">
        <w:rPr>
          <w:rFonts w:asciiTheme="minorHAnsi" w:hAnsiTheme="minorHAnsi"/>
          <w:snapToGrid w:val="0"/>
          <w:lang w:val="en-GB"/>
        </w:rPr>
        <w:t xml:space="preserve">also </w:t>
      </w:r>
      <w:r w:rsidR="00DD5304">
        <w:rPr>
          <w:rFonts w:asciiTheme="minorHAnsi" w:hAnsiTheme="minorHAnsi"/>
          <w:snapToGrid w:val="0"/>
          <w:lang w:val="en-GB"/>
        </w:rPr>
        <w:t>advised that a grandfather listing be implemented.</w:t>
      </w:r>
    </w:p>
    <w:p w14:paraId="1DA3F41A" w14:textId="524AFE65" w:rsidR="00992A6E" w:rsidRDefault="00DD5304" w:rsidP="00E74253">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w:t>
      </w:r>
      <w:proofErr w:type="spellStart"/>
      <w:r>
        <w:rPr>
          <w:rFonts w:asciiTheme="minorHAnsi" w:hAnsiTheme="minorHAnsi"/>
          <w:snapToGrid w:val="0"/>
          <w:lang w:val="en-GB"/>
        </w:rPr>
        <w:t>consided</w:t>
      </w:r>
      <w:proofErr w:type="spellEnd"/>
      <w:r>
        <w:rPr>
          <w:rFonts w:asciiTheme="minorHAnsi" w:hAnsiTheme="minorHAnsi"/>
          <w:snapToGrid w:val="0"/>
          <w:lang w:val="en-GB"/>
        </w:rPr>
        <w:t xml:space="preserve"> that the proposed place in therapy </w:t>
      </w:r>
      <w:r w:rsidR="00E90E29">
        <w:rPr>
          <w:rFonts w:asciiTheme="minorHAnsi" w:hAnsiTheme="minorHAnsi"/>
          <w:snapToGrid w:val="0"/>
          <w:lang w:val="en-GB"/>
        </w:rPr>
        <w:t xml:space="preserve">was appropriate and aligned with that of the nominated comparator, </w:t>
      </w:r>
      <w:proofErr w:type="spellStart"/>
      <w:r w:rsidR="00E90E29">
        <w:rPr>
          <w:rFonts w:asciiTheme="minorHAnsi" w:hAnsiTheme="minorHAnsi"/>
          <w:snapToGrid w:val="0"/>
          <w:lang w:val="en-GB"/>
        </w:rPr>
        <w:t>ribociclib</w:t>
      </w:r>
      <w:proofErr w:type="spellEnd"/>
      <w:r w:rsidR="00E90E29">
        <w:rPr>
          <w:rFonts w:asciiTheme="minorHAnsi" w:hAnsiTheme="minorHAnsi"/>
          <w:snapToGrid w:val="0"/>
          <w:lang w:val="en-GB"/>
        </w:rPr>
        <w:t xml:space="preserve"> plus </w:t>
      </w:r>
      <w:proofErr w:type="spellStart"/>
      <w:r w:rsidR="00E90E29">
        <w:rPr>
          <w:rFonts w:asciiTheme="minorHAnsi" w:hAnsiTheme="minorHAnsi"/>
          <w:snapToGrid w:val="0"/>
          <w:lang w:val="en-GB"/>
        </w:rPr>
        <w:t>fulvestrant</w:t>
      </w:r>
      <w:proofErr w:type="spellEnd"/>
      <w:r w:rsidR="00E90E29">
        <w:rPr>
          <w:rFonts w:asciiTheme="minorHAnsi" w:hAnsiTheme="minorHAnsi"/>
          <w:snapToGrid w:val="0"/>
          <w:lang w:val="en-GB"/>
        </w:rPr>
        <w:t xml:space="preserve">. The PBAC considered that </w:t>
      </w:r>
      <w:proofErr w:type="spellStart"/>
      <w:r w:rsidR="00E90E29">
        <w:rPr>
          <w:rFonts w:asciiTheme="minorHAnsi" w:hAnsiTheme="minorHAnsi"/>
          <w:snapToGrid w:val="0"/>
          <w:lang w:val="en-GB"/>
        </w:rPr>
        <w:t>abemaciclib</w:t>
      </w:r>
      <w:proofErr w:type="spellEnd"/>
      <w:r w:rsidR="00E90E29">
        <w:rPr>
          <w:rFonts w:asciiTheme="minorHAnsi" w:hAnsiTheme="minorHAnsi"/>
          <w:snapToGrid w:val="0"/>
          <w:lang w:val="en-GB"/>
        </w:rPr>
        <w:t xml:space="preserve"> plus </w:t>
      </w:r>
      <w:proofErr w:type="spellStart"/>
      <w:r w:rsidR="00E90E29">
        <w:rPr>
          <w:rFonts w:asciiTheme="minorHAnsi" w:hAnsiTheme="minorHAnsi"/>
          <w:snapToGrid w:val="0"/>
          <w:lang w:val="en-GB"/>
        </w:rPr>
        <w:t>fulvestrant</w:t>
      </w:r>
      <w:proofErr w:type="spellEnd"/>
      <w:r w:rsidR="00E90E29">
        <w:rPr>
          <w:rFonts w:asciiTheme="minorHAnsi" w:hAnsiTheme="minorHAnsi"/>
          <w:snapToGrid w:val="0"/>
          <w:lang w:val="en-GB"/>
        </w:rPr>
        <w:t xml:space="preserve"> was a secondary comparator.</w:t>
      </w:r>
      <w:r>
        <w:rPr>
          <w:rFonts w:asciiTheme="minorHAnsi" w:hAnsiTheme="minorHAnsi"/>
          <w:snapToGrid w:val="0"/>
          <w:lang w:val="en-GB"/>
        </w:rPr>
        <w:t xml:space="preserve"> </w:t>
      </w:r>
    </w:p>
    <w:p w14:paraId="0C6E1D5B" w14:textId="3EDA247C" w:rsidR="00DD5304" w:rsidRDefault="00E90E29" w:rsidP="00992A6E">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noted that the submission was based on an </w:t>
      </w:r>
      <w:proofErr w:type="gramStart"/>
      <w:r>
        <w:rPr>
          <w:rFonts w:asciiTheme="minorHAnsi" w:hAnsiTheme="minorHAnsi"/>
          <w:snapToGrid w:val="0"/>
          <w:lang w:val="en-GB"/>
        </w:rPr>
        <w:t>indirect treatment comparisons (ITCs)</w:t>
      </w:r>
      <w:proofErr w:type="gramEnd"/>
      <w:r>
        <w:rPr>
          <w:rFonts w:asciiTheme="minorHAnsi" w:hAnsiTheme="minorHAnsi"/>
          <w:snapToGrid w:val="0"/>
          <w:lang w:val="en-GB"/>
        </w:rPr>
        <w:t xml:space="preserve"> between </w:t>
      </w:r>
      <w:proofErr w:type="spellStart"/>
      <w:r>
        <w:rPr>
          <w:rFonts w:asciiTheme="minorHAnsi" w:hAnsiTheme="minorHAnsi"/>
          <w:snapToGrid w:val="0"/>
          <w:lang w:val="en-GB"/>
        </w:rPr>
        <w:t>palbociclib</w:t>
      </w:r>
      <w:proofErr w:type="spellEnd"/>
      <w:r>
        <w:rPr>
          <w:rFonts w:asciiTheme="minorHAnsi" w:hAnsiTheme="minorHAnsi"/>
          <w:snapToGrid w:val="0"/>
          <w:lang w:val="en-GB"/>
        </w:rPr>
        <w:t xml:space="preserve"> plus </w:t>
      </w:r>
      <w:proofErr w:type="spellStart"/>
      <w:r>
        <w:rPr>
          <w:rFonts w:asciiTheme="minorHAnsi" w:hAnsiTheme="minorHAnsi"/>
          <w:snapToGrid w:val="0"/>
          <w:lang w:val="en-GB"/>
        </w:rPr>
        <w:t>fulvestrant</w:t>
      </w:r>
      <w:proofErr w:type="spellEnd"/>
      <w:r>
        <w:rPr>
          <w:rFonts w:asciiTheme="minorHAnsi" w:hAnsiTheme="minorHAnsi"/>
          <w:snapToGrid w:val="0"/>
          <w:lang w:val="en-GB"/>
        </w:rPr>
        <w:t xml:space="preserve"> (PALOMA-3 trial) and (</w:t>
      </w:r>
      <w:proofErr w:type="spellStart"/>
      <w:r>
        <w:rPr>
          <w:rFonts w:asciiTheme="minorHAnsi" w:hAnsiTheme="minorHAnsi"/>
          <w:snapToGrid w:val="0"/>
          <w:lang w:val="en-GB"/>
        </w:rPr>
        <w:t>i</w:t>
      </w:r>
      <w:proofErr w:type="spellEnd"/>
      <w:r>
        <w:rPr>
          <w:rFonts w:asciiTheme="minorHAnsi" w:hAnsiTheme="minorHAnsi"/>
          <w:snapToGrid w:val="0"/>
          <w:lang w:val="en-GB"/>
        </w:rPr>
        <w:t xml:space="preserve">) </w:t>
      </w:r>
      <w:proofErr w:type="spellStart"/>
      <w:r>
        <w:rPr>
          <w:rFonts w:asciiTheme="minorHAnsi" w:hAnsiTheme="minorHAnsi"/>
          <w:snapToGrid w:val="0"/>
          <w:lang w:val="en-GB"/>
        </w:rPr>
        <w:t>ribociclib</w:t>
      </w:r>
      <w:proofErr w:type="spellEnd"/>
      <w:r>
        <w:rPr>
          <w:rFonts w:asciiTheme="minorHAnsi" w:hAnsiTheme="minorHAnsi"/>
          <w:snapToGrid w:val="0"/>
          <w:lang w:val="en-GB"/>
        </w:rPr>
        <w:t xml:space="preserve"> plus </w:t>
      </w:r>
      <w:proofErr w:type="spellStart"/>
      <w:r>
        <w:rPr>
          <w:rFonts w:asciiTheme="minorHAnsi" w:hAnsiTheme="minorHAnsi"/>
          <w:snapToGrid w:val="0"/>
          <w:lang w:val="en-GB"/>
        </w:rPr>
        <w:t>fulvestrant</w:t>
      </w:r>
      <w:proofErr w:type="spellEnd"/>
      <w:r>
        <w:rPr>
          <w:rFonts w:asciiTheme="minorHAnsi" w:hAnsiTheme="minorHAnsi"/>
          <w:snapToGrid w:val="0"/>
          <w:lang w:val="en-GB"/>
        </w:rPr>
        <w:t xml:space="preserve"> (MONALEESA-3 trial) and (ii) </w:t>
      </w:r>
      <w:proofErr w:type="spellStart"/>
      <w:r>
        <w:rPr>
          <w:rFonts w:asciiTheme="minorHAnsi" w:hAnsiTheme="minorHAnsi"/>
          <w:snapToGrid w:val="0"/>
          <w:lang w:val="en-GB"/>
        </w:rPr>
        <w:t>abemaciclib</w:t>
      </w:r>
      <w:proofErr w:type="spellEnd"/>
      <w:r>
        <w:rPr>
          <w:rFonts w:asciiTheme="minorHAnsi" w:hAnsiTheme="minorHAnsi"/>
          <w:snapToGrid w:val="0"/>
          <w:lang w:val="en-GB"/>
        </w:rPr>
        <w:t xml:space="preserve"> plus </w:t>
      </w:r>
      <w:proofErr w:type="spellStart"/>
      <w:r>
        <w:rPr>
          <w:rFonts w:asciiTheme="minorHAnsi" w:hAnsiTheme="minorHAnsi"/>
          <w:snapToGrid w:val="0"/>
          <w:lang w:val="en-GB"/>
        </w:rPr>
        <w:t>fulvestrant</w:t>
      </w:r>
      <w:proofErr w:type="spellEnd"/>
      <w:r>
        <w:rPr>
          <w:rFonts w:asciiTheme="minorHAnsi" w:hAnsiTheme="minorHAnsi"/>
          <w:snapToGrid w:val="0"/>
          <w:lang w:val="en-GB"/>
        </w:rPr>
        <w:t xml:space="preserve"> (MONARCH 2 trial) using placebo plus </w:t>
      </w:r>
      <w:proofErr w:type="spellStart"/>
      <w:r>
        <w:rPr>
          <w:rFonts w:asciiTheme="minorHAnsi" w:hAnsiTheme="minorHAnsi"/>
          <w:snapToGrid w:val="0"/>
          <w:lang w:val="en-GB"/>
        </w:rPr>
        <w:t>fulvestrant</w:t>
      </w:r>
      <w:proofErr w:type="spellEnd"/>
      <w:r>
        <w:rPr>
          <w:rFonts w:asciiTheme="minorHAnsi" w:hAnsiTheme="minorHAnsi"/>
          <w:snapToGrid w:val="0"/>
          <w:lang w:val="en-GB"/>
        </w:rPr>
        <w:t xml:space="preserve"> as the common treatment arm.</w:t>
      </w:r>
    </w:p>
    <w:p w14:paraId="7C1AB656" w14:textId="2966B776" w:rsidR="00E90E29" w:rsidRDefault="00E90E29" w:rsidP="00866FFF">
      <w:pPr>
        <w:keepLines/>
        <w:widowControl w:val="0"/>
        <w:numPr>
          <w:ilvl w:val="1"/>
          <w:numId w:val="1"/>
        </w:numPr>
        <w:spacing w:after="120"/>
        <w:rPr>
          <w:rFonts w:asciiTheme="minorHAnsi" w:hAnsiTheme="minorHAnsi"/>
          <w:snapToGrid w:val="0"/>
          <w:lang w:val="en-GB"/>
        </w:rPr>
      </w:pPr>
      <w:r>
        <w:rPr>
          <w:rFonts w:asciiTheme="minorHAnsi" w:hAnsiTheme="minorHAnsi"/>
          <w:snapToGrid w:val="0"/>
          <w:lang w:val="en-GB"/>
        </w:rPr>
        <w:lastRenderedPageBreak/>
        <w:t>The PBAC considered that the PALOMA-3, MONALEESA-</w:t>
      </w:r>
      <w:proofErr w:type="gramStart"/>
      <w:r>
        <w:rPr>
          <w:rFonts w:asciiTheme="minorHAnsi" w:hAnsiTheme="minorHAnsi"/>
          <w:snapToGrid w:val="0"/>
          <w:lang w:val="en-GB"/>
        </w:rPr>
        <w:t>3</w:t>
      </w:r>
      <w:proofErr w:type="gramEnd"/>
      <w:r>
        <w:rPr>
          <w:rFonts w:asciiTheme="minorHAnsi" w:hAnsiTheme="minorHAnsi"/>
          <w:snapToGrid w:val="0"/>
          <w:lang w:val="en-GB"/>
        </w:rPr>
        <w:t xml:space="preserve"> and MONARCH 2 trials were similar, not</w:t>
      </w:r>
      <w:r w:rsidR="00290F46">
        <w:rPr>
          <w:rFonts w:asciiTheme="minorHAnsi" w:hAnsiTheme="minorHAnsi"/>
          <w:snapToGrid w:val="0"/>
          <w:lang w:val="en-GB"/>
        </w:rPr>
        <w:t>ing</w:t>
      </w:r>
      <w:r>
        <w:rPr>
          <w:rFonts w:asciiTheme="minorHAnsi" w:hAnsiTheme="minorHAnsi"/>
          <w:snapToGrid w:val="0"/>
          <w:lang w:val="en-GB"/>
        </w:rPr>
        <w:t xml:space="preserve"> </w:t>
      </w:r>
      <w:r w:rsidR="00290F46">
        <w:rPr>
          <w:rFonts w:asciiTheme="minorHAnsi" w:hAnsiTheme="minorHAnsi"/>
          <w:snapToGrid w:val="0"/>
          <w:lang w:val="en-GB"/>
        </w:rPr>
        <w:t xml:space="preserve">that there were </w:t>
      </w:r>
      <w:r>
        <w:rPr>
          <w:rFonts w:asciiTheme="minorHAnsi" w:hAnsiTheme="minorHAnsi"/>
          <w:snapToGrid w:val="0"/>
          <w:lang w:val="en-GB"/>
        </w:rPr>
        <w:t>differences in terms of the key eligibility criteria (</w:t>
      </w:r>
      <w:r w:rsidR="00290F46">
        <w:rPr>
          <w:rFonts w:asciiTheme="minorHAnsi" w:hAnsiTheme="minorHAnsi"/>
          <w:snapToGrid w:val="0"/>
          <w:lang w:val="en-GB"/>
        </w:rPr>
        <w:t>see</w:t>
      </w:r>
      <w:r>
        <w:rPr>
          <w:rFonts w:asciiTheme="minorHAnsi" w:hAnsiTheme="minorHAnsi"/>
          <w:snapToGrid w:val="0"/>
          <w:lang w:val="en-GB"/>
        </w:rPr>
        <w:t xml:space="preserve"> paragraph 6.10)</w:t>
      </w:r>
      <w:r w:rsidR="00290F46">
        <w:rPr>
          <w:rFonts w:asciiTheme="minorHAnsi" w:hAnsiTheme="minorHAnsi"/>
          <w:snapToGrid w:val="0"/>
          <w:lang w:val="en-GB"/>
        </w:rPr>
        <w:t xml:space="preserve"> and subsequent therapies and durations of follow-up (see paragraph 6.11). The PBAC noted that the upper 95% confidence intervals of the indirect hazard ratios for progression free survival were within the proposed non-inferiority margin of 1.4. The PBAC noted that although the upper 95% confidence intervals for overall survival were outside the nominated non-inferiority margin, similar results were observed in </w:t>
      </w:r>
      <w:r w:rsidR="00A772A7">
        <w:rPr>
          <w:rFonts w:asciiTheme="minorHAnsi" w:hAnsiTheme="minorHAnsi"/>
          <w:snapToGrid w:val="0"/>
          <w:lang w:val="en-GB"/>
        </w:rPr>
        <w:t xml:space="preserve">the </w:t>
      </w:r>
      <w:r w:rsidR="00290F46">
        <w:rPr>
          <w:rFonts w:asciiTheme="minorHAnsi" w:hAnsiTheme="minorHAnsi"/>
          <w:snapToGrid w:val="0"/>
          <w:lang w:val="en-GB"/>
        </w:rPr>
        <w:t xml:space="preserve">March 2021 consideration of </w:t>
      </w:r>
      <w:proofErr w:type="spellStart"/>
      <w:r w:rsidR="00290F46">
        <w:rPr>
          <w:rFonts w:asciiTheme="minorHAnsi" w:hAnsiTheme="minorHAnsi"/>
          <w:snapToGrid w:val="0"/>
          <w:lang w:val="en-GB"/>
        </w:rPr>
        <w:t>abemaciclib</w:t>
      </w:r>
      <w:proofErr w:type="spellEnd"/>
      <w:r w:rsidR="00290F46">
        <w:rPr>
          <w:rFonts w:asciiTheme="minorHAnsi" w:hAnsiTheme="minorHAnsi"/>
          <w:snapToGrid w:val="0"/>
          <w:lang w:val="en-GB"/>
        </w:rPr>
        <w:t xml:space="preserve"> when compared to </w:t>
      </w:r>
      <w:proofErr w:type="spellStart"/>
      <w:r w:rsidR="00290F46">
        <w:rPr>
          <w:rFonts w:asciiTheme="minorHAnsi" w:hAnsiTheme="minorHAnsi"/>
          <w:snapToGrid w:val="0"/>
          <w:lang w:val="en-GB"/>
        </w:rPr>
        <w:t>ribociclib</w:t>
      </w:r>
      <w:proofErr w:type="spellEnd"/>
      <w:r w:rsidR="00290F46">
        <w:rPr>
          <w:rFonts w:asciiTheme="minorHAnsi" w:hAnsiTheme="minorHAnsi"/>
          <w:snapToGrid w:val="0"/>
          <w:lang w:val="en-GB"/>
        </w:rPr>
        <w:t xml:space="preserve">. Overall, the PBAC considered that the claim that </w:t>
      </w:r>
      <w:proofErr w:type="spellStart"/>
      <w:r w:rsidR="00290F46">
        <w:rPr>
          <w:rFonts w:asciiTheme="minorHAnsi" w:hAnsiTheme="minorHAnsi"/>
          <w:snapToGrid w:val="0"/>
          <w:lang w:val="en-GB"/>
        </w:rPr>
        <w:t>palbociclib</w:t>
      </w:r>
      <w:proofErr w:type="spellEnd"/>
      <w:r w:rsidR="00290F46">
        <w:rPr>
          <w:rFonts w:asciiTheme="minorHAnsi" w:hAnsiTheme="minorHAnsi"/>
          <w:snapToGrid w:val="0"/>
          <w:lang w:val="en-GB"/>
        </w:rPr>
        <w:t xml:space="preserve"> plus </w:t>
      </w:r>
      <w:proofErr w:type="spellStart"/>
      <w:r w:rsidR="00290F46">
        <w:rPr>
          <w:rFonts w:asciiTheme="minorHAnsi" w:hAnsiTheme="minorHAnsi"/>
          <w:snapToGrid w:val="0"/>
          <w:lang w:val="en-GB"/>
        </w:rPr>
        <w:t>fulvestrant</w:t>
      </w:r>
      <w:proofErr w:type="spellEnd"/>
      <w:r w:rsidR="00290F46">
        <w:rPr>
          <w:rFonts w:asciiTheme="minorHAnsi" w:hAnsiTheme="minorHAnsi"/>
          <w:snapToGrid w:val="0"/>
          <w:lang w:val="en-GB"/>
        </w:rPr>
        <w:t xml:space="preserve"> was non-inferior to </w:t>
      </w:r>
      <w:proofErr w:type="spellStart"/>
      <w:r w:rsidR="00290F46">
        <w:rPr>
          <w:rFonts w:asciiTheme="minorHAnsi" w:hAnsiTheme="minorHAnsi"/>
          <w:snapToGrid w:val="0"/>
          <w:lang w:val="en-GB"/>
        </w:rPr>
        <w:t>ribociclib</w:t>
      </w:r>
      <w:proofErr w:type="spellEnd"/>
      <w:r w:rsidR="00290F46">
        <w:rPr>
          <w:rFonts w:asciiTheme="minorHAnsi" w:hAnsiTheme="minorHAnsi"/>
          <w:snapToGrid w:val="0"/>
          <w:lang w:val="en-GB"/>
        </w:rPr>
        <w:t xml:space="preserve"> plus </w:t>
      </w:r>
      <w:proofErr w:type="spellStart"/>
      <w:r w:rsidR="00290F46">
        <w:rPr>
          <w:rFonts w:asciiTheme="minorHAnsi" w:hAnsiTheme="minorHAnsi"/>
          <w:snapToGrid w:val="0"/>
          <w:lang w:val="en-GB"/>
        </w:rPr>
        <w:t>fulvestrant</w:t>
      </w:r>
      <w:proofErr w:type="spellEnd"/>
      <w:r w:rsidR="00290F46">
        <w:rPr>
          <w:rFonts w:asciiTheme="minorHAnsi" w:hAnsiTheme="minorHAnsi"/>
          <w:snapToGrid w:val="0"/>
          <w:lang w:val="en-GB"/>
        </w:rPr>
        <w:t xml:space="preserve"> </w:t>
      </w:r>
      <w:r w:rsidR="00A772A7">
        <w:rPr>
          <w:rFonts w:asciiTheme="minorHAnsi" w:hAnsiTheme="minorHAnsi"/>
          <w:snapToGrid w:val="0"/>
          <w:lang w:val="en-GB"/>
        </w:rPr>
        <w:t xml:space="preserve">in terms of efficacy </w:t>
      </w:r>
      <w:r w:rsidR="00290F46">
        <w:rPr>
          <w:rFonts w:asciiTheme="minorHAnsi" w:hAnsiTheme="minorHAnsi"/>
          <w:snapToGrid w:val="0"/>
          <w:lang w:val="en-GB"/>
        </w:rPr>
        <w:t>was supported</w:t>
      </w:r>
      <w:r w:rsidR="007A3B69">
        <w:rPr>
          <w:rFonts w:asciiTheme="minorHAnsi" w:hAnsiTheme="minorHAnsi"/>
          <w:snapToGrid w:val="0"/>
          <w:lang w:val="en-GB"/>
        </w:rPr>
        <w:t xml:space="preserve"> by the evidence presented</w:t>
      </w:r>
      <w:r w:rsidR="00290F46">
        <w:rPr>
          <w:rFonts w:asciiTheme="minorHAnsi" w:hAnsiTheme="minorHAnsi"/>
          <w:snapToGrid w:val="0"/>
          <w:lang w:val="en-GB"/>
        </w:rPr>
        <w:t>.</w:t>
      </w:r>
    </w:p>
    <w:p w14:paraId="6A13C7A3" w14:textId="06E99628" w:rsidR="00290F46" w:rsidRDefault="00687EAD" w:rsidP="00992A6E">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noting that the safety profiles had some differences, considered that overall</w:t>
      </w:r>
      <w:r w:rsidR="007A3B69">
        <w:rPr>
          <w:rFonts w:asciiTheme="minorHAnsi" w:hAnsiTheme="minorHAnsi"/>
          <w:snapToGrid w:val="0"/>
          <w:lang w:val="en-GB"/>
        </w:rPr>
        <w:t>,</w:t>
      </w:r>
      <w:r>
        <w:rPr>
          <w:rFonts w:asciiTheme="minorHAnsi" w:hAnsiTheme="minorHAnsi"/>
          <w:snapToGrid w:val="0"/>
          <w:lang w:val="en-GB"/>
        </w:rPr>
        <w:t xml:space="preserve"> the claim that </w:t>
      </w:r>
      <w:proofErr w:type="spellStart"/>
      <w:r>
        <w:rPr>
          <w:rFonts w:asciiTheme="minorHAnsi" w:hAnsiTheme="minorHAnsi"/>
          <w:snapToGrid w:val="0"/>
          <w:lang w:val="en-GB"/>
        </w:rPr>
        <w:t>palbociclib</w:t>
      </w:r>
      <w:proofErr w:type="spellEnd"/>
      <w:r>
        <w:rPr>
          <w:rFonts w:asciiTheme="minorHAnsi" w:hAnsiTheme="minorHAnsi"/>
          <w:snapToGrid w:val="0"/>
          <w:lang w:val="en-GB"/>
        </w:rPr>
        <w:t xml:space="preserve"> plus </w:t>
      </w:r>
      <w:proofErr w:type="spellStart"/>
      <w:r>
        <w:rPr>
          <w:rFonts w:asciiTheme="minorHAnsi" w:hAnsiTheme="minorHAnsi"/>
          <w:snapToGrid w:val="0"/>
          <w:lang w:val="en-GB"/>
        </w:rPr>
        <w:t>fulvestrant</w:t>
      </w:r>
      <w:proofErr w:type="spellEnd"/>
      <w:r>
        <w:rPr>
          <w:rFonts w:asciiTheme="minorHAnsi" w:hAnsiTheme="minorHAnsi"/>
          <w:snapToGrid w:val="0"/>
          <w:lang w:val="en-GB"/>
        </w:rPr>
        <w:t xml:space="preserve"> had a similar safety profile to </w:t>
      </w:r>
      <w:proofErr w:type="spellStart"/>
      <w:r>
        <w:rPr>
          <w:rFonts w:asciiTheme="minorHAnsi" w:hAnsiTheme="minorHAnsi"/>
          <w:snapToGrid w:val="0"/>
          <w:lang w:val="en-GB"/>
        </w:rPr>
        <w:t>ribociclib</w:t>
      </w:r>
      <w:proofErr w:type="spellEnd"/>
      <w:r>
        <w:rPr>
          <w:rFonts w:asciiTheme="minorHAnsi" w:hAnsiTheme="minorHAnsi"/>
          <w:snapToGrid w:val="0"/>
          <w:lang w:val="en-GB"/>
        </w:rPr>
        <w:t xml:space="preserve"> plus </w:t>
      </w:r>
      <w:proofErr w:type="spellStart"/>
      <w:r>
        <w:rPr>
          <w:rFonts w:asciiTheme="minorHAnsi" w:hAnsiTheme="minorHAnsi"/>
          <w:snapToGrid w:val="0"/>
          <w:lang w:val="en-GB"/>
        </w:rPr>
        <w:t>fulvestrant</w:t>
      </w:r>
      <w:proofErr w:type="spellEnd"/>
      <w:r>
        <w:rPr>
          <w:rFonts w:asciiTheme="minorHAnsi" w:hAnsiTheme="minorHAnsi"/>
          <w:snapToGrid w:val="0"/>
          <w:lang w:val="en-GB"/>
        </w:rPr>
        <w:t xml:space="preserve"> was supported by the evidence presented.</w:t>
      </w:r>
    </w:p>
    <w:p w14:paraId="2802680E" w14:textId="32A1150C" w:rsidR="00687EAD" w:rsidRPr="008D3267" w:rsidRDefault="00680BBF" w:rsidP="00992A6E">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noted that the submission presented a cost minimisation approach between </w:t>
      </w:r>
      <w:proofErr w:type="spellStart"/>
      <w:r w:rsidRPr="008D3267">
        <w:rPr>
          <w:rFonts w:asciiTheme="minorHAnsi" w:hAnsiTheme="minorHAnsi"/>
          <w:snapToGrid w:val="0"/>
          <w:lang w:val="en-GB"/>
        </w:rPr>
        <w:t>palbociclib</w:t>
      </w:r>
      <w:proofErr w:type="spellEnd"/>
      <w:r w:rsidRPr="008D3267">
        <w:rPr>
          <w:rFonts w:asciiTheme="minorHAnsi" w:hAnsiTheme="minorHAnsi"/>
          <w:snapToGrid w:val="0"/>
          <w:lang w:val="en-GB"/>
        </w:rPr>
        <w:t xml:space="preserve"> plus </w:t>
      </w:r>
      <w:proofErr w:type="spellStart"/>
      <w:r w:rsidRPr="008D3267">
        <w:rPr>
          <w:rFonts w:asciiTheme="minorHAnsi" w:hAnsiTheme="minorHAnsi"/>
          <w:snapToGrid w:val="0"/>
          <w:lang w:val="en-GB"/>
        </w:rPr>
        <w:t>fulvestrant</w:t>
      </w:r>
      <w:proofErr w:type="spellEnd"/>
      <w:r w:rsidRPr="008D3267">
        <w:rPr>
          <w:rFonts w:asciiTheme="minorHAnsi" w:hAnsiTheme="minorHAnsi"/>
          <w:snapToGrid w:val="0"/>
          <w:lang w:val="en-GB"/>
        </w:rPr>
        <w:t xml:space="preserve"> and </w:t>
      </w:r>
      <w:proofErr w:type="spellStart"/>
      <w:r w:rsidRPr="008D3267">
        <w:rPr>
          <w:rFonts w:asciiTheme="minorHAnsi" w:hAnsiTheme="minorHAnsi"/>
          <w:snapToGrid w:val="0"/>
          <w:lang w:val="en-GB"/>
        </w:rPr>
        <w:t>ribociclib</w:t>
      </w:r>
      <w:proofErr w:type="spellEnd"/>
      <w:r w:rsidRPr="008D3267">
        <w:rPr>
          <w:rFonts w:asciiTheme="minorHAnsi" w:hAnsiTheme="minorHAnsi"/>
          <w:snapToGrid w:val="0"/>
          <w:lang w:val="en-GB"/>
        </w:rPr>
        <w:t xml:space="preserve"> plus </w:t>
      </w:r>
      <w:proofErr w:type="spellStart"/>
      <w:r w:rsidRPr="008D3267">
        <w:rPr>
          <w:rFonts w:asciiTheme="minorHAnsi" w:hAnsiTheme="minorHAnsi"/>
          <w:snapToGrid w:val="0"/>
          <w:lang w:val="en-GB"/>
        </w:rPr>
        <w:t>fulvestrant</w:t>
      </w:r>
      <w:proofErr w:type="spellEnd"/>
      <w:r w:rsidRPr="008D3267">
        <w:rPr>
          <w:rFonts w:asciiTheme="minorHAnsi" w:hAnsiTheme="minorHAnsi"/>
          <w:snapToGrid w:val="0"/>
          <w:lang w:val="en-GB"/>
        </w:rPr>
        <w:t xml:space="preserve">. </w:t>
      </w:r>
      <w:r w:rsidR="007F2E0C" w:rsidRPr="008D3267">
        <w:rPr>
          <w:rFonts w:asciiTheme="minorHAnsi" w:hAnsiTheme="minorHAnsi"/>
          <w:snapToGrid w:val="0"/>
          <w:lang w:val="en-GB"/>
        </w:rPr>
        <w:t xml:space="preserve">The PBAC noted that as there were no significant differences in efficacy or safety the submission did not include any additional costs in the CMA. The PBAC considered this was reasonable. </w:t>
      </w:r>
      <w:r w:rsidRPr="008D3267">
        <w:rPr>
          <w:rFonts w:asciiTheme="minorHAnsi" w:hAnsiTheme="minorHAnsi"/>
          <w:snapToGrid w:val="0"/>
          <w:lang w:val="en-GB"/>
        </w:rPr>
        <w:t xml:space="preserve">The PBAC considered that the </w:t>
      </w:r>
      <w:proofErr w:type="spellStart"/>
      <w:r w:rsidRPr="008D3267">
        <w:rPr>
          <w:rFonts w:asciiTheme="minorHAnsi" w:hAnsiTheme="minorHAnsi"/>
          <w:snapToGrid w:val="0"/>
          <w:lang w:val="en-GB"/>
        </w:rPr>
        <w:t>equi</w:t>
      </w:r>
      <w:proofErr w:type="spellEnd"/>
      <w:r w:rsidRPr="008D3267">
        <w:rPr>
          <w:rFonts w:asciiTheme="minorHAnsi" w:hAnsiTheme="minorHAnsi"/>
          <w:snapToGrid w:val="0"/>
          <w:lang w:val="en-GB"/>
        </w:rPr>
        <w:t xml:space="preserve">-effective doses were: </w:t>
      </w:r>
    </w:p>
    <w:p w14:paraId="1C8FD799" w14:textId="12FB8527" w:rsidR="00680BBF" w:rsidRDefault="00680BBF" w:rsidP="00680BBF">
      <w:pPr>
        <w:widowControl w:val="0"/>
        <w:spacing w:after="120"/>
        <w:ind w:left="720"/>
        <w:rPr>
          <w:rFonts w:asciiTheme="minorHAnsi" w:hAnsiTheme="minorHAnsi"/>
          <w:snapToGrid w:val="0"/>
          <w:lang w:val="en-GB"/>
        </w:rPr>
      </w:pPr>
      <w:r w:rsidRPr="008D3267">
        <w:rPr>
          <w:rFonts w:asciiTheme="minorHAnsi" w:hAnsiTheme="minorHAnsi"/>
          <w:snapToGrid w:val="0"/>
          <w:lang w:val="en-GB"/>
        </w:rPr>
        <w:t xml:space="preserve">Palbociclib 108.5 mg = </w:t>
      </w:r>
      <w:proofErr w:type="spellStart"/>
      <w:r w:rsidRPr="008D3267">
        <w:rPr>
          <w:rFonts w:asciiTheme="minorHAnsi" w:hAnsiTheme="minorHAnsi"/>
          <w:snapToGrid w:val="0"/>
          <w:lang w:val="en-GB"/>
        </w:rPr>
        <w:t>ribociclib</w:t>
      </w:r>
      <w:proofErr w:type="spellEnd"/>
      <w:r w:rsidRPr="008D3267">
        <w:rPr>
          <w:rFonts w:asciiTheme="minorHAnsi" w:hAnsiTheme="minorHAnsi"/>
          <w:snapToGrid w:val="0"/>
          <w:lang w:val="en-GB"/>
        </w:rPr>
        <w:t xml:space="preserve"> 477 mg per day for 21 days of a 28-day cycle </w:t>
      </w:r>
      <w:r w:rsidR="00F90B8E" w:rsidRPr="008D3267">
        <w:rPr>
          <w:rFonts w:asciiTheme="minorHAnsi" w:hAnsiTheme="minorHAnsi"/>
          <w:snapToGrid w:val="0"/>
          <w:lang w:val="en-GB"/>
        </w:rPr>
        <w:br/>
      </w:r>
      <w:r w:rsidRPr="008D3267">
        <w:rPr>
          <w:rFonts w:asciiTheme="minorHAnsi" w:hAnsiTheme="minorHAnsi"/>
          <w:snapToGrid w:val="0"/>
          <w:lang w:val="en-GB"/>
        </w:rPr>
        <w:t>(</w:t>
      </w:r>
      <w:proofErr w:type="gramStart"/>
      <w:r w:rsidRPr="008D3267">
        <w:rPr>
          <w:rFonts w:asciiTheme="minorHAnsi" w:hAnsiTheme="minorHAnsi"/>
          <w:snapToGrid w:val="0"/>
          <w:lang w:val="en-GB"/>
        </w:rPr>
        <w:t>i.e.</w:t>
      </w:r>
      <w:proofErr w:type="gramEnd"/>
      <w:r w:rsidRPr="008D3267">
        <w:rPr>
          <w:rFonts w:asciiTheme="minorHAnsi" w:hAnsiTheme="minorHAnsi"/>
          <w:snapToGrid w:val="0"/>
          <w:lang w:val="en-GB"/>
        </w:rPr>
        <w:t xml:space="preserve"> </w:t>
      </w:r>
      <w:proofErr w:type="spellStart"/>
      <w:r w:rsidRPr="008D3267">
        <w:rPr>
          <w:rFonts w:asciiTheme="minorHAnsi" w:hAnsiTheme="minorHAnsi"/>
          <w:snapToGrid w:val="0"/>
          <w:lang w:val="en-GB"/>
        </w:rPr>
        <w:t>palbociclib</w:t>
      </w:r>
      <w:proofErr w:type="spellEnd"/>
      <w:r w:rsidRPr="008D3267">
        <w:rPr>
          <w:rFonts w:asciiTheme="minorHAnsi" w:hAnsiTheme="minorHAnsi"/>
          <w:snapToGrid w:val="0"/>
          <w:lang w:val="en-GB"/>
        </w:rPr>
        <w:t xml:space="preserve"> 1 mg = </w:t>
      </w:r>
      <w:proofErr w:type="spellStart"/>
      <w:r w:rsidRPr="008D3267">
        <w:rPr>
          <w:rFonts w:asciiTheme="minorHAnsi" w:hAnsiTheme="minorHAnsi"/>
          <w:snapToGrid w:val="0"/>
          <w:lang w:val="en-GB"/>
        </w:rPr>
        <w:t>ribociclib</w:t>
      </w:r>
      <w:proofErr w:type="spellEnd"/>
      <w:r w:rsidRPr="008D3267">
        <w:rPr>
          <w:rFonts w:asciiTheme="minorHAnsi" w:hAnsiTheme="minorHAnsi"/>
          <w:snapToGrid w:val="0"/>
          <w:lang w:val="en-GB"/>
        </w:rPr>
        <w:t xml:space="preserve"> 4.4 mg)</w:t>
      </w:r>
    </w:p>
    <w:p w14:paraId="6FABEDF9" w14:textId="19C2E2BD" w:rsidR="00687EAD" w:rsidRDefault="00680BBF" w:rsidP="00992A6E">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noted that the </w:t>
      </w:r>
      <w:proofErr w:type="spellStart"/>
      <w:r>
        <w:rPr>
          <w:rFonts w:asciiTheme="minorHAnsi" w:hAnsiTheme="minorHAnsi"/>
          <w:snapToGrid w:val="0"/>
          <w:lang w:val="en-GB"/>
        </w:rPr>
        <w:t>equi</w:t>
      </w:r>
      <w:proofErr w:type="spellEnd"/>
      <w:r>
        <w:rPr>
          <w:rFonts w:asciiTheme="minorHAnsi" w:hAnsiTheme="minorHAnsi"/>
          <w:snapToGrid w:val="0"/>
          <w:lang w:val="en-GB"/>
        </w:rPr>
        <w:t xml:space="preserve">-effective doses were the same as those accepted previously for the comparison between </w:t>
      </w:r>
      <w:proofErr w:type="spellStart"/>
      <w:r>
        <w:rPr>
          <w:rFonts w:asciiTheme="minorHAnsi" w:hAnsiTheme="minorHAnsi"/>
          <w:snapToGrid w:val="0"/>
          <w:lang w:val="en-GB"/>
        </w:rPr>
        <w:t>palbociclib</w:t>
      </w:r>
      <w:proofErr w:type="spellEnd"/>
      <w:r>
        <w:rPr>
          <w:rFonts w:asciiTheme="minorHAnsi" w:hAnsiTheme="minorHAnsi"/>
          <w:snapToGrid w:val="0"/>
          <w:lang w:val="en-GB"/>
        </w:rPr>
        <w:t xml:space="preserve"> plus an NSAI and </w:t>
      </w:r>
      <w:proofErr w:type="spellStart"/>
      <w:r>
        <w:rPr>
          <w:rFonts w:asciiTheme="minorHAnsi" w:hAnsiTheme="minorHAnsi"/>
          <w:snapToGrid w:val="0"/>
          <w:lang w:val="en-GB"/>
        </w:rPr>
        <w:t>ribociclib</w:t>
      </w:r>
      <w:proofErr w:type="spellEnd"/>
      <w:r>
        <w:rPr>
          <w:rFonts w:asciiTheme="minorHAnsi" w:hAnsiTheme="minorHAnsi"/>
          <w:snapToGrid w:val="0"/>
          <w:lang w:val="en-GB"/>
        </w:rPr>
        <w:t xml:space="preserve"> plus an NSAI. The PBAC recalled that this was consistent with the approach that was accepted in the consideration of </w:t>
      </w:r>
      <w:proofErr w:type="spellStart"/>
      <w:r>
        <w:rPr>
          <w:rFonts w:asciiTheme="minorHAnsi" w:hAnsiTheme="minorHAnsi"/>
          <w:snapToGrid w:val="0"/>
          <w:lang w:val="en-GB"/>
        </w:rPr>
        <w:t>ribociclib</w:t>
      </w:r>
      <w:proofErr w:type="spellEnd"/>
      <w:r>
        <w:rPr>
          <w:rFonts w:asciiTheme="minorHAnsi" w:hAnsiTheme="minorHAnsi"/>
          <w:snapToGrid w:val="0"/>
          <w:lang w:val="en-GB"/>
        </w:rPr>
        <w:t xml:space="preserve"> plus </w:t>
      </w:r>
      <w:proofErr w:type="spellStart"/>
      <w:r>
        <w:rPr>
          <w:rFonts w:asciiTheme="minorHAnsi" w:hAnsiTheme="minorHAnsi"/>
          <w:snapToGrid w:val="0"/>
          <w:lang w:val="en-GB"/>
        </w:rPr>
        <w:t>fulvestrant</w:t>
      </w:r>
      <w:proofErr w:type="spellEnd"/>
      <w:r>
        <w:rPr>
          <w:rFonts w:asciiTheme="minorHAnsi" w:hAnsiTheme="minorHAnsi"/>
          <w:snapToGrid w:val="0"/>
          <w:lang w:val="en-GB"/>
        </w:rPr>
        <w:t xml:space="preserve"> when the PBAC considered that there did not appear to be a clinical reason why the dose </w:t>
      </w:r>
      <w:proofErr w:type="spellStart"/>
      <w:r>
        <w:rPr>
          <w:rFonts w:asciiTheme="minorHAnsi" w:hAnsiTheme="minorHAnsi"/>
          <w:snapToGrid w:val="0"/>
          <w:lang w:val="en-GB"/>
        </w:rPr>
        <w:t>intensitites</w:t>
      </w:r>
      <w:proofErr w:type="spellEnd"/>
      <w:r>
        <w:rPr>
          <w:rFonts w:asciiTheme="minorHAnsi" w:hAnsiTheme="minorHAnsi"/>
          <w:snapToGrid w:val="0"/>
          <w:lang w:val="en-GB"/>
        </w:rPr>
        <w:t xml:space="preserve"> for </w:t>
      </w:r>
      <w:proofErr w:type="spellStart"/>
      <w:r>
        <w:rPr>
          <w:rFonts w:asciiTheme="minorHAnsi" w:hAnsiTheme="minorHAnsi"/>
          <w:snapToGrid w:val="0"/>
          <w:lang w:val="en-GB"/>
        </w:rPr>
        <w:t>ribociclib</w:t>
      </w:r>
      <w:proofErr w:type="spellEnd"/>
      <w:r>
        <w:rPr>
          <w:rFonts w:asciiTheme="minorHAnsi" w:hAnsiTheme="minorHAnsi"/>
          <w:snapToGrid w:val="0"/>
          <w:lang w:val="en-GB"/>
        </w:rPr>
        <w:t xml:space="preserve"> would differ depending on its combination with </w:t>
      </w:r>
      <w:proofErr w:type="spellStart"/>
      <w:r>
        <w:rPr>
          <w:rFonts w:asciiTheme="minorHAnsi" w:hAnsiTheme="minorHAnsi"/>
          <w:snapToGrid w:val="0"/>
          <w:lang w:val="en-GB"/>
        </w:rPr>
        <w:t>fulvestrant</w:t>
      </w:r>
      <w:proofErr w:type="spellEnd"/>
      <w:r>
        <w:rPr>
          <w:rFonts w:asciiTheme="minorHAnsi" w:hAnsiTheme="minorHAnsi"/>
          <w:snapToGrid w:val="0"/>
          <w:lang w:val="en-GB"/>
        </w:rPr>
        <w:t xml:space="preserve"> or an NSAI given the similar safety profiles (paragraph 6.54, </w:t>
      </w:r>
      <w:proofErr w:type="spellStart"/>
      <w:r>
        <w:rPr>
          <w:rFonts w:asciiTheme="minorHAnsi" w:hAnsiTheme="minorHAnsi"/>
          <w:snapToGrid w:val="0"/>
          <w:lang w:val="en-GB"/>
        </w:rPr>
        <w:t>ribociclib</w:t>
      </w:r>
      <w:proofErr w:type="spellEnd"/>
      <w:r>
        <w:rPr>
          <w:rFonts w:asciiTheme="minorHAnsi" w:hAnsiTheme="minorHAnsi"/>
          <w:snapToGrid w:val="0"/>
          <w:lang w:val="en-GB"/>
        </w:rPr>
        <w:t xml:space="preserve"> PSD, July 2020).</w:t>
      </w:r>
    </w:p>
    <w:p w14:paraId="087F6619" w14:textId="435339A0" w:rsidR="00406585" w:rsidRDefault="00406585" w:rsidP="00992A6E">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noted that the proposed price for </w:t>
      </w:r>
      <w:proofErr w:type="spellStart"/>
      <w:r>
        <w:rPr>
          <w:rFonts w:asciiTheme="minorHAnsi" w:hAnsiTheme="minorHAnsi"/>
          <w:snapToGrid w:val="0"/>
          <w:lang w:val="en-GB"/>
        </w:rPr>
        <w:t>palbociclib</w:t>
      </w:r>
      <w:proofErr w:type="spellEnd"/>
      <w:r>
        <w:rPr>
          <w:rFonts w:asciiTheme="minorHAnsi" w:hAnsiTheme="minorHAnsi"/>
          <w:snapToGrid w:val="0"/>
          <w:lang w:val="en-GB"/>
        </w:rPr>
        <w:t xml:space="preserve"> for use in combination with </w:t>
      </w:r>
      <w:proofErr w:type="spellStart"/>
      <w:r>
        <w:rPr>
          <w:rFonts w:asciiTheme="minorHAnsi" w:hAnsiTheme="minorHAnsi"/>
          <w:snapToGrid w:val="0"/>
          <w:lang w:val="en-GB"/>
        </w:rPr>
        <w:t>fulvestrant</w:t>
      </w:r>
      <w:proofErr w:type="spellEnd"/>
      <w:r>
        <w:rPr>
          <w:rFonts w:asciiTheme="minorHAnsi" w:hAnsiTheme="minorHAnsi"/>
          <w:snapToGrid w:val="0"/>
          <w:lang w:val="en-GB"/>
        </w:rPr>
        <w:t xml:space="preserve"> was the same as that for </w:t>
      </w:r>
      <w:proofErr w:type="spellStart"/>
      <w:r>
        <w:rPr>
          <w:rFonts w:asciiTheme="minorHAnsi" w:hAnsiTheme="minorHAnsi"/>
          <w:snapToGrid w:val="0"/>
          <w:lang w:val="en-GB"/>
        </w:rPr>
        <w:t>palbociclib</w:t>
      </w:r>
      <w:proofErr w:type="spellEnd"/>
      <w:r>
        <w:rPr>
          <w:rFonts w:asciiTheme="minorHAnsi" w:hAnsiTheme="minorHAnsi"/>
          <w:snapToGrid w:val="0"/>
          <w:lang w:val="en-GB"/>
        </w:rPr>
        <w:t xml:space="preserve"> for use in combination with an NSAI. Consistent with its recommendations for </w:t>
      </w:r>
      <w:proofErr w:type="spellStart"/>
      <w:r>
        <w:rPr>
          <w:rFonts w:asciiTheme="minorHAnsi" w:hAnsiTheme="minorHAnsi"/>
          <w:snapToGrid w:val="0"/>
          <w:lang w:val="en-GB"/>
        </w:rPr>
        <w:t>ribociclib</w:t>
      </w:r>
      <w:proofErr w:type="spellEnd"/>
      <w:r>
        <w:rPr>
          <w:rFonts w:asciiTheme="minorHAnsi" w:hAnsiTheme="minorHAnsi"/>
          <w:snapToGrid w:val="0"/>
          <w:lang w:val="en-GB"/>
        </w:rPr>
        <w:t xml:space="preserve"> (November 2020) and </w:t>
      </w:r>
      <w:proofErr w:type="spellStart"/>
      <w:r>
        <w:rPr>
          <w:rFonts w:asciiTheme="minorHAnsi" w:hAnsiTheme="minorHAnsi"/>
          <w:snapToGrid w:val="0"/>
          <w:lang w:val="en-GB"/>
        </w:rPr>
        <w:t>abemaciclib</w:t>
      </w:r>
      <w:proofErr w:type="spellEnd"/>
      <w:r>
        <w:rPr>
          <w:rFonts w:asciiTheme="minorHAnsi" w:hAnsiTheme="minorHAnsi"/>
          <w:snapToGrid w:val="0"/>
          <w:lang w:val="en-GB"/>
        </w:rPr>
        <w:t xml:space="preserve"> (March 2021), the PBAC </w:t>
      </w:r>
      <w:r w:rsidR="007A3B69">
        <w:rPr>
          <w:rFonts w:asciiTheme="minorHAnsi" w:hAnsiTheme="minorHAnsi"/>
          <w:snapToGrid w:val="0"/>
          <w:lang w:val="en-GB"/>
        </w:rPr>
        <w:t>advised</w:t>
      </w:r>
      <w:r>
        <w:rPr>
          <w:rFonts w:asciiTheme="minorHAnsi" w:hAnsiTheme="minorHAnsi"/>
          <w:snapToGrid w:val="0"/>
          <w:lang w:val="en-GB"/>
        </w:rPr>
        <w:t xml:space="preserve"> that the price of </w:t>
      </w:r>
      <w:proofErr w:type="spellStart"/>
      <w:r>
        <w:rPr>
          <w:rFonts w:asciiTheme="minorHAnsi" w:hAnsiTheme="minorHAnsi"/>
          <w:snapToGrid w:val="0"/>
          <w:lang w:val="en-GB"/>
        </w:rPr>
        <w:t>palbociclib</w:t>
      </w:r>
      <w:proofErr w:type="spellEnd"/>
      <w:r>
        <w:rPr>
          <w:rFonts w:asciiTheme="minorHAnsi" w:hAnsiTheme="minorHAnsi"/>
          <w:snapToGrid w:val="0"/>
          <w:lang w:val="en-GB"/>
        </w:rPr>
        <w:t xml:space="preserve">, when used in combination with </w:t>
      </w:r>
      <w:proofErr w:type="spellStart"/>
      <w:r>
        <w:rPr>
          <w:rFonts w:asciiTheme="minorHAnsi" w:hAnsiTheme="minorHAnsi"/>
          <w:snapToGrid w:val="0"/>
          <w:lang w:val="en-GB"/>
        </w:rPr>
        <w:t>fulvestrant</w:t>
      </w:r>
      <w:proofErr w:type="spellEnd"/>
      <w:r>
        <w:rPr>
          <w:rFonts w:asciiTheme="minorHAnsi" w:hAnsiTheme="minorHAnsi"/>
          <w:snapToGrid w:val="0"/>
          <w:lang w:val="en-GB"/>
        </w:rPr>
        <w:t xml:space="preserve">, should not be higher than the price for the existing listing of </w:t>
      </w:r>
      <w:proofErr w:type="spellStart"/>
      <w:r>
        <w:rPr>
          <w:rFonts w:asciiTheme="minorHAnsi" w:hAnsiTheme="minorHAnsi"/>
          <w:snapToGrid w:val="0"/>
          <w:lang w:val="en-GB"/>
        </w:rPr>
        <w:t>palbociclib</w:t>
      </w:r>
      <w:proofErr w:type="spellEnd"/>
      <w:r>
        <w:rPr>
          <w:rFonts w:asciiTheme="minorHAnsi" w:hAnsiTheme="minorHAnsi"/>
          <w:snapToGrid w:val="0"/>
          <w:lang w:val="en-GB"/>
        </w:rPr>
        <w:t xml:space="preserve"> when used in combination with an NSAI.</w:t>
      </w:r>
      <w:r w:rsidR="00F90B8E">
        <w:rPr>
          <w:rFonts w:asciiTheme="minorHAnsi" w:hAnsiTheme="minorHAnsi"/>
          <w:snapToGrid w:val="0"/>
          <w:lang w:val="en-GB"/>
        </w:rPr>
        <w:t xml:space="preserve"> The PBAC considered for the purpose of Section 101(3B) of the National Health Act 1953, that </w:t>
      </w:r>
      <w:proofErr w:type="spellStart"/>
      <w:r w:rsidR="00F90B8E">
        <w:rPr>
          <w:rFonts w:asciiTheme="minorHAnsi" w:hAnsiTheme="minorHAnsi"/>
          <w:snapToGrid w:val="0"/>
          <w:lang w:val="en-GB"/>
        </w:rPr>
        <w:t>ribociclib</w:t>
      </w:r>
      <w:proofErr w:type="spellEnd"/>
      <w:r w:rsidR="00F90B8E">
        <w:rPr>
          <w:rFonts w:asciiTheme="minorHAnsi" w:hAnsiTheme="minorHAnsi"/>
          <w:snapToGrid w:val="0"/>
          <w:lang w:val="en-GB"/>
        </w:rPr>
        <w:t xml:space="preserve"> and </w:t>
      </w:r>
      <w:proofErr w:type="spellStart"/>
      <w:r w:rsidR="00F90B8E">
        <w:rPr>
          <w:rFonts w:asciiTheme="minorHAnsi" w:hAnsiTheme="minorHAnsi"/>
          <w:snapToGrid w:val="0"/>
          <w:lang w:val="en-GB"/>
        </w:rPr>
        <w:t>abemaciclib</w:t>
      </w:r>
      <w:proofErr w:type="spellEnd"/>
      <w:r w:rsidR="00F90B8E">
        <w:rPr>
          <w:rFonts w:asciiTheme="minorHAnsi" w:hAnsiTheme="minorHAnsi"/>
          <w:snapToGrid w:val="0"/>
          <w:lang w:val="en-GB"/>
        </w:rPr>
        <w:t xml:space="preserve"> were alternate therapies to </w:t>
      </w:r>
      <w:proofErr w:type="spellStart"/>
      <w:r w:rsidR="00F90B8E">
        <w:rPr>
          <w:rFonts w:asciiTheme="minorHAnsi" w:hAnsiTheme="minorHAnsi"/>
          <w:snapToGrid w:val="0"/>
          <w:lang w:val="en-GB"/>
        </w:rPr>
        <w:t>palbociclib</w:t>
      </w:r>
      <w:proofErr w:type="spellEnd"/>
      <w:r w:rsidR="00F90B8E">
        <w:rPr>
          <w:rFonts w:asciiTheme="minorHAnsi" w:hAnsiTheme="minorHAnsi"/>
          <w:snapToGrid w:val="0"/>
          <w:lang w:val="en-GB"/>
        </w:rPr>
        <w:t xml:space="preserve">, and that </w:t>
      </w:r>
      <w:proofErr w:type="spellStart"/>
      <w:r w:rsidR="00F90B8E">
        <w:rPr>
          <w:rFonts w:asciiTheme="minorHAnsi" w:hAnsiTheme="minorHAnsi"/>
          <w:snapToGrid w:val="0"/>
          <w:lang w:val="en-GB"/>
        </w:rPr>
        <w:t>palbociclib</w:t>
      </w:r>
      <w:proofErr w:type="spellEnd"/>
      <w:r w:rsidR="00F90B8E">
        <w:rPr>
          <w:rFonts w:asciiTheme="minorHAnsi" w:hAnsiTheme="minorHAnsi"/>
          <w:snapToGrid w:val="0"/>
          <w:lang w:val="en-GB"/>
        </w:rPr>
        <w:t xml:space="preserve"> does not provide a significant improvement in efficacy and/or reduction of toxicity over these alternative therapies. The price of </w:t>
      </w:r>
      <w:proofErr w:type="spellStart"/>
      <w:r w:rsidR="00F90B8E">
        <w:rPr>
          <w:rFonts w:asciiTheme="minorHAnsi" w:hAnsiTheme="minorHAnsi"/>
          <w:snapToGrid w:val="0"/>
          <w:lang w:val="en-GB"/>
        </w:rPr>
        <w:t>palbociclib</w:t>
      </w:r>
      <w:proofErr w:type="spellEnd"/>
      <w:r w:rsidR="00F90B8E">
        <w:rPr>
          <w:rFonts w:asciiTheme="minorHAnsi" w:hAnsiTheme="minorHAnsi"/>
          <w:snapToGrid w:val="0"/>
          <w:lang w:val="en-GB"/>
        </w:rPr>
        <w:t xml:space="preserve"> when used in combination with </w:t>
      </w:r>
      <w:proofErr w:type="spellStart"/>
      <w:r w:rsidR="00F90B8E">
        <w:rPr>
          <w:rFonts w:asciiTheme="minorHAnsi" w:hAnsiTheme="minorHAnsi"/>
          <w:snapToGrid w:val="0"/>
          <w:lang w:val="en-GB"/>
        </w:rPr>
        <w:t>fulvestrant</w:t>
      </w:r>
      <w:proofErr w:type="spellEnd"/>
      <w:r w:rsidR="00F90B8E">
        <w:rPr>
          <w:rFonts w:asciiTheme="minorHAnsi" w:hAnsiTheme="minorHAnsi"/>
          <w:snapToGrid w:val="0"/>
          <w:lang w:val="en-GB"/>
        </w:rPr>
        <w:t xml:space="preserve"> should therefore be no higher than the price of either </w:t>
      </w:r>
      <w:proofErr w:type="spellStart"/>
      <w:r w:rsidR="00F90B8E">
        <w:rPr>
          <w:rFonts w:asciiTheme="minorHAnsi" w:hAnsiTheme="minorHAnsi"/>
          <w:snapToGrid w:val="0"/>
          <w:lang w:val="en-GB"/>
        </w:rPr>
        <w:t>ribociclib</w:t>
      </w:r>
      <w:proofErr w:type="spellEnd"/>
      <w:r w:rsidR="00F90B8E">
        <w:rPr>
          <w:rFonts w:asciiTheme="minorHAnsi" w:hAnsiTheme="minorHAnsi"/>
          <w:snapToGrid w:val="0"/>
          <w:lang w:val="en-GB"/>
        </w:rPr>
        <w:t xml:space="preserve"> or </w:t>
      </w:r>
      <w:proofErr w:type="spellStart"/>
      <w:r w:rsidR="00F90B8E">
        <w:rPr>
          <w:rFonts w:asciiTheme="minorHAnsi" w:hAnsiTheme="minorHAnsi"/>
          <w:snapToGrid w:val="0"/>
          <w:lang w:val="en-GB"/>
        </w:rPr>
        <w:t>abemaci</w:t>
      </w:r>
      <w:r w:rsidR="00E26410">
        <w:rPr>
          <w:rFonts w:asciiTheme="minorHAnsi" w:hAnsiTheme="minorHAnsi"/>
          <w:snapToGrid w:val="0"/>
          <w:lang w:val="en-GB"/>
        </w:rPr>
        <w:t>cli</w:t>
      </w:r>
      <w:r w:rsidR="00F90B8E">
        <w:rPr>
          <w:rFonts w:asciiTheme="minorHAnsi" w:hAnsiTheme="minorHAnsi"/>
          <w:snapToGrid w:val="0"/>
          <w:lang w:val="en-GB"/>
        </w:rPr>
        <w:t>b</w:t>
      </w:r>
      <w:proofErr w:type="spellEnd"/>
      <w:r w:rsidR="00F90B8E">
        <w:rPr>
          <w:rFonts w:asciiTheme="minorHAnsi" w:hAnsiTheme="minorHAnsi"/>
          <w:snapToGrid w:val="0"/>
          <w:lang w:val="en-GB"/>
        </w:rPr>
        <w:t xml:space="preserve"> when used in combination with </w:t>
      </w:r>
      <w:proofErr w:type="spellStart"/>
      <w:r w:rsidR="00F90B8E">
        <w:rPr>
          <w:rFonts w:asciiTheme="minorHAnsi" w:hAnsiTheme="minorHAnsi"/>
          <w:snapToGrid w:val="0"/>
          <w:lang w:val="en-GB"/>
        </w:rPr>
        <w:t>fulvestrant</w:t>
      </w:r>
      <w:proofErr w:type="spellEnd"/>
      <w:r w:rsidR="00F90B8E">
        <w:rPr>
          <w:rFonts w:asciiTheme="minorHAnsi" w:hAnsiTheme="minorHAnsi"/>
          <w:snapToGrid w:val="0"/>
          <w:lang w:val="en-GB"/>
        </w:rPr>
        <w:t>.</w:t>
      </w:r>
    </w:p>
    <w:p w14:paraId="6EA9B780" w14:textId="4B8D7122" w:rsidR="00D317B3" w:rsidRDefault="0089557A" w:rsidP="00992A6E">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lastRenderedPageBreak/>
        <w:t xml:space="preserve">The PBAC noted that the corrected utilisation and financial estimates resulted in a </w:t>
      </w:r>
      <w:r w:rsidR="00FA7D8B">
        <w:rPr>
          <w:rFonts w:asciiTheme="minorHAnsi" w:hAnsiTheme="minorHAnsi"/>
          <w:snapToGrid w:val="0"/>
          <w:lang w:val="en-GB"/>
        </w:rPr>
        <w:t xml:space="preserve">net </w:t>
      </w:r>
      <w:r>
        <w:rPr>
          <w:rFonts w:asciiTheme="minorHAnsi" w:hAnsiTheme="minorHAnsi"/>
          <w:snapToGrid w:val="0"/>
          <w:lang w:val="en-GB"/>
        </w:rPr>
        <w:t>cost saving to Government over the first six years of listing. The PBAC noted that the pre-PBAC response stated that this was due to</w:t>
      </w:r>
      <w:r w:rsidR="00D317B3">
        <w:rPr>
          <w:rFonts w:asciiTheme="minorHAnsi" w:hAnsiTheme="minorHAnsi"/>
          <w:snapToGrid w:val="0"/>
          <w:lang w:val="en-GB"/>
        </w:rPr>
        <w:t xml:space="preserve"> PBS statistics indicating that the actual average daily dose of </w:t>
      </w:r>
      <w:proofErr w:type="spellStart"/>
      <w:r>
        <w:rPr>
          <w:rFonts w:asciiTheme="minorHAnsi" w:hAnsiTheme="minorHAnsi"/>
          <w:snapToGrid w:val="0"/>
          <w:lang w:val="en-GB"/>
        </w:rPr>
        <w:t>palbociclib</w:t>
      </w:r>
      <w:proofErr w:type="spellEnd"/>
      <w:r w:rsidR="00D317B3">
        <w:rPr>
          <w:rFonts w:asciiTheme="minorHAnsi" w:hAnsiTheme="minorHAnsi"/>
          <w:snapToGrid w:val="0"/>
          <w:lang w:val="en-GB"/>
        </w:rPr>
        <w:t xml:space="preserve"> was slightly lower and the actual average daily dose of </w:t>
      </w:r>
      <w:proofErr w:type="spellStart"/>
      <w:r w:rsidR="00D317B3">
        <w:rPr>
          <w:rFonts w:asciiTheme="minorHAnsi" w:hAnsiTheme="minorHAnsi"/>
          <w:snapToGrid w:val="0"/>
          <w:lang w:val="en-GB"/>
        </w:rPr>
        <w:t>ribociclib</w:t>
      </w:r>
      <w:proofErr w:type="spellEnd"/>
      <w:r w:rsidR="00D317B3">
        <w:rPr>
          <w:rFonts w:asciiTheme="minorHAnsi" w:hAnsiTheme="minorHAnsi"/>
          <w:snapToGrid w:val="0"/>
          <w:lang w:val="en-GB"/>
        </w:rPr>
        <w:t xml:space="preserve"> was </w:t>
      </w:r>
      <w:r>
        <w:rPr>
          <w:rFonts w:asciiTheme="minorHAnsi" w:hAnsiTheme="minorHAnsi"/>
          <w:snapToGrid w:val="0"/>
          <w:lang w:val="en-GB"/>
        </w:rPr>
        <w:t xml:space="preserve">slightly higher </w:t>
      </w:r>
      <w:r w:rsidR="00D317B3">
        <w:rPr>
          <w:rFonts w:asciiTheme="minorHAnsi" w:hAnsiTheme="minorHAnsi"/>
          <w:snapToGrid w:val="0"/>
          <w:lang w:val="en-GB"/>
        </w:rPr>
        <w:t xml:space="preserve">than the </w:t>
      </w:r>
      <w:proofErr w:type="spellStart"/>
      <w:r w:rsidR="00D317B3">
        <w:rPr>
          <w:rFonts w:asciiTheme="minorHAnsi" w:hAnsiTheme="minorHAnsi"/>
          <w:snapToGrid w:val="0"/>
          <w:lang w:val="en-GB"/>
        </w:rPr>
        <w:t>equi</w:t>
      </w:r>
      <w:proofErr w:type="spellEnd"/>
      <w:r w:rsidR="00D317B3">
        <w:rPr>
          <w:rFonts w:asciiTheme="minorHAnsi" w:hAnsiTheme="minorHAnsi"/>
          <w:snapToGrid w:val="0"/>
          <w:lang w:val="en-GB"/>
        </w:rPr>
        <w:t xml:space="preserve">-effective doses applied in the cost minimisation. </w:t>
      </w:r>
      <w:r w:rsidR="00D529BA">
        <w:rPr>
          <w:rFonts w:asciiTheme="minorHAnsi" w:hAnsiTheme="minorHAnsi"/>
          <w:snapToGrid w:val="0"/>
          <w:lang w:val="en-GB"/>
        </w:rPr>
        <w:t xml:space="preserve">The PBAC also noted that the submission included MBS cost-savings </w:t>
      </w:r>
      <w:r w:rsidR="00D529BA">
        <w:t xml:space="preserve">associated </w:t>
      </w:r>
      <w:r w:rsidR="00D529BA" w:rsidRPr="00E74253">
        <w:t xml:space="preserve">with </w:t>
      </w:r>
      <w:r w:rsidR="00860DF2">
        <w:t xml:space="preserve">reduced </w:t>
      </w:r>
      <w:r w:rsidR="00D529BA" w:rsidRPr="00E74253">
        <w:t xml:space="preserve">cardiac monitoring from </w:t>
      </w:r>
      <w:r w:rsidR="00860DF2">
        <w:t xml:space="preserve">the </w:t>
      </w:r>
      <w:r w:rsidR="00D529BA" w:rsidRPr="00E74253">
        <w:t xml:space="preserve">substitution of </w:t>
      </w:r>
      <w:proofErr w:type="spellStart"/>
      <w:r w:rsidR="00D529BA" w:rsidRPr="00E74253">
        <w:t>ribociclib</w:t>
      </w:r>
      <w:proofErr w:type="spellEnd"/>
      <w:r w:rsidR="00D529BA" w:rsidRPr="00E74253">
        <w:t xml:space="preserve"> with </w:t>
      </w:r>
      <w:proofErr w:type="spellStart"/>
      <w:r w:rsidR="00D529BA" w:rsidRPr="00E74253">
        <w:t>palbociclib</w:t>
      </w:r>
      <w:proofErr w:type="spellEnd"/>
      <w:r w:rsidR="00D529BA" w:rsidRPr="00E74253">
        <w:t xml:space="preserve">. </w:t>
      </w:r>
      <w:r w:rsidR="00860DF2">
        <w:t xml:space="preserve">The PBAC considered that this was inconsistent with the CMA approach applied. The PBAC considered that the </w:t>
      </w:r>
      <w:r w:rsidR="00D317B3">
        <w:rPr>
          <w:rFonts w:asciiTheme="minorHAnsi" w:hAnsiTheme="minorHAnsi"/>
          <w:snapToGrid w:val="0"/>
          <w:lang w:val="en-GB"/>
        </w:rPr>
        <w:t xml:space="preserve">listing of </w:t>
      </w:r>
      <w:proofErr w:type="spellStart"/>
      <w:r w:rsidR="00D317B3">
        <w:rPr>
          <w:rFonts w:asciiTheme="minorHAnsi" w:hAnsiTheme="minorHAnsi"/>
          <w:snapToGrid w:val="0"/>
          <w:lang w:val="en-GB"/>
        </w:rPr>
        <w:t>palbociclib</w:t>
      </w:r>
      <w:proofErr w:type="spellEnd"/>
      <w:r w:rsidR="00D317B3">
        <w:rPr>
          <w:rFonts w:asciiTheme="minorHAnsi" w:hAnsiTheme="minorHAnsi"/>
          <w:snapToGrid w:val="0"/>
          <w:lang w:val="en-GB"/>
        </w:rPr>
        <w:t xml:space="preserve"> </w:t>
      </w:r>
      <w:r w:rsidR="00D529BA">
        <w:rPr>
          <w:rFonts w:asciiTheme="minorHAnsi" w:hAnsiTheme="minorHAnsi"/>
          <w:snapToGrid w:val="0"/>
          <w:lang w:val="en-GB"/>
        </w:rPr>
        <w:t>should result in no net cost to Government</w:t>
      </w:r>
      <w:r w:rsidR="00D317B3">
        <w:rPr>
          <w:rFonts w:asciiTheme="minorHAnsi" w:hAnsiTheme="minorHAnsi"/>
          <w:snapToGrid w:val="0"/>
          <w:lang w:val="en-GB"/>
        </w:rPr>
        <w:t>.</w:t>
      </w:r>
    </w:p>
    <w:p w14:paraId="43D834B2" w14:textId="654A2E5F" w:rsidR="0089557A" w:rsidRDefault="00D317B3" w:rsidP="00992A6E">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advised that </w:t>
      </w:r>
      <w:proofErr w:type="spellStart"/>
      <w:r>
        <w:rPr>
          <w:rFonts w:asciiTheme="minorHAnsi" w:hAnsiTheme="minorHAnsi"/>
          <w:snapToGrid w:val="0"/>
          <w:lang w:val="en-GB"/>
        </w:rPr>
        <w:t>palbociclib</w:t>
      </w:r>
      <w:proofErr w:type="spellEnd"/>
      <w:r>
        <w:rPr>
          <w:rFonts w:asciiTheme="minorHAnsi" w:hAnsiTheme="minorHAnsi"/>
          <w:snapToGrid w:val="0"/>
          <w:lang w:val="en-GB"/>
        </w:rPr>
        <w:t xml:space="preserve">, when used in combination with </w:t>
      </w:r>
      <w:proofErr w:type="spellStart"/>
      <w:r>
        <w:rPr>
          <w:rFonts w:asciiTheme="minorHAnsi" w:hAnsiTheme="minorHAnsi"/>
          <w:snapToGrid w:val="0"/>
          <w:lang w:val="en-GB"/>
        </w:rPr>
        <w:t>fulvestrant</w:t>
      </w:r>
      <w:proofErr w:type="spellEnd"/>
      <w:r>
        <w:rPr>
          <w:rFonts w:asciiTheme="minorHAnsi" w:hAnsiTheme="minorHAnsi"/>
          <w:snapToGrid w:val="0"/>
          <w:lang w:val="en-GB"/>
        </w:rPr>
        <w:t xml:space="preserve">, should be included in the existing risk sharing arrangement that </w:t>
      </w:r>
      <w:proofErr w:type="spellStart"/>
      <w:r>
        <w:rPr>
          <w:rFonts w:asciiTheme="minorHAnsi" w:hAnsiTheme="minorHAnsi"/>
          <w:snapToGrid w:val="0"/>
          <w:lang w:val="en-GB"/>
        </w:rPr>
        <w:t>palbociclib</w:t>
      </w:r>
      <w:proofErr w:type="spellEnd"/>
      <w:r>
        <w:rPr>
          <w:rFonts w:asciiTheme="minorHAnsi" w:hAnsiTheme="minorHAnsi"/>
          <w:snapToGrid w:val="0"/>
          <w:lang w:val="en-GB"/>
        </w:rPr>
        <w:t xml:space="preserve"> currently shares with </w:t>
      </w:r>
      <w:proofErr w:type="spellStart"/>
      <w:r>
        <w:rPr>
          <w:rFonts w:asciiTheme="minorHAnsi" w:hAnsiTheme="minorHAnsi"/>
          <w:snapToGrid w:val="0"/>
          <w:lang w:val="en-GB"/>
        </w:rPr>
        <w:t>ribociclib</w:t>
      </w:r>
      <w:proofErr w:type="spellEnd"/>
      <w:r>
        <w:rPr>
          <w:rFonts w:asciiTheme="minorHAnsi" w:hAnsiTheme="minorHAnsi"/>
          <w:snapToGrid w:val="0"/>
          <w:lang w:val="en-GB"/>
        </w:rPr>
        <w:t xml:space="preserve"> and </w:t>
      </w:r>
      <w:proofErr w:type="spellStart"/>
      <w:r>
        <w:rPr>
          <w:rFonts w:asciiTheme="minorHAnsi" w:hAnsiTheme="minorHAnsi"/>
          <w:snapToGrid w:val="0"/>
          <w:lang w:val="en-GB"/>
        </w:rPr>
        <w:t>abemaciclib</w:t>
      </w:r>
      <w:proofErr w:type="spellEnd"/>
      <w:r>
        <w:rPr>
          <w:rFonts w:asciiTheme="minorHAnsi" w:hAnsiTheme="minorHAnsi"/>
          <w:snapToGrid w:val="0"/>
          <w:lang w:val="en-GB"/>
        </w:rPr>
        <w:t xml:space="preserve">. </w:t>
      </w:r>
    </w:p>
    <w:p w14:paraId="48C96013" w14:textId="0C0F708D" w:rsidR="00992A6E" w:rsidRPr="00351EBE" w:rsidRDefault="00992A6E" w:rsidP="00992A6E">
      <w:pPr>
        <w:widowControl w:val="0"/>
        <w:numPr>
          <w:ilvl w:val="1"/>
          <w:numId w:val="1"/>
        </w:numPr>
        <w:spacing w:after="120"/>
        <w:rPr>
          <w:rFonts w:asciiTheme="minorHAnsi" w:hAnsiTheme="minorHAnsi"/>
          <w:snapToGrid w:val="0"/>
          <w:lang w:val="en-GB"/>
        </w:rPr>
      </w:pPr>
      <w:r>
        <w:rPr>
          <w:snapToGrid w:val="0"/>
        </w:rPr>
        <w:t xml:space="preserve">The PBAC noted that its recommendation was on a cost-minimisation basis and advised that, because </w:t>
      </w:r>
      <w:proofErr w:type="spellStart"/>
      <w:r w:rsidR="00D317B3">
        <w:rPr>
          <w:rFonts w:asciiTheme="minorHAnsi" w:hAnsiTheme="minorHAnsi"/>
          <w:snapToGrid w:val="0"/>
          <w:lang w:val="en-GB"/>
        </w:rPr>
        <w:t>palbociclib</w:t>
      </w:r>
      <w:proofErr w:type="spellEnd"/>
      <w:r w:rsidR="00D317B3">
        <w:rPr>
          <w:rFonts w:asciiTheme="minorHAnsi" w:hAnsiTheme="minorHAnsi"/>
          <w:snapToGrid w:val="0"/>
          <w:lang w:val="en-GB"/>
        </w:rPr>
        <w:t xml:space="preserve">, when used in combination with </w:t>
      </w:r>
      <w:proofErr w:type="spellStart"/>
      <w:r w:rsidR="00D317B3">
        <w:rPr>
          <w:rFonts w:asciiTheme="minorHAnsi" w:hAnsiTheme="minorHAnsi"/>
          <w:snapToGrid w:val="0"/>
          <w:lang w:val="en-GB"/>
        </w:rPr>
        <w:t>fulvestrant</w:t>
      </w:r>
      <w:proofErr w:type="spellEnd"/>
      <w:r w:rsidR="00D317B3">
        <w:rPr>
          <w:rFonts w:asciiTheme="minorHAnsi" w:hAnsiTheme="minorHAnsi"/>
          <w:snapToGrid w:val="0"/>
          <w:lang w:val="en-GB"/>
        </w:rPr>
        <w:t>,</w:t>
      </w:r>
      <w:r>
        <w:rPr>
          <w:snapToGrid w:val="0"/>
        </w:rPr>
        <w:t xml:space="preserve"> is not expected to provide a substantial and clinically relevant improvement in efficacy, or reduction of toxicity, over </w:t>
      </w:r>
      <w:proofErr w:type="spellStart"/>
      <w:r w:rsidR="0033505E">
        <w:rPr>
          <w:snapToGrid w:val="0"/>
        </w:rPr>
        <w:t>ribociclib</w:t>
      </w:r>
      <w:proofErr w:type="spellEnd"/>
      <w:r w:rsidR="0033505E">
        <w:rPr>
          <w:snapToGrid w:val="0"/>
        </w:rPr>
        <w:t xml:space="preserve"> </w:t>
      </w:r>
      <w:r w:rsidR="00E26410">
        <w:rPr>
          <w:snapToGrid w:val="0"/>
        </w:rPr>
        <w:t xml:space="preserve">or </w:t>
      </w:r>
      <w:proofErr w:type="spellStart"/>
      <w:r w:rsidR="00E26410">
        <w:rPr>
          <w:snapToGrid w:val="0"/>
        </w:rPr>
        <w:t>abemaciclib</w:t>
      </w:r>
      <w:proofErr w:type="spellEnd"/>
      <w:r w:rsidR="00E26410">
        <w:rPr>
          <w:snapToGrid w:val="0"/>
        </w:rPr>
        <w:t xml:space="preserve"> </w:t>
      </w:r>
      <w:r w:rsidR="0033505E">
        <w:rPr>
          <w:snapToGrid w:val="0"/>
        </w:rPr>
        <w:t xml:space="preserve">plus </w:t>
      </w:r>
      <w:proofErr w:type="spellStart"/>
      <w:r w:rsidR="0033505E">
        <w:rPr>
          <w:snapToGrid w:val="0"/>
        </w:rPr>
        <w:t>fulvestrant</w:t>
      </w:r>
      <w:proofErr w:type="spellEnd"/>
      <w:r>
        <w:rPr>
          <w:snapToGrid w:val="0"/>
        </w:rPr>
        <w:t xml:space="preserve">, or not expected to address a high and urgent unmet clinical need given the presence of an alternative therapy, the criteria prescribed by the </w:t>
      </w:r>
      <w:r w:rsidRPr="00765DBB">
        <w:rPr>
          <w:i/>
          <w:iCs/>
          <w:snapToGrid w:val="0"/>
        </w:rPr>
        <w:t xml:space="preserve">National Health (Pharmaceuticals and Vaccines – Cost Recovery) Regulations 2009 </w:t>
      </w:r>
      <w:r>
        <w:rPr>
          <w:snapToGrid w:val="0"/>
        </w:rPr>
        <w:t>for Pricing Pathway A were not met.</w:t>
      </w:r>
    </w:p>
    <w:p w14:paraId="70779C7B" w14:textId="77777777" w:rsidR="00992A6E" w:rsidRPr="00AB6D8B" w:rsidRDefault="00992A6E" w:rsidP="00992A6E">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noted that this submission was not eligible for an Independent Review as it received a positive recommendation.</w:t>
      </w:r>
    </w:p>
    <w:p w14:paraId="5146CF57" w14:textId="203108C6" w:rsidR="00E74253" w:rsidRPr="00525B39" w:rsidRDefault="00E74253" w:rsidP="00E74253">
      <w:pPr>
        <w:spacing w:before="240"/>
        <w:rPr>
          <w:rFonts w:asciiTheme="minorHAnsi" w:hAnsiTheme="minorHAnsi"/>
          <w:b/>
          <w:bCs/>
          <w:snapToGrid w:val="0"/>
          <w:lang w:val="en-GB"/>
        </w:rPr>
      </w:pPr>
      <w:r w:rsidRPr="00525B39">
        <w:rPr>
          <w:rFonts w:asciiTheme="minorHAnsi" w:hAnsiTheme="minorHAnsi"/>
          <w:b/>
          <w:bCs/>
          <w:snapToGrid w:val="0"/>
          <w:lang w:val="en-GB"/>
        </w:rPr>
        <w:t>Outcome:</w:t>
      </w:r>
    </w:p>
    <w:p w14:paraId="248D24C2" w14:textId="0A84D31A" w:rsidR="00E74253" w:rsidRPr="00525B39" w:rsidRDefault="00E74253" w:rsidP="00E74253">
      <w:pPr>
        <w:rPr>
          <w:rFonts w:asciiTheme="minorHAnsi" w:hAnsiTheme="minorHAnsi"/>
          <w:bCs/>
          <w:snapToGrid w:val="0"/>
          <w:lang w:val="en-GB"/>
        </w:rPr>
      </w:pPr>
      <w:r w:rsidRPr="00525B39">
        <w:rPr>
          <w:rFonts w:asciiTheme="minorHAnsi" w:hAnsiTheme="minorHAnsi"/>
          <w:bCs/>
          <w:snapToGrid w:val="0"/>
          <w:lang w:val="en-GB"/>
        </w:rPr>
        <w:t xml:space="preserve">Recommended </w:t>
      </w:r>
    </w:p>
    <w:bookmarkEnd w:id="57"/>
    <w:p w14:paraId="00E8996A" w14:textId="77777777" w:rsidR="00E74253" w:rsidRPr="00F237A4" w:rsidRDefault="00E74253" w:rsidP="00973EB3">
      <w:pPr>
        <w:pStyle w:val="2-SectionHeading"/>
        <w:rPr>
          <w:b w:val="0"/>
          <w:bCs/>
          <w:iCs/>
          <w:lang w:val="en-GB"/>
        </w:rPr>
      </w:pPr>
      <w:r w:rsidRPr="00973EB3">
        <w:t>Recommended</w:t>
      </w:r>
      <w:r w:rsidRPr="00525B39">
        <w:rPr>
          <w:bCs/>
          <w:lang w:val="en-GB"/>
        </w:rPr>
        <w:t xml:space="preserve"> listing</w:t>
      </w:r>
    </w:p>
    <w:p w14:paraId="2975300B" w14:textId="37446C5A" w:rsidR="00E74253" w:rsidRDefault="00E74253" w:rsidP="00860DF2">
      <w:pPr>
        <w:widowControl w:val="0"/>
        <w:numPr>
          <w:ilvl w:val="1"/>
          <w:numId w:val="1"/>
        </w:numPr>
        <w:spacing w:after="120"/>
        <w:contextualSpacing/>
        <w:rPr>
          <w:rFonts w:asciiTheme="minorHAnsi" w:hAnsiTheme="minorHAnsi"/>
          <w:bCs/>
          <w:snapToGrid w:val="0"/>
        </w:rPr>
      </w:pPr>
      <w:r w:rsidRPr="00860DF2">
        <w:rPr>
          <w:rFonts w:asciiTheme="minorHAnsi" w:hAnsiTheme="minorHAnsi"/>
          <w:bCs/>
          <w:snapToGrid w:val="0"/>
        </w:rPr>
        <w:t>Amend existing/recommended listing as follows:</w:t>
      </w:r>
    </w:p>
    <w:p w14:paraId="56FD8F76" w14:textId="77777777" w:rsidR="007F2E0C" w:rsidRDefault="007F2E0C" w:rsidP="007F2E0C">
      <w:pPr>
        <w:widowControl w:val="0"/>
        <w:spacing w:after="120"/>
        <w:ind w:left="720"/>
        <w:contextualSpacing/>
        <w:rPr>
          <w:rFonts w:asciiTheme="minorHAnsi" w:hAnsiTheme="minorHAnsi"/>
          <w:bCs/>
          <w:snapToGrid w:val="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
        <w:gridCol w:w="992"/>
        <w:gridCol w:w="992"/>
        <w:gridCol w:w="1701"/>
        <w:gridCol w:w="1276"/>
        <w:gridCol w:w="1134"/>
        <w:gridCol w:w="1134"/>
        <w:gridCol w:w="1411"/>
        <w:gridCol w:w="7"/>
      </w:tblGrid>
      <w:tr w:rsidR="00860DF2" w:rsidRPr="00641661" w14:paraId="5D66E066" w14:textId="77777777" w:rsidTr="00B5124C">
        <w:trPr>
          <w:cantSplit/>
          <w:trHeight w:val="471"/>
        </w:trPr>
        <w:tc>
          <w:tcPr>
            <w:tcW w:w="2404" w:type="dxa"/>
            <w:gridSpan w:val="3"/>
          </w:tcPr>
          <w:p w14:paraId="2D545D08" w14:textId="77777777" w:rsidR="00860DF2" w:rsidRPr="007F2E0C" w:rsidRDefault="00860DF2" w:rsidP="007F2E0C">
            <w:pPr>
              <w:keepNext/>
              <w:rPr>
                <w:rFonts w:ascii="Arial Narrow" w:hAnsi="Arial Narrow"/>
                <w:b/>
                <w:sz w:val="20"/>
                <w:szCs w:val="20"/>
              </w:rPr>
            </w:pPr>
            <w:r w:rsidRPr="007F2E0C">
              <w:rPr>
                <w:rFonts w:ascii="Arial Narrow" w:hAnsi="Arial Narrow"/>
                <w:b/>
                <w:sz w:val="20"/>
                <w:szCs w:val="20"/>
              </w:rPr>
              <w:t>MEDICINAL PRODUCT</w:t>
            </w:r>
          </w:p>
          <w:p w14:paraId="1881B60E" w14:textId="77777777" w:rsidR="00860DF2" w:rsidRPr="007F2E0C" w:rsidRDefault="00860DF2" w:rsidP="007F2E0C">
            <w:pPr>
              <w:keepNext/>
              <w:rPr>
                <w:rFonts w:ascii="Arial Narrow" w:hAnsi="Arial Narrow"/>
                <w:b/>
                <w:sz w:val="20"/>
                <w:szCs w:val="20"/>
              </w:rPr>
            </w:pPr>
            <w:r w:rsidRPr="007F2E0C">
              <w:rPr>
                <w:rFonts w:ascii="Arial Narrow" w:hAnsi="Arial Narrow"/>
                <w:b/>
                <w:sz w:val="20"/>
                <w:szCs w:val="20"/>
              </w:rPr>
              <w:t>medicinal product pack</w:t>
            </w:r>
          </w:p>
        </w:tc>
        <w:tc>
          <w:tcPr>
            <w:tcW w:w="1701" w:type="dxa"/>
            <w:vAlign w:val="center"/>
          </w:tcPr>
          <w:p w14:paraId="4331E8C3" w14:textId="77777777" w:rsidR="00860DF2" w:rsidRPr="007F2E0C" w:rsidRDefault="00860DF2" w:rsidP="007F2E0C">
            <w:pPr>
              <w:keepNext/>
              <w:jc w:val="center"/>
              <w:rPr>
                <w:rFonts w:ascii="Arial Narrow" w:hAnsi="Arial Narrow"/>
                <w:b/>
                <w:sz w:val="20"/>
                <w:szCs w:val="20"/>
              </w:rPr>
            </w:pPr>
            <w:r w:rsidRPr="007F2E0C">
              <w:rPr>
                <w:rFonts w:ascii="Arial Narrow" w:hAnsi="Arial Narrow"/>
                <w:b/>
                <w:sz w:val="20"/>
                <w:szCs w:val="20"/>
              </w:rPr>
              <w:t>PBS item code</w:t>
            </w:r>
          </w:p>
        </w:tc>
        <w:tc>
          <w:tcPr>
            <w:tcW w:w="1276" w:type="dxa"/>
            <w:vAlign w:val="center"/>
          </w:tcPr>
          <w:p w14:paraId="6CBB6B16" w14:textId="6CF2C7CB" w:rsidR="00860DF2" w:rsidRPr="007F2E0C" w:rsidRDefault="00860DF2" w:rsidP="007F2E0C">
            <w:pPr>
              <w:keepNext/>
              <w:jc w:val="center"/>
              <w:rPr>
                <w:rFonts w:ascii="Arial Narrow" w:hAnsi="Arial Narrow"/>
                <w:b/>
                <w:sz w:val="20"/>
                <w:szCs w:val="20"/>
              </w:rPr>
            </w:pPr>
            <w:r w:rsidRPr="007F2E0C">
              <w:rPr>
                <w:rFonts w:ascii="Arial Narrow" w:hAnsi="Arial Narrow"/>
                <w:b/>
                <w:sz w:val="20"/>
                <w:szCs w:val="20"/>
              </w:rPr>
              <w:t xml:space="preserve">Max. qty </w:t>
            </w:r>
            <w:r w:rsidR="007F2E0C">
              <w:rPr>
                <w:rFonts w:ascii="Arial Narrow" w:hAnsi="Arial Narrow"/>
                <w:b/>
                <w:sz w:val="20"/>
                <w:szCs w:val="20"/>
              </w:rPr>
              <w:br/>
            </w:r>
            <w:r w:rsidRPr="007F2E0C">
              <w:rPr>
                <w:rFonts w:ascii="Arial Narrow" w:hAnsi="Arial Narrow"/>
                <w:b/>
                <w:sz w:val="20"/>
                <w:szCs w:val="20"/>
              </w:rPr>
              <w:t>packs</w:t>
            </w:r>
          </w:p>
        </w:tc>
        <w:tc>
          <w:tcPr>
            <w:tcW w:w="1134" w:type="dxa"/>
            <w:vAlign w:val="center"/>
          </w:tcPr>
          <w:p w14:paraId="6D081A8F" w14:textId="77777777" w:rsidR="00860DF2" w:rsidRPr="007F2E0C" w:rsidRDefault="00860DF2" w:rsidP="007F2E0C">
            <w:pPr>
              <w:keepNext/>
              <w:jc w:val="center"/>
              <w:rPr>
                <w:rFonts w:ascii="Arial Narrow" w:hAnsi="Arial Narrow"/>
                <w:b/>
                <w:sz w:val="20"/>
                <w:szCs w:val="20"/>
              </w:rPr>
            </w:pPr>
            <w:r w:rsidRPr="007F2E0C">
              <w:rPr>
                <w:rFonts w:ascii="Arial Narrow" w:hAnsi="Arial Narrow"/>
                <w:b/>
                <w:sz w:val="20"/>
                <w:szCs w:val="20"/>
              </w:rPr>
              <w:t>Max. qty units</w:t>
            </w:r>
          </w:p>
        </w:tc>
        <w:tc>
          <w:tcPr>
            <w:tcW w:w="1134" w:type="dxa"/>
            <w:vAlign w:val="center"/>
          </w:tcPr>
          <w:p w14:paraId="6AEFCB9E" w14:textId="77777777" w:rsidR="00860DF2" w:rsidRPr="007F2E0C" w:rsidRDefault="00860DF2" w:rsidP="007F2E0C">
            <w:pPr>
              <w:keepNext/>
              <w:jc w:val="center"/>
              <w:rPr>
                <w:rFonts w:ascii="Arial Narrow" w:hAnsi="Arial Narrow"/>
                <w:b/>
                <w:sz w:val="20"/>
                <w:szCs w:val="20"/>
              </w:rPr>
            </w:pPr>
            <w:proofErr w:type="gramStart"/>
            <w:r w:rsidRPr="007F2E0C">
              <w:rPr>
                <w:rFonts w:ascii="Arial Narrow" w:hAnsi="Arial Narrow"/>
                <w:b/>
                <w:sz w:val="20"/>
                <w:szCs w:val="20"/>
              </w:rPr>
              <w:t>№.of</w:t>
            </w:r>
            <w:proofErr w:type="gramEnd"/>
            <w:r w:rsidRPr="007F2E0C">
              <w:rPr>
                <w:rFonts w:ascii="Arial Narrow" w:hAnsi="Arial Narrow"/>
                <w:b/>
                <w:sz w:val="20"/>
                <w:szCs w:val="20"/>
              </w:rPr>
              <w:t xml:space="preserve"> </w:t>
            </w:r>
            <w:proofErr w:type="spellStart"/>
            <w:r w:rsidRPr="007F2E0C">
              <w:rPr>
                <w:rFonts w:ascii="Arial Narrow" w:hAnsi="Arial Narrow"/>
                <w:b/>
                <w:sz w:val="20"/>
                <w:szCs w:val="20"/>
              </w:rPr>
              <w:t>Rpts</w:t>
            </w:r>
            <w:proofErr w:type="spellEnd"/>
          </w:p>
        </w:tc>
        <w:tc>
          <w:tcPr>
            <w:tcW w:w="1418" w:type="dxa"/>
            <w:gridSpan w:val="2"/>
            <w:vAlign w:val="center"/>
          </w:tcPr>
          <w:p w14:paraId="0C636D5A" w14:textId="77777777" w:rsidR="00860DF2" w:rsidRPr="007F2E0C" w:rsidRDefault="00860DF2" w:rsidP="007F2E0C">
            <w:pPr>
              <w:keepNext/>
              <w:jc w:val="center"/>
              <w:rPr>
                <w:rFonts w:ascii="Arial Narrow" w:hAnsi="Arial Narrow"/>
                <w:b/>
                <w:sz w:val="20"/>
                <w:szCs w:val="20"/>
              </w:rPr>
            </w:pPr>
            <w:r w:rsidRPr="007F2E0C">
              <w:rPr>
                <w:rFonts w:ascii="Arial Narrow" w:hAnsi="Arial Narrow"/>
                <w:b/>
                <w:sz w:val="20"/>
                <w:szCs w:val="20"/>
              </w:rPr>
              <w:t>Available brands</w:t>
            </w:r>
          </w:p>
        </w:tc>
      </w:tr>
      <w:tr w:rsidR="00860DF2" w:rsidRPr="00641661" w14:paraId="0B263688" w14:textId="77777777" w:rsidTr="00B455D5">
        <w:trPr>
          <w:cantSplit/>
          <w:trHeight w:val="230"/>
        </w:trPr>
        <w:tc>
          <w:tcPr>
            <w:tcW w:w="9067" w:type="dxa"/>
            <w:gridSpan w:val="9"/>
          </w:tcPr>
          <w:p w14:paraId="4EBB8691" w14:textId="77777777" w:rsidR="00860DF2" w:rsidRPr="007F2E0C" w:rsidRDefault="00860DF2" w:rsidP="007A3B69">
            <w:pPr>
              <w:keepNext/>
              <w:ind w:left="-57"/>
              <w:rPr>
                <w:rFonts w:ascii="Arial Narrow" w:hAnsi="Arial Narrow"/>
                <w:sz w:val="20"/>
                <w:szCs w:val="20"/>
              </w:rPr>
            </w:pPr>
            <w:r w:rsidRPr="007F2E0C">
              <w:rPr>
                <w:rFonts w:ascii="Arial Narrow" w:hAnsi="Arial Narrow"/>
                <w:sz w:val="20"/>
                <w:szCs w:val="20"/>
              </w:rPr>
              <w:t>PALBOCICLIB</w:t>
            </w:r>
          </w:p>
        </w:tc>
      </w:tr>
      <w:tr w:rsidR="00860DF2" w:rsidRPr="00641661" w14:paraId="0ED40A48" w14:textId="77777777" w:rsidTr="00B5124C">
        <w:trPr>
          <w:cantSplit/>
          <w:trHeight w:val="167"/>
        </w:trPr>
        <w:tc>
          <w:tcPr>
            <w:tcW w:w="2404" w:type="dxa"/>
            <w:gridSpan w:val="3"/>
            <w:shd w:val="clear" w:color="auto" w:fill="auto"/>
          </w:tcPr>
          <w:p w14:paraId="5406A851" w14:textId="77777777" w:rsidR="00860DF2" w:rsidRPr="007F2E0C" w:rsidRDefault="00860DF2" w:rsidP="007A3B69">
            <w:pPr>
              <w:keepNext/>
              <w:ind w:left="-57"/>
              <w:rPr>
                <w:rFonts w:ascii="Arial Narrow" w:hAnsi="Arial Narrow"/>
                <w:sz w:val="20"/>
                <w:szCs w:val="20"/>
              </w:rPr>
            </w:pPr>
            <w:proofErr w:type="spellStart"/>
            <w:r w:rsidRPr="007F2E0C">
              <w:rPr>
                <w:rFonts w:ascii="Arial Narrow" w:hAnsi="Arial Narrow"/>
                <w:sz w:val="20"/>
                <w:szCs w:val="20"/>
              </w:rPr>
              <w:t>palbociclib</w:t>
            </w:r>
            <w:proofErr w:type="spellEnd"/>
            <w:r w:rsidRPr="007F2E0C">
              <w:rPr>
                <w:rFonts w:ascii="Arial Narrow" w:hAnsi="Arial Narrow"/>
                <w:sz w:val="20"/>
                <w:szCs w:val="20"/>
              </w:rPr>
              <w:t xml:space="preserve"> 125 mg tablet, 21</w:t>
            </w:r>
          </w:p>
        </w:tc>
        <w:tc>
          <w:tcPr>
            <w:tcW w:w="1701" w:type="dxa"/>
            <w:shd w:val="clear" w:color="auto" w:fill="auto"/>
          </w:tcPr>
          <w:p w14:paraId="1E740C03" w14:textId="77777777" w:rsidR="00860DF2" w:rsidRPr="007F2E0C" w:rsidRDefault="00860DF2" w:rsidP="007A3B69">
            <w:pPr>
              <w:keepNext/>
              <w:ind w:left="-108"/>
              <w:jc w:val="center"/>
              <w:rPr>
                <w:rFonts w:ascii="Arial Narrow" w:hAnsi="Arial Narrow"/>
                <w:sz w:val="20"/>
                <w:szCs w:val="20"/>
              </w:rPr>
            </w:pPr>
            <w:r w:rsidRPr="007F2E0C">
              <w:rPr>
                <w:rFonts w:ascii="Arial Narrow" w:hAnsi="Arial Narrow"/>
                <w:sz w:val="20"/>
                <w:szCs w:val="20"/>
              </w:rPr>
              <w:t>12822W</w:t>
            </w:r>
          </w:p>
        </w:tc>
        <w:tc>
          <w:tcPr>
            <w:tcW w:w="1276" w:type="dxa"/>
            <w:shd w:val="clear" w:color="auto" w:fill="auto"/>
          </w:tcPr>
          <w:p w14:paraId="64FD87BC" w14:textId="77777777" w:rsidR="00860DF2" w:rsidRPr="007F2E0C" w:rsidRDefault="00860DF2" w:rsidP="007A3B69">
            <w:pPr>
              <w:keepNext/>
              <w:jc w:val="center"/>
              <w:rPr>
                <w:rFonts w:ascii="Arial Narrow" w:hAnsi="Arial Narrow"/>
                <w:sz w:val="20"/>
                <w:szCs w:val="20"/>
              </w:rPr>
            </w:pPr>
            <w:r w:rsidRPr="007F2E0C">
              <w:rPr>
                <w:rFonts w:ascii="Arial Narrow" w:hAnsi="Arial Narrow"/>
                <w:sz w:val="20"/>
                <w:szCs w:val="20"/>
              </w:rPr>
              <w:t>1</w:t>
            </w:r>
          </w:p>
        </w:tc>
        <w:tc>
          <w:tcPr>
            <w:tcW w:w="1134" w:type="dxa"/>
            <w:shd w:val="clear" w:color="auto" w:fill="auto"/>
          </w:tcPr>
          <w:p w14:paraId="6D4D1D6C" w14:textId="77777777" w:rsidR="00860DF2" w:rsidRPr="007F2E0C" w:rsidRDefault="00860DF2" w:rsidP="007A3B69">
            <w:pPr>
              <w:keepNext/>
              <w:ind w:left="-108"/>
              <w:jc w:val="center"/>
              <w:rPr>
                <w:rFonts w:ascii="Arial Narrow" w:hAnsi="Arial Narrow"/>
                <w:sz w:val="20"/>
                <w:szCs w:val="20"/>
              </w:rPr>
            </w:pPr>
            <w:r w:rsidRPr="007F2E0C">
              <w:rPr>
                <w:rFonts w:ascii="Arial Narrow" w:hAnsi="Arial Narrow"/>
                <w:sz w:val="20"/>
                <w:szCs w:val="20"/>
              </w:rPr>
              <w:t>21</w:t>
            </w:r>
          </w:p>
        </w:tc>
        <w:tc>
          <w:tcPr>
            <w:tcW w:w="1134" w:type="dxa"/>
            <w:shd w:val="clear" w:color="auto" w:fill="auto"/>
          </w:tcPr>
          <w:p w14:paraId="426EA82D" w14:textId="77777777" w:rsidR="00860DF2" w:rsidRPr="007F2E0C" w:rsidRDefault="00860DF2" w:rsidP="007A3B69">
            <w:pPr>
              <w:keepNext/>
              <w:ind w:left="-108"/>
              <w:jc w:val="center"/>
              <w:rPr>
                <w:rFonts w:ascii="Arial Narrow" w:hAnsi="Arial Narrow"/>
                <w:sz w:val="20"/>
                <w:szCs w:val="20"/>
              </w:rPr>
            </w:pPr>
            <w:r w:rsidRPr="007F2E0C">
              <w:rPr>
                <w:rFonts w:ascii="Arial Narrow" w:hAnsi="Arial Narrow"/>
                <w:sz w:val="20"/>
                <w:szCs w:val="20"/>
              </w:rPr>
              <w:t>5</w:t>
            </w:r>
          </w:p>
        </w:tc>
        <w:tc>
          <w:tcPr>
            <w:tcW w:w="1418" w:type="dxa"/>
            <w:gridSpan w:val="2"/>
            <w:shd w:val="clear" w:color="auto" w:fill="auto"/>
          </w:tcPr>
          <w:p w14:paraId="2A36AE93" w14:textId="77777777" w:rsidR="00860DF2" w:rsidRPr="007F2E0C" w:rsidRDefault="00860DF2" w:rsidP="007A3B69">
            <w:pPr>
              <w:keepNext/>
              <w:rPr>
                <w:rFonts w:ascii="Arial Narrow" w:hAnsi="Arial Narrow"/>
                <w:sz w:val="20"/>
                <w:szCs w:val="20"/>
              </w:rPr>
            </w:pPr>
            <w:proofErr w:type="spellStart"/>
            <w:r w:rsidRPr="007F2E0C">
              <w:rPr>
                <w:rFonts w:ascii="Arial Narrow" w:hAnsi="Arial Narrow"/>
                <w:sz w:val="20"/>
                <w:szCs w:val="20"/>
              </w:rPr>
              <w:t>Ibrance</w:t>
            </w:r>
            <w:proofErr w:type="spellEnd"/>
          </w:p>
        </w:tc>
      </w:tr>
      <w:tr w:rsidR="00860DF2" w:rsidRPr="00641661" w14:paraId="57ED3BBD" w14:textId="77777777" w:rsidTr="00B5124C">
        <w:trPr>
          <w:cantSplit/>
          <w:trHeight w:val="99"/>
        </w:trPr>
        <w:tc>
          <w:tcPr>
            <w:tcW w:w="2404" w:type="dxa"/>
            <w:gridSpan w:val="3"/>
            <w:shd w:val="clear" w:color="auto" w:fill="auto"/>
          </w:tcPr>
          <w:p w14:paraId="779B2D91" w14:textId="77777777" w:rsidR="00860DF2" w:rsidRPr="007F2E0C" w:rsidRDefault="00860DF2" w:rsidP="007A3B69">
            <w:pPr>
              <w:keepNext/>
              <w:ind w:left="-57"/>
              <w:rPr>
                <w:rFonts w:ascii="Arial Narrow" w:hAnsi="Arial Narrow"/>
                <w:sz w:val="20"/>
                <w:szCs w:val="20"/>
              </w:rPr>
            </w:pPr>
            <w:proofErr w:type="spellStart"/>
            <w:r w:rsidRPr="007F2E0C">
              <w:rPr>
                <w:rFonts w:ascii="Arial Narrow" w:hAnsi="Arial Narrow"/>
                <w:sz w:val="20"/>
                <w:szCs w:val="20"/>
              </w:rPr>
              <w:t>palbociclib</w:t>
            </w:r>
            <w:proofErr w:type="spellEnd"/>
            <w:r w:rsidRPr="007F2E0C">
              <w:rPr>
                <w:rFonts w:ascii="Arial Narrow" w:hAnsi="Arial Narrow"/>
                <w:sz w:val="20"/>
                <w:szCs w:val="20"/>
              </w:rPr>
              <w:t xml:space="preserve"> 100 mg tablet, 21</w:t>
            </w:r>
          </w:p>
        </w:tc>
        <w:tc>
          <w:tcPr>
            <w:tcW w:w="1701" w:type="dxa"/>
            <w:shd w:val="clear" w:color="auto" w:fill="auto"/>
          </w:tcPr>
          <w:p w14:paraId="17300379" w14:textId="77777777" w:rsidR="00860DF2" w:rsidRPr="007F2E0C" w:rsidRDefault="00860DF2" w:rsidP="007A3B69">
            <w:pPr>
              <w:keepNext/>
              <w:ind w:left="-108"/>
              <w:jc w:val="center"/>
              <w:rPr>
                <w:rFonts w:ascii="Arial Narrow" w:hAnsi="Arial Narrow"/>
                <w:sz w:val="20"/>
                <w:szCs w:val="20"/>
              </w:rPr>
            </w:pPr>
            <w:r w:rsidRPr="007F2E0C">
              <w:rPr>
                <w:rFonts w:ascii="Arial Narrow" w:hAnsi="Arial Narrow"/>
                <w:sz w:val="20"/>
                <w:szCs w:val="20"/>
              </w:rPr>
              <w:t>12819Q</w:t>
            </w:r>
          </w:p>
        </w:tc>
        <w:tc>
          <w:tcPr>
            <w:tcW w:w="1276" w:type="dxa"/>
            <w:shd w:val="clear" w:color="auto" w:fill="auto"/>
          </w:tcPr>
          <w:p w14:paraId="2801ECBC" w14:textId="77777777" w:rsidR="00860DF2" w:rsidRPr="007F2E0C" w:rsidRDefault="00860DF2" w:rsidP="007A3B69">
            <w:pPr>
              <w:keepNext/>
              <w:jc w:val="center"/>
              <w:rPr>
                <w:rFonts w:ascii="Arial Narrow" w:hAnsi="Arial Narrow"/>
                <w:sz w:val="20"/>
                <w:szCs w:val="20"/>
              </w:rPr>
            </w:pPr>
            <w:r w:rsidRPr="007F2E0C">
              <w:rPr>
                <w:rFonts w:ascii="Arial Narrow" w:hAnsi="Arial Narrow"/>
                <w:sz w:val="20"/>
                <w:szCs w:val="20"/>
              </w:rPr>
              <w:t>1</w:t>
            </w:r>
          </w:p>
        </w:tc>
        <w:tc>
          <w:tcPr>
            <w:tcW w:w="1134" w:type="dxa"/>
            <w:shd w:val="clear" w:color="auto" w:fill="auto"/>
          </w:tcPr>
          <w:p w14:paraId="6CE3AF7A" w14:textId="77777777" w:rsidR="00860DF2" w:rsidRPr="007F2E0C" w:rsidRDefault="00860DF2" w:rsidP="007A3B69">
            <w:pPr>
              <w:keepNext/>
              <w:ind w:left="-108"/>
              <w:jc w:val="center"/>
              <w:rPr>
                <w:rFonts w:ascii="Arial Narrow" w:hAnsi="Arial Narrow"/>
                <w:sz w:val="20"/>
                <w:szCs w:val="20"/>
              </w:rPr>
            </w:pPr>
            <w:r w:rsidRPr="007F2E0C">
              <w:rPr>
                <w:rFonts w:ascii="Arial Narrow" w:hAnsi="Arial Narrow"/>
                <w:sz w:val="20"/>
                <w:szCs w:val="20"/>
              </w:rPr>
              <w:t>21</w:t>
            </w:r>
          </w:p>
        </w:tc>
        <w:tc>
          <w:tcPr>
            <w:tcW w:w="1134" w:type="dxa"/>
            <w:shd w:val="clear" w:color="auto" w:fill="auto"/>
          </w:tcPr>
          <w:p w14:paraId="75CFCA96" w14:textId="77777777" w:rsidR="00860DF2" w:rsidRPr="007F2E0C" w:rsidRDefault="00860DF2" w:rsidP="007A3B69">
            <w:pPr>
              <w:keepNext/>
              <w:ind w:left="-108"/>
              <w:jc w:val="center"/>
              <w:rPr>
                <w:rFonts w:ascii="Arial Narrow" w:hAnsi="Arial Narrow"/>
                <w:sz w:val="20"/>
                <w:szCs w:val="20"/>
              </w:rPr>
            </w:pPr>
            <w:r w:rsidRPr="007F2E0C">
              <w:rPr>
                <w:rFonts w:ascii="Arial Narrow" w:hAnsi="Arial Narrow"/>
                <w:sz w:val="20"/>
                <w:szCs w:val="20"/>
              </w:rPr>
              <w:t>5</w:t>
            </w:r>
          </w:p>
        </w:tc>
        <w:tc>
          <w:tcPr>
            <w:tcW w:w="1418" w:type="dxa"/>
            <w:gridSpan w:val="2"/>
            <w:shd w:val="clear" w:color="auto" w:fill="auto"/>
          </w:tcPr>
          <w:p w14:paraId="3F9BD2A8" w14:textId="77777777" w:rsidR="00860DF2" w:rsidRPr="007F2E0C" w:rsidRDefault="00860DF2" w:rsidP="007A3B69">
            <w:pPr>
              <w:keepNext/>
              <w:rPr>
                <w:rFonts w:ascii="Arial Narrow" w:hAnsi="Arial Narrow"/>
                <w:sz w:val="20"/>
                <w:szCs w:val="20"/>
              </w:rPr>
            </w:pPr>
            <w:proofErr w:type="spellStart"/>
            <w:r w:rsidRPr="007F2E0C">
              <w:rPr>
                <w:rFonts w:ascii="Arial Narrow" w:hAnsi="Arial Narrow"/>
                <w:sz w:val="20"/>
                <w:szCs w:val="20"/>
              </w:rPr>
              <w:t>Ibrance</w:t>
            </w:r>
            <w:proofErr w:type="spellEnd"/>
          </w:p>
        </w:tc>
      </w:tr>
      <w:tr w:rsidR="00860DF2" w:rsidRPr="00641661" w14:paraId="31DE8E47" w14:textId="77777777" w:rsidTr="00B5124C">
        <w:trPr>
          <w:cantSplit/>
          <w:trHeight w:val="177"/>
        </w:trPr>
        <w:tc>
          <w:tcPr>
            <w:tcW w:w="2404" w:type="dxa"/>
            <w:gridSpan w:val="3"/>
            <w:shd w:val="clear" w:color="auto" w:fill="auto"/>
          </w:tcPr>
          <w:p w14:paraId="4319B127" w14:textId="77777777" w:rsidR="00860DF2" w:rsidRPr="007F2E0C" w:rsidRDefault="00860DF2" w:rsidP="007A3B69">
            <w:pPr>
              <w:keepNext/>
              <w:ind w:left="-57"/>
              <w:rPr>
                <w:rFonts w:ascii="Arial Narrow" w:hAnsi="Arial Narrow"/>
                <w:sz w:val="20"/>
                <w:szCs w:val="20"/>
              </w:rPr>
            </w:pPr>
            <w:proofErr w:type="spellStart"/>
            <w:r w:rsidRPr="007F2E0C">
              <w:rPr>
                <w:rFonts w:ascii="Arial Narrow" w:hAnsi="Arial Narrow"/>
                <w:sz w:val="20"/>
                <w:szCs w:val="20"/>
              </w:rPr>
              <w:t>palbociclib</w:t>
            </w:r>
            <w:proofErr w:type="spellEnd"/>
            <w:r w:rsidRPr="007F2E0C">
              <w:rPr>
                <w:rFonts w:ascii="Arial Narrow" w:hAnsi="Arial Narrow"/>
                <w:sz w:val="20"/>
                <w:szCs w:val="20"/>
              </w:rPr>
              <w:t xml:space="preserve"> 75 mg tablet, 21</w:t>
            </w:r>
          </w:p>
        </w:tc>
        <w:tc>
          <w:tcPr>
            <w:tcW w:w="1701" w:type="dxa"/>
            <w:shd w:val="clear" w:color="auto" w:fill="auto"/>
          </w:tcPr>
          <w:p w14:paraId="4BAE09CC" w14:textId="77777777" w:rsidR="00860DF2" w:rsidRPr="007F2E0C" w:rsidRDefault="00860DF2" w:rsidP="007A3B69">
            <w:pPr>
              <w:keepNext/>
              <w:ind w:left="-108"/>
              <w:jc w:val="center"/>
              <w:rPr>
                <w:rFonts w:ascii="Arial Narrow" w:hAnsi="Arial Narrow"/>
                <w:sz w:val="20"/>
                <w:szCs w:val="20"/>
              </w:rPr>
            </w:pPr>
            <w:r w:rsidRPr="007F2E0C">
              <w:rPr>
                <w:rFonts w:ascii="Arial Narrow" w:hAnsi="Arial Narrow"/>
                <w:sz w:val="20"/>
                <w:szCs w:val="20"/>
              </w:rPr>
              <w:t>12818P</w:t>
            </w:r>
          </w:p>
        </w:tc>
        <w:tc>
          <w:tcPr>
            <w:tcW w:w="1276" w:type="dxa"/>
            <w:shd w:val="clear" w:color="auto" w:fill="auto"/>
          </w:tcPr>
          <w:p w14:paraId="6EBAAEC6" w14:textId="77777777" w:rsidR="00860DF2" w:rsidRPr="007F2E0C" w:rsidRDefault="00860DF2" w:rsidP="007A3B69">
            <w:pPr>
              <w:keepNext/>
              <w:jc w:val="center"/>
              <w:rPr>
                <w:rFonts w:ascii="Arial Narrow" w:hAnsi="Arial Narrow"/>
                <w:sz w:val="20"/>
                <w:szCs w:val="20"/>
              </w:rPr>
            </w:pPr>
            <w:r w:rsidRPr="007F2E0C">
              <w:rPr>
                <w:rFonts w:ascii="Arial Narrow" w:hAnsi="Arial Narrow"/>
                <w:sz w:val="20"/>
                <w:szCs w:val="20"/>
              </w:rPr>
              <w:t>1</w:t>
            </w:r>
          </w:p>
        </w:tc>
        <w:tc>
          <w:tcPr>
            <w:tcW w:w="1134" w:type="dxa"/>
            <w:shd w:val="clear" w:color="auto" w:fill="auto"/>
          </w:tcPr>
          <w:p w14:paraId="0ACFCFB4" w14:textId="77777777" w:rsidR="00860DF2" w:rsidRPr="007F2E0C" w:rsidRDefault="00860DF2" w:rsidP="007A3B69">
            <w:pPr>
              <w:keepNext/>
              <w:ind w:left="-108"/>
              <w:jc w:val="center"/>
              <w:rPr>
                <w:rFonts w:ascii="Arial Narrow" w:hAnsi="Arial Narrow"/>
                <w:sz w:val="20"/>
                <w:szCs w:val="20"/>
              </w:rPr>
            </w:pPr>
            <w:r w:rsidRPr="007F2E0C">
              <w:rPr>
                <w:rFonts w:ascii="Arial Narrow" w:hAnsi="Arial Narrow"/>
                <w:sz w:val="20"/>
                <w:szCs w:val="20"/>
              </w:rPr>
              <w:t>21</w:t>
            </w:r>
          </w:p>
        </w:tc>
        <w:tc>
          <w:tcPr>
            <w:tcW w:w="1134" w:type="dxa"/>
            <w:shd w:val="clear" w:color="auto" w:fill="auto"/>
          </w:tcPr>
          <w:p w14:paraId="615FE3E9" w14:textId="77777777" w:rsidR="00860DF2" w:rsidRPr="007F2E0C" w:rsidRDefault="00860DF2" w:rsidP="007A3B69">
            <w:pPr>
              <w:keepNext/>
              <w:ind w:left="-108"/>
              <w:jc w:val="center"/>
              <w:rPr>
                <w:rFonts w:ascii="Arial Narrow" w:hAnsi="Arial Narrow"/>
                <w:sz w:val="20"/>
                <w:szCs w:val="20"/>
              </w:rPr>
            </w:pPr>
            <w:r w:rsidRPr="007F2E0C">
              <w:rPr>
                <w:rFonts w:ascii="Arial Narrow" w:hAnsi="Arial Narrow"/>
                <w:sz w:val="20"/>
                <w:szCs w:val="20"/>
              </w:rPr>
              <w:t>5</w:t>
            </w:r>
          </w:p>
        </w:tc>
        <w:tc>
          <w:tcPr>
            <w:tcW w:w="1418" w:type="dxa"/>
            <w:gridSpan w:val="2"/>
            <w:shd w:val="clear" w:color="auto" w:fill="auto"/>
          </w:tcPr>
          <w:p w14:paraId="36B75256" w14:textId="77777777" w:rsidR="00860DF2" w:rsidRPr="007F2E0C" w:rsidRDefault="00860DF2" w:rsidP="007A3B69">
            <w:pPr>
              <w:keepNext/>
              <w:rPr>
                <w:rFonts w:ascii="Arial Narrow" w:hAnsi="Arial Narrow"/>
                <w:sz w:val="20"/>
                <w:szCs w:val="20"/>
              </w:rPr>
            </w:pPr>
            <w:proofErr w:type="spellStart"/>
            <w:r w:rsidRPr="007F2E0C">
              <w:rPr>
                <w:rFonts w:ascii="Arial Narrow" w:hAnsi="Arial Narrow"/>
                <w:sz w:val="20"/>
                <w:szCs w:val="20"/>
              </w:rPr>
              <w:t>Ibrance</w:t>
            </w:r>
            <w:proofErr w:type="spellEnd"/>
          </w:p>
        </w:tc>
      </w:tr>
      <w:tr w:rsidR="00860DF2" w:rsidRPr="00641661" w14:paraId="40CACD44" w14:textId="77777777" w:rsidTr="00B5124C">
        <w:trPr>
          <w:cantSplit/>
          <w:trHeight w:val="177"/>
        </w:trPr>
        <w:tc>
          <w:tcPr>
            <w:tcW w:w="4105" w:type="dxa"/>
            <w:gridSpan w:val="4"/>
            <w:shd w:val="clear" w:color="auto" w:fill="auto"/>
          </w:tcPr>
          <w:p w14:paraId="4204F5E3" w14:textId="77777777" w:rsidR="00860DF2" w:rsidRPr="007F2E0C" w:rsidRDefault="00860DF2" w:rsidP="007A3B69">
            <w:pPr>
              <w:keepNext/>
              <w:ind w:left="-108"/>
              <w:jc w:val="center"/>
              <w:rPr>
                <w:rFonts w:ascii="Arial Narrow" w:hAnsi="Arial Narrow"/>
                <w:sz w:val="20"/>
                <w:szCs w:val="20"/>
              </w:rPr>
            </w:pPr>
          </w:p>
        </w:tc>
        <w:tc>
          <w:tcPr>
            <w:tcW w:w="3544" w:type="dxa"/>
            <w:gridSpan w:val="3"/>
            <w:shd w:val="clear" w:color="auto" w:fill="auto"/>
          </w:tcPr>
          <w:p w14:paraId="5359D2DD" w14:textId="77777777" w:rsidR="00860DF2" w:rsidRPr="007F2E0C" w:rsidRDefault="00860DF2" w:rsidP="007A3B69">
            <w:pPr>
              <w:keepNext/>
              <w:ind w:left="-108"/>
              <w:jc w:val="center"/>
              <w:rPr>
                <w:rFonts w:ascii="Arial Narrow" w:hAnsi="Arial Narrow"/>
                <w:sz w:val="20"/>
                <w:szCs w:val="20"/>
              </w:rPr>
            </w:pPr>
            <w:r w:rsidRPr="007F2E0C">
              <w:rPr>
                <w:rFonts w:ascii="Arial Narrow" w:hAnsi="Arial Narrow"/>
                <w:sz w:val="20"/>
                <w:szCs w:val="20"/>
              </w:rPr>
              <w:t>Max. Qty multiplier = 1; Repeat increases: nil</w:t>
            </w:r>
          </w:p>
        </w:tc>
        <w:tc>
          <w:tcPr>
            <w:tcW w:w="1418" w:type="dxa"/>
            <w:gridSpan w:val="2"/>
            <w:shd w:val="clear" w:color="auto" w:fill="auto"/>
          </w:tcPr>
          <w:p w14:paraId="37FB5A7A" w14:textId="77777777" w:rsidR="00860DF2" w:rsidRPr="007F2E0C" w:rsidRDefault="00860DF2" w:rsidP="007A3B69">
            <w:pPr>
              <w:keepNext/>
              <w:rPr>
                <w:rFonts w:ascii="Arial Narrow" w:hAnsi="Arial Narrow"/>
                <w:sz w:val="20"/>
                <w:szCs w:val="20"/>
              </w:rPr>
            </w:pPr>
          </w:p>
        </w:tc>
      </w:tr>
      <w:tr w:rsidR="00860DF2" w:rsidRPr="00641661" w14:paraId="6A00581F" w14:textId="77777777" w:rsidTr="00B455D5">
        <w:trPr>
          <w:cantSplit/>
          <w:trHeight w:val="181"/>
        </w:trPr>
        <w:tc>
          <w:tcPr>
            <w:tcW w:w="9067" w:type="dxa"/>
            <w:gridSpan w:val="9"/>
            <w:shd w:val="clear" w:color="auto" w:fill="auto"/>
          </w:tcPr>
          <w:p w14:paraId="3F318677" w14:textId="77777777" w:rsidR="00860DF2" w:rsidRPr="007F2E0C" w:rsidRDefault="00860DF2" w:rsidP="007A3B69">
            <w:pPr>
              <w:keepNext/>
              <w:rPr>
                <w:rFonts w:ascii="Arial Narrow" w:hAnsi="Arial Narrow"/>
                <w:sz w:val="20"/>
                <w:szCs w:val="20"/>
              </w:rPr>
            </w:pPr>
          </w:p>
        </w:tc>
      </w:tr>
      <w:tr w:rsidR="00860DF2" w:rsidRPr="00641661" w14:paraId="311A9D39" w14:textId="77777777" w:rsidTr="00B455D5">
        <w:trPr>
          <w:cantSplit/>
          <w:trHeight w:val="153"/>
        </w:trPr>
        <w:tc>
          <w:tcPr>
            <w:tcW w:w="9067" w:type="dxa"/>
            <w:gridSpan w:val="9"/>
            <w:shd w:val="clear" w:color="auto" w:fill="auto"/>
          </w:tcPr>
          <w:p w14:paraId="2A4195C0" w14:textId="2A7B0FE5" w:rsidR="00860DF2" w:rsidRPr="007F2E0C" w:rsidRDefault="00860DF2" w:rsidP="007A3B69">
            <w:pPr>
              <w:keepNext/>
              <w:ind w:left="-57"/>
              <w:rPr>
                <w:rFonts w:ascii="Arial Narrow" w:hAnsi="Arial Narrow"/>
                <w:b/>
                <w:sz w:val="20"/>
                <w:szCs w:val="20"/>
              </w:rPr>
            </w:pPr>
            <w:r w:rsidRPr="007F2E0C">
              <w:rPr>
                <w:rFonts w:ascii="Arial Narrow" w:hAnsi="Arial Narrow"/>
                <w:b/>
                <w:sz w:val="20"/>
                <w:szCs w:val="20"/>
              </w:rPr>
              <w:t xml:space="preserve">Edit existing Restriction </w:t>
            </w:r>
            <w:proofErr w:type="gramStart"/>
            <w:r w:rsidRPr="007F2E0C">
              <w:rPr>
                <w:rFonts w:ascii="Arial Narrow" w:hAnsi="Arial Narrow"/>
                <w:b/>
                <w:sz w:val="20"/>
                <w:szCs w:val="20"/>
              </w:rPr>
              <w:t>Summary  /</w:t>
            </w:r>
            <w:proofErr w:type="gramEnd"/>
            <w:r w:rsidRPr="007F2E0C">
              <w:rPr>
                <w:rFonts w:ascii="Arial Narrow" w:hAnsi="Arial Narrow"/>
                <w:b/>
                <w:sz w:val="20"/>
                <w:szCs w:val="20"/>
              </w:rPr>
              <w:t xml:space="preserve"> </w:t>
            </w:r>
            <w:proofErr w:type="spellStart"/>
            <w:r w:rsidRPr="007F2E0C">
              <w:rPr>
                <w:rFonts w:ascii="Arial Narrow" w:hAnsi="Arial Narrow"/>
                <w:b/>
                <w:sz w:val="20"/>
                <w:szCs w:val="20"/>
              </w:rPr>
              <w:t>ToC</w:t>
            </w:r>
            <w:proofErr w:type="spellEnd"/>
            <w:r w:rsidRPr="007F2E0C">
              <w:rPr>
                <w:rFonts w:ascii="Arial Narrow" w:hAnsi="Arial Narrow"/>
                <w:b/>
                <w:sz w:val="20"/>
                <w:szCs w:val="20"/>
              </w:rPr>
              <w:t xml:space="preserve">: </w:t>
            </w:r>
          </w:p>
        </w:tc>
      </w:tr>
      <w:tr w:rsidR="00860DF2" w:rsidRPr="00641661" w14:paraId="487B34CF" w14:textId="77777777" w:rsidTr="00B5124C">
        <w:tblPrEx>
          <w:tblCellMar>
            <w:top w:w="15" w:type="dxa"/>
            <w:left w:w="15" w:type="dxa"/>
            <w:bottom w:w="15" w:type="dxa"/>
            <w:right w:w="15" w:type="dxa"/>
          </w:tblCellMar>
        </w:tblPrEx>
        <w:trPr>
          <w:trHeight w:val="164"/>
        </w:trPr>
        <w:tc>
          <w:tcPr>
            <w:tcW w:w="1412" w:type="dxa"/>
            <w:gridSpan w:val="2"/>
            <w:vMerge w:val="restart"/>
            <w:shd w:val="clear" w:color="auto" w:fill="auto"/>
            <w:vAlign w:val="center"/>
          </w:tcPr>
          <w:p w14:paraId="75DB0209" w14:textId="5CF1BC5E" w:rsidR="00860DF2" w:rsidRPr="007F2E0C" w:rsidRDefault="00860DF2" w:rsidP="007A3B69">
            <w:pPr>
              <w:jc w:val="center"/>
              <w:rPr>
                <w:rFonts w:ascii="Arial Narrow" w:hAnsi="Arial Narrow"/>
                <w:b/>
                <w:sz w:val="20"/>
                <w:szCs w:val="20"/>
              </w:rPr>
            </w:pPr>
          </w:p>
        </w:tc>
        <w:tc>
          <w:tcPr>
            <w:tcW w:w="7655" w:type="dxa"/>
            <w:gridSpan w:val="7"/>
            <w:tcBorders>
              <w:top w:val="single" w:sz="4" w:space="0" w:color="auto"/>
              <w:left w:val="single" w:sz="4" w:space="0" w:color="auto"/>
              <w:bottom w:val="single" w:sz="4" w:space="0" w:color="auto"/>
              <w:right w:val="single" w:sz="4" w:space="0" w:color="auto"/>
            </w:tcBorders>
            <w:shd w:val="clear" w:color="auto" w:fill="auto"/>
          </w:tcPr>
          <w:p w14:paraId="6DEA16D7" w14:textId="77777777" w:rsidR="00860DF2" w:rsidRPr="007F2E0C" w:rsidRDefault="00860DF2" w:rsidP="007A3B69">
            <w:pPr>
              <w:rPr>
                <w:rFonts w:ascii="Arial Narrow" w:hAnsi="Arial Narrow"/>
                <w:sz w:val="20"/>
                <w:szCs w:val="20"/>
              </w:rPr>
            </w:pPr>
            <w:r w:rsidRPr="007F2E0C">
              <w:rPr>
                <w:rFonts w:ascii="Arial Narrow" w:hAnsi="Arial Narrow"/>
                <w:b/>
                <w:sz w:val="20"/>
                <w:szCs w:val="20"/>
              </w:rPr>
              <w:t xml:space="preserve">Category / Program:   </w:t>
            </w:r>
            <w:r w:rsidRPr="007F2E0C">
              <w:rPr>
                <w:rFonts w:ascii="Arial Narrow" w:hAnsi="Arial Narrow"/>
                <w:sz w:val="20"/>
                <w:szCs w:val="20"/>
              </w:rPr>
              <w:t xml:space="preserve">GENERAL – General Schedule (Code GE) </w:t>
            </w:r>
          </w:p>
        </w:tc>
      </w:tr>
      <w:tr w:rsidR="00860DF2" w:rsidRPr="00641661" w14:paraId="267028FB" w14:textId="77777777" w:rsidTr="00B5124C">
        <w:tblPrEx>
          <w:tblCellMar>
            <w:top w:w="15" w:type="dxa"/>
            <w:left w:w="15" w:type="dxa"/>
            <w:bottom w:w="15" w:type="dxa"/>
            <w:right w:w="15" w:type="dxa"/>
          </w:tblCellMar>
        </w:tblPrEx>
        <w:tc>
          <w:tcPr>
            <w:tcW w:w="1412" w:type="dxa"/>
            <w:gridSpan w:val="2"/>
            <w:vMerge/>
            <w:shd w:val="clear" w:color="auto" w:fill="auto"/>
            <w:vAlign w:val="center"/>
          </w:tcPr>
          <w:p w14:paraId="39A5C909" w14:textId="77777777" w:rsidR="00860DF2" w:rsidRPr="007F2E0C" w:rsidRDefault="00860DF2" w:rsidP="007A3B69">
            <w:pPr>
              <w:widowControl w:val="0"/>
              <w:rPr>
                <w:rFonts w:ascii="Arial Narrow" w:hAnsi="Arial Narrow"/>
                <w:b/>
                <w:sz w:val="20"/>
                <w:szCs w:val="20"/>
              </w:rPr>
            </w:pPr>
          </w:p>
        </w:tc>
        <w:tc>
          <w:tcPr>
            <w:tcW w:w="7655" w:type="dxa"/>
            <w:gridSpan w:val="7"/>
            <w:tcBorders>
              <w:top w:val="single" w:sz="4" w:space="0" w:color="auto"/>
              <w:left w:val="single" w:sz="4" w:space="0" w:color="auto"/>
              <w:bottom w:val="single" w:sz="4" w:space="0" w:color="auto"/>
              <w:right w:val="single" w:sz="4" w:space="0" w:color="auto"/>
            </w:tcBorders>
            <w:shd w:val="clear" w:color="auto" w:fill="auto"/>
          </w:tcPr>
          <w:p w14:paraId="281E1DF6" w14:textId="77777777" w:rsidR="00860DF2" w:rsidRPr="007F2E0C" w:rsidRDefault="00860DF2" w:rsidP="007A3B69">
            <w:pPr>
              <w:widowControl w:val="0"/>
              <w:rPr>
                <w:rFonts w:ascii="Arial Narrow" w:hAnsi="Arial Narrow"/>
                <w:b/>
                <w:bCs/>
                <w:snapToGrid w:val="0"/>
                <w:sz w:val="20"/>
                <w:szCs w:val="20"/>
              </w:rPr>
            </w:pPr>
            <w:r w:rsidRPr="007F2E0C">
              <w:rPr>
                <w:rFonts w:ascii="Arial Narrow" w:hAnsi="Arial Narrow"/>
                <w:b/>
                <w:sz w:val="20"/>
                <w:szCs w:val="20"/>
              </w:rPr>
              <w:t xml:space="preserve">Prescriber type:   </w:t>
            </w:r>
            <w:r w:rsidRPr="007F2E0C">
              <w:rPr>
                <w:rFonts w:ascii="Arial Narrow" w:hAnsi="Arial Narrow"/>
                <w:sz w:val="20"/>
                <w:szCs w:val="20"/>
              </w:rPr>
              <w:fldChar w:fldCharType="begin">
                <w:ffData>
                  <w:name w:val=""/>
                  <w:enabled/>
                  <w:calcOnExit w:val="0"/>
                  <w:checkBox>
                    <w:sizeAuto/>
                    <w:default w:val="1"/>
                  </w:checkBox>
                </w:ffData>
              </w:fldChar>
            </w:r>
            <w:r w:rsidRPr="007F2E0C">
              <w:rPr>
                <w:rFonts w:ascii="Arial Narrow" w:hAnsi="Arial Narrow"/>
                <w:sz w:val="20"/>
                <w:szCs w:val="20"/>
              </w:rPr>
              <w:instrText xml:space="preserve"> FORMCHECKBOX </w:instrText>
            </w:r>
            <w:r w:rsidR="009728EB">
              <w:rPr>
                <w:rFonts w:ascii="Arial Narrow" w:hAnsi="Arial Narrow"/>
                <w:sz w:val="20"/>
                <w:szCs w:val="20"/>
              </w:rPr>
            </w:r>
            <w:r w:rsidR="009728EB">
              <w:rPr>
                <w:rFonts w:ascii="Arial Narrow" w:hAnsi="Arial Narrow"/>
                <w:sz w:val="20"/>
                <w:szCs w:val="20"/>
              </w:rPr>
              <w:fldChar w:fldCharType="separate"/>
            </w:r>
            <w:r w:rsidRPr="007F2E0C">
              <w:rPr>
                <w:rFonts w:ascii="Arial Narrow" w:hAnsi="Arial Narrow"/>
                <w:sz w:val="20"/>
                <w:szCs w:val="20"/>
              </w:rPr>
              <w:fldChar w:fldCharType="end"/>
            </w:r>
            <w:r w:rsidRPr="007F2E0C">
              <w:rPr>
                <w:rFonts w:ascii="Arial Narrow" w:hAnsi="Arial Narrow"/>
                <w:sz w:val="20"/>
                <w:szCs w:val="20"/>
              </w:rPr>
              <w:t xml:space="preserve"> Medical Practitioners    </w:t>
            </w:r>
          </w:p>
        </w:tc>
      </w:tr>
      <w:tr w:rsidR="00860DF2" w:rsidRPr="00641661" w14:paraId="31CDC5C7" w14:textId="77777777" w:rsidTr="00B5124C">
        <w:tblPrEx>
          <w:tblCellMar>
            <w:top w:w="15" w:type="dxa"/>
            <w:left w:w="15" w:type="dxa"/>
            <w:bottom w:w="15" w:type="dxa"/>
            <w:right w:w="15" w:type="dxa"/>
          </w:tblCellMar>
        </w:tblPrEx>
        <w:tc>
          <w:tcPr>
            <w:tcW w:w="1412" w:type="dxa"/>
            <w:gridSpan w:val="2"/>
            <w:vMerge/>
            <w:shd w:val="clear" w:color="auto" w:fill="auto"/>
            <w:vAlign w:val="center"/>
          </w:tcPr>
          <w:p w14:paraId="37E0EB05" w14:textId="77777777" w:rsidR="00860DF2" w:rsidRPr="007F2E0C" w:rsidRDefault="00860DF2" w:rsidP="007A3B69">
            <w:pPr>
              <w:rPr>
                <w:rFonts w:ascii="Arial Narrow" w:hAnsi="Arial Narrow"/>
                <w:b/>
                <w:sz w:val="20"/>
                <w:szCs w:val="20"/>
              </w:rPr>
            </w:pPr>
          </w:p>
        </w:tc>
        <w:tc>
          <w:tcPr>
            <w:tcW w:w="7655" w:type="dxa"/>
            <w:gridSpan w:val="7"/>
            <w:tcBorders>
              <w:top w:val="single" w:sz="4" w:space="0" w:color="auto"/>
              <w:left w:val="single" w:sz="4" w:space="0" w:color="auto"/>
              <w:bottom w:val="single" w:sz="4" w:space="0" w:color="auto"/>
              <w:right w:val="single" w:sz="4" w:space="0" w:color="auto"/>
            </w:tcBorders>
            <w:shd w:val="clear" w:color="auto" w:fill="auto"/>
          </w:tcPr>
          <w:p w14:paraId="4AA4DD62" w14:textId="77777777" w:rsidR="00860DF2" w:rsidRPr="007F2E0C" w:rsidRDefault="00860DF2" w:rsidP="007A3B69">
            <w:pPr>
              <w:rPr>
                <w:rFonts w:ascii="Arial Narrow" w:hAnsi="Arial Narrow"/>
                <w:b/>
                <w:sz w:val="20"/>
                <w:szCs w:val="20"/>
              </w:rPr>
            </w:pPr>
            <w:r w:rsidRPr="007F2E0C">
              <w:rPr>
                <w:rFonts w:ascii="Arial Narrow" w:hAnsi="Arial Narrow"/>
                <w:b/>
                <w:sz w:val="20"/>
                <w:szCs w:val="20"/>
              </w:rPr>
              <w:t xml:space="preserve">Restriction Type: </w:t>
            </w:r>
            <w:r w:rsidRPr="007F2E0C">
              <w:rPr>
                <w:rFonts w:ascii="Arial Narrow" w:eastAsia="Calibri" w:hAnsi="Arial Narrow"/>
                <w:sz w:val="20"/>
                <w:szCs w:val="20"/>
              </w:rPr>
              <w:fldChar w:fldCharType="begin">
                <w:ffData>
                  <w:name w:val="Check3"/>
                  <w:enabled/>
                  <w:calcOnExit w:val="0"/>
                  <w:checkBox>
                    <w:sizeAuto/>
                    <w:default w:val="1"/>
                  </w:checkBox>
                </w:ffData>
              </w:fldChar>
            </w:r>
            <w:r w:rsidRPr="007F2E0C">
              <w:rPr>
                <w:rFonts w:ascii="Arial Narrow" w:eastAsia="Calibri" w:hAnsi="Arial Narrow"/>
                <w:sz w:val="20"/>
                <w:szCs w:val="20"/>
              </w:rPr>
              <w:instrText xml:space="preserve"> FORMCHECKBOX </w:instrText>
            </w:r>
            <w:r w:rsidR="009728EB">
              <w:rPr>
                <w:rFonts w:ascii="Arial Narrow" w:eastAsia="Calibri" w:hAnsi="Arial Narrow"/>
                <w:sz w:val="20"/>
                <w:szCs w:val="20"/>
              </w:rPr>
            </w:r>
            <w:r w:rsidR="009728EB">
              <w:rPr>
                <w:rFonts w:ascii="Arial Narrow" w:eastAsia="Calibri" w:hAnsi="Arial Narrow"/>
                <w:sz w:val="20"/>
                <w:szCs w:val="20"/>
              </w:rPr>
              <w:fldChar w:fldCharType="separate"/>
            </w:r>
            <w:r w:rsidRPr="007F2E0C">
              <w:rPr>
                <w:rFonts w:ascii="Arial Narrow" w:eastAsia="Calibri" w:hAnsi="Arial Narrow"/>
                <w:sz w:val="20"/>
                <w:szCs w:val="20"/>
              </w:rPr>
              <w:fldChar w:fldCharType="end"/>
            </w:r>
            <w:r w:rsidRPr="007F2E0C">
              <w:rPr>
                <w:rFonts w:ascii="Arial Narrow" w:eastAsia="Calibri" w:hAnsi="Arial Narrow"/>
                <w:sz w:val="20"/>
                <w:szCs w:val="20"/>
              </w:rPr>
              <w:t xml:space="preserve"> Authority Required – immediate/real time assessment by Services Australia</w:t>
            </w:r>
          </w:p>
        </w:tc>
      </w:tr>
      <w:tr w:rsidR="00860DF2" w:rsidRPr="00641661" w14:paraId="0DBE986F" w14:textId="77777777" w:rsidTr="00B5124C">
        <w:tblPrEx>
          <w:tblCellMar>
            <w:top w:w="15" w:type="dxa"/>
            <w:left w:w="15" w:type="dxa"/>
            <w:bottom w:w="15" w:type="dxa"/>
            <w:right w:w="15" w:type="dxa"/>
          </w:tblCellMar>
        </w:tblPrEx>
        <w:tc>
          <w:tcPr>
            <w:tcW w:w="420" w:type="dxa"/>
            <w:vMerge w:val="restart"/>
            <w:shd w:val="clear" w:color="auto" w:fill="auto"/>
            <w:textDirection w:val="btLr"/>
            <w:vAlign w:val="center"/>
          </w:tcPr>
          <w:p w14:paraId="3E294094" w14:textId="77777777" w:rsidR="00860DF2" w:rsidRPr="007F2E0C" w:rsidRDefault="00860DF2" w:rsidP="007A3B69">
            <w:pPr>
              <w:widowControl w:val="0"/>
              <w:ind w:left="113" w:right="113"/>
              <w:jc w:val="center"/>
              <w:rPr>
                <w:rFonts w:ascii="Arial Narrow" w:hAnsi="Arial Narrow"/>
                <w:b/>
                <w:bCs/>
                <w:iCs/>
                <w:snapToGrid w:val="0"/>
                <w:sz w:val="20"/>
                <w:szCs w:val="20"/>
              </w:rPr>
            </w:pPr>
          </w:p>
        </w:tc>
        <w:tc>
          <w:tcPr>
            <w:tcW w:w="992" w:type="dxa"/>
            <w:shd w:val="clear" w:color="auto" w:fill="auto"/>
            <w:vAlign w:val="center"/>
          </w:tcPr>
          <w:p w14:paraId="4F9F4D13" w14:textId="2B0AF3B1" w:rsidR="00860DF2" w:rsidRPr="007F2E0C" w:rsidRDefault="00860DF2" w:rsidP="007A3B69">
            <w:pPr>
              <w:widowControl w:val="0"/>
              <w:jc w:val="center"/>
              <w:rPr>
                <w:rFonts w:ascii="Arial Narrow" w:hAnsi="Arial Narrow"/>
                <w:bCs/>
                <w:iCs/>
                <w:snapToGrid w:val="0"/>
                <w:sz w:val="20"/>
                <w:szCs w:val="20"/>
              </w:rPr>
            </w:pPr>
          </w:p>
        </w:tc>
        <w:tc>
          <w:tcPr>
            <w:tcW w:w="7655" w:type="dxa"/>
            <w:gridSpan w:val="7"/>
            <w:shd w:val="clear" w:color="auto" w:fill="auto"/>
            <w:vAlign w:val="center"/>
          </w:tcPr>
          <w:p w14:paraId="2D5CAD8B" w14:textId="77777777" w:rsidR="00860DF2" w:rsidRPr="007F2E0C" w:rsidRDefault="00860DF2" w:rsidP="007A3B69">
            <w:pPr>
              <w:widowControl w:val="0"/>
              <w:rPr>
                <w:rFonts w:ascii="Arial Narrow" w:hAnsi="Arial Narrow"/>
                <w:b/>
                <w:bCs/>
                <w:i/>
                <w:snapToGrid w:val="0"/>
                <w:sz w:val="20"/>
                <w:szCs w:val="20"/>
              </w:rPr>
            </w:pPr>
            <w:r w:rsidRPr="007F2E0C">
              <w:rPr>
                <w:rFonts w:ascii="Arial Narrow" w:hAnsi="Arial Narrow"/>
                <w:b/>
                <w:bCs/>
                <w:i/>
                <w:snapToGrid w:val="0"/>
                <w:sz w:val="20"/>
                <w:szCs w:val="20"/>
              </w:rPr>
              <w:t>Administrative Advice:</w:t>
            </w:r>
          </w:p>
          <w:p w14:paraId="577A6697" w14:textId="77777777" w:rsidR="00860DF2" w:rsidRPr="007F2E0C" w:rsidRDefault="00860DF2" w:rsidP="007A3B69">
            <w:pPr>
              <w:widowControl w:val="0"/>
              <w:rPr>
                <w:rFonts w:ascii="Arial Narrow" w:hAnsi="Arial Narrow"/>
                <w:bCs/>
                <w:i/>
                <w:snapToGrid w:val="0"/>
                <w:sz w:val="20"/>
                <w:szCs w:val="20"/>
              </w:rPr>
            </w:pPr>
            <w:r w:rsidRPr="007F2E0C">
              <w:rPr>
                <w:rFonts w:ascii="Arial Narrow" w:hAnsi="Arial Narrow"/>
                <w:bCs/>
                <w:i/>
                <w:snapToGrid w:val="0"/>
                <w:sz w:val="20"/>
                <w:szCs w:val="20"/>
              </w:rPr>
              <w:t xml:space="preserve">Applications for authorisation under this restriction may be made in real time using the Online PBS </w:t>
            </w:r>
            <w:r w:rsidRPr="007F2E0C">
              <w:rPr>
                <w:rFonts w:ascii="Arial Narrow" w:hAnsi="Arial Narrow"/>
                <w:bCs/>
                <w:i/>
                <w:snapToGrid w:val="0"/>
                <w:sz w:val="20"/>
                <w:szCs w:val="20"/>
              </w:rPr>
              <w:lastRenderedPageBreak/>
              <w:t>Authorities system (see www.servicesaustralia.gov.au/HPOS) or by telephone by contacting Services Australia on 1800 888 333.</w:t>
            </w:r>
          </w:p>
        </w:tc>
      </w:tr>
      <w:tr w:rsidR="00860DF2" w:rsidRPr="00641661" w14:paraId="11123183" w14:textId="77777777" w:rsidTr="00B5124C">
        <w:tblPrEx>
          <w:tblCellMar>
            <w:top w:w="15" w:type="dxa"/>
            <w:left w:w="15" w:type="dxa"/>
            <w:bottom w:w="15" w:type="dxa"/>
            <w:right w:w="15" w:type="dxa"/>
          </w:tblCellMar>
        </w:tblPrEx>
        <w:tc>
          <w:tcPr>
            <w:tcW w:w="420" w:type="dxa"/>
            <w:vMerge/>
            <w:shd w:val="clear" w:color="auto" w:fill="auto"/>
            <w:vAlign w:val="center"/>
          </w:tcPr>
          <w:p w14:paraId="63EA8B2D" w14:textId="77777777" w:rsidR="00860DF2" w:rsidRPr="007F2E0C" w:rsidRDefault="00860DF2" w:rsidP="007A3B69">
            <w:pPr>
              <w:widowControl w:val="0"/>
              <w:jc w:val="center"/>
              <w:rPr>
                <w:rFonts w:ascii="Arial Narrow" w:hAnsi="Arial Narrow"/>
                <w:b/>
                <w:bCs/>
                <w:snapToGrid w:val="0"/>
                <w:sz w:val="20"/>
                <w:szCs w:val="20"/>
              </w:rPr>
            </w:pPr>
          </w:p>
        </w:tc>
        <w:tc>
          <w:tcPr>
            <w:tcW w:w="992" w:type="dxa"/>
            <w:shd w:val="clear" w:color="auto" w:fill="auto"/>
            <w:vAlign w:val="center"/>
          </w:tcPr>
          <w:p w14:paraId="37EA27AC" w14:textId="5E33A62A" w:rsidR="00860DF2" w:rsidRPr="007F2E0C" w:rsidRDefault="00860DF2" w:rsidP="007A3B69">
            <w:pPr>
              <w:widowControl w:val="0"/>
              <w:jc w:val="center"/>
              <w:rPr>
                <w:rFonts w:ascii="Arial Narrow" w:hAnsi="Arial Narrow"/>
                <w:b/>
                <w:sz w:val="20"/>
                <w:szCs w:val="20"/>
              </w:rPr>
            </w:pPr>
          </w:p>
        </w:tc>
        <w:tc>
          <w:tcPr>
            <w:tcW w:w="7655" w:type="dxa"/>
            <w:gridSpan w:val="7"/>
            <w:shd w:val="clear" w:color="auto" w:fill="auto"/>
            <w:vAlign w:val="center"/>
            <w:hideMark/>
          </w:tcPr>
          <w:p w14:paraId="2D00C1A9" w14:textId="77777777" w:rsidR="00860DF2" w:rsidRPr="007F2E0C" w:rsidRDefault="00860DF2" w:rsidP="007A3B69">
            <w:pPr>
              <w:widowControl w:val="0"/>
              <w:rPr>
                <w:rFonts w:ascii="Arial Narrow" w:hAnsi="Arial Narrow"/>
                <w:bCs/>
                <w:i/>
                <w:snapToGrid w:val="0"/>
                <w:sz w:val="20"/>
                <w:szCs w:val="20"/>
              </w:rPr>
            </w:pPr>
            <w:r w:rsidRPr="007F2E0C">
              <w:rPr>
                <w:rFonts w:ascii="Arial Narrow" w:hAnsi="Arial Narrow"/>
                <w:b/>
                <w:bCs/>
                <w:i/>
                <w:snapToGrid w:val="0"/>
                <w:sz w:val="20"/>
                <w:szCs w:val="20"/>
              </w:rPr>
              <w:t>Administrative Advice:</w:t>
            </w:r>
            <w:r w:rsidRPr="007F2E0C">
              <w:rPr>
                <w:rFonts w:ascii="Arial Narrow" w:hAnsi="Arial Narrow"/>
                <w:bCs/>
                <w:i/>
                <w:snapToGrid w:val="0"/>
                <w:sz w:val="20"/>
                <w:szCs w:val="20"/>
              </w:rPr>
              <w:t xml:space="preserve"> No increase in the maximum quantity or number of units may be authorised.</w:t>
            </w:r>
          </w:p>
        </w:tc>
      </w:tr>
      <w:tr w:rsidR="00860DF2" w:rsidRPr="00641661" w14:paraId="664B84EA" w14:textId="77777777" w:rsidTr="00B5124C">
        <w:tblPrEx>
          <w:tblCellMar>
            <w:top w:w="15" w:type="dxa"/>
            <w:left w:w="15" w:type="dxa"/>
            <w:bottom w:w="15" w:type="dxa"/>
            <w:right w:w="15" w:type="dxa"/>
          </w:tblCellMar>
        </w:tblPrEx>
        <w:tc>
          <w:tcPr>
            <w:tcW w:w="420" w:type="dxa"/>
            <w:vMerge/>
            <w:shd w:val="clear" w:color="auto" w:fill="auto"/>
            <w:vAlign w:val="center"/>
          </w:tcPr>
          <w:p w14:paraId="02021C26" w14:textId="77777777" w:rsidR="00860DF2" w:rsidRPr="007F2E0C" w:rsidRDefault="00860DF2" w:rsidP="007A3B69">
            <w:pPr>
              <w:widowControl w:val="0"/>
              <w:jc w:val="center"/>
              <w:rPr>
                <w:rFonts w:ascii="Arial Narrow" w:hAnsi="Arial Narrow"/>
                <w:b/>
                <w:bCs/>
                <w:snapToGrid w:val="0"/>
                <w:sz w:val="20"/>
                <w:szCs w:val="20"/>
              </w:rPr>
            </w:pPr>
          </w:p>
        </w:tc>
        <w:tc>
          <w:tcPr>
            <w:tcW w:w="992" w:type="dxa"/>
            <w:shd w:val="clear" w:color="auto" w:fill="auto"/>
            <w:vAlign w:val="center"/>
          </w:tcPr>
          <w:p w14:paraId="25FEA211" w14:textId="7E7A836D" w:rsidR="00860DF2" w:rsidRPr="007F2E0C" w:rsidRDefault="00860DF2" w:rsidP="007A3B69">
            <w:pPr>
              <w:widowControl w:val="0"/>
              <w:jc w:val="center"/>
              <w:rPr>
                <w:rFonts w:ascii="Arial Narrow" w:hAnsi="Arial Narrow"/>
                <w:b/>
                <w:sz w:val="20"/>
                <w:szCs w:val="20"/>
              </w:rPr>
            </w:pPr>
          </w:p>
        </w:tc>
        <w:tc>
          <w:tcPr>
            <w:tcW w:w="7655" w:type="dxa"/>
            <w:gridSpan w:val="7"/>
            <w:shd w:val="clear" w:color="auto" w:fill="auto"/>
            <w:vAlign w:val="center"/>
            <w:hideMark/>
          </w:tcPr>
          <w:p w14:paraId="349C2BDD" w14:textId="77777777" w:rsidR="00860DF2" w:rsidRPr="007F2E0C" w:rsidRDefault="00860DF2" w:rsidP="007A3B69">
            <w:pPr>
              <w:widowControl w:val="0"/>
              <w:rPr>
                <w:rFonts w:ascii="Arial Narrow" w:hAnsi="Arial Narrow"/>
                <w:bCs/>
                <w:i/>
                <w:snapToGrid w:val="0"/>
                <w:sz w:val="20"/>
                <w:szCs w:val="20"/>
              </w:rPr>
            </w:pPr>
            <w:r w:rsidRPr="007F2E0C">
              <w:rPr>
                <w:rFonts w:ascii="Arial Narrow" w:hAnsi="Arial Narrow"/>
                <w:b/>
                <w:bCs/>
                <w:i/>
                <w:snapToGrid w:val="0"/>
                <w:sz w:val="20"/>
                <w:szCs w:val="20"/>
              </w:rPr>
              <w:t>Administrative Advice:</w:t>
            </w:r>
            <w:r w:rsidRPr="007F2E0C">
              <w:rPr>
                <w:rFonts w:ascii="Arial Narrow" w:hAnsi="Arial Narrow"/>
                <w:bCs/>
                <w:i/>
                <w:snapToGrid w:val="0"/>
                <w:sz w:val="20"/>
                <w:szCs w:val="20"/>
              </w:rPr>
              <w:t xml:space="preserve"> No increase in the maximum number of repeats may be authorised.</w:t>
            </w:r>
          </w:p>
        </w:tc>
      </w:tr>
      <w:tr w:rsidR="00860DF2" w:rsidRPr="00641661" w14:paraId="3731E0E6" w14:textId="77777777" w:rsidTr="00B5124C">
        <w:tblPrEx>
          <w:tblCellMar>
            <w:top w:w="15" w:type="dxa"/>
            <w:left w:w="15" w:type="dxa"/>
            <w:bottom w:w="15" w:type="dxa"/>
            <w:right w:w="15" w:type="dxa"/>
          </w:tblCellMar>
        </w:tblPrEx>
        <w:tc>
          <w:tcPr>
            <w:tcW w:w="420" w:type="dxa"/>
            <w:vMerge/>
            <w:shd w:val="clear" w:color="auto" w:fill="auto"/>
            <w:vAlign w:val="center"/>
          </w:tcPr>
          <w:p w14:paraId="7A36F7B8" w14:textId="77777777" w:rsidR="00860DF2" w:rsidRPr="007F2E0C" w:rsidRDefault="00860DF2" w:rsidP="007A3B69">
            <w:pPr>
              <w:widowControl w:val="0"/>
              <w:jc w:val="center"/>
              <w:rPr>
                <w:rFonts w:ascii="Arial Narrow" w:hAnsi="Arial Narrow"/>
                <w:b/>
                <w:bCs/>
                <w:snapToGrid w:val="0"/>
                <w:sz w:val="20"/>
                <w:szCs w:val="20"/>
              </w:rPr>
            </w:pPr>
          </w:p>
        </w:tc>
        <w:tc>
          <w:tcPr>
            <w:tcW w:w="992" w:type="dxa"/>
            <w:shd w:val="clear" w:color="auto" w:fill="auto"/>
            <w:vAlign w:val="center"/>
          </w:tcPr>
          <w:p w14:paraId="29CA5192" w14:textId="3D10FB90" w:rsidR="00860DF2" w:rsidRPr="007F2E0C" w:rsidRDefault="00860DF2" w:rsidP="007A3B69">
            <w:pPr>
              <w:widowControl w:val="0"/>
              <w:jc w:val="center"/>
              <w:rPr>
                <w:rFonts w:ascii="Arial Narrow" w:hAnsi="Arial Narrow"/>
                <w:b/>
                <w:sz w:val="20"/>
                <w:szCs w:val="20"/>
              </w:rPr>
            </w:pPr>
          </w:p>
        </w:tc>
        <w:tc>
          <w:tcPr>
            <w:tcW w:w="7655" w:type="dxa"/>
            <w:gridSpan w:val="7"/>
            <w:shd w:val="clear" w:color="auto" w:fill="auto"/>
            <w:vAlign w:val="center"/>
            <w:hideMark/>
          </w:tcPr>
          <w:p w14:paraId="51A80E1A" w14:textId="77777777" w:rsidR="00860DF2" w:rsidRPr="007F2E0C" w:rsidRDefault="00860DF2" w:rsidP="007A3B69">
            <w:pPr>
              <w:widowControl w:val="0"/>
              <w:rPr>
                <w:rFonts w:ascii="Arial Narrow" w:hAnsi="Arial Narrow"/>
                <w:bCs/>
                <w:i/>
                <w:snapToGrid w:val="0"/>
                <w:sz w:val="20"/>
                <w:szCs w:val="20"/>
              </w:rPr>
            </w:pPr>
            <w:r w:rsidRPr="007F2E0C">
              <w:rPr>
                <w:rFonts w:ascii="Arial Narrow" w:hAnsi="Arial Narrow"/>
                <w:b/>
                <w:bCs/>
                <w:i/>
                <w:snapToGrid w:val="0"/>
                <w:sz w:val="20"/>
                <w:szCs w:val="20"/>
              </w:rPr>
              <w:t>Administrative Advice:</w:t>
            </w:r>
            <w:r w:rsidRPr="007F2E0C">
              <w:rPr>
                <w:rFonts w:ascii="Arial Narrow" w:hAnsi="Arial Narrow"/>
                <w:bCs/>
                <w:i/>
                <w:snapToGrid w:val="0"/>
                <w:sz w:val="20"/>
                <w:szCs w:val="20"/>
              </w:rPr>
              <w:t xml:space="preserve"> Special Pricing Arrangements apply.</w:t>
            </w:r>
          </w:p>
        </w:tc>
      </w:tr>
      <w:tr w:rsidR="00860DF2" w:rsidRPr="00641661" w14:paraId="65A88815" w14:textId="77777777" w:rsidTr="00B5124C">
        <w:tblPrEx>
          <w:tblCellMar>
            <w:top w:w="15" w:type="dxa"/>
            <w:left w:w="15" w:type="dxa"/>
            <w:bottom w:w="15" w:type="dxa"/>
            <w:right w:w="15" w:type="dxa"/>
          </w:tblCellMar>
        </w:tblPrEx>
        <w:tc>
          <w:tcPr>
            <w:tcW w:w="420" w:type="dxa"/>
            <w:vMerge/>
            <w:shd w:val="clear" w:color="auto" w:fill="auto"/>
            <w:vAlign w:val="center"/>
          </w:tcPr>
          <w:p w14:paraId="0F8DAF26" w14:textId="77777777" w:rsidR="00860DF2" w:rsidRPr="007F2E0C" w:rsidRDefault="00860DF2" w:rsidP="007A3B69">
            <w:pPr>
              <w:widowControl w:val="0"/>
              <w:jc w:val="center"/>
              <w:rPr>
                <w:rFonts w:ascii="Arial Narrow" w:hAnsi="Arial Narrow"/>
                <w:bCs/>
                <w:snapToGrid w:val="0"/>
                <w:sz w:val="20"/>
                <w:szCs w:val="20"/>
              </w:rPr>
            </w:pPr>
          </w:p>
        </w:tc>
        <w:tc>
          <w:tcPr>
            <w:tcW w:w="992" w:type="dxa"/>
            <w:shd w:val="clear" w:color="auto" w:fill="auto"/>
            <w:vAlign w:val="center"/>
          </w:tcPr>
          <w:p w14:paraId="4985053E" w14:textId="51144F4A" w:rsidR="00860DF2" w:rsidRPr="007F2E0C" w:rsidRDefault="00860DF2" w:rsidP="007A3B69">
            <w:pPr>
              <w:widowControl w:val="0"/>
              <w:jc w:val="center"/>
              <w:rPr>
                <w:rFonts w:ascii="Arial Narrow" w:hAnsi="Arial Narrow"/>
                <w:b/>
                <w:sz w:val="20"/>
                <w:szCs w:val="20"/>
              </w:rPr>
            </w:pPr>
          </w:p>
        </w:tc>
        <w:tc>
          <w:tcPr>
            <w:tcW w:w="7655" w:type="dxa"/>
            <w:gridSpan w:val="7"/>
            <w:shd w:val="clear" w:color="auto" w:fill="auto"/>
            <w:vAlign w:val="center"/>
          </w:tcPr>
          <w:p w14:paraId="0F26FD75" w14:textId="77777777" w:rsidR="00860DF2" w:rsidRPr="007F2E0C" w:rsidRDefault="00860DF2" w:rsidP="007A3B69">
            <w:pPr>
              <w:widowControl w:val="0"/>
              <w:rPr>
                <w:rFonts w:ascii="Arial Narrow" w:hAnsi="Arial Narrow"/>
                <w:b/>
                <w:bCs/>
                <w:i/>
                <w:iCs/>
                <w:snapToGrid w:val="0"/>
                <w:sz w:val="20"/>
                <w:szCs w:val="20"/>
              </w:rPr>
            </w:pPr>
            <w:r w:rsidRPr="007F2E0C">
              <w:rPr>
                <w:rFonts w:ascii="Arial Narrow" w:hAnsi="Arial Narrow"/>
                <w:b/>
                <w:bCs/>
                <w:i/>
                <w:iCs/>
                <w:snapToGrid w:val="0"/>
                <w:sz w:val="20"/>
                <w:szCs w:val="20"/>
              </w:rPr>
              <w:t xml:space="preserve">Administrative Advice: </w:t>
            </w:r>
          </w:p>
          <w:p w14:paraId="65D6347D" w14:textId="77777777" w:rsidR="00860DF2" w:rsidRPr="007F2E0C" w:rsidRDefault="00860DF2" w:rsidP="007A3B69">
            <w:pPr>
              <w:widowControl w:val="0"/>
              <w:rPr>
                <w:rFonts w:ascii="Arial Narrow" w:hAnsi="Arial Narrow"/>
                <w:b/>
                <w:bCs/>
                <w:snapToGrid w:val="0"/>
                <w:sz w:val="20"/>
                <w:szCs w:val="20"/>
              </w:rPr>
            </w:pPr>
            <w:r w:rsidRPr="007F2E0C">
              <w:rPr>
                <w:rFonts w:ascii="Arial Narrow" w:hAnsi="Arial Narrow"/>
                <w:bCs/>
                <w:i/>
                <w:iCs/>
                <w:snapToGrid w:val="0"/>
                <w:sz w:val="20"/>
                <w:szCs w:val="20"/>
              </w:rPr>
              <w:t xml:space="preserve">Cyclin-dependent kinase 4 and 6 (CDK4/6) inhibitors for the purposes of this restriction are </w:t>
            </w:r>
            <w:proofErr w:type="spellStart"/>
            <w:r w:rsidRPr="007F2E0C">
              <w:rPr>
                <w:rFonts w:ascii="Arial Narrow" w:hAnsi="Arial Narrow"/>
                <w:bCs/>
                <w:i/>
                <w:iCs/>
                <w:snapToGrid w:val="0"/>
                <w:sz w:val="20"/>
                <w:szCs w:val="20"/>
              </w:rPr>
              <w:t>abemaciclib</w:t>
            </w:r>
            <w:proofErr w:type="spellEnd"/>
            <w:r w:rsidRPr="007F2E0C">
              <w:rPr>
                <w:rFonts w:ascii="Arial Narrow" w:hAnsi="Arial Narrow"/>
                <w:bCs/>
                <w:i/>
                <w:iCs/>
                <w:snapToGrid w:val="0"/>
                <w:sz w:val="20"/>
                <w:szCs w:val="20"/>
              </w:rPr>
              <w:t xml:space="preserve">, </w:t>
            </w:r>
            <w:proofErr w:type="spellStart"/>
            <w:r w:rsidRPr="007F2E0C">
              <w:rPr>
                <w:rFonts w:ascii="Arial Narrow" w:hAnsi="Arial Narrow"/>
                <w:bCs/>
                <w:i/>
                <w:iCs/>
                <w:snapToGrid w:val="0"/>
                <w:sz w:val="20"/>
                <w:szCs w:val="20"/>
              </w:rPr>
              <w:t>palbociclib</w:t>
            </w:r>
            <w:proofErr w:type="spellEnd"/>
            <w:r w:rsidRPr="007F2E0C">
              <w:rPr>
                <w:rFonts w:ascii="Arial Narrow" w:hAnsi="Arial Narrow"/>
                <w:bCs/>
                <w:i/>
                <w:iCs/>
                <w:snapToGrid w:val="0"/>
                <w:sz w:val="20"/>
                <w:szCs w:val="20"/>
              </w:rPr>
              <w:t xml:space="preserve"> and </w:t>
            </w:r>
            <w:proofErr w:type="spellStart"/>
            <w:r w:rsidRPr="007F2E0C">
              <w:rPr>
                <w:rFonts w:ascii="Arial Narrow" w:hAnsi="Arial Narrow"/>
                <w:bCs/>
                <w:i/>
                <w:iCs/>
                <w:snapToGrid w:val="0"/>
                <w:sz w:val="20"/>
                <w:szCs w:val="20"/>
              </w:rPr>
              <w:t>ribociclib</w:t>
            </w:r>
            <w:proofErr w:type="spellEnd"/>
            <w:r w:rsidRPr="007F2E0C">
              <w:rPr>
                <w:rFonts w:ascii="Arial Narrow" w:hAnsi="Arial Narrow"/>
                <w:b/>
                <w:bCs/>
                <w:snapToGrid w:val="0"/>
                <w:sz w:val="20"/>
                <w:szCs w:val="20"/>
              </w:rPr>
              <w:t xml:space="preserve"> </w:t>
            </w:r>
          </w:p>
        </w:tc>
      </w:tr>
      <w:tr w:rsidR="00B455D5" w14:paraId="1CAEE988" w14:textId="77777777" w:rsidTr="00973EB3">
        <w:tblPrEx>
          <w:tblLook w:val="04A0" w:firstRow="1" w:lastRow="0" w:firstColumn="1" w:lastColumn="0" w:noHBand="0" w:noVBand="1"/>
        </w:tblPrEx>
        <w:trPr>
          <w:gridAfter w:val="1"/>
          <w:wAfter w:w="7" w:type="dxa"/>
          <w:trHeight w:val="41"/>
        </w:trPr>
        <w:tc>
          <w:tcPr>
            <w:tcW w:w="4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C3625EA" w14:textId="77777777" w:rsidR="00B455D5" w:rsidRDefault="00B455D5">
            <w:pPr>
              <w:widowControl w:val="0"/>
              <w:spacing w:line="256" w:lineRule="auto"/>
              <w:jc w:val="center"/>
              <w:rPr>
                <w:rFonts w:ascii="Arial Narrow" w:hAnsi="Arial Narrow"/>
                <w:bCs/>
                <w:snapToGrid w:val="0"/>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4594E0F" w14:textId="1332BB8D" w:rsidR="00B455D5" w:rsidRDefault="00B455D5">
            <w:pPr>
              <w:widowControl w:val="0"/>
              <w:spacing w:line="256" w:lineRule="auto"/>
              <w:jc w:val="center"/>
              <w:rPr>
                <w:rFonts w:ascii="Arial Narrow" w:hAnsi="Arial Narrow"/>
                <w:bCs/>
                <w:snapToGrid w:val="0"/>
                <w:sz w:val="20"/>
                <w:szCs w:val="20"/>
                <w:lang w:eastAsia="en-US"/>
              </w:rPr>
            </w:pPr>
          </w:p>
        </w:tc>
        <w:tc>
          <w:tcPr>
            <w:tcW w:w="7648"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1147D4D" w14:textId="77777777" w:rsidR="00B455D5" w:rsidRDefault="00B455D5">
            <w:pPr>
              <w:widowControl w:val="0"/>
              <w:spacing w:line="256" w:lineRule="auto"/>
              <w:rPr>
                <w:rFonts w:ascii="Arial Narrow" w:hAnsi="Arial Narrow"/>
                <w:b/>
                <w:bCs/>
                <w:i/>
                <w:iCs/>
                <w:snapToGrid w:val="0"/>
                <w:sz w:val="20"/>
                <w:szCs w:val="20"/>
                <w:lang w:eastAsia="en-US"/>
              </w:rPr>
            </w:pPr>
            <w:r>
              <w:rPr>
                <w:rFonts w:ascii="Arial Narrow" w:hAnsi="Arial Narrow"/>
                <w:b/>
                <w:bCs/>
                <w:i/>
                <w:iCs/>
                <w:snapToGrid w:val="0"/>
                <w:sz w:val="20"/>
                <w:szCs w:val="20"/>
                <w:lang w:eastAsia="en-US"/>
              </w:rPr>
              <w:t xml:space="preserve">Administrative Advice: </w:t>
            </w:r>
          </w:p>
          <w:p w14:paraId="1A17C360" w14:textId="77777777" w:rsidR="00B455D5" w:rsidRDefault="00B455D5">
            <w:pPr>
              <w:widowControl w:val="0"/>
              <w:spacing w:line="256" w:lineRule="auto"/>
              <w:rPr>
                <w:rFonts w:ascii="Arial Narrow" w:hAnsi="Arial Narrow"/>
                <w:i/>
                <w:iCs/>
                <w:snapToGrid w:val="0"/>
                <w:sz w:val="20"/>
                <w:szCs w:val="20"/>
                <w:lang w:eastAsia="en-US"/>
              </w:rPr>
            </w:pPr>
            <w:r>
              <w:rPr>
                <w:rFonts w:ascii="Arial Narrow" w:hAnsi="Arial Narrow"/>
                <w:i/>
                <w:iCs/>
                <w:snapToGrid w:val="0"/>
                <w:sz w:val="20"/>
                <w:szCs w:val="20"/>
                <w:lang w:eastAsia="en-US"/>
              </w:rPr>
              <w:t>Non-steroidal aromatase inhibitors for the purposes of this restriction are anastrozole and letrozole</w:t>
            </w:r>
          </w:p>
        </w:tc>
      </w:tr>
      <w:tr w:rsidR="00860DF2" w:rsidRPr="00641661" w14:paraId="6DF7A1FF" w14:textId="77777777" w:rsidTr="00B5124C">
        <w:tblPrEx>
          <w:tblCellMar>
            <w:top w:w="15" w:type="dxa"/>
            <w:left w:w="15" w:type="dxa"/>
            <w:bottom w:w="15" w:type="dxa"/>
            <w:right w:w="15" w:type="dxa"/>
          </w:tblCellMar>
        </w:tblPrEx>
        <w:tc>
          <w:tcPr>
            <w:tcW w:w="1412" w:type="dxa"/>
            <w:gridSpan w:val="2"/>
            <w:shd w:val="clear" w:color="auto" w:fill="auto"/>
            <w:vAlign w:val="center"/>
          </w:tcPr>
          <w:p w14:paraId="0D798452" w14:textId="1C51D8C1" w:rsidR="00860DF2" w:rsidRPr="007F2E0C" w:rsidRDefault="00860DF2" w:rsidP="007A3B69">
            <w:pPr>
              <w:widowControl w:val="0"/>
              <w:jc w:val="center"/>
              <w:rPr>
                <w:rFonts w:ascii="Arial Narrow" w:hAnsi="Arial Narrow"/>
                <w:b/>
                <w:bCs/>
                <w:snapToGrid w:val="0"/>
                <w:sz w:val="20"/>
                <w:szCs w:val="20"/>
              </w:rPr>
            </w:pPr>
          </w:p>
        </w:tc>
        <w:tc>
          <w:tcPr>
            <w:tcW w:w="7655" w:type="dxa"/>
            <w:gridSpan w:val="7"/>
            <w:shd w:val="clear" w:color="auto" w:fill="auto"/>
            <w:vAlign w:val="center"/>
            <w:hideMark/>
          </w:tcPr>
          <w:p w14:paraId="09D5E67B" w14:textId="77777777" w:rsidR="00860DF2" w:rsidRPr="007F2E0C" w:rsidRDefault="00860DF2" w:rsidP="007A3B69">
            <w:pPr>
              <w:widowControl w:val="0"/>
              <w:rPr>
                <w:rFonts w:ascii="Arial Narrow" w:hAnsi="Arial Narrow"/>
                <w:bCs/>
                <w:snapToGrid w:val="0"/>
                <w:sz w:val="20"/>
                <w:szCs w:val="20"/>
              </w:rPr>
            </w:pPr>
            <w:r w:rsidRPr="007F2E0C">
              <w:rPr>
                <w:rFonts w:ascii="Arial Narrow" w:hAnsi="Arial Narrow"/>
                <w:b/>
                <w:bCs/>
                <w:snapToGrid w:val="0"/>
                <w:sz w:val="20"/>
                <w:szCs w:val="20"/>
              </w:rPr>
              <w:t>Indication:</w:t>
            </w:r>
            <w:r w:rsidRPr="007F2E0C">
              <w:rPr>
                <w:rFonts w:ascii="Arial Narrow" w:hAnsi="Arial Narrow"/>
                <w:bCs/>
                <w:snapToGrid w:val="0"/>
                <w:sz w:val="20"/>
                <w:szCs w:val="20"/>
              </w:rPr>
              <w:t xml:space="preserve"> Locally advanced or metastatic breast cancer</w:t>
            </w:r>
          </w:p>
        </w:tc>
      </w:tr>
      <w:tr w:rsidR="00860DF2" w:rsidRPr="00641661" w14:paraId="2C1A5DF3" w14:textId="77777777" w:rsidTr="00B5124C">
        <w:tblPrEx>
          <w:tblCellMar>
            <w:top w:w="15" w:type="dxa"/>
            <w:left w:w="15" w:type="dxa"/>
            <w:bottom w:w="15" w:type="dxa"/>
            <w:right w:w="15" w:type="dxa"/>
          </w:tblCellMar>
        </w:tblPrEx>
        <w:tc>
          <w:tcPr>
            <w:tcW w:w="1412" w:type="dxa"/>
            <w:gridSpan w:val="2"/>
            <w:shd w:val="clear" w:color="auto" w:fill="auto"/>
            <w:vAlign w:val="center"/>
          </w:tcPr>
          <w:p w14:paraId="500E9F02" w14:textId="77777777" w:rsidR="00860DF2" w:rsidRPr="007F2E0C" w:rsidRDefault="00860DF2" w:rsidP="007A3B69">
            <w:pPr>
              <w:widowControl w:val="0"/>
              <w:jc w:val="center"/>
              <w:rPr>
                <w:rFonts w:ascii="Arial Narrow" w:hAnsi="Arial Narrow"/>
                <w:b/>
                <w:bCs/>
                <w:snapToGrid w:val="0"/>
                <w:sz w:val="20"/>
                <w:szCs w:val="20"/>
              </w:rPr>
            </w:pPr>
          </w:p>
        </w:tc>
        <w:tc>
          <w:tcPr>
            <w:tcW w:w="7655" w:type="dxa"/>
            <w:gridSpan w:val="7"/>
            <w:shd w:val="clear" w:color="auto" w:fill="auto"/>
            <w:vAlign w:val="center"/>
            <w:hideMark/>
          </w:tcPr>
          <w:p w14:paraId="5BF6F4CE" w14:textId="77777777" w:rsidR="00860DF2" w:rsidRPr="007F2E0C" w:rsidRDefault="00860DF2" w:rsidP="007A3B69">
            <w:pPr>
              <w:widowControl w:val="0"/>
              <w:rPr>
                <w:rFonts w:ascii="Arial Narrow" w:hAnsi="Arial Narrow"/>
                <w:bCs/>
                <w:snapToGrid w:val="0"/>
                <w:sz w:val="20"/>
                <w:szCs w:val="20"/>
              </w:rPr>
            </w:pPr>
            <w:r w:rsidRPr="007F2E0C">
              <w:rPr>
                <w:rFonts w:ascii="Arial Narrow" w:hAnsi="Arial Narrow"/>
                <w:b/>
                <w:bCs/>
                <w:snapToGrid w:val="0"/>
                <w:sz w:val="20"/>
                <w:szCs w:val="20"/>
              </w:rPr>
              <w:t>Treatment Phase:</w:t>
            </w:r>
            <w:r w:rsidRPr="007F2E0C">
              <w:rPr>
                <w:rFonts w:ascii="Arial Narrow" w:hAnsi="Arial Narrow"/>
                <w:bCs/>
                <w:snapToGrid w:val="0"/>
                <w:sz w:val="20"/>
                <w:szCs w:val="20"/>
              </w:rPr>
              <w:t xml:space="preserve"> Initial treatment</w:t>
            </w:r>
          </w:p>
        </w:tc>
      </w:tr>
      <w:tr w:rsidR="00860DF2" w:rsidRPr="00641661" w14:paraId="01C0866E" w14:textId="77777777" w:rsidTr="00B5124C">
        <w:tblPrEx>
          <w:tblCellMar>
            <w:top w:w="15" w:type="dxa"/>
            <w:left w:w="15" w:type="dxa"/>
            <w:bottom w:w="15" w:type="dxa"/>
            <w:right w:w="15" w:type="dxa"/>
          </w:tblCellMar>
        </w:tblPrEx>
        <w:tc>
          <w:tcPr>
            <w:tcW w:w="1412" w:type="dxa"/>
            <w:gridSpan w:val="2"/>
            <w:shd w:val="clear" w:color="auto" w:fill="auto"/>
            <w:vAlign w:val="center"/>
          </w:tcPr>
          <w:p w14:paraId="0A930853" w14:textId="77777777" w:rsidR="00860DF2" w:rsidRPr="007F2E0C" w:rsidRDefault="00860DF2" w:rsidP="007A3B69">
            <w:pPr>
              <w:widowControl w:val="0"/>
              <w:jc w:val="center"/>
              <w:rPr>
                <w:rFonts w:ascii="Arial Narrow" w:hAnsi="Arial Narrow"/>
                <w:b/>
                <w:bCs/>
                <w:snapToGrid w:val="0"/>
                <w:sz w:val="20"/>
                <w:szCs w:val="20"/>
              </w:rPr>
            </w:pPr>
          </w:p>
        </w:tc>
        <w:tc>
          <w:tcPr>
            <w:tcW w:w="7655" w:type="dxa"/>
            <w:gridSpan w:val="7"/>
            <w:shd w:val="clear" w:color="auto" w:fill="auto"/>
            <w:vAlign w:val="center"/>
          </w:tcPr>
          <w:p w14:paraId="45B311D9" w14:textId="77777777" w:rsidR="00860DF2" w:rsidRPr="007F2E0C" w:rsidRDefault="00860DF2" w:rsidP="007A3B69">
            <w:pPr>
              <w:widowControl w:val="0"/>
              <w:rPr>
                <w:rFonts w:ascii="Arial Narrow" w:hAnsi="Arial Narrow"/>
                <w:b/>
                <w:bCs/>
                <w:snapToGrid w:val="0"/>
                <w:sz w:val="20"/>
                <w:szCs w:val="20"/>
              </w:rPr>
            </w:pPr>
            <w:r w:rsidRPr="007F2E0C">
              <w:rPr>
                <w:rFonts w:ascii="Arial Narrow" w:hAnsi="Arial Narrow"/>
                <w:b/>
                <w:bCs/>
                <w:snapToGrid w:val="0"/>
                <w:sz w:val="20"/>
                <w:szCs w:val="20"/>
              </w:rPr>
              <w:t>Clinical criteria:</w:t>
            </w:r>
          </w:p>
        </w:tc>
      </w:tr>
      <w:tr w:rsidR="00860DF2" w:rsidRPr="00641661" w14:paraId="13F47EC6" w14:textId="77777777" w:rsidTr="00B5124C">
        <w:tblPrEx>
          <w:tblCellMar>
            <w:top w:w="15" w:type="dxa"/>
            <w:left w:w="15" w:type="dxa"/>
            <w:bottom w:w="15" w:type="dxa"/>
            <w:right w:w="15" w:type="dxa"/>
          </w:tblCellMar>
        </w:tblPrEx>
        <w:trPr>
          <w:trHeight w:val="98"/>
        </w:trPr>
        <w:tc>
          <w:tcPr>
            <w:tcW w:w="1412" w:type="dxa"/>
            <w:gridSpan w:val="2"/>
            <w:shd w:val="clear" w:color="auto" w:fill="auto"/>
            <w:vAlign w:val="center"/>
          </w:tcPr>
          <w:p w14:paraId="51F1E035" w14:textId="0AF5375D" w:rsidR="00981380" w:rsidRPr="007F2E0C" w:rsidRDefault="00981380" w:rsidP="00B5124C">
            <w:pPr>
              <w:widowControl w:val="0"/>
              <w:jc w:val="center"/>
              <w:rPr>
                <w:rFonts w:ascii="Arial Narrow" w:hAnsi="Arial Narrow"/>
                <w:bCs/>
                <w:snapToGrid w:val="0"/>
                <w:sz w:val="20"/>
                <w:szCs w:val="20"/>
              </w:rPr>
            </w:pPr>
          </w:p>
        </w:tc>
        <w:tc>
          <w:tcPr>
            <w:tcW w:w="7655" w:type="dxa"/>
            <w:gridSpan w:val="7"/>
            <w:shd w:val="clear" w:color="auto" w:fill="auto"/>
            <w:vAlign w:val="center"/>
          </w:tcPr>
          <w:p w14:paraId="47333E94" w14:textId="54B7032C" w:rsidR="00860DF2" w:rsidRPr="007F2E0C" w:rsidRDefault="00860DF2" w:rsidP="007A3B69">
            <w:pPr>
              <w:widowControl w:val="0"/>
              <w:rPr>
                <w:rFonts w:ascii="Arial Narrow" w:hAnsi="Arial Narrow"/>
                <w:bCs/>
                <w:snapToGrid w:val="0"/>
                <w:sz w:val="20"/>
                <w:szCs w:val="20"/>
              </w:rPr>
            </w:pPr>
            <w:r w:rsidRPr="007F2E0C">
              <w:rPr>
                <w:rFonts w:ascii="Arial Narrow" w:hAnsi="Arial Narrow"/>
                <w:bCs/>
                <w:snapToGrid w:val="0"/>
                <w:sz w:val="20"/>
                <w:szCs w:val="20"/>
              </w:rPr>
              <w:t>Patient must be untreated with</w:t>
            </w:r>
            <w:r w:rsidR="00C064EC">
              <w:rPr>
                <w:rFonts w:ascii="Arial Narrow" w:hAnsi="Arial Narrow"/>
                <w:bCs/>
                <w:snapToGrid w:val="0"/>
                <w:sz w:val="20"/>
                <w:szCs w:val="20"/>
              </w:rPr>
              <w:t xml:space="preserve"> a </w:t>
            </w:r>
            <w:r w:rsidR="00B5124C">
              <w:rPr>
                <w:rFonts w:ascii="Arial Narrow" w:hAnsi="Arial Narrow"/>
                <w:bCs/>
                <w:snapToGrid w:val="0"/>
                <w:sz w:val="20"/>
                <w:szCs w:val="20"/>
              </w:rPr>
              <w:t>c</w:t>
            </w:r>
            <w:r w:rsidR="00C064EC">
              <w:rPr>
                <w:rFonts w:ascii="Arial Narrow" w:hAnsi="Arial Narrow"/>
                <w:bCs/>
                <w:snapToGrid w:val="0"/>
                <w:sz w:val="20"/>
                <w:szCs w:val="20"/>
              </w:rPr>
              <w:t>yclin-dependent kinase 4 and 6 (CDK4/6)</w:t>
            </w:r>
            <w:r w:rsidR="00981380">
              <w:rPr>
                <w:rFonts w:ascii="Arial Narrow" w:hAnsi="Arial Narrow"/>
                <w:bCs/>
                <w:snapToGrid w:val="0"/>
                <w:sz w:val="20"/>
                <w:szCs w:val="20"/>
              </w:rPr>
              <w:t xml:space="preserve"> inhibitor therapy</w:t>
            </w:r>
            <w:r w:rsidRPr="007F2E0C">
              <w:rPr>
                <w:rFonts w:ascii="Arial Narrow" w:hAnsi="Arial Narrow"/>
                <w:bCs/>
                <w:snapToGrid w:val="0"/>
                <w:sz w:val="20"/>
                <w:szCs w:val="20"/>
              </w:rPr>
              <w:t>; or</w:t>
            </w:r>
          </w:p>
        </w:tc>
      </w:tr>
      <w:tr w:rsidR="00860DF2" w:rsidRPr="00641661" w14:paraId="36500F7B" w14:textId="77777777" w:rsidTr="00B5124C">
        <w:tblPrEx>
          <w:tblCellMar>
            <w:top w:w="15" w:type="dxa"/>
            <w:left w:w="15" w:type="dxa"/>
            <w:bottom w:w="15" w:type="dxa"/>
            <w:right w:w="15" w:type="dxa"/>
          </w:tblCellMar>
        </w:tblPrEx>
        <w:tc>
          <w:tcPr>
            <w:tcW w:w="1412" w:type="dxa"/>
            <w:gridSpan w:val="2"/>
            <w:shd w:val="clear" w:color="auto" w:fill="auto"/>
            <w:vAlign w:val="center"/>
          </w:tcPr>
          <w:p w14:paraId="25B01E97" w14:textId="7C5996B1" w:rsidR="00981380" w:rsidRPr="007F2E0C" w:rsidRDefault="00981380" w:rsidP="007A3B69">
            <w:pPr>
              <w:widowControl w:val="0"/>
              <w:jc w:val="center"/>
              <w:rPr>
                <w:rFonts w:ascii="Arial Narrow" w:hAnsi="Arial Narrow"/>
                <w:bCs/>
                <w:snapToGrid w:val="0"/>
                <w:sz w:val="20"/>
                <w:szCs w:val="20"/>
              </w:rPr>
            </w:pPr>
          </w:p>
        </w:tc>
        <w:tc>
          <w:tcPr>
            <w:tcW w:w="7655" w:type="dxa"/>
            <w:gridSpan w:val="7"/>
            <w:shd w:val="clear" w:color="auto" w:fill="auto"/>
            <w:vAlign w:val="center"/>
            <w:hideMark/>
          </w:tcPr>
          <w:p w14:paraId="70924438" w14:textId="5C75784B" w:rsidR="00860DF2" w:rsidRPr="007F2E0C" w:rsidRDefault="00860DF2" w:rsidP="007A3B69">
            <w:pPr>
              <w:widowControl w:val="0"/>
              <w:rPr>
                <w:rFonts w:ascii="Arial Narrow" w:hAnsi="Arial Narrow"/>
                <w:bCs/>
                <w:snapToGrid w:val="0"/>
                <w:sz w:val="20"/>
                <w:szCs w:val="20"/>
              </w:rPr>
            </w:pPr>
            <w:r w:rsidRPr="007F2E0C">
              <w:rPr>
                <w:rFonts w:ascii="Arial Narrow" w:hAnsi="Arial Narrow"/>
                <w:bCs/>
                <w:snapToGrid w:val="0"/>
                <w:sz w:val="20"/>
                <w:szCs w:val="20"/>
              </w:rPr>
              <w:t xml:space="preserve">Patient must have developed an intolerance to </w:t>
            </w:r>
            <w:r w:rsidR="00981380">
              <w:rPr>
                <w:rFonts w:ascii="Arial Narrow" w:hAnsi="Arial Narrow"/>
                <w:bCs/>
                <w:snapToGrid w:val="0"/>
                <w:sz w:val="20"/>
                <w:szCs w:val="20"/>
              </w:rPr>
              <w:t xml:space="preserve">another CDK4/6 inhibitor therapy </w:t>
            </w:r>
            <w:r w:rsidRPr="007F2E0C">
              <w:rPr>
                <w:rFonts w:ascii="Arial Narrow" w:hAnsi="Arial Narrow"/>
                <w:bCs/>
                <w:snapToGrid w:val="0"/>
                <w:sz w:val="20"/>
                <w:szCs w:val="20"/>
              </w:rPr>
              <w:t>(other than this drug) of a severity necessitating permanent treatment withdrawal</w:t>
            </w:r>
          </w:p>
        </w:tc>
      </w:tr>
      <w:tr w:rsidR="00860DF2" w:rsidRPr="00641661" w14:paraId="11CA0196" w14:textId="77777777" w:rsidTr="00B5124C">
        <w:tblPrEx>
          <w:tblCellMar>
            <w:top w:w="15" w:type="dxa"/>
            <w:left w:w="15" w:type="dxa"/>
            <w:bottom w:w="15" w:type="dxa"/>
            <w:right w:w="15" w:type="dxa"/>
          </w:tblCellMar>
        </w:tblPrEx>
        <w:tc>
          <w:tcPr>
            <w:tcW w:w="1412" w:type="dxa"/>
            <w:gridSpan w:val="2"/>
            <w:shd w:val="clear" w:color="auto" w:fill="auto"/>
            <w:vAlign w:val="center"/>
          </w:tcPr>
          <w:p w14:paraId="386EB455" w14:textId="77777777" w:rsidR="00860DF2" w:rsidRPr="007F2E0C" w:rsidRDefault="00860DF2" w:rsidP="007A3B69">
            <w:pPr>
              <w:widowControl w:val="0"/>
              <w:jc w:val="center"/>
              <w:rPr>
                <w:rFonts w:ascii="Arial Narrow" w:hAnsi="Arial Narrow"/>
                <w:b/>
                <w:bCs/>
                <w:snapToGrid w:val="0"/>
                <w:sz w:val="20"/>
                <w:szCs w:val="20"/>
              </w:rPr>
            </w:pPr>
          </w:p>
        </w:tc>
        <w:tc>
          <w:tcPr>
            <w:tcW w:w="7655" w:type="dxa"/>
            <w:gridSpan w:val="7"/>
            <w:shd w:val="clear" w:color="auto" w:fill="auto"/>
            <w:vAlign w:val="center"/>
          </w:tcPr>
          <w:p w14:paraId="0A08E1C5" w14:textId="77777777" w:rsidR="00860DF2" w:rsidRPr="007F2E0C" w:rsidRDefault="00860DF2" w:rsidP="007A3B69">
            <w:pPr>
              <w:widowControl w:val="0"/>
              <w:rPr>
                <w:rFonts w:ascii="Arial Narrow" w:hAnsi="Arial Narrow"/>
                <w:b/>
                <w:bCs/>
                <w:snapToGrid w:val="0"/>
                <w:sz w:val="20"/>
                <w:szCs w:val="20"/>
              </w:rPr>
            </w:pPr>
            <w:r w:rsidRPr="007F2E0C">
              <w:rPr>
                <w:rFonts w:ascii="Arial Narrow" w:hAnsi="Arial Narrow"/>
                <w:b/>
                <w:sz w:val="20"/>
                <w:szCs w:val="20"/>
              </w:rPr>
              <w:t>AND</w:t>
            </w:r>
          </w:p>
        </w:tc>
      </w:tr>
      <w:tr w:rsidR="00860DF2" w:rsidRPr="00641661" w14:paraId="4250E10B" w14:textId="77777777" w:rsidTr="00B5124C">
        <w:tblPrEx>
          <w:tblCellMar>
            <w:top w:w="15" w:type="dxa"/>
            <w:left w:w="15" w:type="dxa"/>
            <w:bottom w:w="15" w:type="dxa"/>
            <w:right w:w="15" w:type="dxa"/>
          </w:tblCellMar>
        </w:tblPrEx>
        <w:tc>
          <w:tcPr>
            <w:tcW w:w="1412" w:type="dxa"/>
            <w:gridSpan w:val="2"/>
            <w:shd w:val="clear" w:color="auto" w:fill="auto"/>
            <w:vAlign w:val="center"/>
          </w:tcPr>
          <w:p w14:paraId="0DAB81C1" w14:textId="13F6EF14" w:rsidR="00860DF2" w:rsidRPr="007F2E0C" w:rsidRDefault="00860DF2" w:rsidP="007A3B69">
            <w:pPr>
              <w:widowControl w:val="0"/>
              <w:jc w:val="center"/>
              <w:rPr>
                <w:rFonts w:ascii="Arial Narrow" w:hAnsi="Arial Narrow"/>
                <w:b/>
                <w:bCs/>
                <w:snapToGrid w:val="0"/>
                <w:sz w:val="20"/>
                <w:szCs w:val="20"/>
              </w:rPr>
            </w:pPr>
          </w:p>
        </w:tc>
        <w:tc>
          <w:tcPr>
            <w:tcW w:w="7655" w:type="dxa"/>
            <w:gridSpan w:val="7"/>
            <w:shd w:val="clear" w:color="auto" w:fill="auto"/>
            <w:vAlign w:val="center"/>
            <w:hideMark/>
          </w:tcPr>
          <w:p w14:paraId="079D8DAD" w14:textId="77777777" w:rsidR="00860DF2" w:rsidRPr="007F2E0C" w:rsidRDefault="00860DF2" w:rsidP="007A3B69">
            <w:pPr>
              <w:widowControl w:val="0"/>
              <w:rPr>
                <w:rFonts w:ascii="Arial Narrow" w:hAnsi="Arial Narrow"/>
                <w:bCs/>
                <w:snapToGrid w:val="0"/>
                <w:sz w:val="20"/>
                <w:szCs w:val="20"/>
              </w:rPr>
            </w:pPr>
            <w:r w:rsidRPr="007F2E0C">
              <w:rPr>
                <w:rFonts w:ascii="Arial Narrow" w:hAnsi="Arial Narrow"/>
                <w:b/>
                <w:bCs/>
                <w:snapToGrid w:val="0"/>
                <w:sz w:val="20"/>
                <w:szCs w:val="20"/>
              </w:rPr>
              <w:t>Clinical criteria:</w:t>
            </w:r>
          </w:p>
        </w:tc>
      </w:tr>
      <w:tr w:rsidR="00860DF2" w:rsidRPr="00641661" w14:paraId="22A7971C" w14:textId="77777777" w:rsidTr="00B5124C">
        <w:tblPrEx>
          <w:tblCellMar>
            <w:top w:w="15" w:type="dxa"/>
            <w:left w:w="15" w:type="dxa"/>
            <w:bottom w:w="15" w:type="dxa"/>
            <w:right w:w="15" w:type="dxa"/>
          </w:tblCellMar>
        </w:tblPrEx>
        <w:tc>
          <w:tcPr>
            <w:tcW w:w="1412" w:type="dxa"/>
            <w:gridSpan w:val="2"/>
            <w:shd w:val="clear" w:color="auto" w:fill="auto"/>
            <w:vAlign w:val="center"/>
          </w:tcPr>
          <w:p w14:paraId="33D62981" w14:textId="033E7F9A" w:rsidR="00860DF2" w:rsidRPr="007F2E0C" w:rsidRDefault="00860DF2" w:rsidP="007A3B69">
            <w:pPr>
              <w:widowControl w:val="0"/>
              <w:jc w:val="center"/>
              <w:rPr>
                <w:rFonts w:ascii="Arial Narrow" w:hAnsi="Arial Narrow"/>
                <w:bCs/>
                <w:snapToGrid w:val="0"/>
                <w:sz w:val="20"/>
                <w:szCs w:val="20"/>
              </w:rPr>
            </w:pPr>
          </w:p>
        </w:tc>
        <w:tc>
          <w:tcPr>
            <w:tcW w:w="7655" w:type="dxa"/>
            <w:gridSpan w:val="7"/>
            <w:shd w:val="clear" w:color="auto" w:fill="auto"/>
            <w:vAlign w:val="center"/>
            <w:hideMark/>
          </w:tcPr>
          <w:p w14:paraId="3A0310C8" w14:textId="77777777" w:rsidR="00860DF2" w:rsidRPr="007F2E0C" w:rsidRDefault="00860DF2" w:rsidP="007A3B69">
            <w:pPr>
              <w:widowControl w:val="0"/>
              <w:rPr>
                <w:rFonts w:ascii="Arial Narrow" w:hAnsi="Arial Narrow"/>
                <w:bCs/>
                <w:snapToGrid w:val="0"/>
                <w:sz w:val="20"/>
                <w:szCs w:val="20"/>
              </w:rPr>
            </w:pPr>
            <w:r w:rsidRPr="007F2E0C">
              <w:rPr>
                <w:rFonts w:ascii="Arial Narrow" w:hAnsi="Arial Narrow"/>
                <w:bCs/>
                <w:snapToGrid w:val="0"/>
                <w:sz w:val="20"/>
                <w:szCs w:val="20"/>
              </w:rPr>
              <w:t>The condition must be hormone receptor positive</w:t>
            </w:r>
          </w:p>
        </w:tc>
      </w:tr>
      <w:tr w:rsidR="00860DF2" w:rsidRPr="00641661" w14:paraId="67C40142" w14:textId="77777777" w:rsidTr="00B5124C">
        <w:tblPrEx>
          <w:tblCellMar>
            <w:top w:w="15" w:type="dxa"/>
            <w:left w:w="15" w:type="dxa"/>
            <w:bottom w:w="15" w:type="dxa"/>
            <w:right w:w="15" w:type="dxa"/>
          </w:tblCellMar>
        </w:tblPrEx>
        <w:tc>
          <w:tcPr>
            <w:tcW w:w="1412" w:type="dxa"/>
            <w:gridSpan w:val="2"/>
            <w:shd w:val="clear" w:color="auto" w:fill="auto"/>
            <w:vAlign w:val="center"/>
          </w:tcPr>
          <w:p w14:paraId="125CC778" w14:textId="77777777" w:rsidR="00860DF2" w:rsidRPr="007F2E0C" w:rsidRDefault="00860DF2" w:rsidP="007A3B69">
            <w:pPr>
              <w:widowControl w:val="0"/>
              <w:jc w:val="center"/>
              <w:rPr>
                <w:rFonts w:ascii="Arial Narrow" w:hAnsi="Arial Narrow"/>
                <w:b/>
                <w:bCs/>
                <w:snapToGrid w:val="0"/>
                <w:sz w:val="20"/>
                <w:szCs w:val="20"/>
              </w:rPr>
            </w:pPr>
          </w:p>
        </w:tc>
        <w:tc>
          <w:tcPr>
            <w:tcW w:w="7655" w:type="dxa"/>
            <w:gridSpan w:val="7"/>
            <w:shd w:val="clear" w:color="auto" w:fill="auto"/>
            <w:vAlign w:val="center"/>
            <w:hideMark/>
          </w:tcPr>
          <w:p w14:paraId="0C5D0636" w14:textId="77777777" w:rsidR="00860DF2" w:rsidRPr="007F2E0C" w:rsidRDefault="00860DF2" w:rsidP="007A3B69">
            <w:pPr>
              <w:widowControl w:val="0"/>
              <w:rPr>
                <w:rFonts w:ascii="Arial Narrow" w:hAnsi="Arial Narrow"/>
                <w:bCs/>
                <w:snapToGrid w:val="0"/>
                <w:sz w:val="20"/>
                <w:szCs w:val="20"/>
              </w:rPr>
            </w:pPr>
            <w:r w:rsidRPr="007F2E0C">
              <w:rPr>
                <w:rFonts w:ascii="Arial Narrow" w:hAnsi="Arial Narrow"/>
                <w:b/>
                <w:bCs/>
                <w:snapToGrid w:val="0"/>
                <w:sz w:val="20"/>
                <w:szCs w:val="20"/>
              </w:rPr>
              <w:t>AND</w:t>
            </w:r>
          </w:p>
        </w:tc>
      </w:tr>
      <w:tr w:rsidR="00860DF2" w:rsidRPr="00641661" w14:paraId="4DE1FF2B" w14:textId="77777777" w:rsidTr="00B5124C">
        <w:tblPrEx>
          <w:tblCellMar>
            <w:top w:w="15" w:type="dxa"/>
            <w:left w:w="15" w:type="dxa"/>
            <w:bottom w:w="15" w:type="dxa"/>
            <w:right w:w="15" w:type="dxa"/>
          </w:tblCellMar>
        </w:tblPrEx>
        <w:tc>
          <w:tcPr>
            <w:tcW w:w="1412" w:type="dxa"/>
            <w:gridSpan w:val="2"/>
            <w:shd w:val="clear" w:color="auto" w:fill="auto"/>
            <w:vAlign w:val="center"/>
          </w:tcPr>
          <w:p w14:paraId="6571314B" w14:textId="0FB1E64E" w:rsidR="00860DF2" w:rsidRPr="007F2E0C" w:rsidRDefault="00860DF2" w:rsidP="007A3B69">
            <w:pPr>
              <w:widowControl w:val="0"/>
              <w:jc w:val="center"/>
              <w:rPr>
                <w:rFonts w:ascii="Arial Narrow" w:hAnsi="Arial Narrow"/>
                <w:b/>
                <w:bCs/>
                <w:snapToGrid w:val="0"/>
                <w:sz w:val="20"/>
                <w:szCs w:val="20"/>
              </w:rPr>
            </w:pPr>
          </w:p>
        </w:tc>
        <w:tc>
          <w:tcPr>
            <w:tcW w:w="7655" w:type="dxa"/>
            <w:gridSpan w:val="7"/>
            <w:shd w:val="clear" w:color="auto" w:fill="auto"/>
            <w:vAlign w:val="center"/>
            <w:hideMark/>
          </w:tcPr>
          <w:p w14:paraId="427CEECD" w14:textId="77777777" w:rsidR="00860DF2" w:rsidRPr="007F2E0C" w:rsidRDefault="00860DF2" w:rsidP="007A3B69">
            <w:pPr>
              <w:widowControl w:val="0"/>
              <w:rPr>
                <w:rFonts w:ascii="Arial Narrow" w:hAnsi="Arial Narrow"/>
                <w:bCs/>
                <w:snapToGrid w:val="0"/>
                <w:sz w:val="20"/>
                <w:szCs w:val="20"/>
              </w:rPr>
            </w:pPr>
            <w:r w:rsidRPr="007F2E0C">
              <w:rPr>
                <w:rFonts w:ascii="Arial Narrow" w:hAnsi="Arial Narrow"/>
                <w:b/>
                <w:bCs/>
                <w:snapToGrid w:val="0"/>
                <w:sz w:val="20"/>
                <w:szCs w:val="20"/>
              </w:rPr>
              <w:t>Clinical criteria:</w:t>
            </w:r>
          </w:p>
        </w:tc>
      </w:tr>
      <w:tr w:rsidR="00860DF2" w:rsidRPr="00641661" w14:paraId="79A7AC7F" w14:textId="77777777" w:rsidTr="00B5124C">
        <w:tblPrEx>
          <w:tblCellMar>
            <w:top w:w="15" w:type="dxa"/>
            <w:left w:w="15" w:type="dxa"/>
            <w:bottom w:w="15" w:type="dxa"/>
            <w:right w:w="15" w:type="dxa"/>
          </w:tblCellMar>
        </w:tblPrEx>
        <w:tc>
          <w:tcPr>
            <w:tcW w:w="1412" w:type="dxa"/>
            <w:gridSpan w:val="2"/>
            <w:shd w:val="clear" w:color="auto" w:fill="auto"/>
            <w:vAlign w:val="center"/>
          </w:tcPr>
          <w:p w14:paraId="72070682" w14:textId="36DCEA06" w:rsidR="00860DF2" w:rsidRPr="007F2E0C" w:rsidRDefault="00860DF2" w:rsidP="007A3B69">
            <w:pPr>
              <w:widowControl w:val="0"/>
              <w:jc w:val="center"/>
              <w:rPr>
                <w:rFonts w:ascii="Arial Narrow" w:hAnsi="Arial Narrow"/>
                <w:bCs/>
                <w:snapToGrid w:val="0"/>
                <w:sz w:val="20"/>
                <w:szCs w:val="20"/>
              </w:rPr>
            </w:pPr>
          </w:p>
        </w:tc>
        <w:tc>
          <w:tcPr>
            <w:tcW w:w="7655" w:type="dxa"/>
            <w:gridSpan w:val="7"/>
            <w:shd w:val="clear" w:color="auto" w:fill="auto"/>
            <w:vAlign w:val="center"/>
            <w:hideMark/>
          </w:tcPr>
          <w:p w14:paraId="1291AD07" w14:textId="77777777" w:rsidR="00860DF2" w:rsidRPr="007F2E0C" w:rsidRDefault="00860DF2" w:rsidP="007A3B69">
            <w:pPr>
              <w:widowControl w:val="0"/>
              <w:rPr>
                <w:rFonts w:ascii="Arial Narrow" w:hAnsi="Arial Narrow"/>
                <w:bCs/>
                <w:snapToGrid w:val="0"/>
                <w:sz w:val="20"/>
                <w:szCs w:val="20"/>
              </w:rPr>
            </w:pPr>
            <w:r w:rsidRPr="007F2E0C">
              <w:rPr>
                <w:rFonts w:ascii="Arial Narrow" w:hAnsi="Arial Narrow"/>
                <w:bCs/>
                <w:snapToGrid w:val="0"/>
                <w:sz w:val="20"/>
                <w:szCs w:val="20"/>
              </w:rPr>
              <w:t>The condition must be human epidermal growth factor receptor 2 (HER2) negative</w:t>
            </w:r>
          </w:p>
        </w:tc>
      </w:tr>
      <w:tr w:rsidR="00860DF2" w:rsidRPr="00641661" w14:paraId="5AA55528" w14:textId="77777777" w:rsidTr="00B5124C">
        <w:tblPrEx>
          <w:tblCellMar>
            <w:top w:w="15" w:type="dxa"/>
            <w:left w:w="15" w:type="dxa"/>
            <w:bottom w:w="15" w:type="dxa"/>
            <w:right w:w="15" w:type="dxa"/>
          </w:tblCellMar>
        </w:tblPrEx>
        <w:tc>
          <w:tcPr>
            <w:tcW w:w="1412" w:type="dxa"/>
            <w:gridSpan w:val="2"/>
            <w:shd w:val="clear" w:color="auto" w:fill="auto"/>
            <w:vAlign w:val="center"/>
          </w:tcPr>
          <w:p w14:paraId="309184DD" w14:textId="77777777" w:rsidR="00860DF2" w:rsidRPr="007F2E0C" w:rsidRDefault="00860DF2" w:rsidP="007A3B69">
            <w:pPr>
              <w:widowControl w:val="0"/>
              <w:jc w:val="center"/>
              <w:rPr>
                <w:rFonts w:ascii="Arial Narrow" w:hAnsi="Arial Narrow"/>
                <w:b/>
                <w:bCs/>
                <w:snapToGrid w:val="0"/>
                <w:sz w:val="20"/>
                <w:szCs w:val="20"/>
              </w:rPr>
            </w:pPr>
          </w:p>
        </w:tc>
        <w:tc>
          <w:tcPr>
            <w:tcW w:w="7655" w:type="dxa"/>
            <w:gridSpan w:val="7"/>
            <w:shd w:val="clear" w:color="auto" w:fill="auto"/>
            <w:vAlign w:val="center"/>
            <w:hideMark/>
          </w:tcPr>
          <w:p w14:paraId="59A2EE85" w14:textId="77777777" w:rsidR="00860DF2" w:rsidRPr="007F2E0C" w:rsidRDefault="00860DF2" w:rsidP="007A3B69">
            <w:pPr>
              <w:widowControl w:val="0"/>
              <w:rPr>
                <w:rFonts w:ascii="Arial Narrow" w:hAnsi="Arial Narrow"/>
                <w:bCs/>
                <w:snapToGrid w:val="0"/>
                <w:sz w:val="20"/>
                <w:szCs w:val="20"/>
              </w:rPr>
            </w:pPr>
            <w:r w:rsidRPr="007F2E0C">
              <w:rPr>
                <w:rFonts w:ascii="Arial Narrow" w:hAnsi="Arial Narrow"/>
                <w:b/>
                <w:bCs/>
                <w:snapToGrid w:val="0"/>
                <w:sz w:val="20"/>
                <w:szCs w:val="20"/>
              </w:rPr>
              <w:t>AND</w:t>
            </w:r>
          </w:p>
        </w:tc>
      </w:tr>
      <w:tr w:rsidR="00860DF2" w:rsidRPr="00641661" w14:paraId="4372E0A1" w14:textId="77777777" w:rsidTr="00B5124C">
        <w:tblPrEx>
          <w:tblCellMar>
            <w:top w:w="15" w:type="dxa"/>
            <w:left w:w="15" w:type="dxa"/>
            <w:bottom w:w="15" w:type="dxa"/>
            <w:right w:w="15" w:type="dxa"/>
          </w:tblCellMar>
        </w:tblPrEx>
        <w:tc>
          <w:tcPr>
            <w:tcW w:w="1412" w:type="dxa"/>
            <w:gridSpan w:val="2"/>
            <w:shd w:val="clear" w:color="auto" w:fill="auto"/>
            <w:vAlign w:val="center"/>
          </w:tcPr>
          <w:p w14:paraId="13C0CE81" w14:textId="540AAEB0" w:rsidR="00860DF2" w:rsidRPr="007F2E0C" w:rsidRDefault="00860DF2" w:rsidP="007A3B69">
            <w:pPr>
              <w:widowControl w:val="0"/>
              <w:jc w:val="center"/>
              <w:rPr>
                <w:rFonts w:ascii="Arial Narrow" w:hAnsi="Arial Narrow"/>
                <w:b/>
                <w:bCs/>
                <w:snapToGrid w:val="0"/>
                <w:sz w:val="20"/>
                <w:szCs w:val="20"/>
              </w:rPr>
            </w:pPr>
          </w:p>
        </w:tc>
        <w:tc>
          <w:tcPr>
            <w:tcW w:w="7655" w:type="dxa"/>
            <w:gridSpan w:val="7"/>
            <w:shd w:val="clear" w:color="auto" w:fill="auto"/>
            <w:vAlign w:val="center"/>
            <w:hideMark/>
          </w:tcPr>
          <w:p w14:paraId="66BEDEB6" w14:textId="77777777" w:rsidR="00860DF2" w:rsidRPr="007F2E0C" w:rsidRDefault="00860DF2" w:rsidP="007A3B69">
            <w:pPr>
              <w:widowControl w:val="0"/>
              <w:rPr>
                <w:rFonts w:ascii="Arial Narrow" w:hAnsi="Arial Narrow"/>
                <w:bCs/>
                <w:snapToGrid w:val="0"/>
                <w:sz w:val="20"/>
                <w:szCs w:val="20"/>
              </w:rPr>
            </w:pPr>
            <w:r w:rsidRPr="007F2E0C">
              <w:rPr>
                <w:rFonts w:ascii="Arial Narrow" w:hAnsi="Arial Narrow"/>
                <w:b/>
                <w:bCs/>
                <w:snapToGrid w:val="0"/>
                <w:sz w:val="20"/>
                <w:szCs w:val="20"/>
              </w:rPr>
              <w:t>Clinical criteria:</w:t>
            </w:r>
          </w:p>
        </w:tc>
      </w:tr>
      <w:tr w:rsidR="00860DF2" w:rsidRPr="00641661" w14:paraId="0D210993" w14:textId="77777777" w:rsidTr="00B5124C">
        <w:tblPrEx>
          <w:tblCellMar>
            <w:top w:w="15" w:type="dxa"/>
            <w:left w:w="15" w:type="dxa"/>
            <w:bottom w:w="15" w:type="dxa"/>
            <w:right w:w="15" w:type="dxa"/>
          </w:tblCellMar>
        </w:tblPrEx>
        <w:tc>
          <w:tcPr>
            <w:tcW w:w="1412" w:type="dxa"/>
            <w:gridSpan w:val="2"/>
            <w:shd w:val="clear" w:color="auto" w:fill="auto"/>
            <w:vAlign w:val="center"/>
          </w:tcPr>
          <w:p w14:paraId="29206BA3" w14:textId="38DC6CDB" w:rsidR="00860DF2" w:rsidRPr="007F2E0C" w:rsidRDefault="00860DF2" w:rsidP="007A3B69">
            <w:pPr>
              <w:widowControl w:val="0"/>
              <w:jc w:val="center"/>
              <w:rPr>
                <w:rFonts w:ascii="Arial Narrow" w:hAnsi="Arial Narrow"/>
                <w:bCs/>
                <w:snapToGrid w:val="0"/>
                <w:sz w:val="20"/>
                <w:szCs w:val="20"/>
              </w:rPr>
            </w:pPr>
          </w:p>
        </w:tc>
        <w:tc>
          <w:tcPr>
            <w:tcW w:w="7655" w:type="dxa"/>
            <w:gridSpan w:val="7"/>
            <w:shd w:val="clear" w:color="auto" w:fill="auto"/>
            <w:vAlign w:val="center"/>
            <w:hideMark/>
          </w:tcPr>
          <w:p w14:paraId="5BCE1C50" w14:textId="77777777" w:rsidR="00860DF2" w:rsidRPr="007F2E0C" w:rsidRDefault="00860DF2" w:rsidP="007A3B69">
            <w:pPr>
              <w:widowControl w:val="0"/>
              <w:rPr>
                <w:rFonts w:ascii="Arial Narrow" w:hAnsi="Arial Narrow"/>
                <w:bCs/>
                <w:snapToGrid w:val="0"/>
                <w:sz w:val="20"/>
                <w:szCs w:val="20"/>
              </w:rPr>
            </w:pPr>
            <w:r w:rsidRPr="007F2E0C">
              <w:rPr>
                <w:rFonts w:ascii="Arial Narrow" w:hAnsi="Arial Narrow"/>
                <w:bCs/>
                <w:snapToGrid w:val="0"/>
                <w:sz w:val="20"/>
                <w:szCs w:val="20"/>
              </w:rPr>
              <w:t>The condition must be inoperable</w:t>
            </w:r>
          </w:p>
        </w:tc>
      </w:tr>
      <w:tr w:rsidR="00860DF2" w:rsidRPr="00641661" w14:paraId="4003A429" w14:textId="77777777" w:rsidTr="00B5124C">
        <w:tblPrEx>
          <w:tblCellMar>
            <w:top w:w="15" w:type="dxa"/>
            <w:left w:w="15" w:type="dxa"/>
            <w:bottom w:w="15" w:type="dxa"/>
            <w:right w:w="15" w:type="dxa"/>
          </w:tblCellMar>
        </w:tblPrEx>
        <w:tc>
          <w:tcPr>
            <w:tcW w:w="1412" w:type="dxa"/>
            <w:gridSpan w:val="2"/>
            <w:shd w:val="clear" w:color="auto" w:fill="auto"/>
            <w:vAlign w:val="center"/>
          </w:tcPr>
          <w:p w14:paraId="4778FE14" w14:textId="77777777" w:rsidR="00860DF2" w:rsidRPr="007F2E0C" w:rsidRDefault="00860DF2" w:rsidP="007A3B69">
            <w:pPr>
              <w:widowControl w:val="0"/>
              <w:jc w:val="center"/>
              <w:rPr>
                <w:rFonts w:ascii="Arial Narrow" w:hAnsi="Arial Narrow"/>
                <w:b/>
                <w:bCs/>
                <w:snapToGrid w:val="0"/>
                <w:sz w:val="20"/>
                <w:szCs w:val="20"/>
              </w:rPr>
            </w:pPr>
          </w:p>
        </w:tc>
        <w:tc>
          <w:tcPr>
            <w:tcW w:w="7655" w:type="dxa"/>
            <w:gridSpan w:val="7"/>
            <w:shd w:val="clear" w:color="auto" w:fill="auto"/>
            <w:vAlign w:val="center"/>
            <w:hideMark/>
          </w:tcPr>
          <w:p w14:paraId="07B82F85" w14:textId="77777777" w:rsidR="00860DF2" w:rsidRPr="007F2E0C" w:rsidRDefault="00860DF2" w:rsidP="007A3B69">
            <w:pPr>
              <w:widowControl w:val="0"/>
              <w:rPr>
                <w:rFonts w:ascii="Arial Narrow" w:hAnsi="Arial Narrow"/>
                <w:bCs/>
                <w:snapToGrid w:val="0"/>
                <w:sz w:val="20"/>
                <w:szCs w:val="20"/>
              </w:rPr>
            </w:pPr>
            <w:r w:rsidRPr="007F2E0C">
              <w:rPr>
                <w:rFonts w:ascii="Arial Narrow" w:hAnsi="Arial Narrow"/>
                <w:b/>
                <w:bCs/>
                <w:snapToGrid w:val="0"/>
                <w:sz w:val="20"/>
                <w:szCs w:val="20"/>
              </w:rPr>
              <w:t>AND</w:t>
            </w:r>
          </w:p>
        </w:tc>
      </w:tr>
      <w:tr w:rsidR="00860DF2" w:rsidRPr="00641661" w14:paraId="26A1CE8D" w14:textId="77777777" w:rsidTr="00B5124C">
        <w:tblPrEx>
          <w:tblCellMar>
            <w:top w:w="15" w:type="dxa"/>
            <w:left w:w="15" w:type="dxa"/>
            <w:bottom w:w="15" w:type="dxa"/>
            <w:right w:w="15" w:type="dxa"/>
          </w:tblCellMar>
        </w:tblPrEx>
        <w:tc>
          <w:tcPr>
            <w:tcW w:w="1412" w:type="dxa"/>
            <w:gridSpan w:val="2"/>
            <w:shd w:val="clear" w:color="auto" w:fill="auto"/>
            <w:vAlign w:val="center"/>
          </w:tcPr>
          <w:p w14:paraId="66BD7E20" w14:textId="7B48DC01" w:rsidR="00860DF2" w:rsidRPr="007F2E0C" w:rsidRDefault="00860DF2" w:rsidP="007A3B69">
            <w:pPr>
              <w:widowControl w:val="0"/>
              <w:jc w:val="center"/>
              <w:rPr>
                <w:rFonts w:ascii="Arial Narrow" w:hAnsi="Arial Narrow"/>
                <w:b/>
                <w:bCs/>
                <w:snapToGrid w:val="0"/>
                <w:sz w:val="20"/>
                <w:szCs w:val="20"/>
              </w:rPr>
            </w:pPr>
          </w:p>
        </w:tc>
        <w:tc>
          <w:tcPr>
            <w:tcW w:w="7655" w:type="dxa"/>
            <w:gridSpan w:val="7"/>
            <w:shd w:val="clear" w:color="auto" w:fill="auto"/>
            <w:vAlign w:val="center"/>
            <w:hideMark/>
          </w:tcPr>
          <w:p w14:paraId="0E9C8B89" w14:textId="77777777" w:rsidR="00860DF2" w:rsidRPr="007F2E0C" w:rsidRDefault="00860DF2" w:rsidP="007A3B69">
            <w:pPr>
              <w:widowControl w:val="0"/>
              <w:rPr>
                <w:rFonts w:ascii="Arial Narrow" w:hAnsi="Arial Narrow"/>
                <w:bCs/>
                <w:snapToGrid w:val="0"/>
                <w:sz w:val="20"/>
                <w:szCs w:val="20"/>
              </w:rPr>
            </w:pPr>
            <w:r w:rsidRPr="007F2E0C">
              <w:rPr>
                <w:rFonts w:ascii="Arial Narrow" w:hAnsi="Arial Narrow"/>
                <w:b/>
                <w:bCs/>
                <w:snapToGrid w:val="0"/>
                <w:sz w:val="20"/>
                <w:szCs w:val="20"/>
              </w:rPr>
              <w:t>Clinical criteria:</w:t>
            </w:r>
          </w:p>
        </w:tc>
      </w:tr>
      <w:tr w:rsidR="00860DF2" w:rsidRPr="00641661" w14:paraId="648CFDC7" w14:textId="77777777" w:rsidTr="00B5124C">
        <w:tblPrEx>
          <w:tblCellMar>
            <w:top w:w="15" w:type="dxa"/>
            <w:left w:w="15" w:type="dxa"/>
            <w:bottom w:w="15" w:type="dxa"/>
            <w:right w:w="15" w:type="dxa"/>
          </w:tblCellMar>
        </w:tblPrEx>
        <w:tc>
          <w:tcPr>
            <w:tcW w:w="1412" w:type="dxa"/>
            <w:gridSpan w:val="2"/>
            <w:shd w:val="clear" w:color="auto" w:fill="auto"/>
            <w:vAlign w:val="center"/>
          </w:tcPr>
          <w:p w14:paraId="287DD183" w14:textId="352D1963" w:rsidR="00860DF2" w:rsidRPr="007F2E0C" w:rsidRDefault="00860DF2" w:rsidP="007A3B69">
            <w:pPr>
              <w:widowControl w:val="0"/>
              <w:jc w:val="center"/>
              <w:rPr>
                <w:rFonts w:ascii="Arial Narrow" w:hAnsi="Arial Narrow"/>
                <w:bCs/>
                <w:snapToGrid w:val="0"/>
                <w:sz w:val="20"/>
                <w:szCs w:val="20"/>
              </w:rPr>
            </w:pPr>
          </w:p>
        </w:tc>
        <w:tc>
          <w:tcPr>
            <w:tcW w:w="7655" w:type="dxa"/>
            <w:gridSpan w:val="7"/>
            <w:shd w:val="clear" w:color="auto" w:fill="auto"/>
            <w:vAlign w:val="center"/>
            <w:hideMark/>
          </w:tcPr>
          <w:p w14:paraId="7DDB63B4" w14:textId="77777777" w:rsidR="00860DF2" w:rsidRPr="007F2E0C" w:rsidRDefault="00860DF2" w:rsidP="007A3B69">
            <w:pPr>
              <w:widowControl w:val="0"/>
              <w:rPr>
                <w:rFonts w:ascii="Arial Narrow" w:hAnsi="Arial Narrow"/>
                <w:bCs/>
                <w:snapToGrid w:val="0"/>
                <w:sz w:val="20"/>
                <w:szCs w:val="20"/>
              </w:rPr>
            </w:pPr>
            <w:r w:rsidRPr="007F2E0C">
              <w:rPr>
                <w:rFonts w:ascii="Arial Narrow" w:hAnsi="Arial Narrow"/>
                <w:bCs/>
                <w:snapToGrid w:val="0"/>
                <w:sz w:val="20"/>
                <w:szCs w:val="20"/>
              </w:rPr>
              <w:t>Patient must have a World Health Organisation (WHO) Eastern Cooperative Oncology Group (ECOG) performance status score of 2 or less</w:t>
            </w:r>
          </w:p>
        </w:tc>
      </w:tr>
      <w:tr w:rsidR="00860DF2" w:rsidRPr="00641661" w14:paraId="08EA3C26" w14:textId="77777777" w:rsidTr="00B5124C">
        <w:tblPrEx>
          <w:tblCellMar>
            <w:top w:w="15" w:type="dxa"/>
            <w:left w:w="15" w:type="dxa"/>
            <w:bottom w:w="15" w:type="dxa"/>
            <w:right w:w="15" w:type="dxa"/>
          </w:tblCellMar>
        </w:tblPrEx>
        <w:tc>
          <w:tcPr>
            <w:tcW w:w="1412" w:type="dxa"/>
            <w:gridSpan w:val="2"/>
            <w:shd w:val="clear" w:color="auto" w:fill="auto"/>
            <w:vAlign w:val="center"/>
          </w:tcPr>
          <w:p w14:paraId="0FF0B235" w14:textId="77777777" w:rsidR="00860DF2" w:rsidRPr="007F2E0C" w:rsidRDefault="00860DF2" w:rsidP="007A3B69">
            <w:pPr>
              <w:widowControl w:val="0"/>
              <w:jc w:val="center"/>
              <w:rPr>
                <w:rFonts w:ascii="Arial Narrow" w:hAnsi="Arial Narrow"/>
                <w:b/>
                <w:bCs/>
                <w:snapToGrid w:val="0"/>
                <w:sz w:val="20"/>
                <w:szCs w:val="20"/>
              </w:rPr>
            </w:pPr>
          </w:p>
        </w:tc>
        <w:tc>
          <w:tcPr>
            <w:tcW w:w="7655" w:type="dxa"/>
            <w:gridSpan w:val="7"/>
            <w:shd w:val="clear" w:color="auto" w:fill="auto"/>
            <w:vAlign w:val="center"/>
            <w:hideMark/>
          </w:tcPr>
          <w:p w14:paraId="1FF158D9" w14:textId="77777777" w:rsidR="00860DF2" w:rsidRPr="007F2E0C" w:rsidRDefault="00860DF2" w:rsidP="007A3B69">
            <w:pPr>
              <w:widowControl w:val="0"/>
              <w:rPr>
                <w:rFonts w:ascii="Arial Narrow" w:hAnsi="Arial Narrow"/>
                <w:bCs/>
                <w:snapToGrid w:val="0"/>
                <w:sz w:val="20"/>
                <w:szCs w:val="20"/>
              </w:rPr>
            </w:pPr>
            <w:r w:rsidRPr="007F2E0C">
              <w:rPr>
                <w:rFonts w:ascii="Arial Narrow" w:hAnsi="Arial Narrow"/>
                <w:b/>
                <w:bCs/>
                <w:snapToGrid w:val="0"/>
                <w:sz w:val="20"/>
                <w:szCs w:val="20"/>
              </w:rPr>
              <w:t>AND</w:t>
            </w:r>
          </w:p>
        </w:tc>
      </w:tr>
      <w:tr w:rsidR="00860DF2" w:rsidRPr="00641661" w14:paraId="06B4652F" w14:textId="77777777" w:rsidTr="00B5124C">
        <w:tblPrEx>
          <w:tblCellMar>
            <w:top w:w="15" w:type="dxa"/>
            <w:left w:w="15" w:type="dxa"/>
            <w:bottom w:w="15" w:type="dxa"/>
            <w:right w:w="15" w:type="dxa"/>
          </w:tblCellMar>
        </w:tblPrEx>
        <w:tc>
          <w:tcPr>
            <w:tcW w:w="1412" w:type="dxa"/>
            <w:gridSpan w:val="2"/>
            <w:shd w:val="clear" w:color="auto" w:fill="auto"/>
            <w:vAlign w:val="center"/>
          </w:tcPr>
          <w:p w14:paraId="1D1243F1" w14:textId="1E33AABB" w:rsidR="00860DF2" w:rsidRPr="007F2E0C" w:rsidRDefault="00860DF2" w:rsidP="007A3B69">
            <w:pPr>
              <w:widowControl w:val="0"/>
              <w:jc w:val="center"/>
              <w:rPr>
                <w:rFonts w:ascii="Arial Narrow" w:hAnsi="Arial Narrow"/>
                <w:bCs/>
                <w:snapToGrid w:val="0"/>
                <w:sz w:val="20"/>
                <w:szCs w:val="20"/>
              </w:rPr>
            </w:pPr>
          </w:p>
        </w:tc>
        <w:tc>
          <w:tcPr>
            <w:tcW w:w="7655" w:type="dxa"/>
            <w:gridSpan w:val="7"/>
            <w:shd w:val="clear" w:color="auto" w:fill="auto"/>
            <w:vAlign w:val="center"/>
            <w:hideMark/>
          </w:tcPr>
          <w:p w14:paraId="60C528A0" w14:textId="77777777" w:rsidR="00860DF2" w:rsidRPr="007F2E0C" w:rsidRDefault="00860DF2" w:rsidP="007A3B69">
            <w:pPr>
              <w:widowControl w:val="0"/>
              <w:rPr>
                <w:rFonts w:ascii="Arial Narrow" w:hAnsi="Arial Narrow"/>
                <w:bCs/>
                <w:snapToGrid w:val="0"/>
                <w:sz w:val="20"/>
                <w:szCs w:val="20"/>
              </w:rPr>
            </w:pPr>
            <w:r w:rsidRPr="007F2E0C">
              <w:rPr>
                <w:rFonts w:ascii="Arial Narrow" w:hAnsi="Arial Narrow"/>
                <w:b/>
                <w:bCs/>
                <w:snapToGrid w:val="0"/>
                <w:sz w:val="20"/>
                <w:szCs w:val="20"/>
              </w:rPr>
              <w:t>Clinical criteria:</w:t>
            </w:r>
          </w:p>
        </w:tc>
      </w:tr>
      <w:tr w:rsidR="00860DF2" w:rsidRPr="00641661" w14:paraId="55CB885D" w14:textId="77777777" w:rsidTr="00B5124C">
        <w:tblPrEx>
          <w:tblCellMar>
            <w:top w:w="15" w:type="dxa"/>
            <w:left w:w="15" w:type="dxa"/>
            <w:bottom w:w="15" w:type="dxa"/>
            <w:right w:w="15" w:type="dxa"/>
          </w:tblCellMar>
        </w:tblPrEx>
        <w:tc>
          <w:tcPr>
            <w:tcW w:w="1412" w:type="dxa"/>
            <w:gridSpan w:val="2"/>
            <w:shd w:val="clear" w:color="auto" w:fill="auto"/>
            <w:vAlign w:val="center"/>
          </w:tcPr>
          <w:p w14:paraId="519A747F" w14:textId="3F299183" w:rsidR="00860DF2" w:rsidRPr="007F2E0C" w:rsidRDefault="00860DF2" w:rsidP="007A3B69">
            <w:pPr>
              <w:widowControl w:val="0"/>
              <w:jc w:val="center"/>
              <w:rPr>
                <w:rFonts w:ascii="Arial Narrow" w:hAnsi="Arial Narrow"/>
                <w:bCs/>
                <w:i/>
                <w:snapToGrid w:val="0"/>
                <w:sz w:val="20"/>
                <w:szCs w:val="20"/>
              </w:rPr>
            </w:pPr>
          </w:p>
        </w:tc>
        <w:tc>
          <w:tcPr>
            <w:tcW w:w="7655" w:type="dxa"/>
            <w:gridSpan w:val="7"/>
            <w:shd w:val="clear" w:color="auto" w:fill="auto"/>
            <w:vAlign w:val="center"/>
          </w:tcPr>
          <w:p w14:paraId="2D73FD5C" w14:textId="63A697F6" w:rsidR="00860DF2" w:rsidRPr="00B5124C" w:rsidRDefault="00860DF2" w:rsidP="00B5124C">
            <w:pPr>
              <w:jc w:val="left"/>
              <w:rPr>
                <w:rFonts w:ascii="Times New Roman" w:eastAsiaTheme="minorHAnsi" w:hAnsi="Times New Roman" w:cs="Times New Roman"/>
              </w:rPr>
            </w:pPr>
            <w:r w:rsidRPr="007F2E0C">
              <w:rPr>
                <w:rFonts w:ascii="Arial Narrow" w:hAnsi="Arial Narrow"/>
                <w:bCs/>
                <w:snapToGrid w:val="0"/>
                <w:sz w:val="20"/>
                <w:szCs w:val="20"/>
              </w:rPr>
              <w:t xml:space="preserve">The treatment must be in combination, where the patient has never been treated with endocrine therapy for advanced/metastatic disease, with </w:t>
            </w:r>
            <w:r w:rsidR="00C064EC">
              <w:rPr>
                <w:rFonts w:ascii="Arial Narrow" w:hAnsi="Arial Narrow"/>
                <w:bCs/>
                <w:snapToGrid w:val="0"/>
                <w:sz w:val="20"/>
                <w:szCs w:val="20"/>
              </w:rPr>
              <w:t>a non-steroidal aromatase inhibitor</w:t>
            </w:r>
            <w:r w:rsidR="00B455D5">
              <w:rPr>
                <w:rFonts w:ascii="Arial Narrow" w:hAnsi="Arial Narrow"/>
                <w:bCs/>
                <w:snapToGrid w:val="0"/>
                <w:sz w:val="20"/>
                <w:szCs w:val="20"/>
              </w:rPr>
              <w:t>; OR</w:t>
            </w:r>
            <w:r w:rsidR="00C064EC">
              <w:rPr>
                <w:rFonts w:ascii="Arial Narrow" w:hAnsi="Arial Narrow"/>
                <w:bCs/>
                <w:snapToGrid w:val="0"/>
                <w:sz w:val="20"/>
                <w:szCs w:val="20"/>
              </w:rPr>
              <w:t xml:space="preserve"> </w:t>
            </w:r>
            <w:r w:rsidR="00C064EC">
              <w:rPr>
                <w:rFonts w:ascii="Times New Roman" w:eastAsiaTheme="minorHAnsi" w:hAnsi="Times New Roman" w:cs="Times New Roman"/>
              </w:rPr>
              <w:t xml:space="preserve"> </w:t>
            </w:r>
          </w:p>
        </w:tc>
      </w:tr>
      <w:tr w:rsidR="00860DF2" w:rsidRPr="00641661" w14:paraId="1C740671" w14:textId="77777777" w:rsidTr="00B5124C">
        <w:tblPrEx>
          <w:tblCellMar>
            <w:top w:w="15" w:type="dxa"/>
            <w:left w:w="15" w:type="dxa"/>
            <w:bottom w:w="15" w:type="dxa"/>
            <w:right w:w="15" w:type="dxa"/>
          </w:tblCellMar>
        </w:tblPrEx>
        <w:tc>
          <w:tcPr>
            <w:tcW w:w="1412" w:type="dxa"/>
            <w:gridSpan w:val="2"/>
            <w:shd w:val="clear" w:color="auto" w:fill="auto"/>
            <w:vAlign w:val="center"/>
          </w:tcPr>
          <w:p w14:paraId="7C3B3EBC" w14:textId="38C036AA" w:rsidR="00860DF2" w:rsidRPr="007F2E0C" w:rsidRDefault="00860DF2" w:rsidP="007A3B69">
            <w:pPr>
              <w:widowControl w:val="0"/>
              <w:jc w:val="center"/>
              <w:rPr>
                <w:rFonts w:ascii="Arial Narrow" w:hAnsi="Arial Narrow"/>
                <w:bCs/>
                <w:i/>
                <w:snapToGrid w:val="0"/>
                <w:sz w:val="20"/>
                <w:szCs w:val="20"/>
              </w:rPr>
            </w:pPr>
          </w:p>
        </w:tc>
        <w:tc>
          <w:tcPr>
            <w:tcW w:w="7655" w:type="dxa"/>
            <w:gridSpan w:val="7"/>
            <w:shd w:val="clear" w:color="auto" w:fill="auto"/>
            <w:vAlign w:val="center"/>
          </w:tcPr>
          <w:p w14:paraId="07E2A22B" w14:textId="77777777" w:rsidR="00860DF2" w:rsidRPr="007F2E0C" w:rsidRDefault="00860DF2" w:rsidP="007A3B69">
            <w:pPr>
              <w:widowControl w:val="0"/>
              <w:rPr>
                <w:rFonts w:ascii="Arial Narrow" w:hAnsi="Arial Narrow"/>
                <w:bCs/>
                <w:snapToGrid w:val="0"/>
                <w:sz w:val="20"/>
                <w:szCs w:val="20"/>
              </w:rPr>
            </w:pPr>
            <w:r w:rsidRPr="007F2E0C">
              <w:rPr>
                <w:rFonts w:ascii="Arial Narrow" w:hAnsi="Arial Narrow"/>
                <w:bCs/>
                <w:snapToGrid w:val="0"/>
                <w:sz w:val="20"/>
                <w:szCs w:val="20"/>
              </w:rPr>
              <w:t xml:space="preserve">The treatment must be in combination, where the patient has recurrence/progressive disease despite being treated with endocrine therapy </w:t>
            </w:r>
            <w:r w:rsidRPr="007F2E0C">
              <w:rPr>
                <w:rFonts w:ascii="Arial Narrow" w:hAnsi="Arial Narrow"/>
                <w:bCs/>
                <w:strike/>
                <w:snapToGrid w:val="0"/>
                <w:sz w:val="20"/>
                <w:szCs w:val="20"/>
              </w:rPr>
              <w:t>in the (neo)adjuvant setting</w:t>
            </w:r>
            <w:r w:rsidRPr="007F2E0C">
              <w:rPr>
                <w:rFonts w:ascii="Arial Narrow" w:hAnsi="Arial Narrow"/>
                <w:bCs/>
                <w:snapToGrid w:val="0"/>
                <w:sz w:val="20"/>
                <w:szCs w:val="20"/>
              </w:rPr>
              <w:t xml:space="preserve"> </w:t>
            </w:r>
            <w:r w:rsidRPr="007F2E0C">
              <w:rPr>
                <w:rFonts w:ascii="Arial Narrow" w:hAnsi="Arial Narrow"/>
                <w:bCs/>
                <w:i/>
                <w:iCs/>
                <w:snapToGrid w:val="0"/>
                <w:sz w:val="20"/>
                <w:szCs w:val="20"/>
              </w:rPr>
              <w:t>for advanced/metastatic disease</w:t>
            </w:r>
            <w:r w:rsidRPr="007F2E0C">
              <w:rPr>
                <w:rFonts w:ascii="Arial Narrow" w:hAnsi="Arial Narrow"/>
                <w:bCs/>
                <w:snapToGrid w:val="0"/>
                <w:sz w:val="20"/>
                <w:szCs w:val="20"/>
              </w:rPr>
              <w:t xml:space="preserve">, with </w:t>
            </w:r>
            <w:proofErr w:type="spellStart"/>
            <w:r w:rsidRPr="007F2E0C">
              <w:rPr>
                <w:rFonts w:ascii="Arial Narrow" w:hAnsi="Arial Narrow"/>
                <w:bCs/>
                <w:snapToGrid w:val="0"/>
                <w:sz w:val="20"/>
                <w:szCs w:val="20"/>
              </w:rPr>
              <w:t>fulvestrant</w:t>
            </w:r>
            <w:proofErr w:type="spellEnd"/>
            <w:r w:rsidRPr="007F2E0C">
              <w:rPr>
                <w:rFonts w:ascii="Arial Narrow" w:hAnsi="Arial Narrow"/>
                <w:bCs/>
                <w:snapToGrid w:val="0"/>
                <w:sz w:val="20"/>
                <w:szCs w:val="20"/>
              </w:rPr>
              <w:t xml:space="preserve"> only</w:t>
            </w:r>
          </w:p>
        </w:tc>
      </w:tr>
      <w:tr w:rsidR="00860DF2" w:rsidRPr="00641661" w14:paraId="348E72F6" w14:textId="77777777" w:rsidTr="00B5124C">
        <w:tblPrEx>
          <w:tblCellMar>
            <w:top w:w="15" w:type="dxa"/>
            <w:left w:w="15" w:type="dxa"/>
            <w:bottom w:w="15" w:type="dxa"/>
            <w:right w:w="15" w:type="dxa"/>
          </w:tblCellMar>
        </w:tblPrEx>
        <w:tc>
          <w:tcPr>
            <w:tcW w:w="1412" w:type="dxa"/>
            <w:gridSpan w:val="2"/>
            <w:shd w:val="clear" w:color="auto" w:fill="auto"/>
            <w:vAlign w:val="center"/>
          </w:tcPr>
          <w:p w14:paraId="2A27E715" w14:textId="77777777" w:rsidR="00860DF2" w:rsidRPr="007F2E0C" w:rsidRDefault="00860DF2" w:rsidP="007A3B69">
            <w:pPr>
              <w:widowControl w:val="0"/>
              <w:jc w:val="center"/>
              <w:rPr>
                <w:rFonts w:ascii="Arial Narrow" w:hAnsi="Arial Narrow"/>
                <w:bCs/>
                <w:snapToGrid w:val="0"/>
                <w:sz w:val="20"/>
                <w:szCs w:val="20"/>
              </w:rPr>
            </w:pPr>
          </w:p>
        </w:tc>
        <w:tc>
          <w:tcPr>
            <w:tcW w:w="7655" w:type="dxa"/>
            <w:gridSpan w:val="7"/>
            <w:shd w:val="clear" w:color="auto" w:fill="auto"/>
            <w:vAlign w:val="center"/>
          </w:tcPr>
          <w:p w14:paraId="57D8D5C9" w14:textId="77777777" w:rsidR="00860DF2" w:rsidRPr="007F2E0C" w:rsidRDefault="00860DF2" w:rsidP="007A3B69">
            <w:pPr>
              <w:widowControl w:val="0"/>
              <w:rPr>
                <w:rFonts w:ascii="Arial Narrow" w:hAnsi="Arial Narrow"/>
                <w:bCs/>
                <w:snapToGrid w:val="0"/>
                <w:sz w:val="20"/>
                <w:szCs w:val="20"/>
              </w:rPr>
            </w:pPr>
            <w:r w:rsidRPr="007F2E0C">
              <w:rPr>
                <w:rFonts w:ascii="Arial Narrow" w:hAnsi="Arial Narrow"/>
                <w:b/>
                <w:bCs/>
                <w:snapToGrid w:val="0"/>
                <w:sz w:val="20"/>
                <w:szCs w:val="20"/>
              </w:rPr>
              <w:t>AND</w:t>
            </w:r>
          </w:p>
        </w:tc>
      </w:tr>
      <w:tr w:rsidR="00860DF2" w:rsidRPr="00641661" w14:paraId="4459D0D3" w14:textId="77777777" w:rsidTr="00B5124C">
        <w:tblPrEx>
          <w:tblCellMar>
            <w:top w:w="15" w:type="dxa"/>
            <w:left w:w="15" w:type="dxa"/>
            <w:bottom w:w="15" w:type="dxa"/>
            <w:right w:w="15" w:type="dxa"/>
          </w:tblCellMar>
        </w:tblPrEx>
        <w:tc>
          <w:tcPr>
            <w:tcW w:w="1412" w:type="dxa"/>
            <w:gridSpan w:val="2"/>
            <w:shd w:val="clear" w:color="auto" w:fill="auto"/>
            <w:vAlign w:val="center"/>
          </w:tcPr>
          <w:p w14:paraId="57DD1345" w14:textId="77777777" w:rsidR="00860DF2" w:rsidRPr="007F2E0C" w:rsidRDefault="00860DF2" w:rsidP="007A3B69">
            <w:pPr>
              <w:widowControl w:val="0"/>
              <w:jc w:val="center"/>
              <w:rPr>
                <w:rFonts w:ascii="Arial Narrow" w:hAnsi="Arial Narrow"/>
                <w:bCs/>
                <w:snapToGrid w:val="0"/>
                <w:sz w:val="20"/>
                <w:szCs w:val="20"/>
              </w:rPr>
            </w:pPr>
          </w:p>
        </w:tc>
        <w:tc>
          <w:tcPr>
            <w:tcW w:w="7655" w:type="dxa"/>
            <w:gridSpan w:val="7"/>
            <w:shd w:val="clear" w:color="auto" w:fill="auto"/>
            <w:vAlign w:val="center"/>
          </w:tcPr>
          <w:p w14:paraId="573917FB" w14:textId="77777777" w:rsidR="00860DF2" w:rsidRPr="007F2E0C" w:rsidRDefault="00860DF2" w:rsidP="007A3B69">
            <w:pPr>
              <w:widowControl w:val="0"/>
              <w:rPr>
                <w:rFonts w:ascii="Arial Narrow" w:hAnsi="Arial Narrow"/>
                <w:bCs/>
                <w:i/>
                <w:snapToGrid w:val="0"/>
                <w:sz w:val="20"/>
                <w:szCs w:val="20"/>
              </w:rPr>
            </w:pPr>
            <w:r w:rsidRPr="007F2E0C">
              <w:rPr>
                <w:rFonts w:ascii="Arial Narrow" w:hAnsi="Arial Narrow"/>
                <w:b/>
                <w:bCs/>
                <w:snapToGrid w:val="0"/>
                <w:sz w:val="20"/>
                <w:szCs w:val="20"/>
              </w:rPr>
              <w:t>Clinical criteria:</w:t>
            </w:r>
          </w:p>
        </w:tc>
      </w:tr>
      <w:tr w:rsidR="00860DF2" w:rsidRPr="00641661" w14:paraId="0630027A" w14:textId="77777777" w:rsidTr="00B5124C">
        <w:tblPrEx>
          <w:tblCellMar>
            <w:top w:w="15" w:type="dxa"/>
            <w:left w:w="15" w:type="dxa"/>
            <w:bottom w:w="15" w:type="dxa"/>
            <w:right w:w="15" w:type="dxa"/>
          </w:tblCellMar>
        </w:tblPrEx>
        <w:tc>
          <w:tcPr>
            <w:tcW w:w="1412" w:type="dxa"/>
            <w:gridSpan w:val="2"/>
            <w:shd w:val="clear" w:color="auto" w:fill="auto"/>
            <w:vAlign w:val="center"/>
          </w:tcPr>
          <w:p w14:paraId="44AD03EC" w14:textId="40FDFD10" w:rsidR="00987642" w:rsidRPr="007F2E0C" w:rsidRDefault="00987642" w:rsidP="007A3B69">
            <w:pPr>
              <w:widowControl w:val="0"/>
              <w:jc w:val="center"/>
              <w:rPr>
                <w:rFonts w:ascii="Arial Narrow" w:hAnsi="Arial Narrow"/>
                <w:bCs/>
                <w:snapToGrid w:val="0"/>
                <w:sz w:val="20"/>
                <w:szCs w:val="20"/>
              </w:rPr>
            </w:pPr>
          </w:p>
        </w:tc>
        <w:tc>
          <w:tcPr>
            <w:tcW w:w="7655" w:type="dxa"/>
            <w:gridSpan w:val="7"/>
            <w:shd w:val="clear" w:color="auto" w:fill="auto"/>
            <w:vAlign w:val="center"/>
          </w:tcPr>
          <w:p w14:paraId="3C7C4356" w14:textId="4FBAD2FC" w:rsidR="00860DF2" w:rsidRPr="007F2E0C" w:rsidRDefault="00860DF2" w:rsidP="007A3B69">
            <w:pPr>
              <w:widowControl w:val="0"/>
              <w:rPr>
                <w:rFonts w:ascii="Arial Narrow" w:hAnsi="Arial Narrow"/>
                <w:bCs/>
                <w:i/>
                <w:snapToGrid w:val="0"/>
                <w:sz w:val="20"/>
                <w:szCs w:val="20"/>
              </w:rPr>
            </w:pPr>
            <w:r w:rsidRPr="007F2E0C">
              <w:rPr>
                <w:rFonts w:ascii="Arial Narrow" w:hAnsi="Arial Narrow"/>
                <w:sz w:val="20"/>
                <w:szCs w:val="20"/>
              </w:rPr>
              <w:t xml:space="preserve">The treatment must not be in combination with another </w:t>
            </w:r>
            <w:r w:rsidR="00B5124C">
              <w:rPr>
                <w:rFonts w:ascii="Arial Narrow" w:hAnsi="Arial Narrow"/>
                <w:bCs/>
                <w:snapToGrid w:val="0"/>
                <w:sz w:val="20"/>
                <w:szCs w:val="20"/>
              </w:rPr>
              <w:t>c</w:t>
            </w:r>
            <w:r w:rsidR="00981380">
              <w:rPr>
                <w:rFonts w:ascii="Arial Narrow" w:hAnsi="Arial Narrow"/>
                <w:bCs/>
                <w:snapToGrid w:val="0"/>
                <w:sz w:val="20"/>
                <w:szCs w:val="20"/>
              </w:rPr>
              <w:t>yclin-dependent kinase 4 and 6 (CDK4/6) inhibitor therapy</w:t>
            </w:r>
            <w:r w:rsidR="00981380" w:rsidRPr="007F2E0C" w:rsidDel="00981380">
              <w:rPr>
                <w:rFonts w:ascii="Arial Narrow" w:hAnsi="Arial Narrow"/>
                <w:sz w:val="20"/>
                <w:szCs w:val="20"/>
              </w:rPr>
              <w:t xml:space="preserve"> </w:t>
            </w:r>
          </w:p>
        </w:tc>
      </w:tr>
      <w:tr w:rsidR="00860DF2" w:rsidRPr="00641661" w14:paraId="070F6884" w14:textId="77777777" w:rsidTr="00B5124C">
        <w:tblPrEx>
          <w:tblCellMar>
            <w:top w:w="15" w:type="dxa"/>
            <w:left w:w="15" w:type="dxa"/>
            <w:bottom w:w="15" w:type="dxa"/>
            <w:right w:w="15" w:type="dxa"/>
          </w:tblCellMar>
        </w:tblPrEx>
        <w:tc>
          <w:tcPr>
            <w:tcW w:w="1412" w:type="dxa"/>
            <w:gridSpan w:val="2"/>
            <w:shd w:val="clear" w:color="auto" w:fill="auto"/>
            <w:vAlign w:val="center"/>
          </w:tcPr>
          <w:p w14:paraId="7ADBB9B0" w14:textId="6AE21877" w:rsidR="00860DF2" w:rsidRPr="007F2E0C" w:rsidRDefault="00860DF2" w:rsidP="007A3B69">
            <w:pPr>
              <w:widowControl w:val="0"/>
              <w:jc w:val="center"/>
              <w:rPr>
                <w:rFonts w:ascii="Arial Narrow" w:hAnsi="Arial Narrow"/>
                <w:bCs/>
                <w:snapToGrid w:val="0"/>
                <w:sz w:val="20"/>
                <w:szCs w:val="20"/>
              </w:rPr>
            </w:pPr>
          </w:p>
        </w:tc>
        <w:tc>
          <w:tcPr>
            <w:tcW w:w="7655" w:type="dxa"/>
            <w:gridSpan w:val="7"/>
            <w:shd w:val="clear" w:color="auto" w:fill="auto"/>
            <w:vAlign w:val="center"/>
          </w:tcPr>
          <w:p w14:paraId="5A6F9E0E" w14:textId="77777777" w:rsidR="00860DF2" w:rsidRPr="007F2E0C" w:rsidRDefault="00860DF2" w:rsidP="007A3B69">
            <w:pPr>
              <w:widowControl w:val="0"/>
              <w:rPr>
                <w:rFonts w:ascii="Arial Narrow" w:hAnsi="Arial Narrow"/>
                <w:bCs/>
                <w:i/>
                <w:snapToGrid w:val="0"/>
                <w:sz w:val="20"/>
                <w:szCs w:val="20"/>
              </w:rPr>
            </w:pPr>
            <w:r w:rsidRPr="007F2E0C">
              <w:rPr>
                <w:rFonts w:ascii="Arial Narrow" w:hAnsi="Arial Narrow"/>
                <w:b/>
                <w:bCs/>
                <w:snapToGrid w:val="0"/>
                <w:sz w:val="20"/>
                <w:szCs w:val="20"/>
              </w:rPr>
              <w:t>Population criteria:</w:t>
            </w:r>
          </w:p>
        </w:tc>
      </w:tr>
      <w:tr w:rsidR="00860DF2" w:rsidRPr="00641661" w14:paraId="0C4B4A7C" w14:textId="77777777" w:rsidTr="00B5124C">
        <w:tblPrEx>
          <w:tblCellMar>
            <w:top w:w="15" w:type="dxa"/>
            <w:left w:w="15" w:type="dxa"/>
            <w:bottom w:w="15" w:type="dxa"/>
            <w:right w:w="15" w:type="dxa"/>
          </w:tblCellMar>
        </w:tblPrEx>
        <w:tc>
          <w:tcPr>
            <w:tcW w:w="1412" w:type="dxa"/>
            <w:gridSpan w:val="2"/>
            <w:shd w:val="clear" w:color="auto" w:fill="auto"/>
            <w:vAlign w:val="center"/>
          </w:tcPr>
          <w:p w14:paraId="752932DE" w14:textId="7ED17C45" w:rsidR="00860DF2" w:rsidRPr="007F2E0C" w:rsidRDefault="00860DF2" w:rsidP="007A3B69">
            <w:pPr>
              <w:widowControl w:val="0"/>
              <w:jc w:val="center"/>
              <w:rPr>
                <w:rFonts w:ascii="Arial Narrow" w:hAnsi="Arial Narrow"/>
                <w:bCs/>
                <w:snapToGrid w:val="0"/>
                <w:sz w:val="20"/>
                <w:szCs w:val="20"/>
              </w:rPr>
            </w:pPr>
          </w:p>
        </w:tc>
        <w:tc>
          <w:tcPr>
            <w:tcW w:w="7655" w:type="dxa"/>
            <w:gridSpan w:val="7"/>
            <w:shd w:val="clear" w:color="auto" w:fill="auto"/>
            <w:vAlign w:val="center"/>
          </w:tcPr>
          <w:p w14:paraId="48916137" w14:textId="77777777" w:rsidR="00860DF2" w:rsidRPr="007F2E0C" w:rsidRDefault="00860DF2" w:rsidP="007A3B69">
            <w:pPr>
              <w:widowControl w:val="0"/>
              <w:rPr>
                <w:rFonts w:ascii="Arial Narrow" w:hAnsi="Arial Narrow"/>
                <w:bCs/>
                <w:i/>
                <w:snapToGrid w:val="0"/>
                <w:sz w:val="20"/>
                <w:szCs w:val="20"/>
              </w:rPr>
            </w:pPr>
            <w:r w:rsidRPr="007F2E0C">
              <w:rPr>
                <w:rFonts w:ascii="Arial Narrow" w:hAnsi="Arial Narrow"/>
                <w:bCs/>
                <w:snapToGrid w:val="0"/>
                <w:sz w:val="20"/>
                <w:szCs w:val="20"/>
              </w:rPr>
              <w:t>Patient must not be premenopausal</w:t>
            </w:r>
          </w:p>
        </w:tc>
      </w:tr>
      <w:tr w:rsidR="00860DF2" w:rsidRPr="00641661" w14:paraId="0B521AD9" w14:textId="77777777" w:rsidTr="00B455D5">
        <w:tblPrEx>
          <w:tblCellMar>
            <w:top w:w="15" w:type="dxa"/>
            <w:left w:w="15" w:type="dxa"/>
            <w:bottom w:w="15" w:type="dxa"/>
            <w:right w:w="15" w:type="dxa"/>
          </w:tblCellMar>
        </w:tblPrEx>
        <w:tc>
          <w:tcPr>
            <w:tcW w:w="9067" w:type="dxa"/>
            <w:gridSpan w:val="9"/>
            <w:shd w:val="clear" w:color="auto" w:fill="auto"/>
          </w:tcPr>
          <w:p w14:paraId="3F751FCF" w14:textId="77777777" w:rsidR="00860DF2" w:rsidRPr="007F2E0C" w:rsidRDefault="00860DF2" w:rsidP="007A3B69">
            <w:pPr>
              <w:widowControl w:val="0"/>
              <w:rPr>
                <w:rFonts w:ascii="Arial Narrow" w:hAnsi="Arial Narrow"/>
                <w:b/>
                <w:bCs/>
                <w:snapToGrid w:val="0"/>
                <w:sz w:val="20"/>
                <w:szCs w:val="20"/>
              </w:rPr>
            </w:pPr>
          </w:p>
        </w:tc>
      </w:tr>
      <w:tr w:rsidR="00860DF2" w:rsidRPr="00641661" w14:paraId="1980F339" w14:textId="77777777" w:rsidTr="00B455D5">
        <w:tblPrEx>
          <w:tblCellMar>
            <w:top w:w="15" w:type="dxa"/>
            <w:left w:w="15" w:type="dxa"/>
            <w:bottom w:w="15" w:type="dxa"/>
            <w:right w:w="15" w:type="dxa"/>
          </w:tblCellMar>
          <w:tblLook w:val="04A0" w:firstRow="1" w:lastRow="0" w:firstColumn="1" w:lastColumn="0" w:noHBand="0" w:noVBand="1"/>
        </w:tblPrEx>
        <w:tc>
          <w:tcPr>
            <w:tcW w:w="9067" w:type="dxa"/>
            <w:gridSpan w:val="9"/>
            <w:shd w:val="clear" w:color="auto" w:fill="auto"/>
          </w:tcPr>
          <w:p w14:paraId="67DCB7B8" w14:textId="29A192E2" w:rsidR="00860DF2" w:rsidRPr="007F2E0C" w:rsidRDefault="00860DF2" w:rsidP="007A3B69">
            <w:pPr>
              <w:widowControl w:val="0"/>
              <w:rPr>
                <w:rFonts w:ascii="Arial Narrow" w:hAnsi="Arial Narrow"/>
                <w:b/>
                <w:bCs/>
                <w:snapToGrid w:val="0"/>
                <w:sz w:val="20"/>
                <w:szCs w:val="20"/>
              </w:rPr>
            </w:pPr>
            <w:r w:rsidRPr="007F2E0C">
              <w:rPr>
                <w:rFonts w:ascii="Arial Narrow" w:hAnsi="Arial Narrow"/>
                <w:b/>
                <w:bCs/>
                <w:snapToGrid w:val="0"/>
                <w:sz w:val="20"/>
                <w:szCs w:val="20"/>
              </w:rPr>
              <w:t xml:space="preserve">Edit Restriction Summary / </w:t>
            </w:r>
            <w:proofErr w:type="spellStart"/>
            <w:r w:rsidRPr="007F2E0C">
              <w:rPr>
                <w:rFonts w:ascii="Arial Narrow" w:hAnsi="Arial Narrow"/>
                <w:b/>
                <w:bCs/>
                <w:snapToGrid w:val="0"/>
                <w:sz w:val="20"/>
                <w:szCs w:val="20"/>
              </w:rPr>
              <w:t>ToC</w:t>
            </w:r>
            <w:proofErr w:type="spellEnd"/>
            <w:r w:rsidRPr="007F2E0C">
              <w:rPr>
                <w:rFonts w:ascii="Arial Narrow" w:hAnsi="Arial Narrow"/>
                <w:b/>
                <w:bCs/>
                <w:snapToGrid w:val="0"/>
                <w:sz w:val="20"/>
                <w:szCs w:val="20"/>
              </w:rPr>
              <w:t>: to appear as follows:</w:t>
            </w:r>
          </w:p>
        </w:tc>
      </w:tr>
      <w:tr w:rsidR="00860DF2" w:rsidRPr="00641661" w14:paraId="2FD7B93F" w14:textId="77777777" w:rsidTr="00B5124C">
        <w:tblPrEx>
          <w:tblCellMar>
            <w:top w:w="15" w:type="dxa"/>
            <w:left w:w="15" w:type="dxa"/>
            <w:bottom w:w="15" w:type="dxa"/>
            <w:right w:w="15" w:type="dxa"/>
          </w:tblCellMar>
        </w:tblPrEx>
        <w:tc>
          <w:tcPr>
            <w:tcW w:w="1412" w:type="dxa"/>
            <w:gridSpan w:val="2"/>
            <w:shd w:val="clear" w:color="auto" w:fill="auto"/>
            <w:vAlign w:val="center"/>
          </w:tcPr>
          <w:p w14:paraId="02FFA255" w14:textId="368CABFD" w:rsidR="00860DF2" w:rsidRPr="007F2E0C" w:rsidRDefault="00860DF2" w:rsidP="007A3B69">
            <w:pPr>
              <w:widowControl w:val="0"/>
              <w:jc w:val="center"/>
              <w:rPr>
                <w:rFonts w:ascii="Arial Narrow" w:hAnsi="Arial Narrow"/>
                <w:b/>
                <w:bCs/>
                <w:snapToGrid w:val="0"/>
                <w:sz w:val="20"/>
                <w:szCs w:val="20"/>
              </w:rPr>
            </w:pPr>
          </w:p>
        </w:tc>
        <w:tc>
          <w:tcPr>
            <w:tcW w:w="7655" w:type="dxa"/>
            <w:gridSpan w:val="7"/>
            <w:shd w:val="clear" w:color="auto" w:fill="auto"/>
            <w:vAlign w:val="center"/>
            <w:hideMark/>
          </w:tcPr>
          <w:p w14:paraId="24035B71" w14:textId="77777777" w:rsidR="00860DF2" w:rsidRPr="007F2E0C" w:rsidRDefault="00860DF2" w:rsidP="007A3B69">
            <w:pPr>
              <w:widowControl w:val="0"/>
              <w:rPr>
                <w:rFonts w:ascii="Arial Narrow" w:hAnsi="Arial Narrow"/>
                <w:bCs/>
                <w:snapToGrid w:val="0"/>
                <w:sz w:val="20"/>
                <w:szCs w:val="20"/>
              </w:rPr>
            </w:pPr>
            <w:r w:rsidRPr="007F2E0C">
              <w:rPr>
                <w:rFonts w:ascii="Arial Narrow" w:hAnsi="Arial Narrow"/>
                <w:b/>
                <w:bCs/>
                <w:snapToGrid w:val="0"/>
                <w:sz w:val="20"/>
                <w:szCs w:val="20"/>
              </w:rPr>
              <w:t>Indication:</w:t>
            </w:r>
            <w:r w:rsidRPr="007F2E0C">
              <w:rPr>
                <w:rFonts w:ascii="Arial Narrow" w:hAnsi="Arial Narrow"/>
                <w:bCs/>
                <w:snapToGrid w:val="0"/>
                <w:sz w:val="20"/>
                <w:szCs w:val="20"/>
              </w:rPr>
              <w:t xml:space="preserve"> Locally advanced or metastatic breast cancer</w:t>
            </w:r>
          </w:p>
        </w:tc>
      </w:tr>
      <w:tr w:rsidR="00860DF2" w:rsidRPr="00641661" w14:paraId="007F6C90" w14:textId="77777777" w:rsidTr="00B5124C">
        <w:tblPrEx>
          <w:tblCellMar>
            <w:top w:w="15" w:type="dxa"/>
            <w:left w:w="15" w:type="dxa"/>
            <w:bottom w:w="15" w:type="dxa"/>
            <w:right w:w="15" w:type="dxa"/>
          </w:tblCellMar>
        </w:tblPrEx>
        <w:tc>
          <w:tcPr>
            <w:tcW w:w="1412" w:type="dxa"/>
            <w:gridSpan w:val="2"/>
            <w:shd w:val="clear" w:color="auto" w:fill="auto"/>
            <w:vAlign w:val="center"/>
          </w:tcPr>
          <w:p w14:paraId="01EA8367" w14:textId="77777777" w:rsidR="00860DF2" w:rsidRPr="007F2E0C" w:rsidRDefault="00860DF2" w:rsidP="007A3B69">
            <w:pPr>
              <w:widowControl w:val="0"/>
              <w:jc w:val="center"/>
              <w:rPr>
                <w:rFonts w:ascii="Arial Narrow" w:hAnsi="Arial Narrow"/>
                <w:b/>
                <w:bCs/>
                <w:snapToGrid w:val="0"/>
                <w:sz w:val="20"/>
                <w:szCs w:val="20"/>
              </w:rPr>
            </w:pPr>
          </w:p>
        </w:tc>
        <w:tc>
          <w:tcPr>
            <w:tcW w:w="7655" w:type="dxa"/>
            <w:gridSpan w:val="7"/>
            <w:shd w:val="clear" w:color="auto" w:fill="auto"/>
            <w:vAlign w:val="center"/>
            <w:hideMark/>
          </w:tcPr>
          <w:p w14:paraId="1CBFADE8" w14:textId="77777777" w:rsidR="00860DF2" w:rsidRPr="007F2E0C" w:rsidRDefault="00860DF2" w:rsidP="007A3B69">
            <w:pPr>
              <w:widowControl w:val="0"/>
              <w:rPr>
                <w:rFonts w:ascii="Arial Narrow" w:hAnsi="Arial Narrow"/>
                <w:bCs/>
                <w:snapToGrid w:val="0"/>
                <w:sz w:val="20"/>
                <w:szCs w:val="20"/>
              </w:rPr>
            </w:pPr>
            <w:r w:rsidRPr="007F2E0C">
              <w:rPr>
                <w:rFonts w:ascii="Arial Narrow" w:hAnsi="Arial Narrow"/>
                <w:b/>
                <w:bCs/>
                <w:snapToGrid w:val="0"/>
                <w:sz w:val="20"/>
                <w:szCs w:val="20"/>
              </w:rPr>
              <w:t>Treatment Phase:</w:t>
            </w:r>
            <w:r w:rsidRPr="007F2E0C">
              <w:rPr>
                <w:rFonts w:ascii="Arial Narrow" w:hAnsi="Arial Narrow"/>
                <w:bCs/>
                <w:snapToGrid w:val="0"/>
                <w:sz w:val="20"/>
                <w:szCs w:val="20"/>
              </w:rPr>
              <w:t xml:space="preserve"> Continuing treatment</w:t>
            </w:r>
          </w:p>
        </w:tc>
      </w:tr>
      <w:tr w:rsidR="00860DF2" w:rsidRPr="00641661" w14:paraId="7DB0A28C" w14:textId="77777777" w:rsidTr="00B5124C">
        <w:tblPrEx>
          <w:tblCellMar>
            <w:top w:w="15" w:type="dxa"/>
            <w:left w:w="15" w:type="dxa"/>
            <w:bottom w:w="15" w:type="dxa"/>
            <w:right w:w="15" w:type="dxa"/>
          </w:tblCellMar>
        </w:tblPrEx>
        <w:tc>
          <w:tcPr>
            <w:tcW w:w="1412" w:type="dxa"/>
            <w:gridSpan w:val="2"/>
            <w:shd w:val="clear" w:color="auto" w:fill="auto"/>
            <w:vAlign w:val="center"/>
          </w:tcPr>
          <w:p w14:paraId="33747B2C" w14:textId="4DAED21D" w:rsidR="00860DF2" w:rsidRPr="007F2E0C" w:rsidRDefault="00860DF2" w:rsidP="007A3B69">
            <w:pPr>
              <w:widowControl w:val="0"/>
              <w:jc w:val="center"/>
              <w:rPr>
                <w:rFonts w:ascii="Arial Narrow" w:hAnsi="Arial Narrow"/>
                <w:b/>
                <w:bCs/>
                <w:snapToGrid w:val="0"/>
                <w:sz w:val="20"/>
                <w:szCs w:val="20"/>
              </w:rPr>
            </w:pPr>
          </w:p>
        </w:tc>
        <w:tc>
          <w:tcPr>
            <w:tcW w:w="7655" w:type="dxa"/>
            <w:gridSpan w:val="7"/>
            <w:shd w:val="clear" w:color="auto" w:fill="auto"/>
            <w:vAlign w:val="center"/>
            <w:hideMark/>
          </w:tcPr>
          <w:p w14:paraId="16A61CEE" w14:textId="77777777" w:rsidR="00860DF2" w:rsidRPr="007F2E0C" w:rsidRDefault="00860DF2" w:rsidP="007A3B69">
            <w:pPr>
              <w:widowControl w:val="0"/>
              <w:rPr>
                <w:rFonts w:ascii="Arial Narrow" w:hAnsi="Arial Narrow"/>
                <w:bCs/>
                <w:snapToGrid w:val="0"/>
                <w:sz w:val="20"/>
                <w:szCs w:val="20"/>
              </w:rPr>
            </w:pPr>
            <w:r w:rsidRPr="007F2E0C">
              <w:rPr>
                <w:rFonts w:ascii="Arial Narrow" w:hAnsi="Arial Narrow"/>
                <w:b/>
                <w:bCs/>
                <w:snapToGrid w:val="0"/>
                <w:sz w:val="20"/>
                <w:szCs w:val="20"/>
              </w:rPr>
              <w:t>Clinical criteria:</w:t>
            </w:r>
          </w:p>
        </w:tc>
      </w:tr>
      <w:tr w:rsidR="00860DF2" w:rsidRPr="00641661" w14:paraId="22A4A7C8" w14:textId="77777777" w:rsidTr="00B5124C">
        <w:tblPrEx>
          <w:tblCellMar>
            <w:top w:w="15" w:type="dxa"/>
            <w:left w:w="15" w:type="dxa"/>
            <w:bottom w:w="15" w:type="dxa"/>
            <w:right w:w="15" w:type="dxa"/>
          </w:tblCellMar>
        </w:tblPrEx>
        <w:tc>
          <w:tcPr>
            <w:tcW w:w="1412" w:type="dxa"/>
            <w:gridSpan w:val="2"/>
            <w:shd w:val="clear" w:color="auto" w:fill="auto"/>
            <w:vAlign w:val="center"/>
          </w:tcPr>
          <w:p w14:paraId="7C58D35F" w14:textId="46BF8E22" w:rsidR="00860DF2" w:rsidRPr="007F2E0C" w:rsidRDefault="00860DF2" w:rsidP="007A3B69">
            <w:pPr>
              <w:widowControl w:val="0"/>
              <w:jc w:val="center"/>
              <w:rPr>
                <w:rFonts w:ascii="Arial Narrow" w:hAnsi="Arial Narrow"/>
                <w:bCs/>
                <w:snapToGrid w:val="0"/>
                <w:sz w:val="20"/>
                <w:szCs w:val="20"/>
              </w:rPr>
            </w:pPr>
          </w:p>
        </w:tc>
        <w:tc>
          <w:tcPr>
            <w:tcW w:w="7655" w:type="dxa"/>
            <w:gridSpan w:val="7"/>
            <w:shd w:val="clear" w:color="auto" w:fill="auto"/>
            <w:vAlign w:val="center"/>
            <w:hideMark/>
          </w:tcPr>
          <w:p w14:paraId="76B1EB81" w14:textId="77777777" w:rsidR="00860DF2" w:rsidRPr="007F2E0C" w:rsidRDefault="00860DF2" w:rsidP="007A3B69">
            <w:pPr>
              <w:widowControl w:val="0"/>
              <w:rPr>
                <w:rFonts w:ascii="Arial Narrow" w:hAnsi="Arial Narrow"/>
                <w:bCs/>
                <w:snapToGrid w:val="0"/>
                <w:sz w:val="20"/>
                <w:szCs w:val="20"/>
              </w:rPr>
            </w:pPr>
            <w:r w:rsidRPr="007F2E0C">
              <w:rPr>
                <w:rFonts w:ascii="Arial Narrow" w:hAnsi="Arial Narrow"/>
                <w:bCs/>
                <w:snapToGrid w:val="0"/>
                <w:sz w:val="20"/>
                <w:szCs w:val="20"/>
              </w:rPr>
              <w:t>Patient must have previously received PBS-subsidised treatment with this drug for this condition</w:t>
            </w:r>
          </w:p>
        </w:tc>
      </w:tr>
      <w:tr w:rsidR="00860DF2" w:rsidRPr="00641661" w14:paraId="37781092" w14:textId="77777777" w:rsidTr="00B5124C">
        <w:tblPrEx>
          <w:tblCellMar>
            <w:top w:w="15" w:type="dxa"/>
            <w:left w:w="15" w:type="dxa"/>
            <w:bottom w:w="15" w:type="dxa"/>
            <w:right w:w="15" w:type="dxa"/>
          </w:tblCellMar>
        </w:tblPrEx>
        <w:tc>
          <w:tcPr>
            <w:tcW w:w="1412" w:type="dxa"/>
            <w:gridSpan w:val="2"/>
            <w:shd w:val="clear" w:color="auto" w:fill="auto"/>
            <w:vAlign w:val="center"/>
          </w:tcPr>
          <w:p w14:paraId="21C55722" w14:textId="77777777" w:rsidR="00860DF2" w:rsidRPr="007F2E0C" w:rsidRDefault="00860DF2" w:rsidP="007A3B69">
            <w:pPr>
              <w:widowControl w:val="0"/>
              <w:jc w:val="center"/>
              <w:rPr>
                <w:rFonts w:ascii="Arial Narrow" w:hAnsi="Arial Narrow"/>
                <w:b/>
                <w:bCs/>
                <w:snapToGrid w:val="0"/>
                <w:sz w:val="20"/>
                <w:szCs w:val="20"/>
              </w:rPr>
            </w:pPr>
          </w:p>
        </w:tc>
        <w:tc>
          <w:tcPr>
            <w:tcW w:w="7655" w:type="dxa"/>
            <w:gridSpan w:val="7"/>
            <w:shd w:val="clear" w:color="auto" w:fill="auto"/>
            <w:vAlign w:val="center"/>
            <w:hideMark/>
          </w:tcPr>
          <w:p w14:paraId="2AAC8506" w14:textId="77777777" w:rsidR="00860DF2" w:rsidRPr="007F2E0C" w:rsidRDefault="00860DF2" w:rsidP="007A3B69">
            <w:pPr>
              <w:widowControl w:val="0"/>
              <w:rPr>
                <w:rFonts w:ascii="Arial Narrow" w:hAnsi="Arial Narrow"/>
                <w:bCs/>
                <w:snapToGrid w:val="0"/>
                <w:sz w:val="20"/>
                <w:szCs w:val="20"/>
              </w:rPr>
            </w:pPr>
            <w:r w:rsidRPr="007F2E0C">
              <w:rPr>
                <w:rFonts w:ascii="Arial Narrow" w:hAnsi="Arial Narrow"/>
                <w:b/>
                <w:bCs/>
                <w:snapToGrid w:val="0"/>
                <w:sz w:val="20"/>
                <w:szCs w:val="20"/>
              </w:rPr>
              <w:t>AND</w:t>
            </w:r>
          </w:p>
        </w:tc>
      </w:tr>
      <w:tr w:rsidR="00860DF2" w:rsidRPr="00641661" w14:paraId="6826977B" w14:textId="77777777" w:rsidTr="00B5124C">
        <w:tblPrEx>
          <w:tblCellMar>
            <w:top w:w="15" w:type="dxa"/>
            <w:left w:w="15" w:type="dxa"/>
            <w:bottom w:w="15" w:type="dxa"/>
            <w:right w:w="15" w:type="dxa"/>
          </w:tblCellMar>
        </w:tblPrEx>
        <w:tc>
          <w:tcPr>
            <w:tcW w:w="1412" w:type="dxa"/>
            <w:gridSpan w:val="2"/>
            <w:shd w:val="clear" w:color="auto" w:fill="auto"/>
            <w:vAlign w:val="center"/>
          </w:tcPr>
          <w:p w14:paraId="14207F44" w14:textId="77777777" w:rsidR="00860DF2" w:rsidRPr="007F2E0C" w:rsidRDefault="00860DF2" w:rsidP="007A3B69">
            <w:pPr>
              <w:widowControl w:val="0"/>
              <w:jc w:val="center"/>
              <w:rPr>
                <w:rFonts w:ascii="Arial Narrow" w:hAnsi="Arial Narrow"/>
                <w:b/>
                <w:bCs/>
                <w:snapToGrid w:val="0"/>
                <w:sz w:val="20"/>
                <w:szCs w:val="20"/>
              </w:rPr>
            </w:pPr>
          </w:p>
        </w:tc>
        <w:tc>
          <w:tcPr>
            <w:tcW w:w="7655" w:type="dxa"/>
            <w:gridSpan w:val="7"/>
            <w:shd w:val="clear" w:color="auto" w:fill="auto"/>
            <w:vAlign w:val="center"/>
            <w:hideMark/>
          </w:tcPr>
          <w:p w14:paraId="3DBF1F75" w14:textId="77777777" w:rsidR="00860DF2" w:rsidRPr="007F2E0C" w:rsidRDefault="00860DF2" w:rsidP="007A3B69">
            <w:pPr>
              <w:widowControl w:val="0"/>
              <w:rPr>
                <w:rFonts w:ascii="Arial Narrow" w:hAnsi="Arial Narrow"/>
                <w:bCs/>
                <w:snapToGrid w:val="0"/>
                <w:sz w:val="20"/>
                <w:szCs w:val="20"/>
              </w:rPr>
            </w:pPr>
            <w:r w:rsidRPr="007F2E0C">
              <w:rPr>
                <w:rFonts w:ascii="Arial Narrow" w:hAnsi="Arial Narrow"/>
                <w:b/>
                <w:bCs/>
                <w:snapToGrid w:val="0"/>
                <w:sz w:val="20"/>
                <w:szCs w:val="20"/>
              </w:rPr>
              <w:t>Clinical criteria:</w:t>
            </w:r>
          </w:p>
        </w:tc>
      </w:tr>
      <w:tr w:rsidR="00860DF2" w:rsidRPr="00641661" w14:paraId="157D40CF" w14:textId="77777777" w:rsidTr="00B5124C">
        <w:tblPrEx>
          <w:tblCellMar>
            <w:top w:w="15" w:type="dxa"/>
            <w:left w:w="15" w:type="dxa"/>
            <w:bottom w:w="15" w:type="dxa"/>
            <w:right w:w="15" w:type="dxa"/>
          </w:tblCellMar>
        </w:tblPrEx>
        <w:tc>
          <w:tcPr>
            <w:tcW w:w="1412" w:type="dxa"/>
            <w:gridSpan w:val="2"/>
            <w:shd w:val="clear" w:color="auto" w:fill="auto"/>
            <w:vAlign w:val="center"/>
          </w:tcPr>
          <w:p w14:paraId="2B8E2A91" w14:textId="3DBC81E6" w:rsidR="00860DF2" w:rsidRPr="007F2E0C" w:rsidRDefault="00860DF2" w:rsidP="007A3B69">
            <w:pPr>
              <w:widowControl w:val="0"/>
              <w:jc w:val="center"/>
              <w:rPr>
                <w:rFonts w:ascii="Arial Narrow" w:hAnsi="Arial Narrow"/>
                <w:bCs/>
                <w:snapToGrid w:val="0"/>
                <w:sz w:val="20"/>
                <w:szCs w:val="20"/>
              </w:rPr>
            </w:pPr>
          </w:p>
        </w:tc>
        <w:tc>
          <w:tcPr>
            <w:tcW w:w="7655" w:type="dxa"/>
            <w:gridSpan w:val="7"/>
            <w:shd w:val="clear" w:color="auto" w:fill="auto"/>
            <w:vAlign w:val="center"/>
          </w:tcPr>
          <w:p w14:paraId="0803D133" w14:textId="77777777" w:rsidR="00860DF2" w:rsidRPr="007F2E0C" w:rsidRDefault="00860DF2" w:rsidP="007A3B69">
            <w:pPr>
              <w:widowControl w:val="0"/>
              <w:rPr>
                <w:rFonts w:ascii="Arial Narrow" w:hAnsi="Arial Narrow"/>
                <w:bCs/>
                <w:snapToGrid w:val="0"/>
                <w:sz w:val="20"/>
                <w:szCs w:val="20"/>
              </w:rPr>
            </w:pPr>
            <w:r w:rsidRPr="007F2E0C">
              <w:rPr>
                <w:rFonts w:ascii="Arial Narrow" w:hAnsi="Arial Narrow"/>
                <w:bCs/>
                <w:snapToGrid w:val="0"/>
                <w:sz w:val="20"/>
                <w:szCs w:val="20"/>
              </w:rPr>
              <w:t>Patient must not have developed disease progression while being treated with this drug for this condition</w:t>
            </w:r>
          </w:p>
        </w:tc>
      </w:tr>
      <w:tr w:rsidR="00860DF2" w:rsidRPr="00641661" w14:paraId="52A9D144" w14:textId="77777777" w:rsidTr="00B5124C">
        <w:tblPrEx>
          <w:tblCellMar>
            <w:top w:w="15" w:type="dxa"/>
            <w:left w:w="15" w:type="dxa"/>
            <w:bottom w:w="15" w:type="dxa"/>
            <w:right w:w="15" w:type="dxa"/>
          </w:tblCellMar>
        </w:tblPrEx>
        <w:tc>
          <w:tcPr>
            <w:tcW w:w="1412" w:type="dxa"/>
            <w:gridSpan w:val="2"/>
            <w:shd w:val="clear" w:color="auto" w:fill="auto"/>
            <w:vAlign w:val="center"/>
          </w:tcPr>
          <w:p w14:paraId="012C1048" w14:textId="77777777" w:rsidR="00860DF2" w:rsidRPr="007F2E0C" w:rsidRDefault="00860DF2" w:rsidP="007A3B69">
            <w:pPr>
              <w:widowControl w:val="0"/>
              <w:jc w:val="center"/>
              <w:rPr>
                <w:rFonts w:ascii="Arial Narrow" w:hAnsi="Arial Narrow"/>
                <w:b/>
                <w:bCs/>
                <w:strike/>
                <w:snapToGrid w:val="0"/>
                <w:sz w:val="20"/>
                <w:szCs w:val="20"/>
              </w:rPr>
            </w:pPr>
          </w:p>
        </w:tc>
        <w:tc>
          <w:tcPr>
            <w:tcW w:w="7655" w:type="dxa"/>
            <w:gridSpan w:val="7"/>
            <w:shd w:val="clear" w:color="auto" w:fill="auto"/>
            <w:vAlign w:val="center"/>
            <w:hideMark/>
          </w:tcPr>
          <w:p w14:paraId="12794DC9" w14:textId="77777777" w:rsidR="00860DF2" w:rsidRPr="007F2E0C" w:rsidRDefault="00860DF2" w:rsidP="007A3B69">
            <w:pPr>
              <w:widowControl w:val="0"/>
              <w:rPr>
                <w:rFonts w:ascii="Arial Narrow" w:hAnsi="Arial Narrow"/>
                <w:bCs/>
                <w:snapToGrid w:val="0"/>
                <w:sz w:val="20"/>
                <w:szCs w:val="20"/>
              </w:rPr>
            </w:pPr>
            <w:r w:rsidRPr="007F2E0C">
              <w:rPr>
                <w:rFonts w:ascii="Arial Narrow" w:hAnsi="Arial Narrow"/>
                <w:b/>
                <w:bCs/>
                <w:snapToGrid w:val="0"/>
                <w:sz w:val="20"/>
                <w:szCs w:val="20"/>
              </w:rPr>
              <w:t>AND</w:t>
            </w:r>
          </w:p>
        </w:tc>
      </w:tr>
      <w:tr w:rsidR="00860DF2" w:rsidRPr="00641661" w14:paraId="65547AD8" w14:textId="77777777" w:rsidTr="00B5124C">
        <w:tblPrEx>
          <w:tblCellMar>
            <w:top w:w="15" w:type="dxa"/>
            <w:left w:w="15" w:type="dxa"/>
            <w:bottom w:w="15" w:type="dxa"/>
            <w:right w:w="15" w:type="dxa"/>
          </w:tblCellMar>
        </w:tblPrEx>
        <w:tc>
          <w:tcPr>
            <w:tcW w:w="1412" w:type="dxa"/>
            <w:gridSpan w:val="2"/>
            <w:shd w:val="clear" w:color="auto" w:fill="auto"/>
            <w:vAlign w:val="center"/>
          </w:tcPr>
          <w:p w14:paraId="57CDFA5A" w14:textId="77777777" w:rsidR="00860DF2" w:rsidRPr="007F2E0C" w:rsidRDefault="00860DF2" w:rsidP="007A3B69">
            <w:pPr>
              <w:widowControl w:val="0"/>
              <w:jc w:val="center"/>
              <w:rPr>
                <w:rFonts w:ascii="Arial Narrow" w:hAnsi="Arial Narrow"/>
                <w:b/>
                <w:bCs/>
                <w:snapToGrid w:val="0"/>
                <w:sz w:val="20"/>
                <w:szCs w:val="20"/>
              </w:rPr>
            </w:pPr>
          </w:p>
        </w:tc>
        <w:tc>
          <w:tcPr>
            <w:tcW w:w="7655" w:type="dxa"/>
            <w:gridSpan w:val="7"/>
            <w:shd w:val="clear" w:color="auto" w:fill="auto"/>
            <w:vAlign w:val="center"/>
            <w:hideMark/>
          </w:tcPr>
          <w:p w14:paraId="140A2C5C" w14:textId="77777777" w:rsidR="00860DF2" w:rsidRPr="007F2E0C" w:rsidRDefault="00860DF2" w:rsidP="007A3B69">
            <w:pPr>
              <w:widowControl w:val="0"/>
              <w:rPr>
                <w:rFonts w:ascii="Arial Narrow" w:hAnsi="Arial Narrow"/>
                <w:bCs/>
                <w:snapToGrid w:val="0"/>
                <w:sz w:val="20"/>
                <w:szCs w:val="20"/>
              </w:rPr>
            </w:pPr>
            <w:r w:rsidRPr="007F2E0C">
              <w:rPr>
                <w:rFonts w:ascii="Arial Narrow" w:hAnsi="Arial Narrow"/>
                <w:b/>
                <w:bCs/>
                <w:snapToGrid w:val="0"/>
                <w:sz w:val="20"/>
                <w:szCs w:val="20"/>
              </w:rPr>
              <w:t>Clinical criteria:</w:t>
            </w:r>
          </w:p>
        </w:tc>
      </w:tr>
      <w:tr w:rsidR="00860DF2" w:rsidRPr="00641661" w14:paraId="12996D71" w14:textId="77777777" w:rsidTr="00B5124C">
        <w:tblPrEx>
          <w:tblCellMar>
            <w:top w:w="15" w:type="dxa"/>
            <w:left w:w="15" w:type="dxa"/>
            <w:bottom w:w="15" w:type="dxa"/>
            <w:right w:w="15" w:type="dxa"/>
          </w:tblCellMar>
        </w:tblPrEx>
        <w:tc>
          <w:tcPr>
            <w:tcW w:w="1412" w:type="dxa"/>
            <w:gridSpan w:val="2"/>
            <w:shd w:val="clear" w:color="auto" w:fill="auto"/>
            <w:vAlign w:val="center"/>
          </w:tcPr>
          <w:p w14:paraId="74F99DDC" w14:textId="61DBE987" w:rsidR="00987642" w:rsidRPr="007F2E0C" w:rsidRDefault="00987642" w:rsidP="007A3B69">
            <w:pPr>
              <w:widowControl w:val="0"/>
              <w:jc w:val="center"/>
              <w:rPr>
                <w:rFonts w:ascii="Arial Narrow" w:hAnsi="Arial Narrow"/>
                <w:bCs/>
                <w:i/>
                <w:snapToGrid w:val="0"/>
                <w:sz w:val="20"/>
                <w:szCs w:val="20"/>
              </w:rPr>
            </w:pPr>
          </w:p>
        </w:tc>
        <w:tc>
          <w:tcPr>
            <w:tcW w:w="7655" w:type="dxa"/>
            <w:gridSpan w:val="7"/>
            <w:shd w:val="clear" w:color="auto" w:fill="auto"/>
            <w:vAlign w:val="center"/>
          </w:tcPr>
          <w:p w14:paraId="272A089E" w14:textId="3A0D9FAD" w:rsidR="00860DF2" w:rsidRPr="007F2E0C" w:rsidRDefault="00860DF2" w:rsidP="007A3B69">
            <w:pPr>
              <w:widowControl w:val="0"/>
              <w:rPr>
                <w:rFonts w:ascii="Arial Narrow" w:hAnsi="Arial Narrow"/>
                <w:bCs/>
                <w:strike/>
                <w:snapToGrid w:val="0"/>
                <w:sz w:val="20"/>
                <w:szCs w:val="20"/>
              </w:rPr>
            </w:pPr>
            <w:r w:rsidRPr="007F2E0C">
              <w:rPr>
                <w:rFonts w:ascii="Arial Narrow" w:hAnsi="Arial Narrow"/>
                <w:bCs/>
                <w:snapToGrid w:val="0"/>
                <w:sz w:val="20"/>
                <w:szCs w:val="20"/>
              </w:rPr>
              <w:t>The treatment must be in combination with one of: (</w:t>
            </w:r>
            <w:proofErr w:type="spellStart"/>
            <w:r w:rsidRPr="007F2E0C">
              <w:rPr>
                <w:rFonts w:ascii="Arial Narrow" w:hAnsi="Arial Narrow"/>
                <w:bCs/>
                <w:snapToGrid w:val="0"/>
                <w:sz w:val="20"/>
                <w:szCs w:val="20"/>
              </w:rPr>
              <w:t>i</w:t>
            </w:r>
            <w:proofErr w:type="spellEnd"/>
            <w:r w:rsidRPr="007F2E0C">
              <w:rPr>
                <w:rFonts w:ascii="Arial Narrow" w:hAnsi="Arial Narrow"/>
                <w:bCs/>
                <w:snapToGrid w:val="0"/>
                <w:sz w:val="20"/>
                <w:szCs w:val="20"/>
              </w:rPr>
              <w:t xml:space="preserve">) </w:t>
            </w:r>
            <w:r w:rsidR="00E41FDB">
              <w:rPr>
                <w:rFonts w:ascii="Arial Narrow" w:hAnsi="Arial Narrow"/>
                <w:bCs/>
                <w:snapToGrid w:val="0"/>
                <w:sz w:val="20"/>
                <w:szCs w:val="20"/>
              </w:rPr>
              <w:t>non-steroidal aromatase inhibitor</w:t>
            </w:r>
            <w:r w:rsidRPr="007F2E0C">
              <w:rPr>
                <w:rFonts w:ascii="Arial Narrow" w:hAnsi="Arial Narrow"/>
                <w:bCs/>
                <w:snapToGrid w:val="0"/>
                <w:sz w:val="20"/>
                <w:szCs w:val="20"/>
              </w:rPr>
              <w:t xml:space="preserve">, (ii) </w:t>
            </w:r>
            <w:proofErr w:type="spellStart"/>
            <w:r w:rsidRPr="007F2E0C">
              <w:rPr>
                <w:rFonts w:ascii="Arial Narrow" w:hAnsi="Arial Narrow"/>
                <w:bCs/>
                <w:snapToGrid w:val="0"/>
                <w:sz w:val="20"/>
                <w:szCs w:val="20"/>
              </w:rPr>
              <w:t>fulvestrant</w:t>
            </w:r>
            <w:proofErr w:type="spellEnd"/>
          </w:p>
        </w:tc>
      </w:tr>
      <w:tr w:rsidR="00860DF2" w:rsidRPr="00641661" w14:paraId="4E338AED" w14:textId="77777777" w:rsidTr="00B5124C">
        <w:tblPrEx>
          <w:tblCellMar>
            <w:top w:w="15" w:type="dxa"/>
            <w:left w:w="15" w:type="dxa"/>
            <w:bottom w:w="15" w:type="dxa"/>
            <w:right w:w="15" w:type="dxa"/>
          </w:tblCellMar>
        </w:tblPrEx>
        <w:tc>
          <w:tcPr>
            <w:tcW w:w="1412" w:type="dxa"/>
            <w:gridSpan w:val="2"/>
            <w:shd w:val="clear" w:color="auto" w:fill="auto"/>
            <w:vAlign w:val="center"/>
          </w:tcPr>
          <w:p w14:paraId="23084BF0" w14:textId="77777777" w:rsidR="00860DF2" w:rsidRPr="007F2E0C" w:rsidRDefault="00860DF2" w:rsidP="007A3B69">
            <w:pPr>
              <w:widowControl w:val="0"/>
              <w:jc w:val="center"/>
              <w:rPr>
                <w:rFonts w:ascii="Arial Narrow" w:hAnsi="Arial Narrow"/>
                <w:b/>
                <w:bCs/>
                <w:snapToGrid w:val="0"/>
                <w:sz w:val="20"/>
                <w:szCs w:val="20"/>
              </w:rPr>
            </w:pPr>
          </w:p>
        </w:tc>
        <w:tc>
          <w:tcPr>
            <w:tcW w:w="7655" w:type="dxa"/>
            <w:gridSpan w:val="7"/>
            <w:shd w:val="clear" w:color="auto" w:fill="auto"/>
            <w:vAlign w:val="center"/>
            <w:hideMark/>
          </w:tcPr>
          <w:p w14:paraId="1055FF65" w14:textId="77777777" w:rsidR="00860DF2" w:rsidRPr="007F2E0C" w:rsidRDefault="00860DF2" w:rsidP="007A3B69">
            <w:pPr>
              <w:widowControl w:val="0"/>
              <w:rPr>
                <w:rFonts w:ascii="Arial Narrow" w:hAnsi="Arial Narrow"/>
                <w:bCs/>
                <w:snapToGrid w:val="0"/>
                <w:sz w:val="20"/>
                <w:szCs w:val="20"/>
              </w:rPr>
            </w:pPr>
            <w:r w:rsidRPr="007F2E0C">
              <w:rPr>
                <w:rFonts w:ascii="Arial Narrow" w:hAnsi="Arial Narrow"/>
                <w:b/>
                <w:bCs/>
                <w:snapToGrid w:val="0"/>
                <w:sz w:val="20"/>
                <w:szCs w:val="20"/>
              </w:rPr>
              <w:t>AND</w:t>
            </w:r>
          </w:p>
        </w:tc>
      </w:tr>
      <w:tr w:rsidR="00860DF2" w:rsidRPr="00641661" w14:paraId="03EF7180" w14:textId="77777777" w:rsidTr="00B5124C">
        <w:tblPrEx>
          <w:tblCellMar>
            <w:top w:w="15" w:type="dxa"/>
            <w:left w:w="15" w:type="dxa"/>
            <w:bottom w:w="15" w:type="dxa"/>
            <w:right w:w="15" w:type="dxa"/>
          </w:tblCellMar>
        </w:tblPrEx>
        <w:tc>
          <w:tcPr>
            <w:tcW w:w="1412" w:type="dxa"/>
            <w:gridSpan w:val="2"/>
            <w:shd w:val="clear" w:color="auto" w:fill="auto"/>
            <w:vAlign w:val="center"/>
          </w:tcPr>
          <w:p w14:paraId="2A6579A5" w14:textId="77777777" w:rsidR="00860DF2" w:rsidRPr="007F2E0C" w:rsidRDefault="00860DF2" w:rsidP="007A3B69">
            <w:pPr>
              <w:widowControl w:val="0"/>
              <w:jc w:val="center"/>
              <w:rPr>
                <w:rFonts w:ascii="Arial Narrow" w:hAnsi="Arial Narrow"/>
                <w:bCs/>
                <w:snapToGrid w:val="0"/>
                <w:sz w:val="20"/>
                <w:szCs w:val="20"/>
              </w:rPr>
            </w:pPr>
          </w:p>
        </w:tc>
        <w:tc>
          <w:tcPr>
            <w:tcW w:w="7655" w:type="dxa"/>
            <w:gridSpan w:val="7"/>
            <w:shd w:val="clear" w:color="auto" w:fill="auto"/>
            <w:vAlign w:val="center"/>
            <w:hideMark/>
          </w:tcPr>
          <w:p w14:paraId="11F876BA" w14:textId="77777777" w:rsidR="00860DF2" w:rsidRPr="007F2E0C" w:rsidRDefault="00860DF2" w:rsidP="007A3B69">
            <w:pPr>
              <w:widowControl w:val="0"/>
              <w:rPr>
                <w:rFonts w:ascii="Arial Narrow" w:hAnsi="Arial Narrow"/>
                <w:bCs/>
                <w:snapToGrid w:val="0"/>
                <w:sz w:val="20"/>
                <w:szCs w:val="20"/>
              </w:rPr>
            </w:pPr>
            <w:r w:rsidRPr="007F2E0C">
              <w:rPr>
                <w:rFonts w:ascii="Arial Narrow" w:hAnsi="Arial Narrow"/>
                <w:b/>
                <w:bCs/>
                <w:snapToGrid w:val="0"/>
                <w:sz w:val="20"/>
                <w:szCs w:val="20"/>
              </w:rPr>
              <w:t>Clinical criteria:</w:t>
            </w:r>
          </w:p>
        </w:tc>
      </w:tr>
      <w:tr w:rsidR="00860DF2" w:rsidRPr="00641661" w14:paraId="4AD9B20D" w14:textId="77777777" w:rsidTr="00B5124C">
        <w:tblPrEx>
          <w:tblCellMar>
            <w:top w:w="15" w:type="dxa"/>
            <w:left w:w="15" w:type="dxa"/>
            <w:bottom w:w="15" w:type="dxa"/>
            <w:right w:w="15" w:type="dxa"/>
          </w:tblCellMar>
        </w:tblPrEx>
        <w:tc>
          <w:tcPr>
            <w:tcW w:w="1412" w:type="dxa"/>
            <w:gridSpan w:val="2"/>
            <w:shd w:val="clear" w:color="auto" w:fill="auto"/>
            <w:vAlign w:val="center"/>
          </w:tcPr>
          <w:p w14:paraId="13E1EA42" w14:textId="4C9ADB86" w:rsidR="00987642" w:rsidRPr="007F2E0C" w:rsidRDefault="00987642" w:rsidP="007A3B69">
            <w:pPr>
              <w:widowControl w:val="0"/>
              <w:jc w:val="center"/>
              <w:rPr>
                <w:rFonts w:ascii="Arial Narrow" w:hAnsi="Arial Narrow"/>
                <w:bCs/>
                <w:snapToGrid w:val="0"/>
                <w:sz w:val="20"/>
                <w:szCs w:val="20"/>
              </w:rPr>
            </w:pPr>
          </w:p>
        </w:tc>
        <w:tc>
          <w:tcPr>
            <w:tcW w:w="7655" w:type="dxa"/>
            <w:gridSpan w:val="7"/>
            <w:shd w:val="clear" w:color="auto" w:fill="auto"/>
            <w:vAlign w:val="center"/>
          </w:tcPr>
          <w:p w14:paraId="5CE4A6A3" w14:textId="6BB03447" w:rsidR="00860DF2" w:rsidRPr="007F2E0C" w:rsidRDefault="00860DF2" w:rsidP="007A3B69">
            <w:pPr>
              <w:widowControl w:val="0"/>
              <w:rPr>
                <w:rFonts w:ascii="Arial Narrow" w:hAnsi="Arial Narrow"/>
                <w:bCs/>
                <w:i/>
                <w:snapToGrid w:val="0"/>
                <w:sz w:val="20"/>
                <w:szCs w:val="20"/>
              </w:rPr>
            </w:pPr>
            <w:r w:rsidRPr="007F2E0C">
              <w:rPr>
                <w:rFonts w:ascii="Arial Narrow" w:hAnsi="Arial Narrow"/>
                <w:sz w:val="20"/>
                <w:szCs w:val="20"/>
              </w:rPr>
              <w:t>The treatment must not be in combination with another</w:t>
            </w:r>
            <w:r w:rsidR="00987642">
              <w:rPr>
                <w:rFonts w:ascii="Arial Narrow" w:hAnsi="Arial Narrow"/>
                <w:sz w:val="20"/>
                <w:szCs w:val="20"/>
              </w:rPr>
              <w:t xml:space="preserve"> </w:t>
            </w:r>
            <w:r w:rsidR="00B5124C">
              <w:rPr>
                <w:rFonts w:ascii="Arial Narrow" w:hAnsi="Arial Narrow"/>
                <w:bCs/>
                <w:snapToGrid w:val="0"/>
                <w:sz w:val="20"/>
                <w:szCs w:val="20"/>
              </w:rPr>
              <w:t>c</w:t>
            </w:r>
            <w:r w:rsidR="00987642">
              <w:rPr>
                <w:rFonts w:ascii="Arial Narrow" w:hAnsi="Arial Narrow"/>
                <w:bCs/>
                <w:snapToGrid w:val="0"/>
                <w:sz w:val="20"/>
                <w:szCs w:val="20"/>
              </w:rPr>
              <w:t>yclin-dependent kinase 4 and 6 (CDK4/6) inhibitor therapy</w:t>
            </w:r>
            <w:r w:rsidRPr="007F2E0C">
              <w:rPr>
                <w:rFonts w:ascii="Arial Narrow" w:hAnsi="Arial Narrow"/>
                <w:sz w:val="20"/>
                <w:szCs w:val="20"/>
              </w:rPr>
              <w:t xml:space="preserve"> </w:t>
            </w:r>
          </w:p>
        </w:tc>
      </w:tr>
      <w:tr w:rsidR="00860DF2" w:rsidRPr="00641661" w14:paraId="47C75358" w14:textId="77777777" w:rsidTr="00B5124C">
        <w:tblPrEx>
          <w:tblCellMar>
            <w:top w:w="15" w:type="dxa"/>
            <w:left w:w="15" w:type="dxa"/>
            <w:bottom w:w="15" w:type="dxa"/>
            <w:right w:w="15" w:type="dxa"/>
          </w:tblCellMar>
        </w:tblPrEx>
        <w:tc>
          <w:tcPr>
            <w:tcW w:w="1412" w:type="dxa"/>
            <w:gridSpan w:val="2"/>
            <w:shd w:val="clear" w:color="auto" w:fill="auto"/>
            <w:vAlign w:val="center"/>
          </w:tcPr>
          <w:p w14:paraId="1C9079B6" w14:textId="77777777" w:rsidR="00860DF2" w:rsidRPr="007F2E0C" w:rsidRDefault="00860DF2" w:rsidP="007A3B69">
            <w:pPr>
              <w:widowControl w:val="0"/>
              <w:jc w:val="center"/>
              <w:rPr>
                <w:rFonts w:ascii="Arial Narrow" w:hAnsi="Arial Narrow"/>
                <w:bCs/>
                <w:snapToGrid w:val="0"/>
                <w:sz w:val="20"/>
                <w:szCs w:val="20"/>
              </w:rPr>
            </w:pPr>
          </w:p>
        </w:tc>
        <w:tc>
          <w:tcPr>
            <w:tcW w:w="7655" w:type="dxa"/>
            <w:gridSpan w:val="7"/>
            <w:shd w:val="clear" w:color="auto" w:fill="auto"/>
            <w:vAlign w:val="center"/>
          </w:tcPr>
          <w:p w14:paraId="6D99FE8D" w14:textId="77777777" w:rsidR="00860DF2" w:rsidRPr="007F2E0C" w:rsidRDefault="00860DF2" w:rsidP="007A3B69">
            <w:pPr>
              <w:widowControl w:val="0"/>
              <w:rPr>
                <w:rFonts w:ascii="Arial Narrow" w:hAnsi="Arial Narrow"/>
                <w:bCs/>
                <w:snapToGrid w:val="0"/>
                <w:sz w:val="20"/>
                <w:szCs w:val="20"/>
              </w:rPr>
            </w:pPr>
            <w:r w:rsidRPr="007F2E0C">
              <w:rPr>
                <w:rFonts w:ascii="Arial Narrow" w:hAnsi="Arial Narrow"/>
                <w:b/>
                <w:bCs/>
                <w:snapToGrid w:val="0"/>
                <w:sz w:val="20"/>
                <w:szCs w:val="20"/>
              </w:rPr>
              <w:t>AND</w:t>
            </w:r>
          </w:p>
        </w:tc>
      </w:tr>
      <w:tr w:rsidR="00860DF2" w:rsidRPr="00641661" w14:paraId="5B18DC47" w14:textId="77777777" w:rsidTr="00B5124C">
        <w:tblPrEx>
          <w:tblCellMar>
            <w:top w:w="15" w:type="dxa"/>
            <w:left w:w="15" w:type="dxa"/>
            <w:bottom w:w="15" w:type="dxa"/>
            <w:right w:w="15" w:type="dxa"/>
          </w:tblCellMar>
        </w:tblPrEx>
        <w:tc>
          <w:tcPr>
            <w:tcW w:w="1412" w:type="dxa"/>
            <w:gridSpan w:val="2"/>
            <w:shd w:val="clear" w:color="auto" w:fill="auto"/>
            <w:vAlign w:val="center"/>
          </w:tcPr>
          <w:p w14:paraId="44D53501" w14:textId="6BE48AB4" w:rsidR="00860DF2" w:rsidRPr="007F2E0C" w:rsidRDefault="00860DF2" w:rsidP="007A3B69">
            <w:pPr>
              <w:widowControl w:val="0"/>
              <w:jc w:val="center"/>
              <w:rPr>
                <w:rFonts w:ascii="Arial Narrow" w:hAnsi="Arial Narrow"/>
                <w:b/>
                <w:bCs/>
                <w:snapToGrid w:val="0"/>
                <w:sz w:val="20"/>
                <w:szCs w:val="20"/>
              </w:rPr>
            </w:pPr>
          </w:p>
        </w:tc>
        <w:tc>
          <w:tcPr>
            <w:tcW w:w="7655" w:type="dxa"/>
            <w:gridSpan w:val="7"/>
            <w:shd w:val="clear" w:color="auto" w:fill="auto"/>
            <w:vAlign w:val="center"/>
            <w:hideMark/>
          </w:tcPr>
          <w:p w14:paraId="425F3FA1" w14:textId="77777777" w:rsidR="00860DF2" w:rsidRPr="007F2E0C" w:rsidRDefault="00860DF2" w:rsidP="007A3B69">
            <w:pPr>
              <w:widowControl w:val="0"/>
              <w:rPr>
                <w:rFonts w:ascii="Arial Narrow" w:hAnsi="Arial Narrow"/>
                <w:bCs/>
                <w:snapToGrid w:val="0"/>
                <w:sz w:val="20"/>
                <w:szCs w:val="20"/>
              </w:rPr>
            </w:pPr>
            <w:r w:rsidRPr="007F2E0C">
              <w:rPr>
                <w:rFonts w:ascii="Arial Narrow" w:hAnsi="Arial Narrow"/>
                <w:b/>
                <w:bCs/>
                <w:snapToGrid w:val="0"/>
                <w:sz w:val="20"/>
                <w:szCs w:val="20"/>
              </w:rPr>
              <w:t>Population criteria:</w:t>
            </w:r>
          </w:p>
        </w:tc>
      </w:tr>
      <w:tr w:rsidR="00860DF2" w:rsidRPr="00641661" w14:paraId="38A2CB67" w14:textId="77777777" w:rsidTr="00B5124C">
        <w:tblPrEx>
          <w:tblCellMar>
            <w:top w:w="15" w:type="dxa"/>
            <w:left w:w="15" w:type="dxa"/>
            <w:bottom w:w="15" w:type="dxa"/>
            <w:right w:w="15" w:type="dxa"/>
          </w:tblCellMar>
        </w:tblPrEx>
        <w:tc>
          <w:tcPr>
            <w:tcW w:w="1412" w:type="dxa"/>
            <w:gridSpan w:val="2"/>
            <w:shd w:val="clear" w:color="auto" w:fill="auto"/>
            <w:vAlign w:val="center"/>
          </w:tcPr>
          <w:p w14:paraId="63C772FF" w14:textId="39AA123A" w:rsidR="00860DF2" w:rsidRPr="007F2E0C" w:rsidRDefault="00860DF2" w:rsidP="007A3B69">
            <w:pPr>
              <w:widowControl w:val="0"/>
              <w:jc w:val="center"/>
              <w:rPr>
                <w:rFonts w:ascii="Arial Narrow" w:hAnsi="Arial Narrow"/>
                <w:bCs/>
                <w:snapToGrid w:val="0"/>
                <w:sz w:val="20"/>
                <w:szCs w:val="20"/>
              </w:rPr>
            </w:pPr>
          </w:p>
        </w:tc>
        <w:tc>
          <w:tcPr>
            <w:tcW w:w="7655" w:type="dxa"/>
            <w:gridSpan w:val="7"/>
            <w:shd w:val="clear" w:color="auto" w:fill="auto"/>
            <w:vAlign w:val="center"/>
            <w:hideMark/>
          </w:tcPr>
          <w:p w14:paraId="75938D5B" w14:textId="77777777" w:rsidR="00860DF2" w:rsidRPr="007F2E0C" w:rsidRDefault="00860DF2" w:rsidP="007A3B69">
            <w:pPr>
              <w:widowControl w:val="0"/>
              <w:rPr>
                <w:rFonts w:ascii="Arial Narrow" w:hAnsi="Arial Narrow"/>
                <w:bCs/>
                <w:snapToGrid w:val="0"/>
                <w:sz w:val="20"/>
                <w:szCs w:val="20"/>
              </w:rPr>
            </w:pPr>
            <w:r w:rsidRPr="007F2E0C">
              <w:rPr>
                <w:rFonts w:ascii="Arial Narrow" w:hAnsi="Arial Narrow"/>
                <w:bCs/>
                <w:snapToGrid w:val="0"/>
                <w:sz w:val="20"/>
                <w:szCs w:val="20"/>
              </w:rPr>
              <w:t>Patient must not be premenopausal</w:t>
            </w:r>
          </w:p>
        </w:tc>
      </w:tr>
      <w:tr w:rsidR="00860DF2" w:rsidRPr="00641661" w14:paraId="4370A2D2" w14:textId="77777777" w:rsidTr="00B455D5">
        <w:tblPrEx>
          <w:tblCellMar>
            <w:top w:w="15" w:type="dxa"/>
            <w:left w:w="15" w:type="dxa"/>
            <w:bottom w:w="15" w:type="dxa"/>
            <w:right w:w="15" w:type="dxa"/>
          </w:tblCellMar>
          <w:tblLook w:val="04A0" w:firstRow="1" w:lastRow="0" w:firstColumn="1" w:lastColumn="0" w:noHBand="0" w:noVBand="1"/>
        </w:tblPrEx>
        <w:tc>
          <w:tcPr>
            <w:tcW w:w="9067" w:type="dxa"/>
            <w:gridSpan w:val="9"/>
          </w:tcPr>
          <w:p w14:paraId="58620542" w14:textId="77777777" w:rsidR="00860DF2" w:rsidRPr="007F2E0C" w:rsidRDefault="00860DF2" w:rsidP="007A3B69">
            <w:pPr>
              <w:widowControl w:val="0"/>
              <w:ind w:left="57" w:right="57"/>
              <w:rPr>
                <w:rFonts w:ascii="Arial Narrow" w:hAnsi="Arial Narrow"/>
                <w:b/>
                <w:bCs/>
                <w:strike/>
                <w:snapToGrid w:val="0"/>
                <w:sz w:val="20"/>
                <w:szCs w:val="20"/>
              </w:rPr>
            </w:pPr>
          </w:p>
        </w:tc>
      </w:tr>
      <w:tr w:rsidR="00860DF2" w:rsidRPr="00641661" w14:paraId="09046CC8" w14:textId="77777777" w:rsidTr="00B455D5">
        <w:tblPrEx>
          <w:tblCellMar>
            <w:top w:w="15" w:type="dxa"/>
            <w:left w:w="15" w:type="dxa"/>
            <w:bottom w:w="15" w:type="dxa"/>
            <w:right w:w="15" w:type="dxa"/>
          </w:tblCellMar>
          <w:tblLook w:val="04A0" w:firstRow="1" w:lastRow="0" w:firstColumn="1" w:lastColumn="0" w:noHBand="0" w:noVBand="1"/>
        </w:tblPrEx>
        <w:tc>
          <w:tcPr>
            <w:tcW w:w="9067" w:type="dxa"/>
            <w:gridSpan w:val="9"/>
            <w:shd w:val="clear" w:color="auto" w:fill="auto"/>
          </w:tcPr>
          <w:p w14:paraId="53233711" w14:textId="68CF7AA0" w:rsidR="00860DF2" w:rsidRPr="007F2E0C" w:rsidRDefault="00860DF2" w:rsidP="007A3B69">
            <w:pPr>
              <w:widowControl w:val="0"/>
              <w:ind w:left="57" w:right="57"/>
              <w:rPr>
                <w:rFonts w:ascii="Arial Narrow" w:hAnsi="Arial Narrow"/>
                <w:b/>
                <w:bCs/>
                <w:strike/>
                <w:snapToGrid w:val="0"/>
                <w:sz w:val="20"/>
                <w:szCs w:val="20"/>
              </w:rPr>
            </w:pPr>
            <w:r w:rsidRPr="007F2E0C">
              <w:rPr>
                <w:rFonts w:ascii="Arial Narrow" w:hAnsi="Arial Narrow"/>
                <w:b/>
                <w:sz w:val="20"/>
                <w:szCs w:val="20"/>
              </w:rPr>
              <w:t xml:space="preserve">Add Restriction Summary: / </w:t>
            </w:r>
            <w:proofErr w:type="spellStart"/>
            <w:r w:rsidRPr="007F2E0C">
              <w:rPr>
                <w:rFonts w:ascii="Arial Narrow" w:hAnsi="Arial Narrow"/>
                <w:b/>
                <w:sz w:val="20"/>
                <w:szCs w:val="20"/>
              </w:rPr>
              <w:t>ToC</w:t>
            </w:r>
            <w:proofErr w:type="spellEnd"/>
            <w:r w:rsidRPr="007F2E0C">
              <w:rPr>
                <w:rFonts w:ascii="Arial Narrow" w:hAnsi="Arial Narrow"/>
                <w:b/>
                <w:sz w:val="20"/>
                <w:szCs w:val="20"/>
              </w:rPr>
              <w:t xml:space="preserve">: </w:t>
            </w:r>
          </w:p>
        </w:tc>
      </w:tr>
      <w:tr w:rsidR="00860DF2" w:rsidRPr="00641661" w14:paraId="531433E5" w14:textId="77777777" w:rsidTr="00B5124C">
        <w:tblPrEx>
          <w:tblCellMar>
            <w:top w:w="15" w:type="dxa"/>
            <w:left w:w="15" w:type="dxa"/>
            <w:bottom w:w="15" w:type="dxa"/>
            <w:right w:w="15" w:type="dxa"/>
          </w:tblCellMar>
        </w:tblPrEx>
        <w:trPr>
          <w:trHeight w:val="158"/>
        </w:trPr>
        <w:tc>
          <w:tcPr>
            <w:tcW w:w="1412" w:type="dxa"/>
            <w:gridSpan w:val="2"/>
            <w:vMerge w:val="restart"/>
            <w:shd w:val="clear" w:color="auto" w:fill="auto"/>
            <w:vAlign w:val="center"/>
          </w:tcPr>
          <w:p w14:paraId="3D0F9DD9" w14:textId="6E5E7512" w:rsidR="00860DF2" w:rsidRPr="007F2E0C" w:rsidRDefault="00860DF2" w:rsidP="007A3B69">
            <w:pPr>
              <w:ind w:left="57"/>
              <w:jc w:val="center"/>
              <w:rPr>
                <w:rFonts w:ascii="Arial Narrow" w:hAnsi="Arial Narrow"/>
                <w:b/>
                <w:sz w:val="20"/>
                <w:szCs w:val="20"/>
              </w:rPr>
            </w:pPr>
          </w:p>
        </w:tc>
        <w:tc>
          <w:tcPr>
            <w:tcW w:w="7655" w:type="dxa"/>
            <w:gridSpan w:val="7"/>
            <w:tcBorders>
              <w:top w:val="single" w:sz="4" w:space="0" w:color="auto"/>
              <w:left w:val="single" w:sz="4" w:space="0" w:color="auto"/>
              <w:bottom w:val="single" w:sz="4" w:space="0" w:color="auto"/>
              <w:right w:val="single" w:sz="4" w:space="0" w:color="auto"/>
            </w:tcBorders>
            <w:shd w:val="clear" w:color="auto" w:fill="auto"/>
          </w:tcPr>
          <w:p w14:paraId="1B277084" w14:textId="77777777" w:rsidR="00860DF2" w:rsidRPr="007F2E0C" w:rsidRDefault="00860DF2" w:rsidP="007A3B69">
            <w:pPr>
              <w:ind w:left="57"/>
              <w:rPr>
                <w:rFonts w:ascii="Arial Narrow" w:hAnsi="Arial Narrow"/>
                <w:sz w:val="20"/>
                <w:szCs w:val="20"/>
              </w:rPr>
            </w:pPr>
            <w:r w:rsidRPr="007F2E0C">
              <w:rPr>
                <w:rFonts w:ascii="Arial Narrow" w:hAnsi="Arial Narrow"/>
                <w:b/>
                <w:sz w:val="20"/>
                <w:szCs w:val="20"/>
              </w:rPr>
              <w:t xml:space="preserve">Category / Program:   </w:t>
            </w:r>
            <w:r w:rsidRPr="007F2E0C">
              <w:rPr>
                <w:rFonts w:ascii="Arial Narrow" w:hAnsi="Arial Narrow"/>
                <w:sz w:val="20"/>
                <w:szCs w:val="20"/>
              </w:rPr>
              <w:t xml:space="preserve">GENERAL – General Schedule (Code GE) </w:t>
            </w:r>
          </w:p>
        </w:tc>
      </w:tr>
      <w:tr w:rsidR="00860DF2" w:rsidRPr="00641661" w14:paraId="1FD96BAA" w14:textId="77777777" w:rsidTr="00B5124C">
        <w:tblPrEx>
          <w:tblCellMar>
            <w:top w:w="15" w:type="dxa"/>
            <w:left w:w="15" w:type="dxa"/>
            <w:bottom w:w="15" w:type="dxa"/>
            <w:right w:w="15" w:type="dxa"/>
          </w:tblCellMar>
        </w:tblPrEx>
        <w:tc>
          <w:tcPr>
            <w:tcW w:w="1412" w:type="dxa"/>
            <w:gridSpan w:val="2"/>
            <w:vMerge/>
            <w:shd w:val="clear" w:color="auto" w:fill="auto"/>
            <w:vAlign w:val="center"/>
          </w:tcPr>
          <w:p w14:paraId="4917BE05" w14:textId="77777777" w:rsidR="00860DF2" w:rsidRPr="007F2E0C" w:rsidRDefault="00860DF2" w:rsidP="007A3B69">
            <w:pPr>
              <w:widowControl w:val="0"/>
              <w:ind w:left="57"/>
              <w:rPr>
                <w:rFonts w:ascii="Arial Narrow" w:hAnsi="Arial Narrow"/>
                <w:b/>
                <w:sz w:val="20"/>
                <w:szCs w:val="20"/>
              </w:rPr>
            </w:pPr>
          </w:p>
        </w:tc>
        <w:tc>
          <w:tcPr>
            <w:tcW w:w="7655" w:type="dxa"/>
            <w:gridSpan w:val="7"/>
            <w:tcBorders>
              <w:top w:val="single" w:sz="4" w:space="0" w:color="auto"/>
              <w:left w:val="single" w:sz="4" w:space="0" w:color="auto"/>
              <w:bottom w:val="single" w:sz="4" w:space="0" w:color="auto"/>
              <w:right w:val="single" w:sz="4" w:space="0" w:color="auto"/>
            </w:tcBorders>
            <w:shd w:val="clear" w:color="auto" w:fill="auto"/>
          </w:tcPr>
          <w:p w14:paraId="2EE199E3" w14:textId="77777777" w:rsidR="00860DF2" w:rsidRPr="007F2E0C" w:rsidRDefault="00860DF2" w:rsidP="007A3B69">
            <w:pPr>
              <w:widowControl w:val="0"/>
              <w:ind w:left="57"/>
              <w:rPr>
                <w:rFonts w:ascii="Arial Narrow" w:hAnsi="Arial Narrow"/>
                <w:b/>
                <w:bCs/>
                <w:snapToGrid w:val="0"/>
                <w:sz w:val="20"/>
                <w:szCs w:val="20"/>
              </w:rPr>
            </w:pPr>
            <w:r w:rsidRPr="007F2E0C">
              <w:rPr>
                <w:rFonts w:ascii="Arial Narrow" w:hAnsi="Arial Narrow"/>
                <w:b/>
                <w:sz w:val="20"/>
                <w:szCs w:val="20"/>
              </w:rPr>
              <w:t xml:space="preserve">Prescriber type:   </w:t>
            </w:r>
            <w:r w:rsidRPr="007F2E0C">
              <w:rPr>
                <w:rFonts w:ascii="Arial Narrow" w:hAnsi="Arial Narrow"/>
                <w:sz w:val="20"/>
                <w:szCs w:val="20"/>
              </w:rPr>
              <w:fldChar w:fldCharType="begin">
                <w:ffData>
                  <w:name w:val=""/>
                  <w:enabled/>
                  <w:calcOnExit w:val="0"/>
                  <w:checkBox>
                    <w:sizeAuto/>
                    <w:default w:val="1"/>
                  </w:checkBox>
                </w:ffData>
              </w:fldChar>
            </w:r>
            <w:r w:rsidRPr="007F2E0C">
              <w:rPr>
                <w:rFonts w:ascii="Arial Narrow" w:hAnsi="Arial Narrow"/>
                <w:sz w:val="20"/>
                <w:szCs w:val="20"/>
              </w:rPr>
              <w:instrText xml:space="preserve"> FORMCHECKBOX </w:instrText>
            </w:r>
            <w:r w:rsidR="009728EB">
              <w:rPr>
                <w:rFonts w:ascii="Arial Narrow" w:hAnsi="Arial Narrow"/>
                <w:sz w:val="20"/>
                <w:szCs w:val="20"/>
              </w:rPr>
            </w:r>
            <w:r w:rsidR="009728EB">
              <w:rPr>
                <w:rFonts w:ascii="Arial Narrow" w:hAnsi="Arial Narrow"/>
                <w:sz w:val="20"/>
                <w:szCs w:val="20"/>
              </w:rPr>
              <w:fldChar w:fldCharType="separate"/>
            </w:r>
            <w:r w:rsidRPr="007F2E0C">
              <w:rPr>
                <w:rFonts w:ascii="Arial Narrow" w:hAnsi="Arial Narrow"/>
                <w:sz w:val="20"/>
                <w:szCs w:val="20"/>
              </w:rPr>
              <w:fldChar w:fldCharType="end"/>
            </w:r>
            <w:r w:rsidRPr="007F2E0C">
              <w:rPr>
                <w:rFonts w:ascii="Arial Narrow" w:hAnsi="Arial Narrow"/>
                <w:sz w:val="20"/>
                <w:szCs w:val="20"/>
              </w:rPr>
              <w:t xml:space="preserve"> Medical Practitioners    </w:t>
            </w:r>
          </w:p>
        </w:tc>
      </w:tr>
      <w:tr w:rsidR="00860DF2" w:rsidRPr="00641661" w14:paraId="38637784" w14:textId="77777777" w:rsidTr="00B5124C">
        <w:tblPrEx>
          <w:tblCellMar>
            <w:top w:w="15" w:type="dxa"/>
            <w:left w:w="15" w:type="dxa"/>
            <w:bottom w:w="15" w:type="dxa"/>
            <w:right w:w="15" w:type="dxa"/>
          </w:tblCellMar>
        </w:tblPrEx>
        <w:trPr>
          <w:trHeight w:val="194"/>
        </w:trPr>
        <w:tc>
          <w:tcPr>
            <w:tcW w:w="1412" w:type="dxa"/>
            <w:gridSpan w:val="2"/>
            <w:vMerge/>
            <w:shd w:val="clear" w:color="auto" w:fill="auto"/>
            <w:vAlign w:val="center"/>
          </w:tcPr>
          <w:p w14:paraId="73041632" w14:textId="77777777" w:rsidR="00860DF2" w:rsidRPr="007F2E0C" w:rsidRDefault="00860DF2" w:rsidP="007A3B69">
            <w:pPr>
              <w:ind w:left="57"/>
              <w:rPr>
                <w:rFonts w:ascii="Arial Narrow" w:hAnsi="Arial Narrow"/>
                <w:b/>
                <w:sz w:val="20"/>
                <w:szCs w:val="20"/>
              </w:rPr>
            </w:pPr>
          </w:p>
        </w:tc>
        <w:tc>
          <w:tcPr>
            <w:tcW w:w="7655" w:type="dxa"/>
            <w:gridSpan w:val="7"/>
            <w:tcBorders>
              <w:top w:val="single" w:sz="4" w:space="0" w:color="auto"/>
              <w:left w:val="single" w:sz="4" w:space="0" w:color="auto"/>
              <w:bottom w:val="single" w:sz="4" w:space="0" w:color="auto"/>
              <w:right w:val="single" w:sz="4" w:space="0" w:color="auto"/>
            </w:tcBorders>
            <w:shd w:val="clear" w:color="auto" w:fill="auto"/>
          </w:tcPr>
          <w:p w14:paraId="7ED47A44" w14:textId="77777777" w:rsidR="00860DF2" w:rsidRPr="007F2E0C" w:rsidRDefault="00860DF2" w:rsidP="007A3B69">
            <w:pPr>
              <w:ind w:left="57"/>
              <w:rPr>
                <w:rFonts w:ascii="Arial Narrow" w:hAnsi="Arial Narrow"/>
                <w:b/>
                <w:sz w:val="20"/>
                <w:szCs w:val="20"/>
              </w:rPr>
            </w:pPr>
            <w:r w:rsidRPr="007F2E0C">
              <w:rPr>
                <w:rFonts w:ascii="Arial Narrow" w:hAnsi="Arial Narrow"/>
                <w:b/>
                <w:sz w:val="20"/>
                <w:szCs w:val="20"/>
              </w:rPr>
              <w:t xml:space="preserve">Restriction type: </w:t>
            </w:r>
            <w:r w:rsidRPr="007F2E0C">
              <w:rPr>
                <w:rFonts w:ascii="Arial Narrow" w:eastAsia="Calibri" w:hAnsi="Arial Narrow"/>
                <w:sz w:val="20"/>
                <w:szCs w:val="20"/>
              </w:rPr>
              <w:fldChar w:fldCharType="begin">
                <w:ffData>
                  <w:name w:val="Check3"/>
                  <w:enabled/>
                  <w:calcOnExit w:val="0"/>
                  <w:checkBox>
                    <w:sizeAuto/>
                    <w:default w:val="1"/>
                  </w:checkBox>
                </w:ffData>
              </w:fldChar>
            </w:r>
            <w:r w:rsidRPr="007F2E0C">
              <w:rPr>
                <w:rFonts w:ascii="Arial Narrow" w:eastAsia="Calibri" w:hAnsi="Arial Narrow"/>
                <w:sz w:val="20"/>
                <w:szCs w:val="20"/>
              </w:rPr>
              <w:instrText xml:space="preserve"> FORMCHECKBOX </w:instrText>
            </w:r>
            <w:r w:rsidR="009728EB">
              <w:rPr>
                <w:rFonts w:ascii="Arial Narrow" w:eastAsia="Calibri" w:hAnsi="Arial Narrow"/>
                <w:sz w:val="20"/>
                <w:szCs w:val="20"/>
              </w:rPr>
            </w:r>
            <w:r w:rsidR="009728EB">
              <w:rPr>
                <w:rFonts w:ascii="Arial Narrow" w:eastAsia="Calibri" w:hAnsi="Arial Narrow"/>
                <w:sz w:val="20"/>
                <w:szCs w:val="20"/>
              </w:rPr>
              <w:fldChar w:fldCharType="separate"/>
            </w:r>
            <w:r w:rsidRPr="007F2E0C">
              <w:rPr>
                <w:rFonts w:ascii="Arial Narrow" w:eastAsia="Calibri" w:hAnsi="Arial Narrow"/>
                <w:sz w:val="20"/>
                <w:szCs w:val="20"/>
              </w:rPr>
              <w:fldChar w:fldCharType="end"/>
            </w:r>
            <w:r w:rsidRPr="007F2E0C">
              <w:rPr>
                <w:rFonts w:ascii="Arial Narrow" w:eastAsia="Calibri" w:hAnsi="Arial Narrow"/>
                <w:sz w:val="20"/>
                <w:szCs w:val="20"/>
              </w:rPr>
              <w:t xml:space="preserve"> Authority Required – immediate/real time assessment by Services Australia </w:t>
            </w:r>
          </w:p>
        </w:tc>
      </w:tr>
      <w:tr w:rsidR="00860DF2" w:rsidRPr="00641661" w14:paraId="6C92D533" w14:textId="77777777" w:rsidTr="00B5124C">
        <w:tblPrEx>
          <w:tblCellMar>
            <w:top w:w="15" w:type="dxa"/>
            <w:left w:w="15" w:type="dxa"/>
            <w:bottom w:w="15" w:type="dxa"/>
            <w:right w:w="15" w:type="dxa"/>
          </w:tblCellMar>
        </w:tblPrEx>
        <w:tc>
          <w:tcPr>
            <w:tcW w:w="1412" w:type="dxa"/>
            <w:gridSpan w:val="2"/>
            <w:shd w:val="clear" w:color="auto" w:fill="auto"/>
            <w:vAlign w:val="center"/>
          </w:tcPr>
          <w:p w14:paraId="5AECE3AF" w14:textId="38BE2428" w:rsidR="00860DF2" w:rsidRPr="007F2E0C" w:rsidRDefault="00860DF2" w:rsidP="007A3B69">
            <w:pPr>
              <w:widowControl w:val="0"/>
              <w:ind w:left="57"/>
              <w:jc w:val="center"/>
              <w:rPr>
                <w:rFonts w:ascii="Arial Narrow" w:hAnsi="Arial Narrow"/>
                <w:b/>
                <w:bCs/>
                <w:snapToGrid w:val="0"/>
                <w:sz w:val="20"/>
                <w:szCs w:val="20"/>
              </w:rPr>
            </w:pPr>
          </w:p>
        </w:tc>
        <w:tc>
          <w:tcPr>
            <w:tcW w:w="7655" w:type="dxa"/>
            <w:gridSpan w:val="7"/>
            <w:shd w:val="clear" w:color="auto" w:fill="auto"/>
            <w:vAlign w:val="center"/>
            <w:hideMark/>
          </w:tcPr>
          <w:p w14:paraId="4CE79D85" w14:textId="77777777" w:rsidR="00860DF2" w:rsidRPr="007F2E0C" w:rsidRDefault="00860DF2" w:rsidP="007A3B69">
            <w:pPr>
              <w:widowControl w:val="0"/>
              <w:ind w:left="57"/>
              <w:rPr>
                <w:rFonts w:ascii="Arial Narrow" w:hAnsi="Arial Narrow"/>
                <w:bCs/>
                <w:snapToGrid w:val="0"/>
                <w:sz w:val="20"/>
                <w:szCs w:val="20"/>
              </w:rPr>
            </w:pPr>
            <w:r w:rsidRPr="007F2E0C">
              <w:rPr>
                <w:rFonts w:ascii="Arial Narrow" w:hAnsi="Arial Narrow"/>
                <w:b/>
                <w:bCs/>
                <w:snapToGrid w:val="0"/>
                <w:sz w:val="20"/>
                <w:szCs w:val="20"/>
              </w:rPr>
              <w:t>Indication:</w:t>
            </w:r>
            <w:r w:rsidRPr="007F2E0C">
              <w:rPr>
                <w:rFonts w:ascii="Arial Narrow" w:hAnsi="Arial Narrow"/>
                <w:bCs/>
                <w:snapToGrid w:val="0"/>
                <w:sz w:val="20"/>
                <w:szCs w:val="20"/>
              </w:rPr>
              <w:t xml:space="preserve"> Locally advanced or metastatic breast cancer</w:t>
            </w:r>
          </w:p>
        </w:tc>
      </w:tr>
      <w:tr w:rsidR="00860DF2" w:rsidRPr="00641661" w14:paraId="1E837C55" w14:textId="77777777" w:rsidTr="00B5124C">
        <w:tblPrEx>
          <w:tblCellMar>
            <w:top w:w="15" w:type="dxa"/>
            <w:left w:w="15" w:type="dxa"/>
            <w:bottom w:w="15" w:type="dxa"/>
            <w:right w:w="15" w:type="dxa"/>
          </w:tblCellMar>
        </w:tblPrEx>
        <w:tc>
          <w:tcPr>
            <w:tcW w:w="1412" w:type="dxa"/>
            <w:gridSpan w:val="2"/>
            <w:shd w:val="clear" w:color="auto" w:fill="auto"/>
            <w:vAlign w:val="center"/>
          </w:tcPr>
          <w:p w14:paraId="5809F638" w14:textId="77777777" w:rsidR="00860DF2" w:rsidRPr="007F2E0C" w:rsidRDefault="00860DF2" w:rsidP="007A3B69">
            <w:pPr>
              <w:widowControl w:val="0"/>
              <w:ind w:left="57"/>
              <w:jc w:val="center"/>
              <w:rPr>
                <w:rFonts w:ascii="Arial Narrow" w:hAnsi="Arial Narrow"/>
                <w:b/>
                <w:bCs/>
                <w:snapToGrid w:val="0"/>
                <w:sz w:val="20"/>
                <w:szCs w:val="20"/>
              </w:rPr>
            </w:pPr>
          </w:p>
        </w:tc>
        <w:tc>
          <w:tcPr>
            <w:tcW w:w="7655" w:type="dxa"/>
            <w:gridSpan w:val="7"/>
            <w:shd w:val="clear" w:color="auto" w:fill="auto"/>
            <w:vAlign w:val="center"/>
            <w:hideMark/>
          </w:tcPr>
          <w:p w14:paraId="1137A361" w14:textId="77777777" w:rsidR="00860DF2" w:rsidRPr="007F2E0C" w:rsidRDefault="00860DF2" w:rsidP="007A3B69">
            <w:pPr>
              <w:widowControl w:val="0"/>
              <w:ind w:left="57"/>
              <w:rPr>
                <w:rFonts w:ascii="Arial Narrow" w:hAnsi="Arial Narrow"/>
                <w:bCs/>
                <w:snapToGrid w:val="0"/>
                <w:sz w:val="20"/>
                <w:szCs w:val="20"/>
              </w:rPr>
            </w:pPr>
            <w:r w:rsidRPr="007F2E0C">
              <w:rPr>
                <w:rFonts w:ascii="Arial Narrow" w:hAnsi="Arial Narrow"/>
                <w:b/>
                <w:bCs/>
                <w:snapToGrid w:val="0"/>
                <w:sz w:val="20"/>
                <w:szCs w:val="20"/>
              </w:rPr>
              <w:t>Treatment Phase:</w:t>
            </w:r>
            <w:r w:rsidRPr="007F2E0C">
              <w:rPr>
                <w:rFonts w:ascii="Arial Narrow" w:hAnsi="Arial Narrow"/>
                <w:bCs/>
                <w:snapToGrid w:val="0"/>
                <w:sz w:val="20"/>
                <w:szCs w:val="20"/>
              </w:rPr>
              <w:t xml:space="preserve"> Transitioning from non-PBS to PBS-subsidised supply - ‘Grandfather’ arrangements</w:t>
            </w:r>
          </w:p>
        </w:tc>
      </w:tr>
      <w:tr w:rsidR="00860DF2" w:rsidRPr="00641661" w14:paraId="10427D7F" w14:textId="77777777" w:rsidTr="00B5124C">
        <w:tblPrEx>
          <w:tblCellMar>
            <w:top w:w="15" w:type="dxa"/>
            <w:left w:w="15" w:type="dxa"/>
            <w:bottom w:w="15" w:type="dxa"/>
            <w:right w:w="15" w:type="dxa"/>
          </w:tblCellMar>
        </w:tblPrEx>
        <w:tc>
          <w:tcPr>
            <w:tcW w:w="1412" w:type="dxa"/>
            <w:gridSpan w:val="2"/>
            <w:shd w:val="clear" w:color="auto" w:fill="auto"/>
            <w:vAlign w:val="center"/>
          </w:tcPr>
          <w:p w14:paraId="35459648" w14:textId="77777777" w:rsidR="00860DF2" w:rsidRPr="007F2E0C" w:rsidRDefault="00860DF2" w:rsidP="007A3B69">
            <w:pPr>
              <w:widowControl w:val="0"/>
              <w:ind w:left="57"/>
              <w:jc w:val="center"/>
              <w:rPr>
                <w:rFonts w:ascii="Arial Narrow" w:hAnsi="Arial Narrow"/>
                <w:b/>
                <w:bCs/>
                <w:snapToGrid w:val="0"/>
                <w:sz w:val="20"/>
                <w:szCs w:val="20"/>
              </w:rPr>
            </w:pPr>
          </w:p>
        </w:tc>
        <w:tc>
          <w:tcPr>
            <w:tcW w:w="7655" w:type="dxa"/>
            <w:gridSpan w:val="7"/>
            <w:shd w:val="clear" w:color="auto" w:fill="auto"/>
            <w:vAlign w:val="center"/>
          </w:tcPr>
          <w:p w14:paraId="49A313FC" w14:textId="77777777" w:rsidR="00860DF2" w:rsidRPr="007F2E0C" w:rsidRDefault="00860DF2" w:rsidP="007A3B69">
            <w:pPr>
              <w:widowControl w:val="0"/>
              <w:ind w:left="57"/>
              <w:rPr>
                <w:rFonts w:ascii="Arial Narrow" w:hAnsi="Arial Narrow"/>
                <w:b/>
                <w:bCs/>
                <w:snapToGrid w:val="0"/>
                <w:sz w:val="20"/>
                <w:szCs w:val="20"/>
              </w:rPr>
            </w:pPr>
            <w:r w:rsidRPr="007F2E0C">
              <w:rPr>
                <w:rFonts w:ascii="Arial Narrow" w:hAnsi="Arial Narrow"/>
                <w:b/>
                <w:bCs/>
                <w:snapToGrid w:val="0"/>
                <w:sz w:val="20"/>
                <w:szCs w:val="20"/>
              </w:rPr>
              <w:t>Clinical criteria:</w:t>
            </w:r>
          </w:p>
        </w:tc>
      </w:tr>
      <w:tr w:rsidR="00860DF2" w:rsidRPr="00641661" w14:paraId="311356E1" w14:textId="77777777" w:rsidTr="00B5124C">
        <w:tblPrEx>
          <w:tblCellMar>
            <w:top w:w="15" w:type="dxa"/>
            <w:left w:w="15" w:type="dxa"/>
            <w:bottom w:w="15" w:type="dxa"/>
            <w:right w:w="15" w:type="dxa"/>
          </w:tblCellMar>
        </w:tblPrEx>
        <w:tc>
          <w:tcPr>
            <w:tcW w:w="1412" w:type="dxa"/>
            <w:gridSpan w:val="2"/>
            <w:shd w:val="clear" w:color="auto" w:fill="auto"/>
            <w:vAlign w:val="center"/>
          </w:tcPr>
          <w:p w14:paraId="61D52788" w14:textId="717DECAB" w:rsidR="00860DF2" w:rsidRPr="007F2E0C" w:rsidRDefault="00860DF2" w:rsidP="007A3B69">
            <w:pPr>
              <w:widowControl w:val="0"/>
              <w:ind w:left="57"/>
              <w:jc w:val="center"/>
              <w:rPr>
                <w:rFonts w:ascii="Arial Narrow" w:hAnsi="Arial Narrow"/>
                <w:bCs/>
                <w:snapToGrid w:val="0"/>
                <w:sz w:val="20"/>
                <w:szCs w:val="20"/>
              </w:rPr>
            </w:pPr>
          </w:p>
        </w:tc>
        <w:tc>
          <w:tcPr>
            <w:tcW w:w="7655" w:type="dxa"/>
            <w:gridSpan w:val="7"/>
            <w:shd w:val="clear" w:color="auto" w:fill="auto"/>
            <w:vAlign w:val="center"/>
          </w:tcPr>
          <w:p w14:paraId="495A87AA" w14:textId="77777777" w:rsidR="00860DF2" w:rsidRPr="007F2E0C" w:rsidRDefault="00860DF2" w:rsidP="007A3B69">
            <w:pPr>
              <w:widowControl w:val="0"/>
              <w:ind w:left="57"/>
              <w:rPr>
                <w:rFonts w:ascii="Arial Narrow" w:hAnsi="Arial Narrow"/>
                <w:bCs/>
                <w:snapToGrid w:val="0"/>
                <w:sz w:val="20"/>
                <w:szCs w:val="20"/>
              </w:rPr>
            </w:pPr>
            <w:r w:rsidRPr="007F2E0C">
              <w:rPr>
                <w:rFonts w:ascii="Arial Narrow" w:hAnsi="Arial Narrow"/>
                <w:bCs/>
                <w:snapToGrid w:val="0"/>
                <w:sz w:val="20"/>
                <w:szCs w:val="20"/>
              </w:rPr>
              <w:t>Patient must have received treatment with this drug for this PBS-indication prior to [insert date of PBS listing]</w:t>
            </w:r>
          </w:p>
        </w:tc>
      </w:tr>
      <w:tr w:rsidR="00860DF2" w:rsidRPr="00641661" w14:paraId="3DDC57B4" w14:textId="77777777" w:rsidTr="00B5124C">
        <w:tblPrEx>
          <w:tblCellMar>
            <w:top w:w="15" w:type="dxa"/>
            <w:left w:w="15" w:type="dxa"/>
            <w:bottom w:w="15" w:type="dxa"/>
            <w:right w:w="15" w:type="dxa"/>
          </w:tblCellMar>
        </w:tblPrEx>
        <w:tc>
          <w:tcPr>
            <w:tcW w:w="1412" w:type="dxa"/>
            <w:gridSpan w:val="2"/>
            <w:shd w:val="clear" w:color="auto" w:fill="auto"/>
            <w:vAlign w:val="center"/>
          </w:tcPr>
          <w:p w14:paraId="4DF8D293" w14:textId="77777777" w:rsidR="00860DF2" w:rsidRPr="007F2E0C" w:rsidRDefault="00860DF2" w:rsidP="007A3B69">
            <w:pPr>
              <w:widowControl w:val="0"/>
              <w:ind w:left="57"/>
              <w:jc w:val="center"/>
              <w:rPr>
                <w:rFonts w:ascii="Arial Narrow" w:hAnsi="Arial Narrow"/>
                <w:b/>
                <w:bCs/>
                <w:snapToGrid w:val="0"/>
                <w:sz w:val="20"/>
                <w:szCs w:val="20"/>
              </w:rPr>
            </w:pPr>
          </w:p>
        </w:tc>
        <w:tc>
          <w:tcPr>
            <w:tcW w:w="7655" w:type="dxa"/>
            <w:gridSpan w:val="7"/>
            <w:shd w:val="clear" w:color="auto" w:fill="auto"/>
            <w:vAlign w:val="center"/>
          </w:tcPr>
          <w:p w14:paraId="5DB32D43" w14:textId="77777777" w:rsidR="00860DF2" w:rsidRPr="007F2E0C" w:rsidRDefault="00860DF2" w:rsidP="007A3B69">
            <w:pPr>
              <w:widowControl w:val="0"/>
              <w:ind w:left="57"/>
              <w:rPr>
                <w:rFonts w:ascii="Arial Narrow" w:hAnsi="Arial Narrow"/>
                <w:b/>
                <w:bCs/>
                <w:snapToGrid w:val="0"/>
                <w:sz w:val="20"/>
                <w:szCs w:val="20"/>
              </w:rPr>
            </w:pPr>
            <w:r w:rsidRPr="007F2E0C">
              <w:rPr>
                <w:rFonts w:ascii="Arial Narrow" w:hAnsi="Arial Narrow"/>
                <w:b/>
                <w:bCs/>
                <w:snapToGrid w:val="0"/>
                <w:sz w:val="20"/>
                <w:szCs w:val="20"/>
              </w:rPr>
              <w:t>AND</w:t>
            </w:r>
          </w:p>
        </w:tc>
      </w:tr>
      <w:tr w:rsidR="00860DF2" w:rsidRPr="00641661" w14:paraId="3FB74547" w14:textId="77777777" w:rsidTr="00B5124C">
        <w:tblPrEx>
          <w:tblCellMar>
            <w:top w:w="15" w:type="dxa"/>
            <w:left w:w="15" w:type="dxa"/>
            <w:bottom w:w="15" w:type="dxa"/>
            <w:right w:w="15" w:type="dxa"/>
          </w:tblCellMar>
        </w:tblPrEx>
        <w:tc>
          <w:tcPr>
            <w:tcW w:w="1412" w:type="dxa"/>
            <w:gridSpan w:val="2"/>
            <w:shd w:val="clear" w:color="auto" w:fill="auto"/>
            <w:vAlign w:val="center"/>
          </w:tcPr>
          <w:p w14:paraId="491D719A" w14:textId="77777777" w:rsidR="00860DF2" w:rsidRPr="007F2E0C" w:rsidRDefault="00860DF2" w:rsidP="007A3B69">
            <w:pPr>
              <w:widowControl w:val="0"/>
              <w:ind w:left="57"/>
              <w:jc w:val="center"/>
              <w:rPr>
                <w:rFonts w:ascii="Arial Narrow" w:hAnsi="Arial Narrow"/>
                <w:b/>
                <w:bCs/>
                <w:snapToGrid w:val="0"/>
                <w:sz w:val="20"/>
                <w:szCs w:val="20"/>
              </w:rPr>
            </w:pPr>
          </w:p>
        </w:tc>
        <w:tc>
          <w:tcPr>
            <w:tcW w:w="7655" w:type="dxa"/>
            <w:gridSpan w:val="7"/>
            <w:shd w:val="clear" w:color="auto" w:fill="auto"/>
            <w:vAlign w:val="center"/>
          </w:tcPr>
          <w:p w14:paraId="099BF94A" w14:textId="77777777" w:rsidR="00860DF2" w:rsidRPr="007F2E0C" w:rsidRDefault="00860DF2" w:rsidP="007A3B69">
            <w:pPr>
              <w:widowControl w:val="0"/>
              <w:ind w:left="57"/>
              <w:rPr>
                <w:rFonts w:ascii="Arial Narrow" w:hAnsi="Arial Narrow"/>
                <w:b/>
                <w:bCs/>
                <w:snapToGrid w:val="0"/>
                <w:sz w:val="20"/>
                <w:szCs w:val="20"/>
              </w:rPr>
            </w:pPr>
            <w:r w:rsidRPr="007F2E0C">
              <w:rPr>
                <w:rFonts w:ascii="Arial Narrow" w:hAnsi="Arial Narrow"/>
                <w:b/>
                <w:bCs/>
                <w:snapToGrid w:val="0"/>
                <w:sz w:val="20"/>
                <w:szCs w:val="20"/>
              </w:rPr>
              <w:t>Clinical criteria:</w:t>
            </w:r>
          </w:p>
        </w:tc>
      </w:tr>
      <w:tr w:rsidR="00860DF2" w:rsidRPr="00641661" w14:paraId="4BA2186A" w14:textId="77777777" w:rsidTr="00B5124C">
        <w:tblPrEx>
          <w:tblCellMar>
            <w:top w:w="15" w:type="dxa"/>
            <w:left w:w="15" w:type="dxa"/>
            <w:bottom w:w="15" w:type="dxa"/>
            <w:right w:w="15" w:type="dxa"/>
          </w:tblCellMar>
        </w:tblPrEx>
        <w:tc>
          <w:tcPr>
            <w:tcW w:w="1412" w:type="dxa"/>
            <w:gridSpan w:val="2"/>
            <w:shd w:val="clear" w:color="auto" w:fill="auto"/>
            <w:vAlign w:val="center"/>
          </w:tcPr>
          <w:p w14:paraId="74E993E0" w14:textId="06ED49AC" w:rsidR="00860DF2" w:rsidRPr="007F2E0C" w:rsidRDefault="00860DF2" w:rsidP="007A3B69">
            <w:pPr>
              <w:widowControl w:val="0"/>
              <w:ind w:left="57"/>
              <w:jc w:val="center"/>
              <w:rPr>
                <w:rFonts w:ascii="Arial Narrow" w:hAnsi="Arial Narrow"/>
                <w:bCs/>
                <w:snapToGrid w:val="0"/>
                <w:sz w:val="20"/>
                <w:szCs w:val="20"/>
              </w:rPr>
            </w:pPr>
          </w:p>
        </w:tc>
        <w:tc>
          <w:tcPr>
            <w:tcW w:w="7655" w:type="dxa"/>
            <w:gridSpan w:val="7"/>
            <w:shd w:val="clear" w:color="auto" w:fill="auto"/>
            <w:vAlign w:val="center"/>
          </w:tcPr>
          <w:p w14:paraId="3FDAE579" w14:textId="77777777" w:rsidR="00860DF2" w:rsidRPr="007F2E0C" w:rsidRDefault="00860DF2" w:rsidP="007A3B69">
            <w:pPr>
              <w:widowControl w:val="0"/>
              <w:ind w:left="57"/>
              <w:rPr>
                <w:rFonts w:ascii="Arial Narrow" w:hAnsi="Arial Narrow"/>
                <w:b/>
                <w:bCs/>
                <w:snapToGrid w:val="0"/>
                <w:sz w:val="20"/>
                <w:szCs w:val="20"/>
              </w:rPr>
            </w:pPr>
            <w:r w:rsidRPr="007F2E0C">
              <w:rPr>
                <w:rFonts w:ascii="Arial Narrow" w:hAnsi="Arial Narrow"/>
                <w:bCs/>
                <w:snapToGrid w:val="0"/>
                <w:sz w:val="20"/>
                <w:szCs w:val="20"/>
              </w:rPr>
              <w:t>Patient must not have developed disease progression while being treated with this drug for this condition</w:t>
            </w:r>
          </w:p>
        </w:tc>
      </w:tr>
      <w:tr w:rsidR="00860DF2" w:rsidRPr="00641661" w14:paraId="7E66446E" w14:textId="77777777" w:rsidTr="00B5124C">
        <w:tblPrEx>
          <w:tblCellMar>
            <w:top w:w="15" w:type="dxa"/>
            <w:left w:w="15" w:type="dxa"/>
            <w:bottom w:w="15" w:type="dxa"/>
            <w:right w:w="15" w:type="dxa"/>
          </w:tblCellMar>
        </w:tblPrEx>
        <w:tc>
          <w:tcPr>
            <w:tcW w:w="1412" w:type="dxa"/>
            <w:gridSpan w:val="2"/>
            <w:shd w:val="clear" w:color="auto" w:fill="auto"/>
            <w:vAlign w:val="center"/>
          </w:tcPr>
          <w:p w14:paraId="248F82F6" w14:textId="77777777" w:rsidR="00860DF2" w:rsidRPr="007F2E0C" w:rsidRDefault="00860DF2" w:rsidP="007A3B69">
            <w:pPr>
              <w:widowControl w:val="0"/>
              <w:ind w:left="57"/>
              <w:jc w:val="center"/>
              <w:rPr>
                <w:rFonts w:ascii="Arial Narrow" w:hAnsi="Arial Narrow"/>
                <w:b/>
                <w:bCs/>
                <w:snapToGrid w:val="0"/>
                <w:sz w:val="20"/>
                <w:szCs w:val="20"/>
              </w:rPr>
            </w:pPr>
          </w:p>
        </w:tc>
        <w:tc>
          <w:tcPr>
            <w:tcW w:w="7655" w:type="dxa"/>
            <w:gridSpan w:val="7"/>
            <w:shd w:val="clear" w:color="auto" w:fill="auto"/>
            <w:vAlign w:val="center"/>
          </w:tcPr>
          <w:p w14:paraId="309FD2C9" w14:textId="77777777" w:rsidR="00860DF2" w:rsidRPr="007F2E0C" w:rsidRDefault="00860DF2" w:rsidP="007A3B69">
            <w:pPr>
              <w:widowControl w:val="0"/>
              <w:ind w:left="57"/>
              <w:rPr>
                <w:rFonts w:ascii="Arial Narrow" w:hAnsi="Arial Narrow"/>
                <w:b/>
                <w:bCs/>
                <w:snapToGrid w:val="0"/>
                <w:sz w:val="20"/>
                <w:szCs w:val="20"/>
              </w:rPr>
            </w:pPr>
            <w:r w:rsidRPr="007F2E0C">
              <w:rPr>
                <w:rFonts w:ascii="Arial Narrow" w:hAnsi="Arial Narrow"/>
                <w:b/>
                <w:bCs/>
                <w:snapToGrid w:val="0"/>
                <w:sz w:val="20"/>
                <w:szCs w:val="20"/>
              </w:rPr>
              <w:t>AND</w:t>
            </w:r>
          </w:p>
        </w:tc>
      </w:tr>
      <w:tr w:rsidR="00860DF2" w:rsidRPr="00641661" w14:paraId="6301DE06" w14:textId="77777777" w:rsidTr="00B5124C">
        <w:tblPrEx>
          <w:tblCellMar>
            <w:top w:w="15" w:type="dxa"/>
            <w:left w:w="15" w:type="dxa"/>
            <w:bottom w:w="15" w:type="dxa"/>
            <w:right w:w="15" w:type="dxa"/>
          </w:tblCellMar>
        </w:tblPrEx>
        <w:tc>
          <w:tcPr>
            <w:tcW w:w="1412" w:type="dxa"/>
            <w:gridSpan w:val="2"/>
            <w:shd w:val="clear" w:color="auto" w:fill="auto"/>
            <w:vAlign w:val="center"/>
          </w:tcPr>
          <w:p w14:paraId="345C20E1" w14:textId="77777777" w:rsidR="00860DF2" w:rsidRPr="007F2E0C" w:rsidRDefault="00860DF2" w:rsidP="007A3B69">
            <w:pPr>
              <w:widowControl w:val="0"/>
              <w:ind w:left="57"/>
              <w:jc w:val="center"/>
              <w:rPr>
                <w:rFonts w:ascii="Arial Narrow" w:hAnsi="Arial Narrow"/>
                <w:b/>
                <w:bCs/>
                <w:snapToGrid w:val="0"/>
                <w:sz w:val="20"/>
                <w:szCs w:val="20"/>
              </w:rPr>
            </w:pPr>
          </w:p>
        </w:tc>
        <w:tc>
          <w:tcPr>
            <w:tcW w:w="7655" w:type="dxa"/>
            <w:gridSpan w:val="7"/>
            <w:shd w:val="clear" w:color="auto" w:fill="auto"/>
            <w:vAlign w:val="center"/>
            <w:hideMark/>
          </w:tcPr>
          <w:p w14:paraId="4D662763" w14:textId="77777777" w:rsidR="00860DF2" w:rsidRPr="007F2E0C" w:rsidRDefault="00860DF2" w:rsidP="007A3B69">
            <w:pPr>
              <w:widowControl w:val="0"/>
              <w:ind w:left="57"/>
              <w:rPr>
                <w:rFonts w:ascii="Arial Narrow" w:hAnsi="Arial Narrow"/>
                <w:bCs/>
                <w:snapToGrid w:val="0"/>
                <w:sz w:val="20"/>
                <w:szCs w:val="20"/>
              </w:rPr>
            </w:pPr>
            <w:r w:rsidRPr="007F2E0C">
              <w:rPr>
                <w:rFonts w:ascii="Arial Narrow" w:hAnsi="Arial Narrow"/>
                <w:b/>
                <w:bCs/>
                <w:snapToGrid w:val="0"/>
                <w:sz w:val="20"/>
                <w:szCs w:val="20"/>
              </w:rPr>
              <w:t>Clinical criteria:</w:t>
            </w:r>
          </w:p>
        </w:tc>
      </w:tr>
      <w:tr w:rsidR="00860DF2" w:rsidRPr="00641661" w14:paraId="45C2EA58" w14:textId="77777777" w:rsidTr="00B5124C">
        <w:tblPrEx>
          <w:tblCellMar>
            <w:top w:w="15" w:type="dxa"/>
            <w:left w:w="15" w:type="dxa"/>
            <w:bottom w:w="15" w:type="dxa"/>
            <w:right w:w="15" w:type="dxa"/>
          </w:tblCellMar>
        </w:tblPrEx>
        <w:tc>
          <w:tcPr>
            <w:tcW w:w="1412" w:type="dxa"/>
            <w:gridSpan w:val="2"/>
            <w:shd w:val="clear" w:color="auto" w:fill="auto"/>
            <w:vAlign w:val="center"/>
          </w:tcPr>
          <w:p w14:paraId="59AF7CF2" w14:textId="582FEE2D" w:rsidR="00987642" w:rsidRPr="007F2E0C" w:rsidRDefault="00987642" w:rsidP="007A3B69">
            <w:pPr>
              <w:widowControl w:val="0"/>
              <w:ind w:left="57"/>
              <w:jc w:val="center"/>
              <w:rPr>
                <w:rFonts w:ascii="Arial Narrow" w:hAnsi="Arial Narrow"/>
                <w:bCs/>
                <w:snapToGrid w:val="0"/>
                <w:sz w:val="20"/>
                <w:szCs w:val="20"/>
              </w:rPr>
            </w:pPr>
          </w:p>
        </w:tc>
        <w:tc>
          <w:tcPr>
            <w:tcW w:w="7655" w:type="dxa"/>
            <w:gridSpan w:val="7"/>
            <w:shd w:val="clear" w:color="auto" w:fill="auto"/>
            <w:vAlign w:val="center"/>
          </w:tcPr>
          <w:p w14:paraId="3C5937EA" w14:textId="34E4960E" w:rsidR="00860DF2" w:rsidRPr="007F2E0C" w:rsidRDefault="00860DF2" w:rsidP="007A3B69">
            <w:pPr>
              <w:widowControl w:val="0"/>
              <w:ind w:left="57"/>
              <w:rPr>
                <w:rFonts w:ascii="Arial Narrow" w:hAnsi="Arial Narrow"/>
                <w:bCs/>
                <w:snapToGrid w:val="0"/>
                <w:sz w:val="20"/>
                <w:szCs w:val="20"/>
              </w:rPr>
            </w:pPr>
            <w:r w:rsidRPr="007F2E0C">
              <w:rPr>
                <w:rFonts w:ascii="Arial Narrow" w:hAnsi="Arial Narrow"/>
                <w:bCs/>
                <w:snapToGrid w:val="0"/>
                <w:sz w:val="20"/>
                <w:szCs w:val="20"/>
              </w:rPr>
              <w:t>Patient must have been untreated with</w:t>
            </w:r>
            <w:r w:rsidR="00E41FDB">
              <w:rPr>
                <w:rFonts w:ascii="Arial Narrow" w:hAnsi="Arial Narrow"/>
                <w:bCs/>
                <w:snapToGrid w:val="0"/>
                <w:sz w:val="20"/>
                <w:szCs w:val="20"/>
              </w:rPr>
              <w:t xml:space="preserve"> a </w:t>
            </w:r>
            <w:r w:rsidR="00B5124C">
              <w:rPr>
                <w:rFonts w:ascii="Arial Narrow" w:hAnsi="Arial Narrow"/>
                <w:bCs/>
                <w:snapToGrid w:val="0"/>
                <w:sz w:val="20"/>
                <w:szCs w:val="20"/>
              </w:rPr>
              <w:t>c</w:t>
            </w:r>
            <w:r w:rsidR="00E41FDB">
              <w:rPr>
                <w:rFonts w:ascii="Arial Narrow" w:hAnsi="Arial Narrow"/>
                <w:bCs/>
                <w:snapToGrid w:val="0"/>
                <w:sz w:val="20"/>
                <w:szCs w:val="20"/>
              </w:rPr>
              <w:t>yclin-dependent kinase 4 and 6 (CDK4/6)</w:t>
            </w:r>
            <w:r w:rsidRPr="007F2E0C">
              <w:rPr>
                <w:rFonts w:ascii="Arial Narrow" w:hAnsi="Arial Narrow"/>
                <w:bCs/>
                <w:snapToGrid w:val="0"/>
                <w:sz w:val="20"/>
                <w:szCs w:val="20"/>
              </w:rPr>
              <w:t xml:space="preserve"> at the time non-PBS supply was initiated; or</w:t>
            </w:r>
          </w:p>
        </w:tc>
      </w:tr>
      <w:tr w:rsidR="00B5124C" w:rsidRPr="00641661" w14:paraId="5A4B0D01" w14:textId="77777777" w:rsidTr="00B5124C">
        <w:tblPrEx>
          <w:tblCellMar>
            <w:top w:w="15" w:type="dxa"/>
            <w:left w:w="15" w:type="dxa"/>
            <w:bottom w:w="15" w:type="dxa"/>
            <w:right w:w="15" w:type="dxa"/>
          </w:tblCellMar>
        </w:tblPrEx>
        <w:tc>
          <w:tcPr>
            <w:tcW w:w="1412" w:type="dxa"/>
            <w:gridSpan w:val="2"/>
            <w:shd w:val="clear" w:color="auto" w:fill="auto"/>
            <w:vAlign w:val="center"/>
          </w:tcPr>
          <w:p w14:paraId="61A4FFBE" w14:textId="41D11202" w:rsidR="00B5124C" w:rsidRPr="007F2E0C" w:rsidRDefault="00B5124C" w:rsidP="00B5124C">
            <w:pPr>
              <w:widowControl w:val="0"/>
              <w:ind w:left="57"/>
              <w:jc w:val="center"/>
              <w:rPr>
                <w:rFonts w:ascii="Arial Narrow" w:hAnsi="Arial Narrow"/>
                <w:bCs/>
                <w:snapToGrid w:val="0"/>
                <w:sz w:val="20"/>
                <w:szCs w:val="20"/>
              </w:rPr>
            </w:pPr>
          </w:p>
        </w:tc>
        <w:tc>
          <w:tcPr>
            <w:tcW w:w="7655" w:type="dxa"/>
            <w:gridSpan w:val="7"/>
            <w:shd w:val="clear" w:color="auto" w:fill="auto"/>
            <w:vAlign w:val="center"/>
            <w:hideMark/>
          </w:tcPr>
          <w:p w14:paraId="11F40AB2" w14:textId="58300987" w:rsidR="00B5124C" w:rsidRPr="007F2E0C" w:rsidRDefault="00B5124C" w:rsidP="00B5124C">
            <w:pPr>
              <w:widowControl w:val="0"/>
              <w:ind w:left="57"/>
              <w:rPr>
                <w:rFonts w:ascii="Arial Narrow" w:hAnsi="Arial Narrow"/>
                <w:bCs/>
                <w:snapToGrid w:val="0"/>
                <w:sz w:val="20"/>
                <w:szCs w:val="20"/>
              </w:rPr>
            </w:pPr>
            <w:r w:rsidRPr="007F2E0C">
              <w:rPr>
                <w:rFonts w:ascii="Arial Narrow" w:hAnsi="Arial Narrow"/>
                <w:bCs/>
                <w:snapToGrid w:val="0"/>
                <w:sz w:val="20"/>
                <w:szCs w:val="20"/>
              </w:rPr>
              <w:t xml:space="preserve">Patient must have developed an intolerance to </w:t>
            </w:r>
            <w:r>
              <w:rPr>
                <w:rFonts w:ascii="Arial Narrow" w:hAnsi="Arial Narrow"/>
                <w:bCs/>
                <w:snapToGrid w:val="0"/>
                <w:sz w:val="20"/>
                <w:szCs w:val="20"/>
              </w:rPr>
              <w:t xml:space="preserve">another CDK4/6 inhibitor therapy </w:t>
            </w:r>
            <w:r w:rsidRPr="007F2E0C">
              <w:rPr>
                <w:rFonts w:ascii="Arial Narrow" w:hAnsi="Arial Narrow"/>
                <w:bCs/>
                <w:snapToGrid w:val="0"/>
                <w:sz w:val="20"/>
                <w:szCs w:val="20"/>
              </w:rPr>
              <w:t>(other than this drug) of a severity necessitating permanent treatment withdrawal</w:t>
            </w:r>
          </w:p>
        </w:tc>
      </w:tr>
      <w:tr w:rsidR="00860DF2" w:rsidRPr="00641661" w14:paraId="0535D3B5" w14:textId="77777777" w:rsidTr="00B5124C">
        <w:tblPrEx>
          <w:tblCellMar>
            <w:top w:w="15" w:type="dxa"/>
            <w:left w:w="15" w:type="dxa"/>
            <w:bottom w:w="15" w:type="dxa"/>
            <w:right w:w="15" w:type="dxa"/>
          </w:tblCellMar>
        </w:tblPrEx>
        <w:tc>
          <w:tcPr>
            <w:tcW w:w="1412" w:type="dxa"/>
            <w:gridSpan w:val="2"/>
            <w:shd w:val="clear" w:color="auto" w:fill="auto"/>
            <w:vAlign w:val="center"/>
          </w:tcPr>
          <w:p w14:paraId="0C3EBE00" w14:textId="77777777" w:rsidR="00860DF2" w:rsidRPr="007F2E0C" w:rsidRDefault="00860DF2" w:rsidP="007A3B69">
            <w:pPr>
              <w:widowControl w:val="0"/>
              <w:ind w:left="57"/>
              <w:jc w:val="center"/>
              <w:rPr>
                <w:rFonts w:ascii="Arial Narrow" w:hAnsi="Arial Narrow"/>
                <w:b/>
                <w:bCs/>
                <w:snapToGrid w:val="0"/>
                <w:sz w:val="20"/>
                <w:szCs w:val="20"/>
              </w:rPr>
            </w:pPr>
          </w:p>
        </w:tc>
        <w:tc>
          <w:tcPr>
            <w:tcW w:w="7655" w:type="dxa"/>
            <w:gridSpan w:val="7"/>
            <w:shd w:val="clear" w:color="auto" w:fill="auto"/>
            <w:vAlign w:val="center"/>
            <w:hideMark/>
          </w:tcPr>
          <w:p w14:paraId="5E0BC949" w14:textId="77777777" w:rsidR="00860DF2" w:rsidRPr="007F2E0C" w:rsidRDefault="00860DF2" w:rsidP="007A3B69">
            <w:pPr>
              <w:widowControl w:val="0"/>
              <w:ind w:left="57"/>
              <w:rPr>
                <w:rFonts w:ascii="Arial Narrow" w:hAnsi="Arial Narrow"/>
                <w:bCs/>
                <w:snapToGrid w:val="0"/>
                <w:sz w:val="20"/>
                <w:szCs w:val="20"/>
              </w:rPr>
            </w:pPr>
            <w:r w:rsidRPr="007F2E0C">
              <w:rPr>
                <w:rFonts w:ascii="Arial Narrow" w:hAnsi="Arial Narrow"/>
                <w:b/>
                <w:bCs/>
                <w:snapToGrid w:val="0"/>
                <w:sz w:val="20"/>
                <w:szCs w:val="20"/>
              </w:rPr>
              <w:t>AND</w:t>
            </w:r>
          </w:p>
        </w:tc>
      </w:tr>
      <w:tr w:rsidR="00860DF2" w:rsidRPr="00641661" w14:paraId="7258543B" w14:textId="77777777" w:rsidTr="00B5124C">
        <w:tblPrEx>
          <w:tblCellMar>
            <w:top w:w="15" w:type="dxa"/>
            <w:left w:w="15" w:type="dxa"/>
            <w:bottom w:w="15" w:type="dxa"/>
            <w:right w:w="15" w:type="dxa"/>
          </w:tblCellMar>
        </w:tblPrEx>
        <w:tc>
          <w:tcPr>
            <w:tcW w:w="1412" w:type="dxa"/>
            <w:gridSpan w:val="2"/>
            <w:shd w:val="clear" w:color="auto" w:fill="auto"/>
            <w:vAlign w:val="center"/>
          </w:tcPr>
          <w:p w14:paraId="7D078697" w14:textId="0CACB284" w:rsidR="00860DF2" w:rsidRPr="007F2E0C" w:rsidRDefault="00860DF2" w:rsidP="007A3B69">
            <w:pPr>
              <w:widowControl w:val="0"/>
              <w:ind w:left="57"/>
              <w:jc w:val="center"/>
              <w:rPr>
                <w:rFonts w:ascii="Arial Narrow" w:hAnsi="Arial Narrow"/>
                <w:b/>
                <w:bCs/>
                <w:snapToGrid w:val="0"/>
                <w:sz w:val="20"/>
                <w:szCs w:val="20"/>
              </w:rPr>
            </w:pPr>
          </w:p>
        </w:tc>
        <w:tc>
          <w:tcPr>
            <w:tcW w:w="7655" w:type="dxa"/>
            <w:gridSpan w:val="7"/>
            <w:shd w:val="clear" w:color="auto" w:fill="auto"/>
            <w:vAlign w:val="center"/>
            <w:hideMark/>
          </w:tcPr>
          <w:p w14:paraId="24C345C5" w14:textId="77777777" w:rsidR="00860DF2" w:rsidRPr="007F2E0C" w:rsidRDefault="00860DF2" w:rsidP="007A3B69">
            <w:pPr>
              <w:widowControl w:val="0"/>
              <w:ind w:left="57"/>
              <w:rPr>
                <w:rFonts w:ascii="Arial Narrow" w:hAnsi="Arial Narrow"/>
                <w:bCs/>
                <w:snapToGrid w:val="0"/>
                <w:sz w:val="20"/>
                <w:szCs w:val="20"/>
              </w:rPr>
            </w:pPr>
            <w:r w:rsidRPr="007F2E0C">
              <w:rPr>
                <w:rFonts w:ascii="Arial Narrow" w:hAnsi="Arial Narrow"/>
                <w:b/>
                <w:bCs/>
                <w:snapToGrid w:val="0"/>
                <w:sz w:val="20"/>
                <w:szCs w:val="20"/>
              </w:rPr>
              <w:t>Clinical criteria:</w:t>
            </w:r>
          </w:p>
        </w:tc>
      </w:tr>
      <w:tr w:rsidR="00860DF2" w:rsidRPr="00641661" w14:paraId="5760A122" w14:textId="77777777" w:rsidTr="00B5124C">
        <w:tblPrEx>
          <w:tblCellMar>
            <w:top w:w="15" w:type="dxa"/>
            <w:left w:w="15" w:type="dxa"/>
            <w:bottom w:w="15" w:type="dxa"/>
            <w:right w:w="15" w:type="dxa"/>
          </w:tblCellMar>
        </w:tblPrEx>
        <w:tc>
          <w:tcPr>
            <w:tcW w:w="1412" w:type="dxa"/>
            <w:gridSpan w:val="2"/>
            <w:shd w:val="clear" w:color="auto" w:fill="auto"/>
            <w:vAlign w:val="center"/>
          </w:tcPr>
          <w:p w14:paraId="41A44814" w14:textId="584938FC" w:rsidR="00860DF2" w:rsidRPr="007F2E0C" w:rsidRDefault="00860DF2" w:rsidP="007A3B69">
            <w:pPr>
              <w:widowControl w:val="0"/>
              <w:ind w:left="57"/>
              <w:jc w:val="center"/>
              <w:rPr>
                <w:rFonts w:ascii="Arial Narrow" w:hAnsi="Arial Narrow"/>
                <w:bCs/>
                <w:snapToGrid w:val="0"/>
                <w:sz w:val="20"/>
                <w:szCs w:val="20"/>
              </w:rPr>
            </w:pPr>
          </w:p>
        </w:tc>
        <w:tc>
          <w:tcPr>
            <w:tcW w:w="7655" w:type="dxa"/>
            <w:gridSpan w:val="7"/>
            <w:shd w:val="clear" w:color="auto" w:fill="auto"/>
            <w:vAlign w:val="center"/>
            <w:hideMark/>
          </w:tcPr>
          <w:p w14:paraId="566E0FCA" w14:textId="77777777" w:rsidR="00860DF2" w:rsidRPr="007F2E0C" w:rsidRDefault="00860DF2" w:rsidP="007A3B69">
            <w:pPr>
              <w:widowControl w:val="0"/>
              <w:ind w:left="57"/>
              <w:rPr>
                <w:rFonts w:ascii="Arial Narrow" w:hAnsi="Arial Narrow"/>
                <w:bCs/>
                <w:snapToGrid w:val="0"/>
                <w:sz w:val="20"/>
                <w:szCs w:val="20"/>
              </w:rPr>
            </w:pPr>
            <w:r w:rsidRPr="007F2E0C">
              <w:rPr>
                <w:rFonts w:ascii="Arial Narrow" w:hAnsi="Arial Narrow"/>
                <w:bCs/>
                <w:snapToGrid w:val="0"/>
                <w:sz w:val="20"/>
                <w:szCs w:val="20"/>
              </w:rPr>
              <w:t>The condition must be hormone receptor positive</w:t>
            </w:r>
          </w:p>
        </w:tc>
      </w:tr>
      <w:tr w:rsidR="00860DF2" w:rsidRPr="00641661" w14:paraId="3E99F710" w14:textId="77777777" w:rsidTr="00B5124C">
        <w:tblPrEx>
          <w:tblCellMar>
            <w:top w:w="15" w:type="dxa"/>
            <w:left w:w="15" w:type="dxa"/>
            <w:bottom w:w="15" w:type="dxa"/>
            <w:right w:w="15" w:type="dxa"/>
          </w:tblCellMar>
        </w:tblPrEx>
        <w:tc>
          <w:tcPr>
            <w:tcW w:w="1412" w:type="dxa"/>
            <w:gridSpan w:val="2"/>
            <w:shd w:val="clear" w:color="auto" w:fill="auto"/>
            <w:vAlign w:val="center"/>
          </w:tcPr>
          <w:p w14:paraId="31126CA5" w14:textId="77777777" w:rsidR="00860DF2" w:rsidRPr="007F2E0C" w:rsidRDefault="00860DF2" w:rsidP="007A3B69">
            <w:pPr>
              <w:widowControl w:val="0"/>
              <w:ind w:left="57"/>
              <w:jc w:val="center"/>
              <w:rPr>
                <w:rFonts w:ascii="Arial Narrow" w:hAnsi="Arial Narrow"/>
                <w:b/>
                <w:bCs/>
                <w:snapToGrid w:val="0"/>
                <w:sz w:val="20"/>
                <w:szCs w:val="20"/>
              </w:rPr>
            </w:pPr>
          </w:p>
        </w:tc>
        <w:tc>
          <w:tcPr>
            <w:tcW w:w="7655" w:type="dxa"/>
            <w:gridSpan w:val="7"/>
            <w:shd w:val="clear" w:color="auto" w:fill="auto"/>
            <w:vAlign w:val="center"/>
            <w:hideMark/>
          </w:tcPr>
          <w:p w14:paraId="2ADEC0DF" w14:textId="77777777" w:rsidR="00860DF2" w:rsidRPr="007F2E0C" w:rsidRDefault="00860DF2" w:rsidP="007A3B69">
            <w:pPr>
              <w:widowControl w:val="0"/>
              <w:ind w:left="57"/>
              <w:rPr>
                <w:rFonts w:ascii="Arial Narrow" w:hAnsi="Arial Narrow"/>
                <w:bCs/>
                <w:snapToGrid w:val="0"/>
                <w:sz w:val="20"/>
                <w:szCs w:val="20"/>
              </w:rPr>
            </w:pPr>
            <w:r w:rsidRPr="007F2E0C">
              <w:rPr>
                <w:rFonts w:ascii="Arial Narrow" w:hAnsi="Arial Narrow"/>
                <w:b/>
                <w:bCs/>
                <w:snapToGrid w:val="0"/>
                <w:sz w:val="20"/>
                <w:szCs w:val="20"/>
              </w:rPr>
              <w:t>AND</w:t>
            </w:r>
          </w:p>
        </w:tc>
      </w:tr>
      <w:tr w:rsidR="00860DF2" w:rsidRPr="00641661" w14:paraId="3BCDFE8D" w14:textId="77777777" w:rsidTr="00B5124C">
        <w:tblPrEx>
          <w:tblCellMar>
            <w:top w:w="15" w:type="dxa"/>
            <w:left w:w="15" w:type="dxa"/>
            <w:bottom w:w="15" w:type="dxa"/>
            <w:right w:w="15" w:type="dxa"/>
          </w:tblCellMar>
        </w:tblPrEx>
        <w:tc>
          <w:tcPr>
            <w:tcW w:w="1412" w:type="dxa"/>
            <w:gridSpan w:val="2"/>
            <w:shd w:val="clear" w:color="auto" w:fill="auto"/>
            <w:vAlign w:val="center"/>
          </w:tcPr>
          <w:p w14:paraId="33A808AA" w14:textId="0C1BFCE2" w:rsidR="00860DF2" w:rsidRPr="007F2E0C" w:rsidRDefault="00860DF2" w:rsidP="007A3B69">
            <w:pPr>
              <w:widowControl w:val="0"/>
              <w:ind w:left="57"/>
              <w:jc w:val="center"/>
              <w:rPr>
                <w:rFonts w:ascii="Arial Narrow" w:hAnsi="Arial Narrow"/>
                <w:b/>
                <w:bCs/>
                <w:snapToGrid w:val="0"/>
                <w:sz w:val="20"/>
                <w:szCs w:val="20"/>
              </w:rPr>
            </w:pPr>
          </w:p>
        </w:tc>
        <w:tc>
          <w:tcPr>
            <w:tcW w:w="7655" w:type="dxa"/>
            <w:gridSpan w:val="7"/>
            <w:shd w:val="clear" w:color="auto" w:fill="auto"/>
            <w:vAlign w:val="center"/>
            <w:hideMark/>
          </w:tcPr>
          <w:p w14:paraId="50613228" w14:textId="77777777" w:rsidR="00860DF2" w:rsidRPr="007F2E0C" w:rsidRDefault="00860DF2" w:rsidP="007A3B69">
            <w:pPr>
              <w:widowControl w:val="0"/>
              <w:ind w:left="57"/>
              <w:rPr>
                <w:rFonts w:ascii="Arial Narrow" w:hAnsi="Arial Narrow"/>
                <w:bCs/>
                <w:snapToGrid w:val="0"/>
                <w:sz w:val="20"/>
                <w:szCs w:val="20"/>
              </w:rPr>
            </w:pPr>
            <w:r w:rsidRPr="007F2E0C">
              <w:rPr>
                <w:rFonts w:ascii="Arial Narrow" w:hAnsi="Arial Narrow"/>
                <w:b/>
                <w:bCs/>
                <w:snapToGrid w:val="0"/>
                <w:sz w:val="20"/>
                <w:szCs w:val="20"/>
              </w:rPr>
              <w:t>Clinical criteria:</w:t>
            </w:r>
          </w:p>
        </w:tc>
      </w:tr>
      <w:tr w:rsidR="00860DF2" w:rsidRPr="00641661" w14:paraId="3326851E" w14:textId="77777777" w:rsidTr="00B5124C">
        <w:tblPrEx>
          <w:tblCellMar>
            <w:top w:w="15" w:type="dxa"/>
            <w:left w:w="15" w:type="dxa"/>
            <w:bottom w:w="15" w:type="dxa"/>
            <w:right w:w="15" w:type="dxa"/>
          </w:tblCellMar>
        </w:tblPrEx>
        <w:tc>
          <w:tcPr>
            <w:tcW w:w="1412" w:type="dxa"/>
            <w:gridSpan w:val="2"/>
            <w:shd w:val="clear" w:color="auto" w:fill="auto"/>
            <w:vAlign w:val="center"/>
          </w:tcPr>
          <w:p w14:paraId="68AB2EC7" w14:textId="28C11BB5" w:rsidR="00860DF2" w:rsidRPr="007F2E0C" w:rsidRDefault="00860DF2" w:rsidP="007A3B69">
            <w:pPr>
              <w:widowControl w:val="0"/>
              <w:ind w:left="57"/>
              <w:jc w:val="center"/>
              <w:rPr>
                <w:rFonts w:ascii="Arial Narrow" w:hAnsi="Arial Narrow"/>
                <w:bCs/>
                <w:snapToGrid w:val="0"/>
                <w:sz w:val="20"/>
                <w:szCs w:val="20"/>
              </w:rPr>
            </w:pPr>
          </w:p>
        </w:tc>
        <w:tc>
          <w:tcPr>
            <w:tcW w:w="7655" w:type="dxa"/>
            <w:gridSpan w:val="7"/>
            <w:shd w:val="clear" w:color="auto" w:fill="auto"/>
            <w:vAlign w:val="center"/>
            <w:hideMark/>
          </w:tcPr>
          <w:p w14:paraId="0A2E740B" w14:textId="77777777" w:rsidR="00860DF2" w:rsidRPr="007F2E0C" w:rsidRDefault="00860DF2" w:rsidP="007A3B69">
            <w:pPr>
              <w:widowControl w:val="0"/>
              <w:ind w:left="57"/>
              <w:rPr>
                <w:rFonts w:ascii="Arial Narrow" w:hAnsi="Arial Narrow"/>
                <w:bCs/>
                <w:snapToGrid w:val="0"/>
                <w:sz w:val="20"/>
                <w:szCs w:val="20"/>
              </w:rPr>
            </w:pPr>
            <w:r w:rsidRPr="007F2E0C">
              <w:rPr>
                <w:rFonts w:ascii="Arial Narrow" w:hAnsi="Arial Narrow"/>
                <w:bCs/>
                <w:snapToGrid w:val="0"/>
                <w:sz w:val="20"/>
                <w:szCs w:val="20"/>
              </w:rPr>
              <w:t>The condition must be human epidermal growth factor receptor 2 (HER2) negative</w:t>
            </w:r>
          </w:p>
        </w:tc>
      </w:tr>
      <w:tr w:rsidR="00860DF2" w:rsidRPr="00641661" w14:paraId="4F172BA5" w14:textId="77777777" w:rsidTr="00B5124C">
        <w:tblPrEx>
          <w:tblCellMar>
            <w:top w:w="15" w:type="dxa"/>
            <w:left w:w="15" w:type="dxa"/>
            <w:bottom w:w="15" w:type="dxa"/>
            <w:right w:w="15" w:type="dxa"/>
          </w:tblCellMar>
        </w:tblPrEx>
        <w:tc>
          <w:tcPr>
            <w:tcW w:w="1412" w:type="dxa"/>
            <w:gridSpan w:val="2"/>
            <w:shd w:val="clear" w:color="auto" w:fill="auto"/>
            <w:vAlign w:val="center"/>
          </w:tcPr>
          <w:p w14:paraId="67CD8F6F" w14:textId="77777777" w:rsidR="00860DF2" w:rsidRPr="007F2E0C" w:rsidRDefault="00860DF2" w:rsidP="007A3B69">
            <w:pPr>
              <w:widowControl w:val="0"/>
              <w:ind w:left="57"/>
              <w:jc w:val="center"/>
              <w:rPr>
                <w:rFonts w:ascii="Arial Narrow" w:hAnsi="Arial Narrow"/>
                <w:b/>
                <w:bCs/>
                <w:snapToGrid w:val="0"/>
                <w:sz w:val="20"/>
                <w:szCs w:val="20"/>
              </w:rPr>
            </w:pPr>
          </w:p>
        </w:tc>
        <w:tc>
          <w:tcPr>
            <w:tcW w:w="7655" w:type="dxa"/>
            <w:gridSpan w:val="7"/>
            <w:shd w:val="clear" w:color="auto" w:fill="auto"/>
            <w:vAlign w:val="center"/>
            <w:hideMark/>
          </w:tcPr>
          <w:p w14:paraId="540496B9" w14:textId="77777777" w:rsidR="00860DF2" w:rsidRPr="007F2E0C" w:rsidRDefault="00860DF2" w:rsidP="007A3B69">
            <w:pPr>
              <w:widowControl w:val="0"/>
              <w:ind w:left="57"/>
              <w:rPr>
                <w:rFonts w:ascii="Arial Narrow" w:hAnsi="Arial Narrow"/>
                <w:bCs/>
                <w:snapToGrid w:val="0"/>
                <w:sz w:val="20"/>
                <w:szCs w:val="20"/>
              </w:rPr>
            </w:pPr>
            <w:r w:rsidRPr="007F2E0C">
              <w:rPr>
                <w:rFonts w:ascii="Arial Narrow" w:hAnsi="Arial Narrow"/>
                <w:b/>
                <w:bCs/>
                <w:snapToGrid w:val="0"/>
                <w:sz w:val="20"/>
                <w:szCs w:val="20"/>
              </w:rPr>
              <w:t>AND</w:t>
            </w:r>
          </w:p>
        </w:tc>
      </w:tr>
      <w:tr w:rsidR="00860DF2" w:rsidRPr="00641661" w14:paraId="16A928D2" w14:textId="77777777" w:rsidTr="00B5124C">
        <w:tblPrEx>
          <w:tblCellMar>
            <w:top w:w="15" w:type="dxa"/>
            <w:left w:w="15" w:type="dxa"/>
            <w:bottom w:w="15" w:type="dxa"/>
            <w:right w:w="15" w:type="dxa"/>
          </w:tblCellMar>
        </w:tblPrEx>
        <w:tc>
          <w:tcPr>
            <w:tcW w:w="1412" w:type="dxa"/>
            <w:gridSpan w:val="2"/>
            <w:shd w:val="clear" w:color="auto" w:fill="auto"/>
            <w:vAlign w:val="center"/>
          </w:tcPr>
          <w:p w14:paraId="46F23D1F" w14:textId="1350ABAC" w:rsidR="00860DF2" w:rsidRPr="007F2E0C" w:rsidRDefault="00860DF2" w:rsidP="007A3B69">
            <w:pPr>
              <w:widowControl w:val="0"/>
              <w:ind w:left="57"/>
              <w:jc w:val="center"/>
              <w:rPr>
                <w:rFonts w:ascii="Arial Narrow" w:hAnsi="Arial Narrow"/>
                <w:b/>
                <w:bCs/>
                <w:snapToGrid w:val="0"/>
                <w:sz w:val="20"/>
                <w:szCs w:val="20"/>
              </w:rPr>
            </w:pPr>
          </w:p>
        </w:tc>
        <w:tc>
          <w:tcPr>
            <w:tcW w:w="7655" w:type="dxa"/>
            <w:gridSpan w:val="7"/>
            <w:shd w:val="clear" w:color="auto" w:fill="auto"/>
            <w:vAlign w:val="center"/>
            <w:hideMark/>
          </w:tcPr>
          <w:p w14:paraId="561FA27B" w14:textId="77777777" w:rsidR="00860DF2" w:rsidRPr="007F2E0C" w:rsidRDefault="00860DF2" w:rsidP="007A3B69">
            <w:pPr>
              <w:widowControl w:val="0"/>
              <w:ind w:left="57"/>
              <w:rPr>
                <w:rFonts w:ascii="Arial Narrow" w:hAnsi="Arial Narrow"/>
                <w:bCs/>
                <w:snapToGrid w:val="0"/>
                <w:sz w:val="20"/>
                <w:szCs w:val="20"/>
              </w:rPr>
            </w:pPr>
            <w:r w:rsidRPr="007F2E0C">
              <w:rPr>
                <w:rFonts w:ascii="Arial Narrow" w:hAnsi="Arial Narrow"/>
                <w:b/>
                <w:bCs/>
                <w:snapToGrid w:val="0"/>
                <w:sz w:val="20"/>
                <w:szCs w:val="20"/>
              </w:rPr>
              <w:t>Clinical criteria:</w:t>
            </w:r>
          </w:p>
        </w:tc>
      </w:tr>
      <w:tr w:rsidR="00860DF2" w:rsidRPr="00641661" w14:paraId="3BEFE953" w14:textId="77777777" w:rsidTr="00B5124C">
        <w:tblPrEx>
          <w:tblCellMar>
            <w:top w:w="15" w:type="dxa"/>
            <w:left w:w="15" w:type="dxa"/>
            <w:bottom w:w="15" w:type="dxa"/>
            <w:right w:w="15" w:type="dxa"/>
          </w:tblCellMar>
        </w:tblPrEx>
        <w:tc>
          <w:tcPr>
            <w:tcW w:w="1412" w:type="dxa"/>
            <w:gridSpan w:val="2"/>
            <w:shd w:val="clear" w:color="auto" w:fill="auto"/>
            <w:vAlign w:val="center"/>
          </w:tcPr>
          <w:p w14:paraId="728FB57C" w14:textId="18D6B2D0" w:rsidR="00860DF2" w:rsidRPr="007F2E0C" w:rsidRDefault="00860DF2" w:rsidP="007A3B69">
            <w:pPr>
              <w:widowControl w:val="0"/>
              <w:ind w:left="57"/>
              <w:jc w:val="center"/>
              <w:rPr>
                <w:rFonts w:ascii="Arial Narrow" w:hAnsi="Arial Narrow"/>
                <w:bCs/>
                <w:snapToGrid w:val="0"/>
                <w:sz w:val="20"/>
                <w:szCs w:val="20"/>
              </w:rPr>
            </w:pPr>
          </w:p>
        </w:tc>
        <w:tc>
          <w:tcPr>
            <w:tcW w:w="7655" w:type="dxa"/>
            <w:gridSpan w:val="7"/>
            <w:shd w:val="clear" w:color="auto" w:fill="auto"/>
            <w:vAlign w:val="center"/>
            <w:hideMark/>
          </w:tcPr>
          <w:p w14:paraId="0E3254E7" w14:textId="77777777" w:rsidR="00860DF2" w:rsidRPr="007F2E0C" w:rsidRDefault="00860DF2" w:rsidP="007A3B69">
            <w:pPr>
              <w:widowControl w:val="0"/>
              <w:ind w:left="57"/>
              <w:rPr>
                <w:rFonts w:ascii="Arial Narrow" w:hAnsi="Arial Narrow"/>
                <w:bCs/>
                <w:snapToGrid w:val="0"/>
                <w:sz w:val="20"/>
                <w:szCs w:val="20"/>
              </w:rPr>
            </w:pPr>
            <w:r w:rsidRPr="007F2E0C">
              <w:rPr>
                <w:rFonts w:ascii="Arial Narrow" w:hAnsi="Arial Narrow"/>
                <w:bCs/>
                <w:snapToGrid w:val="0"/>
                <w:sz w:val="20"/>
                <w:szCs w:val="20"/>
              </w:rPr>
              <w:t>The condition must be inoperable</w:t>
            </w:r>
          </w:p>
        </w:tc>
      </w:tr>
      <w:tr w:rsidR="00860DF2" w:rsidRPr="00641661" w14:paraId="6C1DA495" w14:textId="77777777" w:rsidTr="00B5124C">
        <w:tblPrEx>
          <w:tblCellMar>
            <w:top w:w="15" w:type="dxa"/>
            <w:left w:w="15" w:type="dxa"/>
            <w:bottom w:w="15" w:type="dxa"/>
            <w:right w:w="15" w:type="dxa"/>
          </w:tblCellMar>
        </w:tblPrEx>
        <w:tc>
          <w:tcPr>
            <w:tcW w:w="1412" w:type="dxa"/>
            <w:gridSpan w:val="2"/>
            <w:shd w:val="clear" w:color="auto" w:fill="auto"/>
            <w:vAlign w:val="center"/>
          </w:tcPr>
          <w:p w14:paraId="7DD6F2F6" w14:textId="77777777" w:rsidR="00860DF2" w:rsidRPr="007F2E0C" w:rsidRDefault="00860DF2" w:rsidP="007A3B69">
            <w:pPr>
              <w:widowControl w:val="0"/>
              <w:ind w:left="57"/>
              <w:jc w:val="center"/>
              <w:rPr>
                <w:rFonts w:ascii="Arial Narrow" w:hAnsi="Arial Narrow"/>
                <w:b/>
                <w:bCs/>
                <w:snapToGrid w:val="0"/>
                <w:sz w:val="20"/>
                <w:szCs w:val="20"/>
              </w:rPr>
            </w:pPr>
          </w:p>
        </w:tc>
        <w:tc>
          <w:tcPr>
            <w:tcW w:w="7655" w:type="dxa"/>
            <w:gridSpan w:val="7"/>
            <w:shd w:val="clear" w:color="auto" w:fill="auto"/>
            <w:vAlign w:val="center"/>
            <w:hideMark/>
          </w:tcPr>
          <w:p w14:paraId="3A33B117" w14:textId="77777777" w:rsidR="00860DF2" w:rsidRPr="007F2E0C" w:rsidRDefault="00860DF2" w:rsidP="007A3B69">
            <w:pPr>
              <w:widowControl w:val="0"/>
              <w:ind w:left="57"/>
              <w:rPr>
                <w:rFonts w:ascii="Arial Narrow" w:hAnsi="Arial Narrow"/>
                <w:bCs/>
                <w:snapToGrid w:val="0"/>
                <w:sz w:val="20"/>
                <w:szCs w:val="20"/>
              </w:rPr>
            </w:pPr>
            <w:r w:rsidRPr="007F2E0C">
              <w:rPr>
                <w:rFonts w:ascii="Arial Narrow" w:hAnsi="Arial Narrow"/>
                <w:b/>
                <w:bCs/>
                <w:snapToGrid w:val="0"/>
                <w:sz w:val="20"/>
                <w:szCs w:val="20"/>
              </w:rPr>
              <w:t>AND</w:t>
            </w:r>
          </w:p>
        </w:tc>
      </w:tr>
      <w:tr w:rsidR="00860DF2" w:rsidRPr="00641661" w14:paraId="23FBA824" w14:textId="77777777" w:rsidTr="00B5124C">
        <w:tblPrEx>
          <w:tblCellMar>
            <w:top w:w="15" w:type="dxa"/>
            <w:left w:w="15" w:type="dxa"/>
            <w:bottom w:w="15" w:type="dxa"/>
            <w:right w:w="15" w:type="dxa"/>
          </w:tblCellMar>
        </w:tblPrEx>
        <w:tc>
          <w:tcPr>
            <w:tcW w:w="1412" w:type="dxa"/>
            <w:gridSpan w:val="2"/>
            <w:shd w:val="clear" w:color="auto" w:fill="auto"/>
            <w:vAlign w:val="center"/>
          </w:tcPr>
          <w:p w14:paraId="483FD12E" w14:textId="77777777" w:rsidR="00860DF2" w:rsidRPr="007F2E0C" w:rsidRDefault="00860DF2" w:rsidP="007A3B69">
            <w:pPr>
              <w:widowControl w:val="0"/>
              <w:ind w:left="57"/>
              <w:jc w:val="center"/>
              <w:rPr>
                <w:rFonts w:ascii="Arial Narrow" w:hAnsi="Arial Narrow"/>
                <w:b/>
                <w:bCs/>
                <w:snapToGrid w:val="0"/>
                <w:sz w:val="20"/>
                <w:szCs w:val="20"/>
              </w:rPr>
            </w:pPr>
          </w:p>
        </w:tc>
        <w:tc>
          <w:tcPr>
            <w:tcW w:w="7655" w:type="dxa"/>
            <w:gridSpan w:val="7"/>
            <w:shd w:val="clear" w:color="auto" w:fill="auto"/>
            <w:vAlign w:val="center"/>
            <w:hideMark/>
          </w:tcPr>
          <w:p w14:paraId="53489EA9" w14:textId="77777777" w:rsidR="00860DF2" w:rsidRPr="007F2E0C" w:rsidRDefault="00860DF2" w:rsidP="007A3B69">
            <w:pPr>
              <w:widowControl w:val="0"/>
              <w:ind w:left="57"/>
              <w:rPr>
                <w:rFonts w:ascii="Arial Narrow" w:hAnsi="Arial Narrow"/>
                <w:bCs/>
                <w:snapToGrid w:val="0"/>
                <w:sz w:val="20"/>
                <w:szCs w:val="20"/>
              </w:rPr>
            </w:pPr>
            <w:r w:rsidRPr="007F2E0C">
              <w:rPr>
                <w:rFonts w:ascii="Arial Narrow" w:hAnsi="Arial Narrow"/>
                <w:b/>
                <w:bCs/>
                <w:snapToGrid w:val="0"/>
                <w:sz w:val="20"/>
                <w:szCs w:val="20"/>
              </w:rPr>
              <w:t>Clinical criteria:</w:t>
            </w:r>
          </w:p>
        </w:tc>
      </w:tr>
      <w:tr w:rsidR="00860DF2" w:rsidRPr="00641661" w14:paraId="57BD6458" w14:textId="77777777" w:rsidTr="00B5124C">
        <w:tblPrEx>
          <w:tblCellMar>
            <w:top w:w="15" w:type="dxa"/>
            <w:left w:w="15" w:type="dxa"/>
            <w:bottom w:w="15" w:type="dxa"/>
            <w:right w:w="15" w:type="dxa"/>
          </w:tblCellMar>
        </w:tblPrEx>
        <w:trPr>
          <w:trHeight w:val="140"/>
        </w:trPr>
        <w:tc>
          <w:tcPr>
            <w:tcW w:w="1412" w:type="dxa"/>
            <w:gridSpan w:val="2"/>
            <w:shd w:val="clear" w:color="auto" w:fill="auto"/>
            <w:vAlign w:val="center"/>
          </w:tcPr>
          <w:p w14:paraId="086E3264" w14:textId="7F969A6B" w:rsidR="00860DF2" w:rsidRPr="007F2E0C" w:rsidRDefault="00860DF2" w:rsidP="007A3B69">
            <w:pPr>
              <w:widowControl w:val="0"/>
              <w:ind w:left="57"/>
              <w:jc w:val="center"/>
              <w:rPr>
                <w:rFonts w:ascii="Arial Narrow" w:hAnsi="Arial Narrow"/>
                <w:bCs/>
                <w:snapToGrid w:val="0"/>
                <w:sz w:val="20"/>
                <w:szCs w:val="20"/>
              </w:rPr>
            </w:pPr>
          </w:p>
        </w:tc>
        <w:tc>
          <w:tcPr>
            <w:tcW w:w="7655" w:type="dxa"/>
            <w:gridSpan w:val="7"/>
            <w:shd w:val="clear" w:color="auto" w:fill="auto"/>
            <w:vAlign w:val="center"/>
            <w:hideMark/>
          </w:tcPr>
          <w:p w14:paraId="068FDA7B" w14:textId="77777777" w:rsidR="00860DF2" w:rsidRPr="007F2E0C" w:rsidRDefault="00860DF2" w:rsidP="007A3B69">
            <w:pPr>
              <w:widowControl w:val="0"/>
              <w:ind w:left="57"/>
              <w:rPr>
                <w:rFonts w:ascii="Arial Narrow" w:hAnsi="Arial Narrow"/>
                <w:bCs/>
                <w:snapToGrid w:val="0"/>
                <w:sz w:val="20"/>
                <w:szCs w:val="20"/>
              </w:rPr>
            </w:pPr>
            <w:r w:rsidRPr="007F2E0C">
              <w:rPr>
                <w:rFonts w:ascii="Arial Narrow" w:hAnsi="Arial Narrow"/>
                <w:bCs/>
                <w:snapToGrid w:val="0"/>
                <w:sz w:val="20"/>
                <w:szCs w:val="20"/>
              </w:rPr>
              <w:t xml:space="preserve">Patient must have had a World Health Organisation (WHO) Eastern Cooperative Oncology Group (ECOG) performance status score no higher than 2 at the time of non-PBS supply was initiated </w:t>
            </w:r>
          </w:p>
        </w:tc>
      </w:tr>
      <w:tr w:rsidR="00860DF2" w:rsidRPr="00641661" w14:paraId="08CE9434" w14:textId="77777777" w:rsidTr="00B5124C">
        <w:tblPrEx>
          <w:tblCellMar>
            <w:top w:w="15" w:type="dxa"/>
            <w:left w:w="15" w:type="dxa"/>
            <w:bottom w:w="15" w:type="dxa"/>
            <w:right w:w="15" w:type="dxa"/>
          </w:tblCellMar>
        </w:tblPrEx>
        <w:tc>
          <w:tcPr>
            <w:tcW w:w="1412" w:type="dxa"/>
            <w:gridSpan w:val="2"/>
            <w:shd w:val="clear" w:color="auto" w:fill="auto"/>
            <w:vAlign w:val="center"/>
          </w:tcPr>
          <w:p w14:paraId="17BF5EA3" w14:textId="77777777" w:rsidR="00860DF2" w:rsidRPr="007F2E0C" w:rsidRDefault="00860DF2" w:rsidP="007A3B69">
            <w:pPr>
              <w:widowControl w:val="0"/>
              <w:ind w:left="57"/>
              <w:jc w:val="center"/>
              <w:rPr>
                <w:rFonts w:ascii="Arial Narrow" w:hAnsi="Arial Narrow"/>
                <w:b/>
                <w:bCs/>
                <w:snapToGrid w:val="0"/>
                <w:sz w:val="20"/>
                <w:szCs w:val="20"/>
              </w:rPr>
            </w:pPr>
          </w:p>
        </w:tc>
        <w:tc>
          <w:tcPr>
            <w:tcW w:w="7655" w:type="dxa"/>
            <w:gridSpan w:val="7"/>
            <w:shd w:val="clear" w:color="auto" w:fill="auto"/>
            <w:vAlign w:val="center"/>
            <w:hideMark/>
          </w:tcPr>
          <w:p w14:paraId="239E3E73" w14:textId="77777777" w:rsidR="00860DF2" w:rsidRPr="007F2E0C" w:rsidRDefault="00860DF2" w:rsidP="007A3B69">
            <w:pPr>
              <w:widowControl w:val="0"/>
              <w:ind w:left="57"/>
              <w:rPr>
                <w:rFonts w:ascii="Arial Narrow" w:hAnsi="Arial Narrow"/>
                <w:bCs/>
                <w:snapToGrid w:val="0"/>
                <w:sz w:val="20"/>
                <w:szCs w:val="20"/>
              </w:rPr>
            </w:pPr>
            <w:r w:rsidRPr="007F2E0C">
              <w:rPr>
                <w:rFonts w:ascii="Arial Narrow" w:hAnsi="Arial Narrow"/>
                <w:b/>
                <w:bCs/>
                <w:snapToGrid w:val="0"/>
                <w:sz w:val="20"/>
                <w:szCs w:val="20"/>
              </w:rPr>
              <w:t>AND</w:t>
            </w:r>
          </w:p>
        </w:tc>
      </w:tr>
      <w:tr w:rsidR="001B6F46" w:rsidRPr="00641661" w14:paraId="7AD142C1" w14:textId="77777777" w:rsidTr="00973EB3">
        <w:tblPrEx>
          <w:tblCellMar>
            <w:top w:w="15" w:type="dxa"/>
            <w:left w:w="15" w:type="dxa"/>
            <w:bottom w:w="15" w:type="dxa"/>
            <w:right w:w="15" w:type="dxa"/>
          </w:tblCellMar>
        </w:tblPrEx>
        <w:tc>
          <w:tcPr>
            <w:tcW w:w="1412" w:type="dxa"/>
            <w:gridSpan w:val="2"/>
            <w:shd w:val="clear" w:color="auto" w:fill="auto"/>
            <w:vAlign w:val="center"/>
          </w:tcPr>
          <w:p w14:paraId="6975CF98" w14:textId="4FAEF84D" w:rsidR="001B6F46" w:rsidRPr="007F2E0C" w:rsidRDefault="001B6F46" w:rsidP="00973EB3">
            <w:pPr>
              <w:widowControl w:val="0"/>
              <w:jc w:val="center"/>
              <w:rPr>
                <w:rFonts w:ascii="Arial Narrow" w:hAnsi="Arial Narrow"/>
                <w:bCs/>
                <w:snapToGrid w:val="0"/>
                <w:sz w:val="20"/>
                <w:szCs w:val="20"/>
              </w:rPr>
            </w:pPr>
          </w:p>
        </w:tc>
        <w:tc>
          <w:tcPr>
            <w:tcW w:w="7655" w:type="dxa"/>
            <w:gridSpan w:val="7"/>
            <w:shd w:val="clear" w:color="auto" w:fill="auto"/>
            <w:vAlign w:val="center"/>
            <w:hideMark/>
          </w:tcPr>
          <w:p w14:paraId="67A9DEB2" w14:textId="77777777" w:rsidR="001B6F46" w:rsidRPr="007F2E0C" w:rsidRDefault="001B6F46" w:rsidP="00973EB3">
            <w:pPr>
              <w:widowControl w:val="0"/>
              <w:rPr>
                <w:rFonts w:ascii="Arial Narrow" w:hAnsi="Arial Narrow"/>
                <w:bCs/>
                <w:snapToGrid w:val="0"/>
                <w:sz w:val="20"/>
                <w:szCs w:val="20"/>
              </w:rPr>
            </w:pPr>
            <w:r w:rsidRPr="007F2E0C">
              <w:rPr>
                <w:rFonts w:ascii="Arial Narrow" w:hAnsi="Arial Narrow"/>
                <w:b/>
                <w:bCs/>
                <w:snapToGrid w:val="0"/>
                <w:sz w:val="20"/>
                <w:szCs w:val="20"/>
              </w:rPr>
              <w:t>Clinical criteria:</w:t>
            </w:r>
          </w:p>
        </w:tc>
      </w:tr>
      <w:tr w:rsidR="00860DF2" w:rsidRPr="00641661" w14:paraId="1518EBDE" w14:textId="77777777" w:rsidTr="00B5124C">
        <w:tblPrEx>
          <w:tblCellMar>
            <w:top w:w="15" w:type="dxa"/>
            <w:left w:w="15" w:type="dxa"/>
            <w:bottom w:w="15" w:type="dxa"/>
            <w:right w:w="15" w:type="dxa"/>
          </w:tblCellMar>
        </w:tblPrEx>
        <w:tc>
          <w:tcPr>
            <w:tcW w:w="1412" w:type="dxa"/>
            <w:gridSpan w:val="2"/>
            <w:shd w:val="clear" w:color="auto" w:fill="auto"/>
            <w:vAlign w:val="center"/>
          </w:tcPr>
          <w:p w14:paraId="743062E6" w14:textId="06787E83" w:rsidR="00987642" w:rsidRPr="007F2E0C" w:rsidRDefault="00987642" w:rsidP="007A3B69">
            <w:pPr>
              <w:widowControl w:val="0"/>
              <w:ind w:left="57"/>
              <w:jc w:val="center"/>
              <w:rPr>
                <w:rFonts w:ascii="Arial Narrow" w:hAnsi="Arial Narrow"/>
                <w:bCs/>
                <w:snapToGrid w:val="0"/>
                <w:sz w:val="20"/>
                <w:szCs w:val="20"/>
              </w:rPr>
            </w:pPr>
          </w:p>
        </w:tc>
        <w:tc>
          <w:tcPr>
            <w:tcW w:w="7655" w:type="dxa"/>
            <w:gridSpan w:val="7"/>
            <w:shd w:val="clear" w:color="auto" w:fill="auto"/>
            <w:vAlign w:val="center"/>
          </w:tcPr>
          <w:p w14:paraId="7F4F0251" w14:textId="77777777" w:rsidR="00860DF2" w:rsidRPr="007F2E0C" w:rsidRDefault="00860DF2" w:rsidP="007A3B69">
            <w:pPr>
              <w:widowControl w:val="0"/>
              <w:ind w:left="57"/>
              <w:rPr>
                <w:rFonts w:ascii="Arial Narrow" w:hAnsi="Arial Narrow"/>
                <w:bCs/>
                <w:snapToGrid w:val="0"/>
                <w:sz w:val="20"/>
                <w:szCs w:val="20"/>
              </w:rPr>
            </w:pPr>
            <w:r w:rsidRPr="007F2E0C">
              <w:rPr>
                <w:rFonts w:ascii="Arial Narrow" w:hAnsi="Arial Narrow"/>
                <w:bCs/>
                <w:snapToGrid w:val="0"/>
                <w:sz w:val="20"/>
                <w:szCs w:val="20"/>
              </w:rPr>
              <w:t xml:space="preserve">The treatment must be in combination with </w:t>
            </w:r>
            <w:proofErr w:type="spellStart"/>
            <w:r w:rsidRPr="007F2E0C">
              <w:rPr>
                <w:rFonts w:ascii="Arial Narrow" w:hAnsi="Arial Narrow"/>
                <w:bCs/>
                <w:snapToGrid w:val="0"/>
                <w:sz w:val="20"/>
                <w:szCs w:val="20"/>
              </w:rPr>
              <w:t>fulvestrant</w:t>
            </w:r>
            <w:proofErr w:type="spellEnd"/>
            <w:r w:rsidRPr="007F2E0C">
              <w:rPr>
                <w:rFonts w:ascii="Arial Narrow" w:hAnsi="Arial Narrow"/>
                <w:bCs/>
                <w:snapToGrid w:val="0"/>
                <w:sz w:val="20"/>
                <w:szCs w:val="20"/>
              </w:rPr>
              <w:t xml:space="preserve"> only, where at the time non-PBS supply was initiated, the patient had recurrent/progressive disease despite being treated with endocrine therapy </w:t>
            </w:r>
            <w:r w:rsidRPr="007F2E0C">
              <w:rPr>
                <w:rFonts w:ascii="Arial Narrow" w:hAnsi="Arial Narrow"/>
                <w:bCs/>
                <w:strike/>
                <w:snapToGrid w:val="0"/>
                <w:sz w:val="20"/>
                <w:szCs w:val="20"/>
              </w:rPr>
              <w:t>in the (neo)adjuvant setting or</w:t>
            </w:r>
            <w:r w:rsidRPr="007F2E0C">
              <w:rPr>
                <w:rFonts w:ascii="Arial Narrow" w:hAnsi="Arial Narrow"/>
                <w:bCs/>
                <w:snapToGrid w:val="0"/>
                <w:sz w:val="20"/>
                <w:szCs w:val="20"/>
              </w:rPr>
              <w:t xml:space="preserve"> for advanced/metastatic disease</w:t>
            </w:r>
          </w:p>
        </w:tc>
      </w:tr>
      <w:tr w:rsidR="00860DF2" w:rsidRPr="00641661" w14:paraId="456C4829" w14:textId="77777777" w:rsidTr="00B5124C">
        <w:tblPrEx>
          <w:tblCellMar>
            <w:top w:w="15" w:type="dxa"/>
            <w:left w:w="15" w:type="dxa"/>
            <w:bottom w:w="15" w:type="dxa"/>
            <w:right w:w="15" w:type="dxa"/>
          </w:tblCellMar>
        </w:tblPrEx>
        <w:tc>
          <w:tcPr>
            <w:tcW w:w="1412" w:type="dxa"/>
            <w:gridSpan w:val="2"/>
            <w:shd w:val="clear" w:color="auto" w:fill="auto"/>
            <w:vAlign w:val="center"/>
          </w:tcPr>
          <w:p w14:paraId="781D62A9" w14:textId="77777777" w:rsidR="00860DF2" w:rsidRPr="007F2E0C" w:rsidRDefault="00860DF2" w:rsidP="007A3B69">
            <w:pPr>
              <w:widowControl w:val="0"/>
              <w:ind w:left="57"/>
              <w:jc w:val="center"/>
              <w:rPr>
                <w:rFonts w:ascii="Arial Narrow" w:hAnsi="Arial Narrow"/>
                <w:b/>
                <w:bCs/>
                <w:snapToGrid w:val="0"/>
                <w:sz w:val="20"/>
                <w:szCs w:val="20"/>
              </w:rPr>
            </w:pPr>
          </w:p>
        </w:tc>
        <w:tc>
          <w:tcPr>
            <w:tcW w:w="7655" w:type="dxa"/>
            <w:gridSpan w:val="7"/>
            <w:shd w:val="clear" w:color="auto" w:fill="auto"/>
            <w:vAlign w:val="center"/>
            <w:hideMark/>
          </w:tcPr>
          <w:p w14:paraId="1A5EE462" w14:textId="77777777" w:rsidR="00860DF2" w:rsidRPr="007F2E0C" w:rsidRDefault="00860DF2" w:rsidP="007A3B69">
            <w:pPr>
              <w:widowControl w:val="0"/>
              <w:ind w:left="57"/>
              <w:rPr>
                <w:rFonts w:ascii="Arial Narrow" w:hAnsi="Arial Narrow"/>
                <w:bCs/>
                <w:snapToGrid w:val="0"/>
                <w:sz w:val="20"/>
                <w:szCs w:val="20"/>
              </w:rPr>
            </w:pPr>
            <w:r w:rsidRPr="007F2E0C">
              <w:rPr>
                <w:rFonts w:ascii="Arial Narrow" w:hAnsi="Arial Narrow"/>
                <w:b/>
                <w:bCs/>
                <w:snapToGrid w:val="0"/>
                <w:sz w:val="20"/>
                <w:szCs w:val="20"/>
              </w:rPr>
              <w:t>AND</w:t>
            </w:r>
          </w:p>
        </w:tc>
      </w:tr>
      <w:tr w:rsidR="00860DF2" w:rsidRPr="00641661" w14:paraId="01C55D3A" w14:textId="77777777" w:rsidTr="00B5124C">
        <w:tblPrEx>
          <w:tblCellMar>
            <w:top w:w="15" w:type="dxa"/>
            <w:left w:w="15" w:type="dxa"/>
            <w:bottom w:w="15" w:type="dxa"/>
            <w:right w:w="15" w:type="dxa"/>
          </w:tblCellMar>
        </w:tblPrEx>
        <w:tc>
          <w:tcPr>
            <w:tcW w:w="1412" w:type="dxa"/>
            <w:gridSpan w:val="2"/>
            <w:shd w:val="clear" w:color="auto" w:fill="auto"/>
            <w:vAlign w:val="center"/>
          </w:tcPr>
          <w:p w14:paraId="66192E73" w14:textId="77777777" w:rsidR="00860DF2" w:rsidRPr="007F2E0C" w:rsidRDefault="00860DF2" w:rsidP="007A3B69">
            <w:pPr>
              <w:widowControl w:val="0"/>
              <w:ind w:left="57"/>
              <w:jc w:val="center"/>
              <w:rPr>
                <w:rFonts w:ascii="Arial Narrow" w:hAnsi="Arial Narrow"/>
                <w:bCs/>
                <w:snapToGrid w:val="0"/>
                <w:sz w:val="20"/>
                <w:szCs w:val="20"/>
              </w:rPr>
            </w:pPr>
          </w:p>
        </w:tc>
        <w:tc>
          <w:tcPr>
            <w:tcW w:w="7655" w:type="dxa"/>
            <w:gridSpan w:val="7"/>
            <w:shd w:val="clear" w:color="auto" w:fill="auto"/>
            <w:vAlign w:val="center"/>
            <w:hideMark/>
          </w:tcPr>
          <w:p w14:paraId="6F17DEA5" w14:textId="77777777" w:rsidR="00860DF2" w:rsidRPr="007F2E0C" w:rsidRDefault="00860DF2" w:rsidP="007A3B69">
            <w:pPr>
              <w:widowControl w:val="0"/>
              <w:ind w:left="57"/>
              <w:rPr>
                <w:rFonts w:ascii="Arial Narrow" w:hAnsi="Arial Narrow"/>
                <w:bCs/>
                <w:snapToGrid w:val="0"/>
                <w:sz w:val="20"/>
                <w:szCs w:val="20"/>
              </w:rPr>
            </w:pPr>
            <w:r w:rsidRPr="007F2E0C">
              <w:rPr>
                <w:rFonts w:ascii="Arial Narrow" w:hAnsi="Arial Narrow"/>
                <w:b/>
                <w:bCs/>
                <w:snapToGrid w:val="0"/>
                <w:sz w:val="20"/>
                <w:szCs w:val="20"/>
              </w:rPr>
              <w:t>Clinical criteria:</w:t>
            </w:r>
          </w:p>
        </w:tc>
      </w:tr>
      <w:tr w:rsidR="00860DF2" w:rsidRPr="00641661" w14:paraId="0C03E369" w14:textId="77777777" w:rsidTr="00B5124C">
        <w:tblPrEx>
          <w:tblCellMar>
            <w:top w:w="15" w:type="dxa"/>
            <w:left w:w="15" w:type="dxa"/>
            <w:bottom w:w="15" w:type="dxa"/>
            <w:right w:w="15" w:type="dxa"/>
          </w:tblCellMar>
        </w:tblPrEx>
        <w:tc>
          <w:tcPr>
            <w:tcW w:w="1412" w:type="dxa"/>
            <w:gridSpan w:val="2"/>
            <w:shd w:val="clear" w:color="auto" w:fill="auto"/>
            <w:vAlign w:val="center"/>
          </w:tcPr>
          <w:p w14:paraId="0B962229" w14:textId="579A2794" w:rsidR="00987642" w:rsidRPr="007F2E0C" w:rsidRDefault="00987642" w:rsidP="007A3B69">
            <w:pPr>
              <w:widowControl w:val="0"/>
              <w:jc w:val="center"/>
              <w:rPr>
                <w:rFonts w:ascii="Arial Narrow" w:hAnsi="Arial Narrow"/>
                <w:bCs/>
                <w:snapToGrid w:val="0"/>
                <w:sz w:val="20"/>
                <w:szCs w:val="20"/>
              </w:rPr>
            </w:pPr>
          </w:p>
        </w:tc>
        <w:tc>
          <w:tcPr>
            <w:tcW w:w="7655" w:type="dxa"/>
            <w:gridSpan w:val="7"/>
            <w:shd w:val="clear" w:color="auto" w:fill="auto"/>
            <w:vAlign w:val="center"/>
            <w:hideMark/>
          </w:tcPr>
          <w:p w14:paraId="19A93932" w14:textId="19B33E2A" w:rsidR="00860DF2" w:rsidRPr="007F2E0C" w:rsidRDefault="00860DF2" w:rsidP="007A3B69">
            <w:pPr>
              <w:widowControl w:val="0"/>
              <w:ind w:left="57"/>
              <w:rPr>
                <w:rFonts w:ascii="Arial Narrow" w:hAnsi="Arial Narrow"/>
                <w:bCs/>
                <w:i/>
                <w:snapToGrid w:val="0"/>
                <w:sz w:val="20"/>
                <w:szCs w:val="20"/>
              </w:rPr>
            </w:pPr>
            <w:r w:rsidRPr="007F2E0C">
              <w:rPr>
                <w:rFonts w:ascii="Arial Narrow" w:hAnsi="Arial Narrow"/>
                <w:sz w:val="20"/>
                <w:szCs w:val="20"/>
              </w:rPr>
              <w:t xml:space="preserve">The treatment must not be in combination with another </w:t>
            </w:r>
            <w:r w:rsidR="00B5124C">
              <w:rPr>
                <w:rFonts w:ascii="Arial Narrow" w:hAnsi="Arial Narrow"/>
                <w:bCs/>
                <w:snapToGrid w:val="0"/>
                <w:sz w:val="20"/>
                <w:szCs w:val="20"/>
              </w:rPr>
              <w:t>c</w:t>
            </w:r>
            <w:r w:rsidR="00987642">
              <w:rPr>
                <w:rFonts w:ascii="Arial Narrow" w:hAnsi="Arial Narrow"/>
                <w:bCs/>
                <w:snapToGrid w:val="0"/>
                <w:sz w:val="20"/>
                <w:szCs w:val="20"/>
              </w:rPr>
              <w:t>yclin-dependent kinase 4 and 6 (CDK4/6) inhibitor therapy</w:t>
            </w:r>
          </w:p>
        </w:tc>
      </w:tr>
      <w:tr w:rsidR="00860DF2" w:rsidRPr="00641661" w14:paraId="172AA74C" w14:textId="77777777" w:rsidTr="00B5124C">
        <w:tblPrEx>
          <w:tblCellMar>
            <w:top w:w="15" w:type="dxa"/>
            <w:left w:w="15" w:type="dxa"/>
            <w:bottom w:w="15" w:type="dxa"/>
            <w:right w:w="15" w:type="dxa"/>
          </w:tblCellMar>
        </w:tblPrEx>
        <w:tc>
          <w:tcPr>
            <w:tcW w:w="1412" w:type="dxa"/>
            <w:gridSpan w:val="2"/>
            <w:shd w:val="clear" w:color="auto" w:fill="auto"/>
            <w:vAlign w:val="center"/>
          </w:tcPr>
          <w:p w14:paraId="0C37FCD7" w14:textId="77777777" w:rsidR="00860DF2" w:rsidRPr="007F2E0C" w:rsidRDefault="00860DF2" w:rsidP="007A3B69">
            <w:pPr>
              <w:widowControl w:val="0"/>
              <w:ind w:left="57"/>
              <w:jc w:val="center"/>
              <w:rPr>
                <w:rFonts w:ascii="Arial Narrow" w:hAnsi="Arial Narrow"/>
                <w:bCs/>
                <w:snapToGrid w:val="0"/>
                <w:sz w:val="20"/>
                <w:szCs w:val="20"/>
              </w:rPr>
            </w:pPr>
          </w:p>
        </w:tc>
        <w:tc>
          <w:tcPr>
            <w:tcW w:w="7655" w:type="dxa"/>
            <w:gridSpan w:val="7"/>
            <w:shd w:val="clear" w:color="auto" w:fill="auto"/>
            <w:vAlign w:val="center"/>
          </w:tcPr>
          <w:p w14:paraId="5AEB7D16" w14:textId="77777777" w:rsidR="00860DF2" w:rsidRPr="007F2E0C" w:rsidRDefault="00860DF2" w:rsidP="007A3B69">
            <w:pPr>
              <w:widowControl w:val="0"/>
              <w:ind w:left="57"/>
              <w:rPr>
                <w:rFonts w:ascii="Arial Narrow" w:hAnsi="Arial Narrow"/>
                <w:bCs/>
                <w:snapToGrid w:val="0"/>
                <w:sz w:val="20"/>
                <w:szCs w:val="20"/>
              </w:rPr>
            </w:pPr>
            <w:r w:rsidRPr="007F2E0C">
              <w:rPr>
                <w:rFonts w:ascii="Arial Narrow" w:hAnsi="Arial Narrow"/>
                <w:b/>
                <w:bCs/>
                <w:snapToGrid w:val="0"/>
                <w:sz w:val="20"/>
                <w:szCs w:val="20"/>
              </w:rPr>
              <w:t>AND</w:t>
            </w:r>
          </w:p>
        </w:tc>
      </w:tr>
      <w:tr w:rsidR="00860DF2" w:rsidRPr="00641661" w14:paraId="7CD88304" w14:textId="77777777" w:rsidTr="00B5124C">
        <w:tblPrEx>
          <w:tblCellMar>
            <w:top w:w="15" w:type="dxa"/>
            <w:left w:w="15" w:type="dxa"/>
            <w:bottom w:w="15" w:type="dxa"/>
            <w:right w:w="15" w:type="dxa"/>
          </w:tblCellMar>
        </w:tblPrEx>
        <w:tc>
          <w:tcPr>
            <w:tcW w:w="1412" w:type="dxa"/>
            <w:gridSpan w:val="2"/>
            <w:shd w:val="clear" w:color="auto" w:fill="auto"/>
            <w:vAlign w:val="center"/>
          </w:tcPr>
          <w:p w14:paraId="5A60D8C9" w14:textId="4FED3740" w:rsidR="00860DF2" w:rsidRPr="007F2E0C" w:rsidRDefault="00860DF2" w:rsidP="007A3B69">
            <w:pPr>
              <w:widowControl w:val="0"/>
              <w:ind w:left="57"/>
              <w:jc w:val="center"/>
              <w:rPr>
                <w:rFonts w:ascii="Arial Narrow" w:hAnsi="Arial Narrow"/>
                <w:b/>
                <w:bCs/>
                <w:snapToGrid w:val="0"/>
                <w:sz w:val="20"/>
                <w:szCs w:val="20"/>
              </w:rPr>
            </w:pPr>
          </w:p>
        </w:tc>
        <w:tc>
          <w:tcPr>
            <w:tcW w:w="7655" w:type="dxa"/>
            <w:gridSpan w:val="7"/>
            <w:shd w:val="clear" w:color="auto" w:fill="auto"/>
            <w:vAlign w:val="center"/>
            <w:hideMark/>
          </w:tcPr>
          <w:p w14:paraId="5069907A" w14:textId="77777777" w:rsidR="00860DF2" w:rsidRPr="007F2E0C" w:rsidRDefault="00860DF2" w:rsidP="007A3B69">
            <w:pPr>
              <w:widowControl w:val="0"/>
              <w:ind w:left="57"/>
              <w:rPr>
                <w:rFonts w:ascii="Arial Narrow" w:hAnsi="Arial Narrow"/>
                <w:bCs/>
                <w:snapToGrid w:val="0"/>
                <w:sz w:val="20"/>
                <w:szCs w:val="20"/>
              </w:rPr>
            </w:pPr>
            <w:r w:rsidRPr="007F2E0C">
              <w:rPr>
                <w:rFonts w:ascii="Arial Narrow" w:hAnsi="Arial Narrow"/>
                <w:b/>
                <w:bCs/>
                <w:snapToGrid w:val="0"/>
                <w:sz w:val="20"/>
                <w:szCs w:val="20"/>
              </w:rPr>
              <w:t>Population criteria:</w:t>
            </w:r>
          </w:p>
        </w:tc>
      </w:tr>
      <w:tr w:rsidR="00860DF2" w:rsidRPr="00641661" w14:paraId="4977DBE5" w14:textId="77777777" w:rsidTr="00B5124C">
        <w:tblPrEx>
          <w:tblCellMar>
            <w:top w:w="15" w:type="dxa"/>
            <w:left w:w="15" w:type="dxa"/>
            <w:bottom w:w="15" w:type="dxa"/>
            <w:right w:w="15" w:type="dxa"/>
          </w:tblCellMar>
        </w:tblPrEx>
        <w:tc>
          <w:tcPr>
            <w:tcW w:w="1412" w:type="dxa"/>
            <w:gridSpan w:val="2"/>
            <w:shd w:val="clear" w:color="auto" w:fill="auto"/>
            <w:vAlign w:val="center"/>
          </w:tcPr>
          <w:p w14:paraId="19272379" w14:textId="5A6D6DF6" w:rsidR="00860DF2" w:rsidRPr="007F2E0C" w:rsidRDefault="00860DF2" w:rsidP="007A3B69">
            <w:pPr>
              <w:widowControl w:val="0"/>
              <w:ind w:left="57"/>
              <w:jc w:val="center"/>
              <w:rPr>
                <w:rFonts w:ascii="Arial Narrow" w:hAnsi="Arial Narrow"/>
                <w:bCs/>
                <w:snapToGrid w:val="0"/>
                <w:sz w:val="20"/>
                <w:szCs w:val="20"/>
              </w:rPr>
            </w:pPr>
          </w:p>
        </w:tc>
        <w:tc>
          <w:tcPr>
            <w:tcW w:w="7655" w:type="dxa"/>
            <w:gridSpan w:val="7"/>
            <w:shd w:val="clear" w:color="auto" w:fill="auto"/>
            <w:vAlign w:val="center"/>
            <w:hideMark/>
          </w:tcPr>
          <w:p w14:paraId="0D88858B" w14:textId="77777777" w:rsidR="00860DF2" w:rsidRPr="007F2E0C" w:rsidRDefault="00860DF2" w:rsidP="007A3B69">
            <w:pPr>
              <w:widowControl w:val="0"/>
              <w:ind w:left="57"/>
              <w:rPr>
                <w:rFonts w:ascii="Arial Narrow" w:hAnsi="Arial Narrow"/>
                <w:bCs/>
                <w:snapToGrid w:val="0"/>
                <w:sz w:val="20"/>
                <w:szCs w:val="20"/>
              </w:rPr>
            </w:pPr>
            <w:r w:rsidRPr="007F2E0C">
              <w:rPr>
                <w:rFonts w:ascii="Arial Narrow" w:hAnsi="Arial Narrow"/>
                <w:bCs/>
                <w:snapToGrid w:val="0"/>
                <w:sz w:val="20"/>
                <w:szCs w:val="20"/>
              </w:rPr>
              <w:t>Patient must not be premenopausal</w:t>
            </w:r>
          </w:p>
        </w:tc>
      </w:tr>
      <w:tr w:rsidR="00860DF2" w:rsidRPr="007F2E0C" w14:paraId="68E2385E" w14:textId="77777777" w:rsidTr="00B5124C">
        <w:tblPrEx>
          <w:tblCellMar>
            <w:top w:w="15" w:type="dxa"/>
            <w:left w:w="15" w:type="dxa"/>
            <w:bottom w:w="15" w:type="dxa"/>
            <w:right w:w="15" w:type="dxa"/>
          </w:tblCellMar>
        </w:tblPrEx>
        <w:tc>
          <w:tcPr>
            <w:tcW w:w="1412" w:type="dxa"/>
            <w:gridSpan w:val="2"/>
            <w:shd w:val="clear" w:color="auto" w:fill="auto"/>
            <w:vAlign w:val="center"/>
          </w:tcPr>
          <w:p w14:paraId="163BB517" w14:textId="33205CCC" w:rsidR="00860DF2" w:rsidRPr="007F2E0C" w:rsidRDefault="00860DF2" w:rsidP="007A3B69">
            <w:pPr>
              <w:widowControl w:val="0"/>
              <w:ind w:left="57"/>
              <w:jc w:val="center"/>
              <w:rPr>
                <w:rFonts w:ascii="Arial Narrow" w:hAnsi="Arial Narrow"/>
                <w:b/>
                <w:bCs/>
                <w:i/>
                <w:iCs/>
                <w:snapToGrid w:val="0"/>
                <w:sz w:val="20"/>
                <w:szCs w:val="20"/>
              </w:rPr>
            </w:pPr>
          </w:p>
        </w:tc>
        <w:tc>
          <w:tcPr>
            <w:tcW w:w="7655" w:type="dxa"/>
            <w:gridSpan w:val="7"/>
            <w:shd w:val="clear" w:color="auto" w:fill="auto"/>
            <w:vAlign w:val="center"/>
          </w:tcPr>
          <w:p w14:paraId="0B9EDF1E" w14:textId="77777777" w:rsidR="00860DF2" w:rsidRPr="007F2E0C" w:rsidRDefault="00860DF2" w:rsidP="007A3B69">
            <w:pPr>
              <w:widowControl w:val="0"/>
              <w:ind w:left="57"/>
              <w:rPr>
                <w:rFonts w:ascii="Arial Narrow" w:hAnsi="Arial Narrow"/>
                <w:bCs/>
                <w:i/>
                <w:iCs/>
                <w:snapToGrid w:val="0"/>
                <w:sz w:val="20"/>
                <w:szCs w:val="20"/>
              </w:rPr>
            </w:pPr>
            <w:r w:rsidRPr="007F2E0C">
              <w:rPr>
                <w:rFonts w:ascii="Arial Narrow" w:hAnsi="Arial Narrow"/>
                <w:b/>
                <w:bCs/>
                <w:i/>
                <w:iCs/>
                <w:snapToGrid w:val="0"/>
                <w:sz w:val="20"/>
                <w:szCs w:val="20"/>
              </w:rPr>
              <w:t>Administrative Advice:</w:t>
            </w:r>
            <w:r w:rsidRPr="007F2E0C">
              <w:rPr>
                <w:rFonts w:ascii="Arial Narrow" w:hAnsi="Arial Narrow"/>
                <w:bCs/>
                <w:i/>
                <w:iCs/>
                <w:snapToGrid w:val="0"/>
                <w:sz w:val="20"/>
                <w:szCs w:val="20"/>
              </w:rPr>
              <w:t xml:space="preserve"> Patients may qualify for PBS-subsidised treatment under this restriction once only. For continuing PBS-subsidised treatment, a 'Grandfathered' patient must qualify under the 'Continuing treatment' criteria.</w:t>
            </w:r>
          </w:p>
        </w:tc>
      </w:tr>
      <w:tr w:rsidR="00860DF2" w:rsidRPr="007F2E0C" w14:paraId="1E57CE97" w14:textId="77777777" w:rsidTr="00B5124C">
        <w:tblPrEx>
          <w:tblCellMar>
            <w:top w:w="15" w:type="dxa"/>
            <w:left w:w="15" w:type="dxa"/>
            <w:bottom w:w="15" w:type="dxa"/>
            <w:right w:w="15" w:type="dxa"/>
          </w:tblCellMar>
        </w:tblPrEx>
        <w:tc>
          <w:tcPr>
            <w:tcW w:w="1412" w:type="dxa"/>
            <w:gridSpan w:val="2"/>
            <w:shd w:val="clear" w:color="auto" w:fill="auto"/>
            <w:vAlign w:val="center"/>
          </w:tcPr>
          <w:p w14:paraId="49997060" w14:textId="7B94BD32" w:rsidR="00860DF2" w:rsidRPr="007F2E0C" w:rsidRDefault="00860DF2" w:rsidP="007A3B69">
            <w:pPr>
              <w:widowControl w:val="0"/>
              <w:ind w:left="57"/>
              <w:jc w:val="center"/>
              <w:rPr>
                <w:rFonts w:ascii="Arial Narrow" w:hAnsi="Arial Narrow"/>
                <w:b/>
                <w:bCs/>
                <w:i/>
                <w:iCs/>
                <w:snapToGrid w:val="0"/>
                <w:sz w:val="20"/>
                <w:szCs w:val="20"/>
              </w:rPr>
            </w:pPr>
          </w:p>
        </w:tc>
        <w:tc>
          <w:tcPr>
            <w:tcW w:w="7655" w:type="dxa"/>
            <w:gridSpan w:val="7"/>
            <w:shd w:val="clear" w:color="auto" w:fill="auto"/>
            <w:vAlign w:val="center"/>
          </w:tcPr>
          <w:p w14:paraId="1E78E0E1" w14:textId="77777777" w:rsidR="00860DF2" w:rsidRPr="007F2E0C" w:rsidRDefault="00860DF2" w:rsidP="007A3B69">
            <w:pPr>
              <w:widowControl w:val="0"/>
              <w:ind w:left="57"/>
              <w:rPr>
                <w:rFonts w:ascii="Arial Narrow" w:hAnsi="Arial Narrow"/>
                <w:bCs/>
                <w:i/>
                <w:iCs/>
                <w:snapToGrid w:val="0"/>
                <w:sz w:val="20"/>
                <w:szCs w:val="20"/>
              </w:rPr>
            </w:pPr>
            <w:r w:rsidRPr="007F2E0C">
              <w:rPr>
                <w:rFonts w:ascii="Arial Narrow" w:hAnsi="Arial Narrow"/>
                <w:b/>
                <w:bCs/>
                <w:i/>
                <w:iCs/>
                <w:snapToGrid w:val="0"/>
                <w:sz w:val="20"/>
                <w:szCs w:val="20"/>
              </w:rPr>
              <w:t>Administrative Advice:</w:t>
            </w:r>
            <w:r w:rsidRPr="007F2E0C">
              <w:rPr>
                <w:rFonts w:ascii="Arial Narrow" w:hAnsi="Arial Narrow"/>
                <w:bCs/>
                <w:i/>
                <w:iCs/>
                <w:snapToGrid w:val="0"/>
                <w:sz w:val="20"/>
                <w:szCs w:val="20"/>
              </w:rPr>
              <w:t xml:space="preserve"> This grandfather restriction will cease to operate from 12 months after the date specified in the clinical criteria.</w:t>
            </w:r>
          </w:p>
        </w:tc>
      </w:tr>
    </w:tbl>
    <w:p w14:paraId="4C2079C9" w14:textId="77777777" w:rsidR="00BC52B5" w:rsidRDefault="00BC52B5" w:rsidP="00BC52B5"/>
    <w:p w14:paraId="72AAD654" w14:textId="50C4661E" w:rsidR="002E47EE" w:rsidRDefault="00BC52B5" w:rsidP="00BC52B5">
      <w:pPr>
        <w:ind w:left="720" w:hanging="720"/>
      </w:pPr>
      <w:r>
        <w:t>8.2</w:t>
      </w:r>
      <w:r>
        <w:tab/>
        <w:t xml:space="preserve">Amend existing </w:t>
      </w:r>
      <w:proofErr w:type="spellStart"/>
      <w:r>
        <w:t>ribociclib</w:t>
      </w:r>
      <w:proofErr w:type="spellEnd"/>
      <w:r>
        <w:t xml:space="preserve"> and </w:t>
      </w:r>
      <w:proofErr w:type="spellStart"/>
      <w:r>
        <w:t>abemaciclib</w:t>
      </w:r>
      <w:proofErr w:type="spellEnd"/>
      <w:r>
        <w:t xml:space="preserve"> listings </w:t>
      </w:r>
      <w:r w:rsidR="001B6F46">
        <w:t xml:space="preserve">as follows </w:t>
      </w:r>
      <w:r>
        <w:t xml:space="preserve">to prevent sequential use of </w:t>
      </w:r>
      <w:r>
        <w:rPr>
          <w:rFonts w:asciiTheme="minorHAnsi" w:hAnsiTheme="minorHAnsi"/>
          <w:snapToGrid w:val="0"/>
          <w:lang w:val="en-GB"/>
        </w:rPr>
        <w:t>cyclin-dependent kinase 4 and 6 (CDK4/6) inhibitors.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
        <w:gridCol w:w="992"/>
        <w:gridCol w:w="992"/>
        <w:gridCol w:w="1701"/>
        <w:gridCol w:w="1276"/>
        <w:gridCol w:w="1134"/>
        <w:gridCol w:w="1134"/>
        <w:gridCol w:w="1411"/>
        <w:gridCol w:w="7"/>
      </w:tblGrid>
      <w:tr w:rsidR="002E47EE" w:rsidRPr="007F2E0C" w14:paraId="4D661290" w14:textId="77777777" w:rsidTr="00973EB3">
        <w:trPr>
          <w:cantSplit/>
          <w:trHeight w:val="471"/>
        </w:trPr>
        <w:tc>
          <w:tcPr>
            <w:tcW w:w="2404" w:type="dxa"/>
            <w:gridSpan w:val="3"/>
          </w:tcPr>
          <w:p w14:paraId="16B0E116" w14:textId="77777777" w:rsidR="002E47EE" w:rsidRPr="007F2E0C" w:rsidRDefault="002E47EE" w:rsidP="00973EB3">
            <w:pPr>
              <w:keepNext/>
              <w:rPr>
                <w:rFonts w:ascii="Arial Narrow" w:hAnsi="Arial Narrow"/>
                <w:b/>
                <w:sz w:val="20"/>
                <w:szCs w:val="20"/>
              </w:rPr>
            </w:pPr>
            <w:r w:rsidRPr="007F2E0C">
              <w:rPr>
                <w:rFonts w:ascii="Arial Narrow" w:hAnsi="Arial Narrow"/>
                <w:b/>
                <w:sz w:val="20"/>
                <w:szCs w:val="20"/>
              </w:rPr>
              <w:t>MEDICINAL PRODUCT</w:t>
            </w:r>
          </w:p>
          <w:p w14:paraId="1AB7CD41" w14:textId="77777777" w:rsidR="002E47EE" w:rsidRPr="007F2E0C" w:rsidRDefault="002E47EE" w:rsidP="00973EB3">
            <w:pPr>
              <w:keepNext/>
              <w:rPr>
                <w:rFonts w:ascii="Arial Narrow" w:hAnsi="Arial Narrow"/>
                <w:b/>
                <w:sz w:val="20"/>
                <w:szCs w:val="20"/>
              </w:rPr>
            </w:pPr>
            <w:r w:rsidRPr="007F2E0C">
              <w:rPr>
                <w:rFonts w:ascii="Arial Narrow" w:hAnsi="Arial Narrow"/>
                <w:b/>
                <w:sz w:val="20"/>
                <w:szCs w:val="20"/>
              </w:rPr>
              <w:t>medicinal product pack</w:t>
            </w:r>
          </w:p>
        </w:tc>
        <w:tc>
          <w:tcPr>
            <w:tcW w:w="1701" w:type="dxa"/>
            <w:vAlign w:val="center"/>
          </w:tcPr>
          <w:p w14:paraId="1849FC4D" w14:textId="77777777" w:rsidR="002E47EE" w:rsidRPr="007F2E0C" w:rsidRDefault="002E47EE" w:rsidP="00973EB3">
            <w:pPr>
              <w:keepNext/>
              <w:jc w:val="center"/>
              <w:rPr>
                <w:rFonts w:ascii="Arial Narrow" w:hAnsi="Arial Narrow"/>
                <w:b/>
                <w:sz w:val="20"/>
                <w:szCs w:val="20"/>
              </w:rPr>
            </w:pPr>
            <w:r w:rsidRPr="007F2E0C">
              <w:rPr>
                <w:rFonts w:ascii="Arial Narrow" w:hAnsi="Arial Narrow"/>
                <w:b/>
                <w:sz w:val="20"/>
                <w:szCs w:val="20"/>
              </w:rPr>
              <w:t>PBS item code</w:t>
            </w:r>
          </w:p>
        </w:tc>
        <w:tc>
          <w:tcPr>
            <w:tcW w:w="1276" w:type="dxa"/>
            <w:vAlign w:val="center"/>
          </w:tcPr>
          <w:p w14:paraId="6960C699" w14:textId="77777777" w:rsidR="002E47EE" w:rsidRPr="007F2E0C" w:rsidRDefault="002E47EE" w:rsidP="00973EB3">
            <w:pPr>
              <w:keepNext/>
              <w:jc w:val="center"/>
              <w:rPr>
                <w:rFonts w:ascii="Arial Narrow" w:hAnsi="Arial Narrow"/>
                <w:b/>
                <w:sz w:val="20"/>
                <w:szCs w:val="20"/>
              </w:rPr>
            </w:pPr>
            <w:r w:rsidRPr="007F2E0C">
              <w:rPr>
                <w:rFonts w:ascii="Arial Narrow" w:hAnsi="Arial Narrow"/>
                <w:b/>
                <w:sz w:val="20"/>
                <w:szCs w:val="20"/>
              </w:rPr>
              <w:t xml:space="preserve">Max. qty </w:t>
            </w:r>
            <w:r>
              <w:rPr>
                <w:rFonts w:ascii="Arial Narrow" w:hAnsi="Arial Narrow"/>
                <w:b/>
                <w:sz w:val="20"/>
                <w:szCs w:val="20"/>
              </w:rPr>
              <w:br/>
            </w:r>
            <w:r w:rsidRPr="007F2E0C">
              <w:rPr>
                <w:rFonts w:ascii="Arial Narrow" w:hAnsi="Arial Narrow"/>
                <w:b/>
                <w:sz w:val="20"/>
                <w:szCs w:val="20"/>
              </w:rPr>
              <w:t>packs</w:t>
            </w:r>
          </w:p>
        </w:tc>
        <w:tc>
          <w:tcPr>
            <w:tcW w:w="1134" w:type="dxa"/>
            <w:vAlign w:val="center"/>
          </w:tcPr>
          <w:p w14:paraId="40AFD75D" w14:textId="77777777" w:rsidR="002E47EE" w:rsidRPr="007F2E0C" w:rsidRDefault="002E47EE" w:rsidP="00973EB3">
            <w:pPr>
              <w:keepNext/>
              <w:jc w:val="center"/>
              <w:rPr>
                <w:rFonts w:ascii="Arial Narrow" w:hAnsi="Arial Narrow"/>
                <w:b/>
                <w:sz w:val="20"/>
                <w:szCs w:val="20"/>
              </w:rPr>
            </w:pPr>
            <w:r w:rsidRPr="007F2E0C">
              <w:rPr>
                <w:rFonts w:ascii="Arial Narrow" w:hAnsi="Arial Narrow"/>
                <w:b/>
                <w:sz w:val="20"/>
                <w:szCs w:val="20"/>
              </w:rPr>
              <w:t>Max. qty units</w:t>
            </w:r>
          </w:p>
        </w:tc>
        <w:tc>
          <w:tcPr>
            <w:tcW w:w="1134" w:type="dxa"/>
            <w:vAlign w:val="center"/>
          </w:tcPr>
          <w:p w14:paraId="34E5E753" w14:textId="77777777" w:rsidR="002E47EE" w:rsidRPr="007F2E0C" w:rsidRDefault="002E47EE" w:rsidP="00973EB3">
            <w:pPr>
              <w:keepNext/>
              <w:jc w:val="center"/>
              <w:rPr>
                <w:rFonts w:ascii="Arial Narrow" w:hAnsi="Arial Narrow"/>
                <w:b/>
                <w:sz w:val="20"/>
                <w:szCs w:val="20"/>
              </w:rPr>
            </w:pPr>
            <w:r w:rsidRPr="007F2E0C">
              <w:rPr>
                <w:rFonts w:ascii="Arial Narrow" w:hAnsi="Arial Narrow"/>
                <w:b/>
                <w:sz w:val="20"/>
                <w:szCs w:val="20"/>
              </w:rPr>
              <w:t xml:space="preserve">№.of </w:t>
            </w:r>
            <w:proofErr w:type="spellStart"/>
            <w:r w:rsidRPr="007F2E0C">
              <w:rPr>
                <w:rFonts w:ascii="Arial Narrow" w:hAnsi="Arial Narrow"/>
                <w:b/>
                <w:sz w:val="20"/>
                <w:szCs w:val="20"/>
              </w:rPr>
              <w:t>Rpts</w:t>
            </w:r>
            <w:proofErr w:type="spellEnd"/>
          </w:p>
        </w:tc>
        <w:tc>
          <w:tcPr>
            <w:tcW w:w="1418" w:type="dxa"/>
            <w:gridSpan w:val="2"/>
            <w:vAlign w:val="center"/>
          </w:tcPr>
          <w:p w14:paraId="72E81B23" w14:textId="77777777" w:rsidR="002E47EE" w:rsidRPr="007F2E0C" w:rsidRDefault="002E47EE" w:rsidP="00973EB3">
            <w:pPr>
              <w:keepNext/>
              <w:jc w:val="center"/>
              <w:rPr>
                <w:rFonts w:ascii="Arial Narrow" w:hAnsi="Arial Narrow"/>
                <w:b/>
                <w:sz w:val="20"/>
                <w:szCs w:val="20"/>
              </w:rPr>
            </w:pPr>
            <w:r w:rsidRPr="007F2E0C">
              <w:rPr>
                <w:rFonts w:ascii="Arial Narrow" w:hAnsi="Arial Narrow"/>
                <w:b/>
                <w:sz w:val="20"/>
                <w:szCs w:val="20"/>
              </w:rPr>
              <w:t>Available brands</w:t>
            </w:r>
          </w:p>
        </w:tc>
      </w:tr>
      <w:tr w:rsidR="002E47EE" w:rsidRPr="007F2E0C" w14:paraId="21A17E7B" w14:textId="77777777" w:rsidTr="00973EB3">
        <w:trPr>
          <w:cantSplit/>
          <w:trHeight w:val="230"/>
        </w:trPr>
        <w:tc>
          <w:tcPr>
            <w:tcW w:w="9067" w:type="dxa"/>
            <w:gridSpan w:val="9"/>
          </w:tcPr>
          <w:p w14:paraId="5FE2FA19" w14:textId="3C259F6B" w:rsidR="002E47EE" w:rsidRPr="007F2E0C" w:rsidRDefault="002E47EE" w:rsidP="00973EB3">
            <w:pPr>
              <w:keepNext/>
              <w:ind w:left="-57"/>
              <w:rPr>
                <w:rFonts w:ascii="Arial Narrow" w:hAnsi="Arial Narrow"/>
                <w:sz w:val="20"/>
                <w:szCs w:val="20"/>
              </w:rPr>
            </w:pPr>
            <w:r>
              <w:rPr>
                <w:rFonts w:ascii="Arial Narrow" w:hAnsi="Arial Narrow"/>
                <w:sz w:val="20"/>
                <w:szCs w:val="20"/>
              </w:rPr>
              <w:t>RIBOCICLIB</w:t>
            </w:r>
          </w:p>
        </w:tc>
      </w:tr>
      <w:tr w:rsidR="002E47EE" w:rsidRPr="007F2E0C" w14:paraId="352813D9" w14:textId="77777777" w:rsidTr="00973EB3">
        <w:trPr>
          <w:cantSplit/>
          <w:trHeight w:val="167"/>
        </w:trPr>
        <w:tc>
          <w:tcPr>
            <w:tcW w:w="2404" w:type="dxa"/>
            <w:gridSpan w:val="3"/>
            <w:shd w:val="clear" w:color="auto" w:fill="auto"/>
          </w:tcPr>
          <w:p w14:paraId="4B7DEFA7" w14:textId="49B1BF3F" w:rsidR="002E47EE" w:rsidRPr="007F2E0C" w:rsidRDefault="002E47EE" w:rsidP="00973EB3">
            <w:pPr>
              <w:keepNext/>
              <w:ind w:left="-57"/>
              <w:rPr>
                <w:rFonts w:ascii="Arial Narrow" w:hAnsi="Arial Narrow"/>
                <w:sz w:val="20"/>
                <w:szCs w:val="20"/>
              </w:rPr>
            </w:pPr>
            <w:proofErr w:type="spellStart"/>
            <w:r>
              <w:rPr>
                <w:rFonts w:ascii="Arial Narrow" w:hAnsi="Arial Narrow"/>
                <w:sz w:val="20"/>
                <w:szCs w:val="20"/>
              </w:rPr>
              <w:t>ribo</w:t>
            </w:r>
            <w:r w:rsidRPr="007F2E0C">
              <w:rPr>
                <w:rFonts w:ascii="Arial Narrow" w:hAnsi="Arial Narrow"/>
                <w:sz w:val="20"/>
                <w:szCs w:val="20"/>
              </w:rPr>
              <w:t>ciclib</w:t>
            </w:r>
            <w:proofErr w:type="spellEnd"/>
            <w:r w:rsidRPr="007F2E0C">
              <w:rPr>
                <w:rFonts w:ascii="Arial Narrow" w:hAnsi="Arial Narrow"/>
                <w:sz w:val="20"/>
                <w:szCs w:val="20"/>
              </w:rPr>
              <w:t xml:space="preserve"> </w:t>
            </w:r>
            <w:r>
              <w:rPr>
                <w:rFonts w:ascii="Arial Narrow" w:hAnsi="Arial Narrow"/>
                <w:sz w:val="20"/>
                <w:szCs w:val="20"/>
              </w:rPr>
              <w:t xml:space="preserve">200 </w:t>
            </w:r>
            <w:r w:rsidRPr="007F2E0C">
              <w:rPr>
                <w:rFonts w:ascii="Arial Narrow" w:hAnsi="Arial Narrow"/>
                <w:sz w:val="20"/>
                <w:szCs w:val="20"/>
              </w:rPr>
              <w:t xml:space="preserve">mg tablet, </w:t>
            </w:r>
            <w:r>
              <w:rPr>
                <w:rFonts w:ascii="Arial Narrow" w:hAnsi="Arial Narrow"/>
                <w:sz w:val="20"/>
                <w:szCs w:val="20"/>
              </w:rPr>
              <w:t>21</w:t>
            </w:r>
          </w:p>
        </w:tc>
        <w:tc>
          <w:tcPr>
            <w:tcW w:w="1701" w:type="dxa"/>
            <w:shd w:val="clear" w:color="auto" w:fill="auto"/>
          </w:tcPr>
          <w:p w14:paraId="395FB1A2" w14:textId="46E20057" w:rsidR="002E47EE" w:rsidRPr="007F2E0C" w:rsidRDefault="002E47EE" w:rsidP="00973EB3">
            <w:pPr>
              <w:keepNext/>
              <w:ind w:left="-108"/>
              <w:jc w:val="center"/>
              <w:rPr>
                <w:rFonts w:ascii="Arial Narrow" w:hAnsi="Arial Narrow"/>
                <w:sz w:val="20"/>
                <w:szCs w:val="20"/>
              </w:rPr>
            </w:pPr>
            <w:r>
              <w:rPr>
                <w:rFonts w:ascii="Arial Narrow" w:hAnsi="Arial Narrow"/>
                <w:sz w:val="20"/>
                <w:szCs w:val="20"/>
              </w:rPr>
              <w:t>11385F</w:t>
            </w:r>
          </w:p>
        </w:tc>
        <w:tc>
          <w:tcPr>
            <w:tcW w:w="1276" w:type="dxa"/>
            <w:shd w:val="clear" w:color="auto" w:fill="auto"/>
          </w:tcPr>
          <w:p w14:paraId="272E7722" w14:textId="77777777" w:rsidR="002E47EE" w:rsidRPr="007F2E0C" w:rsidRDefault="002E47EE" w:rsidP="00973EB3">
            <w:pPr>
              <w:keepNext/>
              <w:jc w:val="center"/>
              <w:rPr>
                <w:rFonts w:ascii="Arial Narrow" w:hAnsi="Arial Narrow"/>
                <w:sz w:val="20"/>
                <w:szCs w:val="20"/>
              </w:rPr>
            </w:pPr>
            <w:r w:rsidRPr="007F2E0C">
              <w:rPr>
                <w:rFonts w:ascii="Arial Narrow" w:hAnsi="Arial Narrow"/>
                <w:sz w:val="20"/>
                <w:szCs w:val="20"/>
              </w:rPr>
              <w:t>1</w:t>
            </w:r>
          </w:p>
        </w:tc>
        <w:tc>
          <w:tcPr>
            <w:tcW w:w="1134" w:type="dxa"/>
            <w:shd w:val="clear" w:color="auto" w:fill="auto"/>
          </w:tcPr>
          <w:p w14:paraId="3C9D20AE" w14:textId="77777777" w:rsidR="002E47EE" w:rsidRPr="007F2E0C" w:rsidRDefault="002E47EE" w:rsidP="00973EB3">
            <w:pPr>
              <w:keepNext/>
              <w:ind w:left="-108"/>
              <w:jc w:val="center"/>
              <w:rPr>
                <w:rFonts w:ascii="Arial Narrow" w:hAnsi="Arial Narrow"/>
                <w:sz w:val="20"/>
                <w:szCs w:val="20"/>
              </w:rPr>
            </w:pPr>
            <w:r w:rsidRPr="007F2E0C">
              <w:rPr>
                <w:rFonts w:ascii="Arial Narrow" w:hAnsi="Arial Narrow"/>
                <w:sz w:val="20"/>
                <w:szCs w:val="20"/>
              </w:rPr>
              <w:t>21</w:t>
            </w:r>
          </w:p>
        </w:tc>
        <w:tc>
          <w:tcPr>
            <w:tcW w:w="1134" w:type="dxa"/>
            <w:shd w:val="clear" w:color="auto" w:fill="auto"/>
          </w:tcPr>
          <w:p w14:paraId="72FB7811" w14:textId="77777777" w:rsidR="002E47EE" w:rsidRPr="007F2E0C" w:rsidRDefault="002E47EE" w:rsidP="00973EB3">
            <w:pPr>
              <w:keepNext/>
              <w:ind w:left="-108"/>
              <w:jc w:val="center"/>
              <w:rPr>
                <w:rFonts w:ascii="Arial Narrow" w:hAnsi="Arial Narrow"/>
                <w:sz w:val="20"/>
                <w:szCs w:val="20"/>
              </w:rPr>
            </w:pPr>
            <w:r w:rsidRPr="007F2E0C">
              <w:rPr>
                <w:rFonts w:ascii="Arial Narrow" w:hAnsi="Arial Narrow"/>
                <w:sz w:val="20"/>
                <w:szCs w:val="20"/>
              </w:rPr>
              <w:t>5</w:t>
            </w:r>
          </w:p>
        </w:tc>
        <w:tc>
          <w:tcPr>
            <w:tcW w:w="1418" w:type="dxa"/>
            <w:gridSpan w:val="2"/>
            <w:shd w:val="clear" w:color="auto" w:fill="auto"/>
          </w:tcPr>
          <w:p w14:paraId="343A219B" w14:textId="62527011" w:rsidR="002E47EE" w:rsidRPr="007F2E0C" w:rsidRDefault="002E47EE" w:rsidP="00973EB3">
            <w:pPr>
              <w:keepNext/>
              <w:rPr>
                <w:rFonts w:ascii="Arial Narrow" w:hAnsi="Arial Narrow"/>
                <w:sz w:val="20"/>
                <w:szCs w:val="20"/>
              </w:rPr>
            </w:pPr>
            <w:proofErr w:type="spellStart"/>
            <w:r>
              <w:rPr>
                <w:rFonts w:ascii="Arial Narrow" w:hAnsi="Arial Narrow"/>
                <w:sz w:val="20"/>
                <w:szCs w:val="20"/>
              </w:rPr>
              <w:t>Kisqali</w:t>
            </w:r>
            <w:proofErr w:type="spellEnd"/>
          </w:p>
        </w:tc>
      </w:tr>
      <w:tr w:rsidR="002E47EE" w:rsidRPr="007F2E0C" w14:paraId="4AB8A0D4" w14:textId="77777777" w:rsidTr="00973EB3">
        <w:trPr>
          <w:cantSplit/>
          <w:trHeight w:val="99"/>
        </w:trPr>
        <w:tc>
          <w:tcPr>
            <w:tcW w:w="2404" w:type="dxa"/>
            <w:gridSpan w:val="3"/>
            <w:shd w:val="clear" w:color="auto" w:fill="auto"/>
          </w:tcPr>
          <w:p w14:paraId="5D8E2BD2" w14:textId="4A24B376" w:rsidR="002E47EE" w:rsidRPr="007F2E0C" w:rsidRDefault="002E47EE" w:rsidP="00973EB3">
            <w:pPr>
              <w:keepNext/>
              <w:ind w:left="-57"/>
              <w:rPr>
                <w:rFonts w:ascii="Arial Narrow" w:hAnsi="Arial Narrow"/>
                <w:sz w:val="20"/>
                <w:szCs w:val="20"/>
              </w:rPr>
            </w:pPr>
            <w:proofErr w:type="spellStart"/>
            <w:r>
              <w:rPr>
                <w:rFonts w:ascii="Arial Narrow" w:hAnsi="Arial Narrow"/>
                <w:sz w:val="20"/>
                <w:szCs w:val="20"/>
              </w:rPr>
              <w:t>ribo</w:t>
            </w:r>
            <w:r w:rsidRPr="007F2E0C">
              <w:rPr>
                <w:rFonts w:ascii="Arial Narrow" w:hAnsi="Arial Narrow"/>
                <w:sz w:val="20"/>
                <w:szCs w:val="20"/>
              </w:rPr>
              <w:t>ciclib</w:t>
            </w:r>
            <w:proofErr w:type="spellEnd"/>
            <w:r w:rsidRPr="007F2E0C">
              <w:rPr>
                <w:rFonts w:ascii="Arial Narrow" w:hAnsi="Arial Narrow"/>
                <w:sz w:val="20"/>
                <w:szCs w:val="20"/>
              </w:rPr>
              <w:t xml:space="preserve"> </w:t>
            </w:r>
            <w:r>
              <w:rPr>
                <w:rFonts w:ascii="Arial Narrow" w:hAnsi="Arial Narrow"/>
                <w:sz w:val="20"/>
                <w:szCs w:val="20"/>
              </w:rPr>
              <w:t>200</w:t>
            </w:r>
            <w:r w:rsidRPr="007F2E0C">
              <w:rPr>
                <w:rFonts w:ascii="Arial Narrow" w:hAnsi="Arial Narrow"/>
                <w:sz w:val="20"/>
                <w:szCs w:val="20"/>
              </w:rPr>
              <w:t xml:space="preserve"> mg tablet, </w:t>
            </w:r>
            <w:r>
              <w:rPr>
                <w:rFonts w:ascii="Arial Narrow" w:hAnsi="Arial Narrow"/>
                <w:sz w:val="20"/>
                <w:szCs w:val="20"/>
              </w:rPr>
              <w:t>42</w:t>
            </w:r>
          </w:p>
        </w:tc>
        <w:tc>
          <w:tcPr>
            <w:tcW w:w="1701" w:type="dxa"/>
            <w:shd w:val="clear" w:color="auto" w:fill="auto"/>
          </w:tcPr>
          <w:p w14:paraId="3233F5C6" w14:textId="4A99A2F5" w:rsidR="002E47EE" w:rsidRPr="007F2E0C" w:rsidRDefault="002E47EE" w:rsidP="00973EB3">
            <w:pPr>
              <w:keepNext/>
              <w:ind w:left="-108"/>
              <w:jc w:val="center"/>
              <w:rPr>
                <w:rFonts w:ascii="Arial Narrow" w:hAnsi="Arial Narrow"/>
                <w:sz w:val="20"/>
                <w:szCs w:val="20"/>
              </w:rPr>
            </w:pPr>
            <w:r w:rsidRPr="007F2E0C">
              <w:rPr>
                <w:rFonts w:ascii="Arial Narrow" w:hAnsi="Arial Narrow"/>
                <w:sz w:val="20"/>
                <w:szCs w:val="20"/>
              </w:rPr>
              <w:t>1</w:t>
            </w:r>
            <w:r>
              <w:rPr>
                <w:rFonts w:ascii="Arial Narrow" w:hAnsi="Arial Narrow"/>
                <w:sz w:val="20"/>
                <w:szCs w:val="20"/>
              </w:rPr>
              <w:t>1397W</w:t>
            </w:r>
          </w:p>
        </w:tc>
        <w:tc>
          <w:tcPr>
            <w:tcW w:w="1276" w:type="dxa"/>
            <w:shd w:val="clear" w:color="auto" w:fill="auto"/>
          </w:tcPr>
          <w:p w14:paraId="0E6888A5" w14:textId="77777777" w:rsidR="002E47EE" w:rsidRPr="007F2E0C" w:rsidRDefault="002E47EE" w:rsidP="00973EB3">
            <w:pPr>
              <w:keepNext/>
              <w:jc w:val="center"/>
              <w:rPr>
                <w:rFonts w:ascii="Arial Narrow" w:hAnsi="Arial Narrow"/>
                <w:sz w:val="20"/>
                <w:szCs w:val="20"/>
              </w:rPr>
            </w:pPr>
            <w:r w:rsidRPr="007F2E0C">
              <w:rPr>
                <w:rFonts w:ascii="Arial Narrow" w:hAnsi="Arial Narrow"/>
                <w:sz w:val="20"/>
                <w:szCs w:val="20"/>
              </w:rPr>
              <w:t>1</w:t>
            </w:r>
          </w:p>
        </w:tc>
        <w:tc>
          <w:tcPr>
            <w:tcW w:w="1134" w:type="dxa"/>
            <w:shd w:val="clear" w:color="auto" w:fill="auto"/>
          </w:tcPr>
          <w:p w14:paraId="5B4EE201" w14:textId="77777777" w:rsidR="002E47EE" w:rsidRPr="007F2E0C" w:rsidRDefault="002E47EE" w:rsidP="00973EB3">
            <w:pPr>
              <w:keepNext/>
              <w:ind w:left="-108"/>
              <w:jc w:val="center"/>
              <w:rPr>
                <w:rFonts w:ascii="Arial Narrow" w:hAnsi="Arial Narrow"/>
                <w:sz w:val="20"/>
                <w:szCs w:val="20"/>
              </w:rPr>
            </w:pPr>
            <w:r w:rsidRPr="007F2E0C">
              <w:rPr>
                <w:rFonts w:ascii="Arial Narrow" w:hAnsi="Arial Narrow"/>
                <w:sz w:val="20"/>
                <w:szCs w:val="20"/>
              </w:rPr>
              <w:t>21</w:t>
            </w:r>
          </w:p>
        </w:tc>
        <w:tc>
          <w:tcPr>
            <w:tcW w:w="1134" w:type="dxa"/>
            <w:shd w:val="clear" w:color="auto" w:fill="auto"/>
          </w:tcPr>
          <w:p w14:paraId="7C4125D0" w14:textId="77777777" w:rsidR="002E47EE" w:rsidRPr="007F2E0C" w:rsidRDefault="002E47EE" w:rsidP="00973EB3">
            <w:pPr>
              <w:keepNext/>
              <w:ind w:left="-108"/>
              <w:jc w:val="center"/>
              <w:rPr>
                <w:rFonts w:ascii="Arial Narrow" w:hAnsi="Arial Narrow"/>
                <w:sz w:val="20"/>
                <w:szCs w:val="20"/>
              </w:rPr>
            </w:pPr>
            <w:r w:rsidRPr="007F2E0C">
              <w:rPr>
                <w:rFonts w:ascii="Arial Narrow" w:hAnsi="Arial Narrow"/>
                <w:sz w:val="20"/>
                <w:szCs w:val="20"/>
              </w:rPr>
              <w:t>5</w:t>
            </w:r>
          </w:p>
        </w:tc>
        <w:tc>
          <w:tcPr>
            <w:tcW w:w="1418" w:type="dxa"/>
            <w:gridSpan w:val="2"/>
            <w:shd w:val="clear" w:color="auto" w:fill="auto"/>
          </w:tcPr>
          <w:p w14:paraId="6A549A84" w14:textId="55217AE3" w:rsidR="002E47EE" w:rsidRPr="007F2E0C" w:rsidRDefault="002E47EE" w:rsidP="00973EB3">
            <w:pPr>
              <w:keepNext/>
              <w:rPr>
                <w:rFonts w:ascii="Arial Narrow" w:hAnsi="Arial Narrow"/>
                <w:sz w:val="20"/>
                <w:szCs w:val="20"/>
              </w:rPr>
            </w:pPr>
            <w:proofErr w:type="spellStart"/>
            <w:r>
              <w:rPr>
                <w:rFonts w:ascii="Arial Narrow" w:hAnsi="Arial Narrow"/>
                <w:sz w:val="20"/>
                <w:szCs w:val="20"/>
              </w:rPr>
              <w:t>Kisqali</w:t>
            </w:r>
            <w:proofErr w:type="spellEnd"/>
          </w:p>
        </w:tc>
      </w:tr>
      <w:tr w:rsidR="002E47EE" w:rsidRPr="007F2E0C" w14:paraId="64701B15" w14:textId="77777777" w:rsidTr="00973EB3">
        <w:trPr>
          <w:cantSplit/>
          <w:trHeight w:val="177"/>
        </w:trPr>
        <w:tc>
          <w:tcPr>
            <w:tcW w:w="2404" w:type="dxa"/>
            <w:gridSpan w:val="3"/>
            <w:shd w:val="clear" w:color="auto" w:fill="auto"/>
          </w:tcPr>
          <w:p w14:paraId="27FECDEB" w14:textId="14B54B74" w:rsidR="002E47EE" w:rsidRPr="007F2E0C" w:rsidRDefault="002E47EE" w:rsidP="00973EB3">
            <w:pPr>
              <w:keepNext/>
              <w:ind w:left="-57"/>
              <w:rPr>
                <w:rFonts w:ascii="Arial Narrow" w:hAnsi="Arial Narrow"/>
                <w:sz w:val="20"/>
                <w:szCs w:val="20"/>
              </w:rPr>
            </w:pPr>
            <w:proofErr w:type="spellStart"/>
            <w:r>
              <w:rPr>
                <w:rFonts w:ascii="Arial Narrow" w:hAnsi="Arial Narrow"/>
                <w:sz w:val="20"/>
                <w:szCs w:val="20"/>
              </w:rPr>
              <w:t>rib</w:t>
            </w:r>
            <w:r w:rsidRPr="007F2E0C">
              <w:rPr>
                <w:rFonts w:ascii="Arial Narrow" w:hAnsi="Arial Narrow"/>
                <w:sz w:val="20"/>
                <w:szCs w:val="20"/>
              </w:rPr>
              <w:t>ociclib</w:t>
            </w:r>
            <w:proofErr w:type="spellEnd"/>
            <w:r w:rsidRPr="007F2E0C">
              <w:rPr>
                <w:rFonts w:ascii="Arial Narrow" w:hAnsi="Arial Narrow"/>
                <w:sz w:val="20"/>
                <w:szCs w:val="20"/>
              </w:rPr>
              <w:t xml:space="preserve"> </w:t>
            </w:r>
            <w:r>
              <w:rPr>
                <w:rFonts w:ascii="Arial Narrow" w:hAnsi="Arial Narrow"/>
                <w:sz w:val="20"/>
                <w:szCs w:val="20"/>
              </w:rPr>
              <w:t>200</w:t>
            </w:r>
            <w:r w:rsidRPr="007F2E0C">
              <w:rPr>
                <w:rFonts w:ascii="Arial Narrow" w:hAnsi="Arial Narrow"/>
                <w:sz w:val="20"/>
                <w:szCs w:val="20"/>
              </w:rPr>
              <w:t xml:space="preserve"> mg tablet,</w:t>
            </w:r>
            <w:r>
              <w:rPr>
                <w:rFonts w:ascii="Arial Narrow" w:hAnsi="Arial Narrow"/>
                <w:sz w:val="20"/>
                <w:szCs w:val="20"/>
              </w:rPr>
              <w:t xml:space="preserve"> 63</w:t>
            </w:r>
          </w:p>
        </w:tc>
        <w:tc>
          <w:tcPr>
            <w:tcW w:w="1701" w:type="dxa"/>
            <w:shd w:val="clear" w:color="auto" w:fill="auto"/>
          </w:tcPr>
          <w:p w14:paraId="752E6F3C" w14:textId="4096C9EB" w:rsidR="002E47EE" w:rsidRPr="007F2E0C" w:rsidRDefault="002E47EE" w:rsidP="00973EB3">
            <w:pPr>
              <w:keepNext/>
              <w:ind w:left="-108"/>
              <w:jc w:val="center"/>
              <w:rPr>
                <w:rFonts w:ascii="Arial Narrow" w:hAnsi="Arial Narrow"/>
                <w:sz w:val="20"/>
                <w:szCs w:val="20"/>
              </w:rPr>
            </w:pPr>
            <w:r w:rsidRPr="007F2E0C">
              <w:rPr>
                <w:rFonts w:ascii="Arial Narrow" w:hAnsi="Arial Narrow"/>
                <w:sz w:val="20"/>
                <w:szCs w:val="20"/>
              </w:rPr>
              <w:t>1</w:t>
            </w:r>
            <w:r>
              <w:rPr>
                <w:rFonts w:ascii="Arial Narrow" w:hAnsi="Arial Narrow"/>
                <w:sz w:val="20"/>
                <w:szCs w:val="20"/>
              </w:rPr>
              <w:t>1386G</w:t>
            </w:r>
          </w:p>
        </w:tc>
        <w:tc>
          <w:tcPr>
            <w:tcW w:w="1276" w:type="dxa"/>
            <w:shd w:val="clear" w:color="auto" w:fill="auto"/>
          </w:tcPr>
          <w:p w14:paraId="116E39D9" w14:textId="77777777" w:rsidR="002E47EE" w:rsidRPr="007F2E0C" w:rsidRDefault="002E47EE" w:rsidP="00973EB3">
            <w:pPr>
              <w:keepNext/>
              <w:jc w:val="center"/>
              <w:rPr>
                <w:rFonts w:ascii="Arial Narrow" w:hAnsi="Arial Narrow"/>
                <w:sz w:val="20"/>
                <w:szCs w:val="20"/>
              </w:rPr>
            </w:pPr>
            <w:r w:rsidRPr="007F2E0C">
              <w:rPr>
                <w:rFonts w:ascii="Arial Narrow" w:hAnsi="Arial Narrow"/>
                <w:sz w:val="20"/>
                <w:szCs w:val="20"/>
              </w:rPr>
              <w:t>1</w:t>
            </w:r>
          </w:p>
        </w:tc>
        <w:tc>
          <w:tcPr>
            <w:tcW w:w="1134" w:type="dxa"/>
            <w:shd w:val="clear" w:color="auto" w:fill="auto"/>
          </w:tcPr>
          <w:p w14:paraId="4CAE06C8" w14:textId="77777777" w:rsidR="002E47EE" w:rsidRPr="007F2E0C" w:rsidRDefault="002E47EE" w:rsidP="00973EB3">
            <w:pPr>
              <w:keepNext/>
              <w:ind w:left="-108"/>
              <w:jc w:val="center"/>
              <w:rPr>
                <w:rFonts w:ascii="Arial Narrow" w:hAnsi="Arial Narrow"/>
                <w:sz w:val="20"/>
                <w:szCs w:val="20"/>
              </w:rPr>
            </w:pPr>
            <w:r w:rsidRPr="007F2E0C">
              <w:rPr>
                <w:rFonts w:ascii="Arial Narrow" w:hAnsi="Arial Narrow"/>
                <w:sz w:val="20"/>
                <w:szCs w:val="20"/>
              </w:rPr>
              <w:t>21</w:t>
            </w:r>
          </w:p>
        </w:tc>
        <w:tc>
          <w:tcPr>
            <w:tcW w:w="1134" w:type="dxa"/>
            <w:shd w:val="clear" w:color="auto" w:fill="auto"/>
          </w:tcPr>
          <w:p w14:paraId="4B471566" w14:textId="77777777" w:rsidR="002E47EE" w:rsidRPr="007F2E0C" w:rsidRDefault="002E47EE" w:rsidP="00973EB3">
            <w:pPr>
              <w:keepNext/>
              <w:ind w:left="-108"/>
              <w:jc w:val="center"/>
              <w:rPr>
                <w:rFonts w:ascii="Arial Narrow" w:hAnsi="Arial Narrow"/>
                <w:sz w:val="20"/>
                <w:szCs w:val="20"/>
              </w:rPr>
            </w:pPr>
            <w:r w:rsidRPr="007F2E0C">
              <w:rPr>
                <w:rFonts w:ascii="Arial Narrow" w:hAnsi="Arial Narrow"/>
                <w:sz w:val="20"/>
                <w:szCs w:val="20"/>
              </w:rPr>
              <w:t>5</w:t>
            </w:r>
          </w:p>
        </w:tc>
        <w:tc>
          <w:tcPr>
            <w:tcW w:w="1418" w:type="dxa"/>
            <w:gridSpan w:val="2"/>
            <w:shd w:val="clear" w:color="auto" w:fill="auto"/>
          </w:tcPr>
          <w:p w14:paraId="010CD5BB" w14:textId="76430C7F" w:rsidR="002E47EE" w:rsidRPr="007F2E0C" w:rsidRDefault="002E47EE" w:rsidP="00973EB3">
            <w:pPr>
              <w:keepNext/>
              <w:rPr>
                <w:rFonts w:ascii="Arial Narrow" w:hAnsi="Arial Narrow"/>
                <w:sz w:val="20"/>
                <w:szCs w:val="20"/>
              </w:rPr>
            </w:pPr>
            <w:proofErr w:type="spellStart"/>
            <w:r>
              <w:rPr>
                <w:rFonts w:ascii="Arial Narrow" w:hAnsi="Arial Narrow"/>
                <w:sz w:val="20"/>
                <w:szCs w:val="20"/>
              </w:rPr>
              <w:t>Kisqali</w:t>
            </w:r>
            <w:proofErr w:type="spellEnd"/>
          </w:p>
        </w:tc>
      </w:tr>
      <w:tr w:rsidR="002E47EE" w:rsidRPr="007F2E0C" w14:paraId="37D6F904" w14:textId="77777777" w:rsidTr="00973EB3">
        <w:trPr>
          <w:cantSplit/>
          <w:trHeight w:val="177"/>
        </w:trPr>
        <w:tc>
          <w:tcPr>
            <w:tcW w:w="4105" w:type="dxa"/>
            <w:gridSpan w:val="4"/>
            <w:shd w:val="clear" w:color="auto" w:fill="auto"/>
          </w:tcPr>
          <w:p w14:paraId="3BCBDEA7" w14:textId="77777777" w:rsidR="002E47EE" w:rsidRPr="007F2E0C" w:rsidRDefault="002E47EE" w:rsidP="00973EB3">
            <w:pPr>
              <w:keepNext/>
              <w:ind w:left="-108"/>
              <w:jc w:val="center"/>
              <w:rPr>
                <w:rFonts w:ascii="Arial Narrow" w:hAnsi="Arial Narrow"/>
                <w:sz w:val="20"/>
                <w:szCs w:val="20"/>
              </w:rPr>
            </w:pPr>
          </w:p>
        </w:tc>
        <w:tc>
          <w:tcPr>
            <w:tcW w:w="3544" w:type="dxa"/>
            <w:gridSpan w:val="3"/>
            <w:shd w:val="clear" w:color="auto" w:fill="auto"/>
          </w:tcPr>
          <w:p w14:paraId="172992CC" w14:textId="77777777" w:rsidR="002E47EE" w:rsidRPr="007F2E0C" w:rsidRDefault="002E47EE" w:rsidP="00973EB3">
            <w:pPr>
              <w:keepNext/>
              <w:ind w:left="-108"/>
              <w:jc w:val="center"/>
              <w:rPr>
                <w:rFonts w:ascii="Arial Narrow" w:hAnsi="Arial Narrow"/>
                <w:sz w:val="20"/>
                <w:szCs w:val="20"/>
              </w:rPr>
            </w:pPr>
            <w:r w:rsidRPr="007F2E0C">
              <w:rPr>
                <w:rFonts w:ascii="Arial Narrow" w:hAnsi="Arial Narrow"/>
                <w:sz w:val="20"/>
                <w:szCs w:val="20"/>
              </w:rPr>
              <w:t>Max. Qty multiplier = 1; Repeat increases: nil</w:t>
            </w:r>
          </w:p>
        </w:tc>
        <w:tc>
          <w:tcPr>
            <w:tcW w:w="1418" w:type="dxa"/>
            <w:gridSpan w:val="2"/>
            <w:shd w:val="clear" w:color="auto" w:fill="auto"/>
          </w:tcPr>
          <w:p w14:paraId="30F165B1" w14:textId="77777777" w:rsidR="002E47EE" w:rsidRPr="007F2E0C" w:rsidRDefault="002E47EE" w:rsidP="00973EB3">
            <w:pPr>
              <w:keepNext/>
              <w:rPr>
                <w:rFonts w:ascii="Arial Narrow" w:hAnsi="Arial Narrow"/>
                <w:sz w:val="20"/>
                <w:szCs w:val="20"/>
              </w:rPr>
            </w:pPr>
          </w:p>
        </w:tc>
      </w:tr>
      <w:tr w:rsidR="002E47EE" w:rsidRPr="007F2E0C" w14:paraId="3EA36559" w14:textId="77777777" w:rsidTr="00973EB3">
        <w:trPr>
          <w:cantSplit/>
          <w:trHeight w:val="181"/>
        </w:trPr>
        <w:tc>
          <w:tcPr>
            <w:tcW w:w="9067" w:type="dxa"/>
            <w:gridSpan w:val="9"/>
            <w:shd w:val="clear" w:color="auto" w:fill="auto"/>
          </w:tcPr>
          <w:p w14:paraId="4D1BCD64" w14:textId="77777777" w:rsidR="002E47EE" w:rsidRPr="007F2E0C" w:rsidRDefault="002E47EE" w:rsidP="00973EB3">
            <w:pPr>
              <w:keepNext/>
              <w:rPr>
                <w:rFonts w:ascii="Arial Narrow" w:hAnsi="Arial Narrow"/>
                <w:sz w:val="20"/>
                <w:szCs w:val="20"/>
              </w:rPr>
            </w:pPr>
          </w:p>
        </w:tc>
      </w:tr>
      <w:tr w:rsidR="002E47EE" w:rsidRPr="007F2E0C" w14:paraId="781E0A4C" w14:textId="77777777" w:rsidTr="00973EB3">
        <w:trPr>
          <w:cantSplit/>
          <w:trHeight w:val="471"/>
        </w:trPr>
        <w:tc>
          <w:tcPr>
            <w:tcW w:w="2404" w:type="dxa"/>
            <w:gridSpan w:val="3"/>
          </w:tcPr>
          <w:p w14:paraId="7D73BC24" w14:textId="77777777" w:rsidR="002E47EE" w:rsidRPr="007F2E0C" w:rsidRDefault="002E47EE" w:rsidP="00973EB3">
            <w:pPr>
              <w:keepNext/>
              <w:rPr>
                <w:rFonts w:ascii="Arial Narrow" w:hAnsi="Arial Narrow"/>
                <w:b/>
                <w:sz w:val="20"/>
                <w:szCs w:val="20"/>
              </w:rPr>
            </w:pPr>
            <w:r w:rsidRPr="007F2E0C">
              <w:rPr>
                <w:rFonts w:ascii="Arial Narrow" w:hAnsi="Arial Narrow"/>
                <w:b/>
                <w:sz w:val="20"/>
                <w:szCs w:val="20"/>
              </w:rPr>
              <w:t>MEDICINAL PRODUCT</w:t>
            </w:r>
          </w:p>
          <w:p w14:paraId="5C05B267" w14:textId="77777777" w:rsidR="002E47EE" w:rsidRPr="007F2E0C" w:rsidRDefault="002E47EE" w:rsidP="00973EB3">
            <w:pPr>
              <w:keepNext/>
              <w:rPr>
                <w:rFonts w:ascii="Arial Narrow" w:hAnsi="Arial Narrow"/>
                <w:b/>
                <w:sz w:val="20"/>
                <w:szCs w:val="20"/>
              </w:rPr>
            </w:pPr>
            <w:r w:rsidRPr="007F2E0C">
              <w:rPr>
                <w:rFonts w:ascii="Arial Narrow" w:hAnsi="Arial Narrow"/>
                <w:b/>
                <w:sz w:val="20"/>
                <w:szCs w:val="20"/>
              </w:rPr>
              <w:t>medicinal product pack</w:t>
            </w:r>
          </w:p>
        </w:tc>
        <w:tc>
          <w:tcPr>
            <w:tcW w:w="1701" w:type="dxa"/>
            <w:vAlign w:val="center"/>
          </w:tcPr>
          <w:p w14:paraId="619A0709" w14:textId="77777777" w:rsidR="002E47EE" w:rsidRPr="007F2E0C" w:rsidRDefault="002E47EE" w:rsidP="00973EB3">
            <w:pPr>
              <w:keepNext/>
              <w:jc w:val="center"/>
              <w:rPr>
                <w:rFonts w:ascii="Arial Narrow" w:hAnsi="Arial Narrow"/>
                <w:b/>
                <w:sz w:val="20"/>
                <w:szCs w:val="20"/>
              </w:rPr>
            </w:pPr>
            <w:r w:rsidRPr="007F2E0C">
              <w:rPr>
                <w:rFonts w:ascii="Arial Narrow" w:hAnsi="Arial Narrow"/>
                <w:b/>
                <w:sz w:val="20"/>
                <w:szCs w:val="20"/>
              </w:rPr>
              <w:t>PBS item code</w:t>
            </w:r>
          </w:p>
        </w:tc>
        <w:tc>
          <w:tcPr>
            <w:tcW w:w="1276" w:type="dxa"/>
            <w:vAlign w:val="center"/>
          </w:tcPr>
          <w:p w14:paraId="6D0CDA81" w14:textId="77777777" w:rsidR="002E47EE" w:rsidRPr="007F2E0C" w:rsidRDefault="002E47EE" w:rsidP="00973EB3">
            <w:pPr>
              <w:keepNext/>
              <w:jc w:val="center"/>
              <w:rPr>
                <w:rFonts w:ascii="Arial Narrow" w:hAnsi="Arial Narrow"/>
                <w:b/>
                <w:sz w:val="20"/>
                <w:szCs w:val="20"/>
              </w:rPr>
            </w:pPr>
            <w:r w:rsidRPr="007F2E0C">
              <w:rPr>
                <w:rFonts w:ascii="Arial Narrow" w:hAnsi="Arial Narrow"/>
                <w:b/>
                <w:sz w:val="20"/>
                <w:szCs w:val="20"/>
              </w:rPr>
              <w:t xml:space="preserve">Max. qty </w:t>
            </w:r>
            <w:r>
              <w:rPr>
                <w:rFonts w:ascii="Arial Narrow" w:hAnsi="Arial Narrow"/>
                <w:b/>
                <w:sz w:val="20"/>
                <w:szCs w:val="20"/>
              </w:rPr>
              <w:br/>
            </w:r>
            <w:r w:rsidRPr="007F2E0C">
              <w:rPr>
                <w:rFonts w:ascii="Arial Narrow" w:hAnsi="Arial Narrow"/>
                <w:b/>
                <w:sz w:val="20"/>
                <w:szCs w:val="20"/>
              </w:rPr>
              <w:t>packs</w:t>
            </w:r>
          </w:p>
        </w:tc>
        <w:tc>
          <w:tcPr>
            <w:tcW w:w="1134" w:type="dxa"/>
            <w:vAlign w:val="center"/>
          </w:tcPr>
          <w:p w14:paraId="212778D5" w14:textId="77777777" w:rsidR="002E47EE" w:rsidRPr="007F2E0C" w:rsidRDefault="002E47EE" w:rsidP="00973EB3">
            <w:pPr>
              <w:keepNext/>
              <w:jc w:val="center"/>
              <w:rPr>
                <w:rFonts w:ascii="Arial Narrow" w:hAnsi="Arial Narrow"/>
                <w:b/>
                <w:sz w:val="20"/>
                <w:szCs w:val="20"/>
              </w:rPr>
            </w:pPr>
            <w:r w:rsidRPr="007F2E0C">
              <w:rPr>
                <w:rFonts w:ascii="Arial Narrow" w:hAnsi="Arial Narrow"/>
                <w:b/>
                <w:sz w:val="20"/>
                <w:szCs w:val="20"/>
              </w:rPr>
              <w:t>Max. qty units</w:t>
            </w:r>
          </w:p>
        </w:tc>
        <w:tc>
          <w:tcPr>
            <w:tcW w:w="1134" w:type="dxa"/>
            <w:vAlign w:val="center"/>
          </w:tcPr>
          <w:p w14:paraId="02534180" w14:textId="77777777" w:rsidR="002E47EE" w:rsidRPr="007F2E0C" w:rsidRDefault="002E47EE" w:rsidP="00973EB3">
            <w:pPr>
              <w:keepNext/>
              <w:jc w:val="center"/>
              <w:rPr>
                <w:rFonts w:ascii="Arial Narrow" w:hAnsi="Arial Narrow"/>
                <w:b/>
                <w:sz w:val="20"/>
                <w:szCs w:val="20"/>
              </w:rPr>
            </w:pPr>
            <w:r w:rsidRPr="007F2E0C">
              <w:rPr>
                <w:rFonts w:ascii="Arial Narrow" w:hAnsi="Arial Narrow"/>
                <w:b/>
                <w:sz w:val="20"/>
                <w:szCs w:val="20"/>
              </w:rPr>
              <w:t xml:space="preserve">№.of </w:t>
            </w:r>
            <w:proofErr w:type="spellStart"/>
            <w:r w:rsidRPr="007F2E0C">
              <w:rPr>
                <w:rFonts w:ascii="Arial Narrow" w:hAnsi="Arial Narrow"/>
                <w:b/>
                <w:sz w:val="20"/>
                <w:szCs w:val="20"/>
              </w:rPr>
              <w:t>Rpts</w:t>
            </w:r>
            <w:proofErr w:type="spellEnd"/>
          </w:p>
        </w:tc>
        <w:tc>
          <w:tcPr>
            <w:tcW w:w="1418" w:type="dxa"/>
            <w:gridSpan w:val="2"/>
            <w:vAlign w:val="center"/>
          </w:tcPr>
          <w:p w14:paraId="4F046EDE" w14:textId="77777777" w:rsidR="002E47EE" w:rsidRPr="007F2E0C" w:rsidRDefault="002E47EE" w:rsidP="00973EB3">
            <w:pPr>
              <w:keepNext/>
              <w:jc w:val="center"/>
              <w:rPr>
                <w:rFonts w:ascii="Arial Narrow" w:hAnsi="Arial Narrow"/>
                <w:b/>
                <w:sz w:val="20"/>
                <w:szCs w:val="20"/>
              </w:rPr>
            </w:pPr>
            <w:r w:rsidRPr="007F2E0C">
              <w:rPr>
                <w:rFonts w:ascii="Arial Narrow" w:hAnsi="Arial Narrow"/>
                <w:b/>
                <w:sz w:val="20"/>
                <w:szCs w:val="20"/>
              </w:rPr>
              <w:t>Available brands</w:t>
            </w:r>
          </w:p>
        </w:tc>
      </w:tr>
      <w:tr w:rsidR="002E47EE" w:rsidRPr="007F2E0C" w14:paraId="02E02344" w14:textId="77777777" w:rsidTr="00973EB3">
        <w:trPr>
          <w:cantSplit/>
          <w:trHeight w:val="230"/>
        </w:trPr>
        <w:tc>
          <w:tcPr>
            <w:tcW w:w="9067" w:type="dxa"/>
            <w:gridSpan w:val="9"/>
          </w:tcPr>
          <w:p w14:paraId="337DF9AD" w14:textId="5D040CBE" w:rsidR="002E47EE" w:rsidRPr="007F2E0C" w:rsidRDefault="002E47EE" w:rsidP="00973EB3">
            <w:pPr>
              <w:keepNext/>
              <w:ind w:left="-57"/>
              <w:rPr>
                <w:rFonts w:ascii="Arial Narrow" w:hAnsi="Arial Narrow"/>
                <w:sz w:val="20"/>
                <w:szCs w:val="20"/>
              </w:rPr>
            </w:pPr>
            <w:r>
              <w:rPr>
                <w:rFonts w:ascii="Arial Narrow" w:hAnsi="Arial Narrow"/>
                <w:sz w:val="20"/>
                <w:szCs w:val="20"/>
              </w:rPr>
              <w:t>ABEMACICLIB</w:t>
            </w:r>
          </w:p>
        </w:tc>
      </w:tr>
      <w:tr w:rsidR="002E47EE" w:rsidRPr="007F2E0C" w14:paraId="2DAC7432" w14:textId="77777777" w:rsidTr="00973EB3">
        <w:trPr>
          <w:cantSplit/>
          <w:trHeight w:val="167"/>
        </w:trPr>
        <w:tc>
          <w:tcPr>
            <w:tcW w:w="2404" w:type="dxa"/>
            <w:gridSpan w:val="3"/>
            <w:shd w:val="clear" w:color="auto" w:fill="auto"/>
          </w:tcPr>
          <w:p w14:paraId="6BB58AC4" w14:textId="724AD3AE" w:rsidR="002E47EE" w:rsidRPr="007F2E0C" w:rsidRDefault="002E47EE" w:rsidP="00973EB3">
            <w:pPr>
              <w:keepNext/>
              <w:ind w:left="-57"/>
              <w:rPr>
                <w:rFonts w:ascii="Arial Narrow" w:hAnsi="Arial Narrow"/>
                <w:sz w:val="20"/>
                <w:szCs w:val="20"/>
              </w:rPr>
            </w:pPr>
            <w:proofErr w:type="spellStart"/>
            <w:r>
              <w:rPr>
                <w:rFonts w:ascii="Arial Narrow" w:hAnsi="Arial Narrow"/>
                <w:sz w:val="20"/>
                <w:szCs w:val="20"/>
              </w:rPr>
              <w:t>abema</w:t>
            </w:r>
            <w:r w:rsidRPr="007F2E0C">
              <w:rPr>
                <w:rFonts w:ascii="Arial Narrow" w:hAnsi="Arial Narrow"/>
                <w:sz w:val="20"/>
                <w:szCs w:val="20"/>
              </w:rPr>
              <w:t>ciclib</w:t>
            </w:r>
            <w:proofErr w:type="spellEnd"/>
            <w:r w:rsidRPr="007F2E0C">
              <w:rPr>
                <w:rFonts w:ascii="Arial Narrow" w:hAnsi="Arial Narrow"/>
                <w:sz w:val="20"/>
                <w:szCs w:val="20"/>
              </w:rPr>
              <w:t xml:space="preserve"> </w:t>
            </w:r>
            <w:r>
              <w:rPr>
                <w:rFonts w:ascii="Arial Narrow" w:hAnsi="Arial Narrow"/>
                <w:sz w:val="20"/>
                <w:szCs w:val="20"/>
              </w:rPr>
              <w:t xml:space="preserve">150 </w:t>
            </w:r>
            <w:r w:rsidRPr="007F2E0C">
              <w:rPr>
                <w:rFonts w:ascii="Arial Narrow" w:hAnsi="Arial Narrow"/>
                <w:sz w:val="20"/>
                <w:szCs w:val="20"/>
              </w:rPr>
              <w:t xml:space="preserve">mg tablet, </w:t>
            </w:r>
            <w:r>
              <w:rPr>
                <w:rFonts w:ascii="Arial Narrow" w:hAnsi="Arial Narrow"/>
                <w:sz w:val="20"/>
                <w:szCs w:val="20"/>
              </w:rPr>
              <w:t>56</w:t>
            </w:r>
          </w:p>
        </w:tc>
        <w:tc>
          <w:tcPr>
            <w:tcW w:w="1701" w:type="dxa"/>
            <w:shd w:val="clear" w:color="auto" w:fill="auto"/>
          </w:tcPr>
          <w:p w14:paraId="2E9981B5" w14:textId="23283FEB" w:rsidR="002E47EE" w:rsidRPr="007F2E0C" w:rsidRDefault="002E47EE" w:rsidP="00973EB3">
            <w:pPr>
              <w:keepNext/>
              <w:ind w:left="-108"/>
              <w:jc w:val="center"/>
              <w:rPr>
                <w:rFonts w:ascii="Arial Narrow" w:hAnsi="Arial Narrow"/>
                <w:sz w:val="20"/>
                <w:szCs w:val="20"/>
              </w:rPr>
            </w:pPr>
            <w:r>
              <w:rPr>
                <w:rFonts w:ascii="Arial Narrow" w:hAnsi="Arial Narrow"/>
                <w:sz w:val="20"/>
                <w:szCs w:val="20"/>
              </w:rPr>
              <w:t>11868P</w:t>
            </w:r>
          </w:p>
        </w:tc>
        <w:tc>
          <w:tcPr>
            <w:tcW w:w="1276" w:type="dxa"/>
            <w:shd w:val="clear" w:color="auto" w:fill="auto"/>
          </w:tcPr>
          <w:p w14:paraId="5211DAF0" w14:textId="77777777" w:rsidR="002E47EE" w:rsidRPr="007F2E0C" w:rsidRDefault="002E47EE" w:rsidP="00973EB3">
            <w:pPr>
              <w:keepNext/>
              <w:jc w:val="center"/>
              <w:rPr>
                <w:rFonts w:ascii="Arial Narrow" w:hAnsi="Arial Narrow"/>
                <w:sz w:val="20"/>
                <w:szCs w:val="20"/>
              </w:rPr>
            </w:pPr>
            <w:r w:rsidRPr="007F2E0C">
              <w:rPr>
                <w:rFonts w:ascii="Arial Narrow" w:hAnsi="Arial Narrow"/>
                <w:sz w:val="20"/>
                <w:szCs w:val="20"/>
              </w:rPr>
              <w:t>1</w:t>
            </w:r>
          </w:p>
        </w:tc>
        <w:tc>
          <w:tcPr>
            <w:tcW w:w="1134" w:type="dxa"/>
            <w:shd w:val="clear" w:color="auto" w:fill="auto"/>
          </w:tcPr>
          <w:p w14:paraId="12090F65" w14:textId="77777777" w:rsidR="002E47EE" w:rsidRPr="007F2E0C" w:rsidRDefault="002E47EE" w:rsidP="00973EB3">
            <w:pPr>
              <w:keepNext/>
              <w:ind w:left="-108"/>
              <w:jc w:val="center"/>
              <w:rPr>
                <w:rFonts w:ascii="Arial Narrow" w:hAnsi="Arial Narrow"/>
                <w:sz w:val="20"/>
                <w:szCs w:val="20"/>
              </w:rPr>
            </w:pPr>
            <w:r w:rsidRPr="007F2E0C">
              <w:rPr>
                <w:rFonts w:ascii="Arial Narrow" w:hAnsi="Arial Narrow"/>
                <w:sz w:val="20"/>
                <w:szCs w:val="20"/>
              </w:rPr>
              <w:t>21</w:t>
            </w:r>
          </w:p>
        </w:tc>
        <w:tc>
          <w:tcPr>
            <w:tcW w:w="1134" w:type="dxa"/>
            <w:shd w:val="clear" w:color="auto" w:fill="auto"/>
          </w:tcPr>
          <w:p w14:paraId="00A03FE1" w14:textId="77777777" w:rsidR="002E47EE" w:rsidRPr="007F2E0C" w:rsidRDefault="002E47EE" w:rsidP="00973EB3">
            <w:pPr>
              <w:keepNext/>
              <w:ind w:left="-108"/>
              <w:jc w:val="center"/>
              <w:rPr>
                <w:rFonts w:ascii="Arial Narrow" w:hAnsi="Arial Narrow"/>
                <w:sz w:val="20"/>
                <w:szCs w:val="20"/>
              </w:rPr>
            </w:pPr>
            <w:r w:rsidRPr="007F2E0C">
              <w:rPr>
                <w:rFonts w:ascii="Arial Narrow" w:hAnsi="Arial Narrow"/>
                <w:sz w:val="20"/>
                <w:szCs w:val="20"/>
              </w:rPr>
              <w:t>5</w:t>
            </w:r>
          </w:p>
        </w:tc>
        <w:tc>
          <w:tcPr>
            <w:tcW w:w="1418" w:type="dxa"/>
            <w:gridSpan w:val="2"/>
            <w:shd w:val="clear" w:color="auto" w:fill="auto"/>
          </w:tcPr>
          <w:p w14:paraId="1EBF5855" w14:textId="2A013841" w:rsidR="002E47EE" w:rsidRPr="007F2E0C" w:rsidRDefault="002E47EE" w:rsidP="00973EB3">
            <w:pPr>
              <w:keepNext/>
              <w:rPr>
                <w:rFonts w:ascii="Arial Narrow" w:hAnsi="Arial Narrow"/>
                <w:sz w:val="20"/>
                <w:szCs w:val="20"/>
              </w:rPr>
            </w:pPr>
            <w:proofErr w:type="spellStart"/>
            <w:r>
              <w:rPr>
                <w:rFonts w:ascii="Arial Narrow" w:hAnsi="Arial Narrow"/>
                <w:sz w:val="20"/>
                <w:szCs w:val="20"/>
              </w:rPr>
              <w:t>Verzenio</w:t>
            </w:r>
            <w:proofErr w:type="spellEnd"/>
          </w:p>
        </w:tc>
      </w:tr>
      <w:tr w:rsidR="002E47EE" w:rsidRPr="007F2E0C" w14:paraId="31B72F1E" w14:textId="77777777" w:rsidTr="00973EB3">
        <w:trPr>
          <w:cantSplit/>
          <w:trHeight w:val="99"/>
        </w:trPr>
        <w:tc>
          <w:tcPr>
            <w:tcW w:w="2404" w:type="dxa"/>
            <w:gridSpan w:val="3"/>
            <w:shd w:val="clear" w:color="auto" w:fill="auto"/>
          </w:tcPr>
          <w:p w14:paraId="4BF273CC" w14:textId="120FA080" w:rsidR="002E47EE" w:rsidRPr="007F2E0C" w:rsidRDefault="002E47EE" w:rsidP="00973EB3">
            <w:pPr>
              <w:keepNext/>
              <w:ind w:left="-57"/>
              <w:rPr>
                <w:rFonts w:ascii="Arial Narrow" w:hAnsi="Arial Narrow"/>
                <w:sz w:val="20"/>
                <w:szCs w:val="20"/>
              </w:rPr>
            </w:pPr>
            <w:proofErr w:type="spellStart"/>
            <w:r>
              <w:rPr>
                <w:rFonts w:ascii="Arial Narrow" w:hAnsi="Arial Narrow"/>
                <w:sz w:val="20"/>
                <w:szCs w:val="20"/>
              </w:rPr>
              <w:t>abema</w:t>
            </w:r>
            <w:r w:rsidRPr="007F2E0C">
              <w:rPr>
                <w:rFonts w:ascii="Arial Narrow" w:hAnsi="Arial Narrow"/>
                <w:sz w:val="20"/>
                <w:szCs w:val="20"/>
              </w:rPr>
              <w:t>ciclib</w:t>
            </w:r>
            <w:proofErr w:type="spellEnd"/>
            <w:r w:rsidRPr="007F2E0C">
              <w:rPr>
                <w:rFonts w:ascii="Arial Narrow" w:hAnsi="Arial Narrow"/>
                <w:sz w:val="20"/>
                <w:szCs w:val="20"/>
              </w:rPr>
              <w:t xml:space="preserve"> </w:t>
            </w:r>
            <w:r>
              <w:rPr>
                <w:rFonts w:ascii="Arial Narrow" w:hAnsi="Arial Narrow"/>
                <w:sz w:val="20"/>
                <w:szCs w:val="20"/>
              </w:rPr>
              <w:t>100</w:t>
            </w:r>
            <w:r w:rsidRPr="007F2E0C">
              <w:rPr>
                <w:rFonts w:ascii="Arial Narrow" w:hAnsi="Arial Narrow"/>
                <w:sz w:val="20"/>
                <w:szCs w:val="20"/>
              </w:rPr>
              <w:t xml:space="preserve"> mg tablet, </w:t>
            </w:r>
            <w:r>
              <w:rPr>
                <w:rFonts w:ascii="Arial Narrow" w:hAnsi="Arial Narrow"/>
                <w:sz w:val="20"/>
                <w:szCs w:val="20"/>
              </w:rPr>
              <w:t>56</w:t>
            </w:r>
          </w:p>
        </w:tc>
        <w:tc>
          <w:tcPr>
            <w:tcW w:w="1701" w:type="dxa"/>
            <w:shd w:val="clear" w:color="auto" w:fill="auto"/>
          </w:tcPr>
          <w:p w14:paraId="2F514233" w14:textId="5A6584C4" w:rsidR="002E47EE" w:rsidRPr="007F2E0C" w:rsidRDefault="002E47EE" w:rsidP="00973EB3">
            <w:pPr>
              <w:keepNext/>
              <w:ind w:left="-108"/>
              <w:jc w:val="center"/>
              <w:rPr>
                <w:rFonts w:ascii="Arial Narrow" w:hAnsi="Arial Narrow"/>
                <w:sz w:val="20"/>
                <w:szCs w:val="20"/>
              </w:rPr>
            </w:pPr>
            <w:r w:rsidRPr="007F2E0C">
              <w:rPr>
                <w:rFonts w:ascii="Arial Narrow" w:hAnsi="Arial Narrow"/>
                <w:sz w:val="20"/>
                <w:szCs w:val="20"/>
              </w:rPr>
              <w:t>1</w:t>
            </w:r>
            <w:r>
              <w:rPr>
                <w:rFonts w:ascii="Arial Narrow" w:hAnsi="Arial Narrow"/>
                <w:sz w:val="20"/>
                <w:szCs w:val="20"/>
              </w:rPr>
              <w:t>1871T</w:t>
            </w:r>
          </w:p>
        </w:tc>
        <w:tc>
          <w:tcPr>
            <w:tcW w:w="1276" w:type="dxa"/>
            <w:shd w:val="clear" w:color="auto" w:fill="auto"/>
          </w:tcPr>
          <w:p w14:paraId="5B655BAB" w14:textId="77777777" w:rsidR="002E47EE" w:rsidRPr="007F2E0C" w:rsidRDefault="002E47EE" w:rsidP="00973EB3">
            <w:pPr>
              <w:keepNext/>
              <w:jc w:val="center"/>
              <w:rPr>
                <w:rFonts w:ascii="Arial Narrow" w:hAnsi="Arial Narrow"/>
                <w:sz w:val="20"/>
                <w:szCs w:val="20"/>
              </w:rPr>
            </w:pPr>
            <w:r w:rsidRPr="007F2E0C">
              <w:rPr>
                <w:rFonts w:ascii="Arial Narrow" w:hAnsi="Arial Narrow"/>
                <w:sz w:val="20"/>
                <w:szCs w:val="20"/>
              </w:rPr>
              <w:t>1</w:t>
            </w:r>
          </w:p>
        </w:tc>
        <w:tc>
          <w:tcPr>
            <w:tcW w:w="1134" w:type="dxa"/>
            <w:shd w:val="clear" w:color="auto" w:fill="auto"/>
          </w:tcPr>
          <w:p w14:paraId="5A7A915A" w14:textId="77777777" w:rsidR="002E47EE" w:rsidRPr="007F2E0C" w:rsidRDefault="002E47EE" w:rsidP="00973EB3">
            <w:pPr>
              <w:keepNext/>
              <w:ind w:left="-108"/>
              <w:jc w:val="center"/>
              <w:rPr>
                <w:rFonts w:ascii="Arial Narrow" w:hAnsi="Arial Narrow"/>
                <w:sz w:val="20"/>
                <w:szCs w:val="20"/>
              </w:rPr>
            </w:pPr>
            <w:r w:rsidRPr="007F2E0C">
              <w:rPr>
                <w:rFonts w:ascii="Arial Narrow" w:hAnsi="Arial Narrow"/>
                <w:sz w:val="20"/>
                <w:szCs w:val="20"/>
              </w:rPr>
              <w:t>21</w:t>
            </w:r>
          </w:p>
        </w:tc>
        <w:tc>
          <w:tcPr>
            <w:tcW w:w="1134" w:type="dxa"/>
            <w:shd w:val="clear" w:color="auto" w:fill="auto"/>
          </w:tcPr>
          <w:p w14:paraId="2B27088E" w14:textId="77777777" w:rsidR="002E47EE" w:rsidRPr="007F2E0C" w:rsidRDefault="002E47EE" w:rsidP="00973EB3">
            <w:pPr>
              <w:keepNext/>
              <w:ind w:left="-108"/>
              <w:jc w:val="center"/>
              <w:rPr>
                <w:rFonts w:ascii="Arial Narrow" w:hAnsi="Arial Narrow"/>
                <w:sz w:val="20"/>
                <w:szCs w:val="20"/>
              </w:rPr>
            </w:pPr>
            <w:r w:rsidRPr="007F2E0C">
              <w:rPr>
                <w:rFonts w:ascii="Arial Narrow" w:hAnsi="Arial Narrow"/>
                <w:sz w:val="20"/>
                <w:szCs w:val="20"/>
              </w:rPr>
              <w:t>5</w:t>
            </w:r>
          </w:p>
        </w:tc>
        <w:tc>
          <w:tcPr>
            <w:tcW w:w="1418" w:type="dxa"/>
            <w:gridSpan w:val="2"/>
            <w:shd w:val="clear" w:color="auto" w:fill="auto"/>
          </w:tcPr>
          <w:p w14:paraId="138007C8" w14:textId="5C33ED23" w:rsidR="002E47EE" w:rsidRPr="007F2E0C" w:rsidRDefault="002E47EE" w:rsidP="00973EB3">
            <w:pPr>
              <w:keepNext/>
              <w:rPr>
                <w:rFonts w:ascii="Arial Narrow" w:hAnsi="Arial Narrow"/>
                <w:sz w:val="20"/>
                <w:szCs w:val="20"/>
              </w:rPr>
            </w:pPr>
            <w:proofErr w:type="spellStart"/>
            <w:r>
              <w:rPr>
                <w:rFonts w:ascii="Arial Narrow" w:hAnsi="Arial Narrow"/>
                <w:sz w:val="20"/>
                <w:szCs w:val="20"/>
              </w:rPr>
              <w:t>Verzenio</w:t>
            </w:r>
            <w:proofErr w:type="spellEnd"/>
          </w:p>
        </w:tc>
      </w:tr>
      <w:tr w:rsidR="002E47EE" w:rsidRPr="007F2E0C" w14:paraId="1B6DEA6D" w14:textId="77777777" w:rsidTr="00973EB3">
        <w:trPr>
          <w:cantSplit/>
          <w:trHeight w:val="177"/>
        </w:trPr>
        <w:tc>
          <w:tcPr>
            <w:tcW w:w="2404" w:type="dxa"/>
            <w:gridSpan w:val="3"/>
            <w:shd w:val="clear" w:color="auto" w:fill="auto"/>
          </w:tcPr>
          <w:p w14:paraId="5B9752DC" w14:textId="1A11DD49" w:rsidR="002E47EE" w:rsidRPr="007F2E0C" w:rsidRDefault="002E47EE" w:rsidP="00973EB3">
            <w:pPr>
              <w:keepNext/>
              <w:ind w:left="-57"/>
              <w:rPr>
                <w:rFonts w:ascii="Arial Narrow" w:hAnsi="Arial Narrow"/>
                <w:sz w:val="20"/>
                <w:szCs w:val="20"/>
              </w:rPr>
            </w:pPr>
            <w:proofErr w:type="spellStart"/>
            <w:r>
              <w:rPr>
                <w:rFonts w:ascii="Arial Narrow" w:hAnsi="Arial Narrow"/>
                <w:sz w:val="20"/>
                <w:szCs w:val="20"/>
              </w:rPr>
              <w:t>abema</w:t>
            </w:r>
            <w:r w:rsidRPr="007F2E0C">
              <w:rPr>
                <w:rFonts w:ascii="Arial Narrow" w:hAnsi="Arial Narrow"/>
                <w:sz w:val="20"/>
                <w:szCs w:val="20"/>
              </w:rPr>
              <w:t>ciclib</w:t>
            </w:r>
            <w:proofErr w:type="spellEnd"/>
            <w:r w:rsidRPr="007F2E0C">
              <w:rPr>
                <w:rFonts w:ascii="Arial Narrow" w:hAnsi="Arial Narrow"/>
                <w:sz w:val="20"/>
                <w:szCs w:val="20"/>
              </w:rPr>
              <w:t xml:space="preserve"> </w:t>
            </w:r>
            <w:r>
              <w:rPr>
                <w:rFonts w:ascii="Arial Narrow" w:hAnsi="Arial Narrow"/>
                <w:sz w:val="20"/>
                <w:szCs w:val="20"/>
              </w:rPr>
              <w:t>50</w:t>
            </w:r>
            <w:r w:rsidRPr="007F2E0C">
              <w:rPr>
                <w:rFonts w:ascii="Arial Narrow" w:hAnsi="Arial Narrow"/>
                <w:sz w:val="20"/>
                <w:szCs w:val="20"/>
              </w:rPr>
              <w:t xml:space="preserve"> mg tablet,</w:t>
            </w:r>
            <w:r>
              <w:rPr>
                <w:rFonts w:ascii="Arial Narrow" w:hAnsi="Arial Narrow"/>
                <w:sz w:val="20"/>
                <w:szCs w:val="20"/>
              </w:rPr>
              <w:t xml:space="preserve"> 56</w:t>
            </w:r>
          </w:p>
        </w:tc>
        <w:tc>
          <w:tcPr>
            <w:tcW w:w="1701" w:type="dxa"/>
            <w:shd w:val="clear" w:color="auto" w:fill="auto"/>
          </w:tcPr>
          <w:p w14:paraId="5752AE44" w14:textId="1813BB81" w:rsidR="002E47EE" w:rsidRPr="007F2E0C" w:rsidRDefault="002E47EE" w:rsidP="00973EB3">
            <w:pPr>
              <w:keepNext/>
              <w:ind w:left="-108"/>
              <w:jc w:val="center"/>
              <w:rPr>
                <w:rFonts w:ascii="Arial Narrow" w:hAnsi="Arial Narrow"/>
                <w:sz w:val="20"/>
                <w:szCs w:val="20"/>
              </w:rPr>
            </w:pPr>
            <w:r w:rsidRPr="007F2E0C">
              <w:rPr>
                <w:rFonts w:ascii="Arial Narrow" w:hAnsi="Arial Narrow"/>
                <w:sz w:val="20"/>
                <w:szCs w:val="20"/>
              </w:rPr>
              <w:t>1</w:t>
            </w:r>
            <w:r>
              <w:rPr>
                <w:rFonts w:ascii="Arial Narrow" w:hAnsi="Arial Narrow"/>
                <w:sz w:val="20"/>
                <w:szCs w:val="20"/>
              </w:rPr>
              <w:t>1876C</w:t>
            </w:r>
          </w:p>
        </w:tc>
        <w:tc>
          <w:tcPr>
            <w:tcW w:w="1276" w:type="dxa"/>
            <w:shd w:val="clear" w:color="auto" w:fill="auto"/>
          </w:tcPr>
          <w:p w14:paraId="19F45992" w14:textId="77777777" w:rsidR="002E47EE" w:rsidRPr="007F2E0C" w:rsidRDefault="002E47EE" w:rsidP="00973EB3">
            <w:pPr>
              <w:keepNext/>
              <w:jc w:val="center"/>
              <w:rPr>
                <w:rFonts w:ascii="Arial Narrow" w:hAnsi="Arial Narrow"/>
                <w:sz w:val="20"/>
                <w:szCs w:val="20"/>
              </w:rPr>
            </w:pPr>
            <w:r w:rsidRPr="007F2E0C">
              <w:rPr>
                <w:rFonts w:ascii="Arial Narrow" w:hAnsi="Arial Narrow"/>
                <w:sz w:val="20"/>
                <w:szCs w:val="20"/>
              </w:rPr>
              <w:t>1</w:t>
            </w:r>
          </w:p>
        </w:tc>
        <w:tc>
          <w:tcPr>
            <w:tcW w:w="1134" w:type="dxa"/>
            <w:shd w:val="clear" w:color="auto" w:fill="auto"/>
          </w:tcPr>
          <w:p w14:paraId="4E1CFAF9" w14:textId="77777777" w:rsidR="002E47EE" w:rsidRPr="007F2E0C" w:rsidRDefault="002E47EE" w:rsidP="00973EB3">
            <w:pPr>
              <w:keepNext/>
              <w:ind w:left="-108"/>
              <w:jc w:val="center"/>
              <w:rPr>
                <w:rFonts w:ascii="Arial Narrow" w:hAnsi="Arial Narrow"/>
                <w:sz w:val="20"/>
                <w:szCs w:val="20"/>
              </w:rPr>
            </w:pPr>
            <w:r w:rsidRPr="007F2E0C">
              <w:rPr>
                <w:rFonts w:ascii="Arial Narrow" w:hAnsi="Arial Narrow"/>
                <w:sz w:val="20"/>
                <w:szCs w:val="20"/>
              </w:rPr>
              <w:t>21</w:t>
            </w:r>
          </w:p>
        </w:tc>
        <w:tc>
          <w:tcPr>
            <w:tcW w:w="1134" w:type="dxa"/>
            <w:shd w:val="clear" w:color="auto" w:fill="auto"/>
          </w:tcPr>
          <w:p w14:paraId="48D5007E" w14:textId="77777777" w:rsidR="002E47EE" w:rsidRPr="007F2E0C" w:rsidRDefault="002E47EE" w:rsidP="00973EB3">
            <w:pPr>
              <w:keepNext/>
              <w:ind w:left="-108"/>
              <w:jc w:val="center"/>
              <w:rPr>
                <w:rFonts w:ascii="Arial Narrow" w:hAnsi="Arial Narrow"/>
                <w:sz w:val="20"/>
                <w:szCs w:val="20"/>
              </w:rPr>
            </w:pPr>
            <w:r w:rsidRPr="007F2E0C">
              <w:rPr>
                <w:rFonts w:ascii="Arial Narrow" w:hAnsi="Arial Narrow"/>
                <w:sz w:val="20"/>
                <w:szCs w:val="20"/>
              </w:rPr>
              <w:t>5</w:t>
            </w:r>
          </w:p>
        </w:tc>
        <w:tc>
          <w:tcPr>
            <w:tcW w:w="1418" w:type="dxa"/>
            <w:gridSpan w:val="2"/>
            <w:shd w:val="clear" w:color="auto" w:fill="auto"/>
          </w:tcPr>
          <w:p w14:paraId="2E80BA0A" w14:textId="30E884E5" w:rsidR="002E47EE" w:rsidRPr="007F2E0C" w:rsidRDefault="002E47EE" w:rsidP="00973EB3">
            <w:pPr>
              <w:keepNext/>
              <w:rPr>
                <w:rFonts w:ascii="Arial Narrow" w:hAnsi="Arial Narrow"/>
                <w:sz w:val="20"/>
                <w:szCs w:val="20"/>
              </w:rPr>
            </w:pPr>
            <w:proofErr w:type="spellStart"/>
            <w:r>
              <w:rPr>
                <w:rFonts w:ascii="Arial Narrow" w:hAnsi="Arial Narrow"/>
                <w:sz w:val="20"/>
                <w:szCs w:val="20"/>
              </w:rPr>
              <w:t>Verzenio</w:t>
            </w:r>
            <w:proofErr w:type="spellEnd"/>
          </w:p>
        </w:tc>
      </w:tr>
      <w:tr w:rsidR="002E47EE" w:rsidRPr="007F2E0C" w14:paraId="65A37451" w14:textId="77777777" w:rsidTr="00973EB3">
        <w:trPr>
          <w:cantSplit/>
          <w:trHeight w:val="177"/>
        </w:trPr>
        <w:tc>
          <w:tcPr>
            <w:tcW w:w="4105" w:type="dxa"/>
            <w:gridSpan w:val="4"/>
            <w:shd w:val="clear" w:color="auto" w:fill="auto"/>
          </w:tcPr>
          <w:p w14:paraId="62C71470" w14:textId="77777777" w:rsidR="002E47EE" w:rsidRPr="007F2E0C" w:rsidRDefault="002E47EE" w:rsidP="00973EB3">
            <w:pPr>
              <w:keepNext/>
              <w:ind w:left="-108"/>
              <w:jc w:val="center"/>
              <w:rPr>
                <w:rFonts w:ascii="Arial Narrow" w:hAnsi="Arial Narrow"/>
                <w:sz w:val="20"/>
                <w:szCs w:val="20"/>
              </w:rPr>
            </w:pPr>
          </w:p>
        </w:tc>
        <w:tc>
          <w:tcPr>
            <w:tcW w:w="3544" w:type="dxa"/>
            <w:gridSpan w:val="3"/>
            <w:shd w:val="clear" w:color="auto" w:fill="auto"/>
          </w:tcPr>
          <w:p w14:paraId="0A67F969" w14:textId="77777777" w:rsidR="002E47EE" w:rsidRPr="007F2E0C" w:rsidRDefault="002E47EE" w:rsidP="00973EB3">
            <w:pPr>
              <w:keepNext/>
              <w:ind w:left="-108"/>
              <w:jc w:val="center"/>
              <w:rPr>
                <w:rFonts w:ascii="Arial Narrow" w:hAnsi="Arial Narrow"/>
                <w:sz w:val="20"/>
                <w:szCs w:val="20"/>
              </w:rPr>
            </w:pPr>
            <w:r w:rsidRPr="007F2E0C">
              <w:rPr>
                <w:rFonts w:ascii="Arial Narrow" w:hAnsi="Arial Narrow"/>
                <w:sz w:val="20"/>
                <w:szCs w:val="20"/>
              </w:rPr>
              <w:t>Max. Qty multiplier = 1; Repeat increases: nil</w:t>
            </w:r>
          </w:p>
        </w:tc>
        <w:tc>
          <w:tcPr>
            <w:tcW w:w="1418" w:type="dxa"/>
            <w:gridSpan w:val="2"/>
            <w:shd w:val="clear" w:color="auto" w:fill="auto"/>
          </w:tcPr>
          <w:p w14:paraId="51D7FA20" w14:textId="77777777" w:rsidR="002E47EE" w:rsidRPr="007F2E0C" w:rsidRDefault="002E47EE" w:rsidP="00973EB3">
            <w:pPr>
              <w:keepNext/>
              <w:rPr>
                <w:rFonts w:ascii="Arial Narrow" w:hAnsi="Arial Narrow"/>
                <w:sz w:val="20"/>
                <w:szCs w:val="20"/>
              </w:rPr>
            </w:pPr>
          </w:p>
        </w:tc>
      </w:tr>
      <w:tr w:rsidR="002E47EE" w:rsidRPr="007F2E0C" w14:paraId="4B345692" w14:textId="77777777" w:rsidTr="00973EB3">
        <w:trPr>
          <w:cantSplit/>
          <w:trHeight w:val="177"/>
        </w:trPr>
        <w:tc>
          <w:tcPr>
            <w:tcW w:w="9067" w:type="dxa"/>
            <w:gridSpan w:val="9"/>
            <w:shd w:val="clear" w:color="auto" w:fill="auto"/>
          </w:tcPr>
          <w:p w14:paraId="046C5638" w14:textId="77777777" w:rsidR="002E47EE" w:rsidRPr="007F2E0C" w:rsidRDefault="002E47EE" w:rsidP="00973EB3">
            <w:pPr>
              <w:keepNext/>
              <w:rPr>
                <w:rFonts w:ascii="Arial Narrow" w:hAnsi="Arial Narrow"/>
                <w:sz w:val="20"/>
                <w:szCs w:val="20"/>
              </w:rPr>
            </w:pPr>
          </w:p>
        </w:tc>
      </w:tr>
      <w:tr w:rsidR="002E47EE" w:rsidRPr="007F2E0C" w14:paraId="7EFFE445" w14:textId="77777777" w:rsidTr="00973EB3">
        <w:trPr>
          <w:cantSplit/>
          <w:trHeight w:val="153"/>
        </w:trPr>
        <w:tc>
          <w:tcPr>
            <w:tcW w:w="9067" w:type="dxa"/>
            <w:gridSpan w:val="9"/>
            <w:shd w:val="clear" w:color="auto" w:fill="auto"/>
          </w:tcPr>
          <w:p w14:paraId="1D73D004" w14:textId="47973ECA" w:rsidR="002E47EE" w:rsidRPr="00BC52B5" w:rsidRDefault="002E47EE" w:rsidP="00973EB3">
            <w:pPr>
              <w:keepNext/>
              <w:ind w:left="-57"/>
              <w:rPr>
                <w:rFonts w:ascii="Arial Narrow" w:hAnsi="Arial Narrow"/>
                <w:b/>
                <w:sz w:val="20"/>
                <w:szCs w:val="20"/>
              </w:rPr>
            </w:pPr>
            <w:r w:rsidRPr="00BC52B5">
              <w:rPr>
                <w:rFonts w:ascii="Arial Narrow" w:hAnsi="Arial Narrow"/>
                <w:b/>
                <w:sz w:val="20"/>
                <w:szCs w:val="20"/>
              </w:rPr>
              <w:t>Edit existing Restriction Summar</w:t>
            </w:r>
            <w:r w:rsidR="00BC52B5">
              <w:rPr>
                <w:rFonts w:ascii="Arial Narrow" w:hAnsi="Arial Narrow"/>
                <w:b/>
                <w:sz w:val="20"/>
                <w:szCs w:val="20"/>
              </w:rPr>
              <w:t>ies</w:t>
            </w:r>
            <w:r w:rsidRPr="00BC52B5">
              <w:rPr>
                <w:rFonts w:ascii="Arial Narrow" w:hAnsi="Arial Narrow"/>
                <w:b/>
                <w:sz w:val="20"/>
                <w:szCs w:val="20"/>
              </w:rPr>
              <w:t xml:space="preserve"> / </w:t>
            </w:r>
            <w:proofErr w:type="spellStart"/>
            <w:r w:rsidRPr="00BC52B5">
              <w:rPr>
                <w:rFonts w:ascii="Arial Narrow" w:hAnsi="Arial Narrow"/>
                <w:b/>
                <w:sz w:val="20"/>
                <w:szCs w:val="20"/>
              </w:rPr>
              <w:t>ToC</w:t>
            </w:r>
            <w:r w:rsidR="00BC52B5">
              <w:rPr>
                <w:rFonts w:ascii="Arial Narrow" w:hAnsi="Arial Narrow"/>
                <w:b/>
                <w:sz w:val="20"/>
                <w:szCs w:val="20"/>
              </w:rPr>
              <w:t>s</w:t>
            </w:r>
            <w:proofErr w:type="spellEnd"/>
            <w:r w:rsidRPr="00BC52B5">
              <w:rPr>
                <w:rFonts w:ascii="Arial Narrow" w:hAnsi="Arial Narrow"/>
                <w:b/>
                <w:sz w:val="20"/>
                <w:szCs w:val="20"/>
              </w:rPr>
              <w:t xml:space="preserve"> to appear as follows:</w:t>
            </w:r>
          </w:p>
        </w:tc>
      </w:tr>
      <w:tr w:rsidR="002E47EE" w:rsidRPr="007F2E0C" w14:paraId="2F6DE12A" w14:textId="77777777" w:rsidTr="00973EB3">
        <w:tblPrEx>
          <w:tblCellMar>
            <w:top w:w="15" w:type="dxa"/>
            <w:left w:w="15" w:type="dxa"/>
            <w:bottom w:w="15" w:type="dxa"/>
            <w:right w:w="15" w:type="dxa"/>
          </w:tblCellMar>
        </w:tblPrEx>
        <w:trPr>
          <w:trHeight w:val="164"/>
        </w:trPr>
        <w:tc>
          <w:tcPr>
            <w:tcW w:w="1412" w:type="dxa"/>
            <w:gridSpan w:val="2"/>
            <w:vMerge w:val="restart"/>
            <w:shd w:val="clear" w:color="auto" w:fill="auto"/>
            <w:vAlign w:val="center"/>
          </w:tcPr>
          <w:p w14:paraId="255B4307" w14:textId="563BD6C6" w:rsidR="002E47EE" w:rsidRPr="00BC52B5" w:rsidRDefault="002E47EE" w:rsidP="00973EB3">
            <w:pPr>
              <w:jc w:val="center"/>
              <w:rPr>
                <w:rFonts w:ascii="Arial Narrow" w:hAnsi="Arial Narrow"/>
                <w:b/>
                <w:sz w:val="20"/>
                <w:szCs w:val="20"/>
              </w:rPr>
            </w:pPr>
          </w:p>
        </w:tc>
        <w:tc>
          <w:tcPr>
            <w:tcW w:w="7655" w:type="dxa"/>
            <w:gridSpan w:val="7"/>
            <w:tcBorders>
              <w:top w:val="single" w:sz="4" w:space="0" w:color="auto"/>
              <w:left w:val="single" w:sz="4" w:space="0" w:color="auto"/>
              <w:bottom w:val="single" w:sz="4" w:space="0" w:color="auto"/>
              <w:right w:val="single" w:sz="4" w:space="0" w:color="auto"/>
            </w:tcBorders>
            <w:shd w:val="clear" w:color="auto" w:fill="auto"/>
          </w:tcPr>
          <w:p w14:paraId="3927301F" w14:textId="77777777" w:rsidR="002E47EE" w:rsidRPr="00BC52B5" w:rsidRDefault="002E47EE" w:rsidP="00973EB3">
            <w:pPr>
              <w:rPr>
                <w:rFonts w:ascii="Arial Narrow" w:hAnsi="Arial Narrow"/>
                <w:sz w:val="20"/>
                <w:szCs w:val="20"/>
              </w:rPr>
            </w:pPr>
            <w:r w:rsidRPr="00BC52B5">
              <w:rPr>
                <w:rFonts w:ascii="Arial Narrow" w:hAnsi="Arial Narrow"/>
                <w:b/>
                <w:sz w:val="20"/>
                <w:szCs w:val="20"/>
              </w:rPr>
              <w:t xml:space="preserve">Category / Program:   </w:t>
            </w:r>
            <w:r w:rsidRPr="00BC52B5">
              <w:rPr>
                <w:rFonts w:ascii="Arial Narrow" w:hAnsi="Arial Narrow"/>
                <w:sz w:val="20"/>
                <w:szCs w:val="20"/>
              </w:rPr>
              <w:t xml:space="preserve">GENERAL – General Schedule (Code GE) </w:t>
            </w:r>
          </w:p>
        </w:tc>
      </w:tr>
      <w:tr w:rsidR="002E47EE" w:rsidRPr="007F2E0C" w14:paraId="0B1AF166" w14:textId="77777777" w:rsidTr="00973EB3">
        <w:tblPrEx>
          <w:tblCellMar>
            <w:top w:w="15" w:type="dxa"/>
            <w:left w:w="15" w:type="dxa"/>
            <w:bottom w:w="15" w:type="dxa"/>
            <w:right w:w="15" w:type="dxa"/>
          </w:tblCellMar>
        </w:tblPrEx>
        <w:tc>
          <w:tcPr>
            <w:tcW w:w="1412" w:type="dxa"/>
            <w:gridSpan w:val="2"/>
            <w:vMerge/>
            <w:shd w:val="clear" w:color="auto" w:fill="auto"/>
            <w:vAlign w:val="center"/>
          </w:tcPr>
          <w:p w14:paraId="2563E22C" w14:textId="77777777" w:rsidR="002E47EE" w:rsidRPr="00BC52B5" w:rsidRDefault="002E47EE" w:rsidP="00973EB3">
            <w:pPr>
              <w:widowControl w:val="0"/>
              <w:rPr>
                <w:rFonts w:ascii="Arial Narrow" w:hAnsi="Arial Narrow"/>
                <w:b/>
                <w:sz w:val="20"/>
                <w:szCs w:val="20"/>
              </w:rPr>
            </w:pPr>
          </w:p>
        </w:tc>
        <w:tc>
          <w:tcPr>
            <w:tcW w:w="7655" w:type="dxa"/>
            <w:gridSpan w:val="7"/>
            <w:tcBorders>
              <w:top w:val="single" w:sz="4" w:space="0" w:color="auto"/>
              <w:left w:val="single" w:sz="4" w:space="0" w:color="auto"/>
              <w:bottom w:val="single" w:sz="4" w:space="0" w:color="auto"/>
              <w:right w:val="single" w:sz="4" w:space="0" w:color="auto"/>
            </w:tcBorders>
            <w:shd w:val="clear" w:color="auto" w:fill="auto"/>
          </w:tcPr>
          <w:p w14:paraId="03E88AA1" w14:textId="77777777" w:rsidR="002E47EE" w:rsidRPr="00BC52B5" w:rsidRDefault="002E47EE" w:rsidP="00973EB3">
            <w:pPr>
              <w:widowControl w:val="0"/>
              <w:rPr>
                <w:rFonts w:ascii="Arial Narrow" w:hAnsi="Arial Narrow"/>
                <w:b/>
                <w:bCs/>
                <w:snapToGrid w:val="0"/>
                <w:sz w:val="20"/>
                <w:szCs w:val="20"/>
              </w:rPr>
            </w:pPr>
            <w:r w:rsidRPr="00BC52B5">
              <w:rPr>
                <w:rFonts w:ascii="Arial Narrow" w:hAnsi="Arial Narrow"/>
                <w:b/>
                <w:sz w:val="20"/>
                <w:szCs w:val="20"/>
              </w:rPr>
              <w:t xml:space="preserve">Prescriber type:   </w:t>
            </w:r>
            <w:r w:rsidRPr="00BC52B5">
              <w:rPr>
                <w:rFonts w:ascii="Arial Narrow" w:hAnsi="Arial Narrow"/>
                <w:sz w:val="20"/>
                <w:szCs w:val="20"/>
              </w:rPr>
              <w:fldChar w:fldCharType="begin">
                <w:ffData>
                  <w:name w:val=""/>
                  <w:enabled/>
                  <w:calcOnExit w:val="0"/>
                  <w:checkBox>
                    <w:sizeAuto/>
                    <w:default w:val="1"/>
                  </w:checkBox>
                </w:ffData>
              </w:fldChar>
            </w:r>
            <w:r w:rsidRPr="00BC52B5">
              <w:rPr>
                <w:rFonts w:ascii="Arial Narrow" w:hAnsi="Arial Narrow"/>
                <w:sz w:val="20"/>
                <w:szCs w:val="20"/>
              </w:rPr>
              <w:instrText xml:space="preserve"> FORMCHECKBOX </w:instrText>
            </w:r>
            <w:r w:rsidR="009728EB">
              <w:rPr>
                <w:rFonts w:ascii="Arial Narrow" w:hAnsi="Arial Narrow"/>
                <w:sz w:val="20"/>
                <w:szCs w:val="20"/>
              </w:rPr>
            </w:r>
            <w:r w:rsidR="009728EB">
              <w:rPr>
                <w:rFonts w:ascii="Arial Narrow" w:hAnsi="Arial Narrow"/>
                <w:sz w:val="20"/>
                <w:szCs w:val="20"/>
              </w:rPr>
              <w:fldChar w:fldCharType="separate"/>
            </w:r>
            <w:r w:rsidRPr="00BC52B5">
              <w:rPr>
                <w:rFonts w:ascii="Arial Narrow" w:hAnsi="Arial Narrow"/>
                <w:sz w:val="20"/>
                <w:szCs w:val="20"/>
              </w:rPr>
              <w:fldChar w:fldCharType="end"/>
            </w:r>
            <w:r w:rsidRPr="00BC52B5">
              <w:rPr>
                <w:rFonts w:ascii="Arial Narrow" w:hAnsi="Arial Narrow"/>
                <w:sz w:val="20"/>
                <w:szCs w:val="20"/>
              </w:rPr>
              <w:t xml:space="preserve"> Medical Practitioners    </w:t>
            </w:r>
          </w:p>
        </w:tc>
      </w:tr>
      <w:tr w:rsidR="002E47EE" w:rsidRPr="007F2E0C" w14:paraId="2342E50F" w14:textId="77777777" w:rsidTr="00973EB3">
        <w:tblPrEx>
          <w:tblCellMar>
            <w:top w:w="15" w:type="dxa"/>
            <w:left w:w="15" w:type="dxa"/>
            <w:bottom w:w="15" w:type="dxa"/>
            <w:right w:w="15" w:type="dxa"/>
          </w:tblCellMar>
        </w:tblPrEx>
        <w:tc>
          <w:tcPr>
            <w:tcW w:w="1412" w:type="dxa"/>
            <w:gridSpan w:val="2"/>
            <w:vMerge/>
            <w:shd w:val="clear" w:color="auto" w:fill="auto"/>
            <w:vAlign w:val="center"/>
          </w:tcPr>
          <w:p w14:paraId="23AB7E4B" w14:textId="77777777" w:rsidR="002E47EE" w:rsidRPr="00BC52B5" w:rsidRDefault="002E47EE" w:rsidP="00973EB3">
            <w:pPr>
              <w:rPr>
                <w:rFonts w:ascii="Arial Narrow" w:hAnsi="Arial Narrow"/>
                <w:b/>
                <w:sz w:val="20"/>
                <w:szCs w:val="20"/>
              </w:rPr>
            </w:pPr>
          </w:p>
        </w:tc>
        <w:tc>
          <w:tcPr>
            <w:tcW w:w="7655" w:type="dxa"/>
            <w:gridSpan w:val="7"/>
            <w:tcBorders>
              <w:top w:val="single" w:sz="4" w:space="0" w:color="auto"/>
              <w:left w:val="single" w:sz="4" w:space="0" w:color="auto"/>
              <w:bottom w:val="single" w:sz="4" w:space="0" w:color="auto"/>
              <w:right w:val="single" w:sz="4" w:space="0" w:color="auto"/>
            </w:tcBorders>
            <w:shd w:val="clear" w:color="auto" w:fill="auto"/>
          </w:tcPr>
          <w:p w14:paraId="0518CB7B" w14:textId="77777777" w:rsidR="002E47EE" w:rsidRPr="00BC52B5" w:rsidRDefault="002E47EE" w:rsidP="00973EB3">
            <w:pPr>
              <w:rPr>
                <w:rFonts w:ascii="Arial Narrow" w:hAnsi="Arial Narrow"/>
                <w:b/>
                <w:sz w:val="20"/>
                <w:szCs w:val="20"/>
              </w:rPr>
            </w:pPr>
            <w:r w:rsidRPr="00BC52B5">
              <w:rPr>
                <w:rFonts w:ascii="Arial Narrow" w:hAnsi="Arial Narrow"/>
                <w:b/>
                <w:sz w:val="20"/>
                <w:szCs w:val="20"/>
              </w:rPr>
              <w:t xml:space="preserve">Restriction Type: </w:t>
            </w:r>
            <w:r w:rsidRPr="00BC52B5">
              <w:rPr>
                <w:rFonts w:ascii="Arial Narrow" w:eastAsia="Calibri" w:hAnsi="Arial Narrow"/>
                <w:sz w:val="20"/>
                <w:szCs w:val="20"/>
              </w:rPr>
              <w:fldChar w:fldCharType="begin">
                <w:ffData>
                  <w:name w:val="Check3"/>
                  <w:enabled/>
                  <w:calcOnExit w:val="0"/>
                  <w:checkBox>
                    <w:sizeAuto/>
                    <w:default w:val="1"/>
                  </w:checkBox>
                </w:ffData>
              </w:fldChar>
            </w:r>
            <w:r w:rsidRPr="00BC52B5">
              <w:rPr>
                <w:rFonts w:ascii="Arial Narrow" w:eastAsia="Calibri" w:hAnsi="Arial Narrow"/>
                <w:sz w:val="20"/>
                <w:szCs w:val="20"/>
              </w:rPr>
              <w:instrText xml:space="preserve"> FORMCHECKBOX </w:instrText>
            </w:r>
            <w:r w:rsidR="009728EB">
              <w:rPr>
                <w:rFonts w:ascii="Arial Narrow" w:eastAsia="Calibri" w:hAnsi="Arial Narrow"/>
                <w:sz w:val="20"/>
                <w:szCs w:val="20"/>
              </w:rPr>
            </w:r>
            <w:r w:rsidR="009728EB">
              <w:rPr>
                <w:rFonts w:ascii="Arial Narrow" w:eastAsia="Calibri" w:hAnsi="Arial Narrow"/>
                <w:sz w:val="20"/>
                <w:szCs w:val="20"/>
              </w:rPr>
              <w:fldChar w:fldCharType="separate"/>
            </w:r>
            <w:r w:rsidRPr="00BC52B5">
              <w:rPr>
                <w:rFonts w:ascii="Arial Narrow" w:eastAsia="Calibri" w:hAnsi="Arial Narrow"/>
                <w:sz w:val="20"/>
                <w:szCs w:val="20"/>
              </w:rPr>
              <w:fldChar w:fldCharType="end"/>
            </w:r>
            <w:r w:rsidRPr="00BC52B5">
              <w:rPr>
                <w:rFonts w:ascii="Arial Narrow" w:eastAsia="Calibri" w:hAnsi="Arial Narrow"/>
                <w:sz w:val="20"/>
                <w:szCs w:val="20"/>
              </w:rPr>
              <w:t xml:space="preserve"> Authority Required – immediate/real time assessment by Services Australia</w:t>
            </w:r>
          </w:p>
        </w:tc>
      </w:tr>
      <w:tr w:rsidR="002E47EE" w:rsidRPr="007F2E0C" w14:paraId="47441B2C" w14:textId="77777777" w:rsidTr="00973EB3">
        <w:tblPrEx>
          <w:tblCellMar>
            <w:top w:w="15" w:type="dxa"/>
            <w:left w:w="15" w:type="dxa"/>
            <w:bottom w:w="15" w:type="dxa"/>
            <w:right w:w="15" w:type="dxa"/>
          </w:tblCellMar>
        </w:tblPrEx>
        <w:tc>
          <w:tcPr>
            <w:tcW w:w="420" w:type="dxa"/>
            <w:vMerge w:val="restart"/>
            <w:shd w:val="clear" w:color="auto" w:fill="auto"/>
            <w:textDirection w:val="btLr"/>
            <w:vAlign w:val="center"/>
          </w:tcPr>
          <w:p w14:paraId="585A2CD7" w14:textId="77777777" w:rsidR="002E47EE" w:rsidRPr="00BC52B5" w:rsidRDefault="002E47EE" w:rsidP="00973EB3">
            <w:pPr>
              <w:widowControl w:val="0"/>
              <w:ind w:left="113" w:right="113"/>
              <w:jc w:val="center"/>
              <w:rPr>
                <w:rFonts w:ascii="Arial Narrow" w:hAnsi="Arial Narrow"/>
                <w:b/>
                <w:bCs/>
                <w:snapToGrid w:val="0"/>
                <w:sz w:val="20"/>
                <w:szCs w:val="20"/>
              </w:rPr>
            </w:pPr>
          </w:p>
        </w:tc>
        <w:tc>
          <w:tcPr>
            <w:tcW w:w="992" w:type="dxa"/>
            <w:shd w:val="clear" w:color="auto" w:fill="auto"/>
            <w:vAlign w:val="center"/>
          </w:tcPr>
          <w:p w14:paraId="16771D62" w14:textId="50AB52D4" w:rsidR="002E47EE" w:rsidRPr="00BC52B5" w:rsidRDefault="002E47EE" w:rsidP="00973EB3">
            <w:pPr>
              <w:widowControl w:val="0"/>
              <w:jc w:val="center"/>
              <w:rPr>
                <w:rFonts w:ascii="Arial Narrow" w:hAnsi="Arial Narrow"/>
                <w:bCs/>
                <w:snapToGrid w:val="0"/>
                <w:sz w:val="20"/>
                <w:szCs w:val="20"/>
              </w:rPr>
            </w:pPr>
          </w:p>
        </w:tc>
        <w:tc>
          <w:tcPr>
            <w:tcW w:w="7655" w:type="dxa"/>
            <w:gridSpan w:val="7"/>
            <w:shd w:val="clear" w:color="auto" w:fill="auto"/>
            <w:vAlign w:val="center"/>
          </w:tcPr>
          <w:p w14:paraId="72AEF3F1" w14:textId="77777777" w:rsidR="002E47EE" w:rsidRPr="00BC52B5" w:rsidRDefault="002E47EE" w:rsidP="00973EB3">
            <w:pPr>
              <w:widowControl w:val="0"/>
              <w:rPr>
                <w:rFonts w:ascii="Arial Narrow" w:hAnsi="Arial Narrow"/>
                <w:b/>
                <w:bCs/>
                <w:snapToGrid w:val="0"/>
                <w:sz w:val="20"/>
                <w:szCs w:val="20"/>
              </w:rPr>
            </w:pPr>
            <w:r w:rsidRPr="00BC52B5">
              <w:rPr>
                <w:rFonts w:ascii="Arial Narrow" w:hAnsi="Arial Narrow"/>
                <w:b/>
                <w:bCs/>
                <w:snapToGrid w:val="0"/>
                <w:sz w:val="20"/>
                <w:szCs w:val="20"/>
              </w:rPr>
              <w:t>Administrative Advice:</w:t>
            </w:r>
          </w:p>
          <w:p w14:paraId="3CD15F5C" w14:textId="77777777" w:rsidR="002E47EE" w:rsidRPr="00BC52B5" w:rsidRDefault="002E47EE" w:rsidP="00973EB3">
            <w:pPr>
              <w:widowControl w:val="0"/>
              <w:rPr>
                <w:rFonts w:ascii="Arial Narrow" w:hAnsi="Arial Narrow"/>
                <w:bCs/>
                <w:snapToGrid w:val="0"/>
                <w:sz w:val="20"/>
                <w:szCs w:val="20"/>
              </w:rPr>
            </w:pPr>
            <w:r w:rsidRPr="00BC52B5">
              <w:rPr>
                <w:rFonts w:ascii="Arial Narrow" w:hAnsi="Arial Narrow"/>
                <w:bCs/>
                <w:snapToGrid w:val="0"/>
                <w:sz w:val="20"/>
                <w:szCs w:val="20"/>
              </w:rPr>
              <w:t>Applications for authorisation under this restriction may be made in real time using the Online PBS Authorities system (see www.servicesaustralia.gov.au/HPOS) or by telephone by contacting Services Australia on 1800 888 333.</w:t>
            </w:r>
          </w:p>
        </w:tc>
      </w:tr>
      <w:tr w:rsidR="002E47EE" w:rsidRPr="007F2E0C" w14:paraId="173FFDCA" w14:textId="77777777" w:rsidTr="00973EB3">
        <w:tblPrEx>
          <w:tblCellMar>
            <w:top w:w="15" w:type="dxa"/>
            <w:left w:w="15" w:type="dxa"/>
            <w:bottom w:w="15" w:type="dxa"/>
            <w:right w:w="15" w:type="dxa"/>
          </w:tblCellMar>
        </w:tblPrEx>
        <w:tc>
          <w:tcPr>
            <w:tcW w:w="420" w:type="dxa"/>
            <w:vMerge/>
            <w:shd w:val="clear" w:color="auto" w:fill="auto"/>
            <w:vAlign w:val="center"/>
          </w:tcPr>
          <w:p w14:paraId="1AD33D28" w14:textId="77777777" w:rsidR="002E47EE" w:rsidRPr="00BC52B5" w:rsidRDefault="002E47EE" w:rsidP="00973EB3">
            <w:pPr>
              <w:widowControl w:val="0"/>
              <w:jc w:val="center"/>
              <w:rPr>
                <w:rFonts w:ascii="Arial Narrow" w:hAnsi="Arial Narrow"/>
                <w:b/>
                <w:bCs/>
                <w:snapToGrid w:val="0"/>
                <w:sz w:val="20"/>
                <w:szCs w:val="20"/>
              </w:rPr>
            </w:pPr>
          </w:p>
        </w:tc>
        <w:tc>
          <w:tcPr>
            <w:tcW w:w="992" w:type="dxa"/>
            <w:shd w:val="clear" w:color="auto" w:fill="auto"/>
            <w:vAlign w:val="center"/>
          </w:tcPr>
          <w:p w14:paraId="34DDD6AA" w14:textId="5795743E" w:rsidR="002E47EE" w:rsidRPr="00BC52B5" w:rsidRDefault="002E47EE" w:rsidP="00973EB3">
            <w:pPr>
              <w:widowControl w:val="0"/>
              <w:jc w:val="center"/>
              <w:rPr>
                <w:rFonts w:ascii="Arial Narrow" w:hAnsi="Arial Narrow"/>
                <w:b/>
                <w:sz w:val="20"/>
                <w:szCs w:val="20"/>
              </w:rPr>
            </w:pPr>
          </w:p>
        </w:tc>
        <w:tc>
          <w:tcPr>
            <w:tcW w:w="7655" w:type="dxa"/>
            <w:gridSpan w:val="7"/>
            <w:shd w:val="clear" w:color="auto" w:fill="auto"/>
            <w:vAlign w:val="center"/>
            <w:hideMark/>
          </w:tcPr>
          <w:p w14:paraId="3D80F4E6" w14:textId="77777777" w:rsidR="002E47EE" w:rsidRPr="00BC52B5" w:rsidRDefault="002E47EE" w:rsidP="00973EB3">
            <w:pPr>
              <w:widowControl w:val="0"/>
              <w:rPr>
                <w:rFonts w:ascii="Arial Narrow" w:hAnsi="Arial Narrow"/>
                <w:bCs/>
                <w:snapToGrid w:val="0"/>
                <w:sz w:val="20"/>
                <w:szCs w:val="20"/>
              </w:rPr>
            </w:pPr>
            <w:r w:rsidRPr="00BC52B5">
              <w:rPr>
                <w:rFonts w:ascii="Arial Narrow" w:hAnsi="Arial Narrow"/>
                <w:b/>
                <w:bCs/>
                <w:snapToGrid w:val="0"/>
                <w:sz w:val="20"/>
                <w:szCs w:val="20"/>
              </w:rPr>
              <w:t>Administrative Advice:</w:t>
            </w:r>
            <w:r w:rsidRPr="00BC52B5">
              <w:rPr>
                <w:rFonts w:ascii="Arial Narrow" w:hAnsi="Arial Narrow"/>
                <w:bCs/>
                <w:snapToGrid w:val="0"/>
                <w:sz w:val="20"/>
                <w:szCs w:val="20"/>
              </w:rPr>
              <w:t xml:space="preserve"> No increase in the maximum quantity or number of units may be authorised.</w:t>
            </w:r>
          </w:p>
        </w:tc>
      </w:tr>
      <w:tr w:rsidR="002E47EE" w:rsidRPr="007F2E0C" w14:paraId="14C5827C" w14:textId="77777777" w:rsidTr="00973EB3">
        <w:tblPrEx>
          <w:tblCellMar>
            <w:top w:w="15" w:type="dxa"/>
            <w:left w:w="15" w:type="dxa"/>
            <w:bottom w:w="15" w:type="dxa"/>
            <w:right w:w="15" w:type="dxa"/>
          </w:tblCellMar>
        </w:tblPrEx>
        <w:tc>
          <w:tcPr>
            <w:tcW w:w="420" w:type="dxa"/>
            <w:vMerge/>
            <w:shd w:val="clear" w:color="auto" w:fill="auto"/>
            <w:vAlign w:val="center"/>
          </w:tcPr>
          <w:p w14:paraId="0CF7E6E2" w14:textId="77777777" w:rsidR="002E47EE" w:rsidRPr="00BC52B5" w:rsidRDefault="002E47EE" w:rsidP="00973EB3">
            <w:pPr>
              <w:widowControl w:val="0"/>
              <w:jc w:val="center"/>
              <w:rPr>
                <w:rFonts w:ascii="Arial Narrow" w:hAnsi="Arial Narrow"/>
                <w:b/>
                <w:bCs/>
                <w:snapToGrid w:val="0"/>
                <w:sz w:val="20"/>
                <w:szCs w:val="20"/>
              </w:rPr>
            </w:pPr>
          </w:p>
        </w:tc>
        <w:tc>
          <w:tcPr>
            <w:tcW w:w="992" w:type="dxa"/>
            <w:shd w:val="clear" w:color="auto" w:fill="auto"/>
            <w:vAlign w:val="center"/>
          </w:tcPr>
          <w:p w14:paraId="1D611DEE" w14:textId="1B995793" w:rsidR="002E47EE" w:rsidRPr="00BC52B5" w:rsidRDefault="002E47EE" w:rsidP="00973EB3">
            <w:pPr>
              <w:widowControl w:val="0"/>
              <w:jc w:val="center"/>
              <w:rPr>
                <w:rFonts w:ascii="Arial Narrow" w:hAnsi="Arial Narrow"/>
                <w:b/>
                <w:sz w:val="20"/>
                <w:szCs w:val="20"/>
              </w:rPr>
            </w:pPr>
          </w:p>
        </w:tc>
        <w:tc>
          <w:tcPr>
            <w:tcW w:w="7655" w:type="dxa"/>
            <w:gridSpan w:val="7"/>
            <w:shd w:val="clear" w:color="auto" w:fill="auto"/>
            <w:vAlign w:val="center"/>
            <w:hideMark/>
          </w:tcPr>
          <w:p w14:paraId="31C60549" w14:textId="77777777" w:rsidR="002E47EE" w:rsidRPr="00BC52B5" w:rsidRDefault="002E47EE" w:rsidP="00973EB3">
            <w:pPr>
              <w:widowControl w:val="0"/>
              <w:rPr>
                <w:rFonts w:ascii="Arial Narrow" w:hAnsi="Arial Narrow"/>
                <w:bCs/>
                <w:snapToGrid w:val="0"/>
                <w:sz w:val="20"/>
                <w:szCs w:val="20"/>
              </w:rPr>
            </w:pPr>
            <w:r w:rsidRPr="00BC52B5">
              <w:rPr>
                <w:rFonts w:ascii="Arial Narrow" w:hAnsi="Arial Narrow"/>
                <w:b/>
                <w:bCs/>
                <w:snapToGrid w:val="0"/>
                <w:sz w:val="20"/>
                <w:szCs w:val="20"/>
              </w:rPr>
              <w:t>Administrative Advice:</w:t>
            </w:r>
            <w:r w:rsidRPr="00BC52B5">
              <w:rPr>
                <w:rFonts w:ascii="Arial Narrow" w:hAnsi="Arial Narrow"/>
                <w:bCs/>
                <w:snapToGrid w:val="0"/>
                <w:sz w:val="20"/>
                <w:szCs w:val="20"/>
              </w:rPr>
              <w:t xml:space="preserve"> No increase in the maximum number of repeats may be authorised.</w:t>
            </w:r>
          </w:p>
        </w:tc>
      </w:tr>
      <w:tr w:rsidR="002E47EE" w:rsidRPr="007F2E0C" w14:paraId="3815BA2C" w14:textId="77777777" w:rsidTr="00973EB3">
        <w:tblPrEx>
          <w:tblCellMar>
            <w:top w:w="15" w:type="dxa"/>
            <w:left w:w="15" w:type="dxa"/>
            <w:bottom w:w="15" w:type="dxa"/>
            <w:right w:w="15" w:type="dxa"/>
          </w:tblCellMar>
        </w:tblPrEx>
        <w:tc>
          <w:tcPr>
            <w:tcW w:w="420" w:type="dxa"/>
            <w:vMerge/>
            <w:shd w:val="clear" w:color="auto" w:fill="auto"/>
            <w:vAlign w:val="center"/>
          </w:tcPr>
          <w:p w14:paraId="782B9507" w14:textId="77777777" w:rsidR="002E47EE" w:rsidRPr="00BC52B5" w:rsidRDefault="002E47EE" w:rsidP="00973EB3">
            <w:pPr>
              <w:widowControl w:val="0"/>
              <w:jc w:val="center"/>
              <w:rPr>
                <w:rFonts w:ascii="Arial Narrow" w:hAnsi="Arial Narrow"/>
                <w:b/>
                <w:bCs/>
                <w:snapToGrid w:val="0"/>
                <w:sz w:val="20"/>
                <w:szCs w:val="20"/>
              </w:rPr>
            </w:pPr>
          </w:p>
        </w:tc>
        <w:tc>
          <w:tcPr>
            <w:tcW w:w="992" w:type="dxa"/>
            <w:shd w:val="clear" w:color="auto" w:fill="auto"/>
            <w:vAlign w:val="center"/>
          </w:tcPr>
          <w:p w14:paraId="3B012069" w14:textId="64C16F34" w:rsidR="002E47EE" w:rsidRPr="00BC52B5" w:rsidRDefault="002E47EE" w:rsidP="00973EB3">
            <w:pPr>
              <w:widowControl w:val="0"/>
              <w:jc w:val="center"/>
              <w:rPr>
                <w:rFonts w:ascii="Arial Narrow" w:hAnsi="Arial Narrow"/>
                <w:b/>
                <w:sz w:val="20"/>
                <w:szCs w:val="20"/>
              </w:rPr>
            </w:pPr>
          </w:p>
        </w:tc>
        <w:tc>
          <w:tcPr>
            <w:tcW w:w="7655" w:type="dxa"/>
            <w:gridSpan w:val="7"/>
            <w:shd w:val="clear" w:color="auto" w:fill="auto"/>
            <w:vAlign w:val="center"/>
            <w:hideMark/>
          </w:tcPr>
          <w:p w14:paraId="35452128" w14:textId="77777777" w:rsidR="002E47EE" w:rsidRPr="00BC52B5" w:rsidRDefault="002E47EE" w:rsidP="00973EB3">
            <w:pPr>
              <w:widowControl w:val="0"/>
              <w:rPr>
                <w:rFonts w:ascii="Arial Narrow" w:hAnsi="Arial Narrow"/>
                <w:bCs/>
                <w:snapToGrid w:val="0"/>
                <w:sz w:val="20"/>
                <w:szCs w:val="20"/>
              </w:rPr>
            </w:pPr>
            <w:r w:rsidRPr="00BC52B5">
              <w:rPr>
                <w:rFonts w:ascii="Arial Narrow" w:hAnsi="Arial Narrow"/>
                <w:b/>
                <w:bCs/>
                <w:snapToGrid w:val="0"/>
                <w:sz w:val="20"/>
                <w:szCs w:val="20"/>
              </w:rPr>
              <w:t>Administrative Advice:</w:t>
            </w:r>
            <w:r w:rsidRPr="00BC52B5">
              <w:rPr>
                <w:rFonts w:ascii="Arial Narrow" w:hAnsi="Arial Narrow"/>
                <w:bCs/>
                <w:snapToGrid w:val="0"/>
                <w:sz w:val="20"/>
                <w:szCs w:val="20"/>
              </w:rPr>
              <w:t xml:space="preserve"> Special Pricing Arrangements apply.</w:t>
            </w:r>
          </w:p>
        </w:tc>
      </w:tr>
      <w:tr w:rsidR="002E47EE" w:rsidRPr="007F2E0C" w14:paraId="6B409674" w14:textId="77777777" w:rsidTr="00973EB3">
        <w:tblPrEx>
          <w:tblCellMar>
            <w:top w:w="15" w:type="dxa"/>
            <w:left w:w="15" w:type="dxa"/>
            <w:bottom w:w="15" w:type="dxa"/>
            <w:right w:w="15" w:type="dxa"/>
          </w:tblCellMar>
        </w:tblPrEx>
        <w:tc>
          <w:tcPr>
            <w:tcW w:w="420" w:type="dxa"/>
            <w:vMerge/>
            <w:shd w:val="clear" w:color="auto" w:fill="auto"/>
            <w:vAlign w:val="center"/>
          </w:tcPr>
          <w:p w14:paraId="3493FE21" w14:textId="77777777" w:rsidR="002E47EE" w:rsidRPr="00BC52B5" w:rsidRDefault="002E47EE" w:rsidP="00973EB3">
            <w:pPr>
              <w:widowControl w:val="0"/>
              <w:jc w:val="center"/>
              <w:rPr>
                <w:rFonts w:ascii="Arial Narrow" w:hAnsi="Arial Narrow"/>
                <w:bCs/>
                <w:snapToGrid w:val="0"/>
                <w:sz w:val="20"/>
                <w:szCs w:val="20"/>
              </w:rPr>
            </w:pPr>
          </w:p>
        </w:tc>
        <w:tc>
          <w:tcPr>
            <w:tcW w:w="992" w:type="dxa"/>
            <w:shd w:val="clear" w:color="auto" w:fill="auto"/>
            <w:vAlign w:val="center"/>
          </w:tcPr>
          <w:p w14:paraId="2163E4DB" w14:textId="3EDEE694" w:rsidR="002E47EE" w:rsidRPr="00BC52B5" w:rsidRDefault="002E47EE" w:rsidP="00973EB3">
            <w:pPr>
              <w:widowControl w:val="0"/>
              <w:jc w:val="center"/>
              <w:rPr>
                <w:rFonts w:ascii="Arial Narrow" w:hAnsi="Arial Narrow"/>
                <w:b/>
                <w:sz w:val="20"/>
                <w:szCs w:val="20"/>
              </w:rPr>
            </w:pPr>
          </w:p>
        </w:tc>
        <w:tc>
          <w:tcPr>
            <w:tcW w:w="7655" w:type="dxa"/>
            <w:gridSpan w:val="7"/>
            <w:shd w:val="clear" w:color="auto" w:fill="auto"/>
            <w:vAlign w:val="center"/>
          </w:tcPr>
          <w:p w14:paraId="104F5750" w14:textId="77777777" w:rsidR="002E47EE" w:rsidRPr="00BC52B5" w:rsidRDefault="002E47EE" w:rsidP="00973EB3">
            <w:pPr>
              <w:widowControl w:val="0"/>
              <w:rPr>
                <w:rFonts w:ascii="Arial Narrow" w:hAnsi="Arial Narrow"/>
                <w:b/>
                <w:bCs/>
                <w:snapToGrid w:val="0"/>
                <w:sz w:val="20"/>
                <w:szCs w:val="20"/>
              </w:rPr>
            </w:pPr>
            <w:r w:rsidRPr="00BC52B5">
              <w:rPr>
                <w:rFonts w:ascii="Arial Narrow" w:hAnsi="Arial Narrow"/>
                <w:b/>
                <w:bCs/>
                <w:snapToGrid w:val="0"/>
                <w:sz w:val="20"/>
                <w:szCs w:val="20"/>
              </w:rPr>
              <w:t xml:space="preserve">Administrative Advice: </w:t>
            </w:r>
          </w:p>
          <w:p w14:paraId="4ED562EA" w14:textId="77777777" w:rsidR="002E47EE" w:rsidRPr="00BC52B5" w:rsidRDefault="002E47EE" w:rsidP="00973EB3">
            <w:pPr>
              <w:widowControl w:val="0"/>
              <w:rPr>
                <w:rFonts w:ascii="Arial Narrow" w:hAnsi="Arial Narrow"/>
                <w:b/>
                <w:bCs/>
                <w:snapToGrid w:val="0"/>
                <w:sz w:val="20"/>
                <w:szCs w:val="20"/>
              </w:rPr>
            </w:pPr>
            <w:r w:rsidRPr="00BC52B5">
              <w:rPr>
                <w:rFonts w:ascii="Arial Narrow" w:hAnsi="Arial Narrow"/>
                <w:bCs/>
                <w:snapToGrid w:val="0"/>
                <w:sz w:val="20"/>
                <w:szCs w:val="20"/>
              </w:rPr>
              <w:t xml:space="preserve">Cyclin-dependent kinase 4 and 6 (CDK4/6) inhibitors for the purposes of this restriction are </w:t>
            </w:r>
            <w:proofErr w:type="spellStart"/>
            <w:r w:rsidRPr="00BC52B5">
              <w:rPr>
                <w:rFonts w:ascii="Arial Narrow" w:hAnsi="Arial Narrow"/>
                <w:bCs/>
                <w:snapToGrid w:val="0"/>
                <w:sz w:val="20"/>
                <w:szCs w:val="20"/>
              </w:rPr>
              <w:t>abemaciclib</w:t>
            </w:r>
            <w:proofErr w:type="spellEnd"/>
            <w:r w:rsidRPr="00BC52B5">
              <w:rPr>
                <w:rFonts w:ascii="Arial Narrow" w:hAnsi="Arial Narrow"/>
                <w:bCs/>
                <w:snapToGrid w:val="0"/>
                <w:sz w:val="20"/>
                <w:szCs w:val="20"/>
              </w:rPr>
              <w:t xml:space="preserve">, </w:t>
            </w:r>
            <w:proofErr w:type="spellStart"/>
            <w:r w:rsidRPr="00BC52B5">
              <w:rPr>
                <w:rFonts w:ascii="Arial Narrow" w:hAnsi="Arial Narrow"/>
                <w:bCs/>
                <w:snapToGrid w:val="0"/>
                <w:sz w:val="20"/>
                <w:szCs w:val="20"/>
              </w:rPr>
              <w:t>palbociclib</w:t>
            </w:r>
            <w:proofErr w:type="spellEnd"/>
            <w:r w:rsidRPr="00BC52B5">
              <w:rPr>
                <w:rFonts w:ascii="Arial Narrow" w:hAnsi="Arial Narrow"/>
                <w:bCs/>
                <w:snapToGrid w:val="0"/>
                <w:sz w:val="20"/>
                <w:szCs w:val="20"/>
              </w:rPr>
              <w:t xml:space="preserve"> and </w:t>
            </w:r>
            <w:proofErr w:type="spellStart"/>
            <w:r w:rsidRPr="00BC52B5">
              <w:rPr>
                <w:rFonts w:ascii="Arial Narrow" w:hAnsi="Arial Narrow"/>
                <w:bCs/>
                <w:snapToGrid w:val="0"/>
                <w:sz w:val="20"/>
                <w:szCs w:val="20"/>
              </w:rPr>
              <w:t>ribociclib</w:t>
            </w:r>
            <w:proofErr w:type="spellEnd"/>
            <w:r w:rsidRPr="00BC52B5">
              <w:rPr>
                <w:rFonts w:ascii="Arial Narrow" w:hAnsi="Arial Narrow"/>
                <w:b/>
                <w:bCs/>
                <w:snapToGrid w:val="0"/>
                <w:sz w:val="20"/>
                <w:szCs w:val="20"/>
              </w:rPr>
              <w:t xml:space="preserve"> </w:t>
            </w:r>
          </w:p>
        </w:tc>
      </w:tr>
      <w:tr w:rsidR="002E47EE" w:rsidRPr="00BC52B5" w14:paraId="6750091D" w14:textId="77777777" w:rsidTr="00973EB3">
        <w:tblPrEx>
          <w:tblLook w:val="04A0" w:firstRow="1" w:lastRow="0" w:firstColumn="1" w:lastColumn="0" w:noHBand="0" w:noVBand="1"/>
        </w:tblPrEx>
        <w:trPr>
          <w:gridAfter w:val="1"/>
          <w:wAfter w:w="7" w:type="dxa"/>
          <w:trHeight w:val="41"/>
        </w:trPr>
        <w:tc>
          <w:tcPr>
            <w:tcW w:w="4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7D8CC1D" w14:textId="77777777" w:rsidR="002E47EE" w:rsidRPr="00BC52B5" w:rsidRDefault="002E47EE" w:rsidP="00973EB3">
            <w:pPr>
              <w:widowControl w:val="0"/>
              <w:spacing w:line="256" w:lineRule="auto"/>
              <w:jc w:val="center"/>
              <w:rPr>
                <w:rFonts w:ascii="Arial Narrow" w:hAnsi="Arial Narrow"/>
                <w:bCs/>
                <w:snapToGrid w:val="0"/>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31B44A2" w14:textId="0840959C" w:rsidR="002E47EE" w:rsidRPr="00BC52B5" w:rsidRDefault="002E47EE" w:rsidP="00973EB3">
            <w:pPr>
              <w:widowControl w:val="0"/>
              <w:spacing w:line="256" w:lineRule="auto"/>
              <w:jc w:val="center"/>
              <w:rPr>
                <w:rFonts w:ascii="Arial Narrow" w:hAnsi="Arial Narrow"/>
                <w:bCs/>
                <w:snapToGrid w:val="0"/>
                <w:sz w:val="20"/>
                <w:szCs w:val="20"/>
                <w:lang w:eastAsia="en-US"/>
              </w:rPr>
            </w:pPr>
          </w:p>
        </w:tc>
        <w:tc>
          <w:tcPr>
            <w:tcW w:w="7648"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824DB5D" w14:textId="77777777" w:rsidR="002E47EE" w:rsidRPr="00BC52B5" w:rsidRDefault="002E47EE" w:rsidP="00973EB3">
            <w:pPr>
              <w:widowControl w:val="0"/>
              <w:spacing w:line="256" w:lineRule="auto"/>
              <w:rPr>
                <w:rFonts w:ascii="Arial Narrow" w:hAnsi="Arial Narrow"/>
                <w:b/>
                <w:bCs/>
                <w:snapToGrid w:val="0"/>
                <w:sz w:val="20"/>
                <w:szCs w:val="20"/>
                <w:lang w:eastAsia="en-US"/>
              </w:rPr>
            </w:pPr>
            <w:r w:rsidRPr="00BC52B5">
              <w:rPr>
                <w:rFonts w:ascii="Arial Narrow" w:hAnsi="Arial Narrow"/>
                <w:b/>
                <w:bCs/>
                <w:snapToGrid w:val="0"/>
                <w:sz w:val="20"/>
                <w:szCs w:val="20"/>
                <w:lang w:eastAsia="en-US"/>
              </w:rPr>
              <w:t xml:space="preserve">Administrative Advice: </w:t>
            </w:r>
          </w:p>
          <w:p w14:paraId="09003077" w14:textId="77777777" w:rsidR="002E47EE" w:rsidRPr="00BC52B5" w:rsidRDefault="002E47EE" w:rsidP="00973EB3">
            <w:pPr>
              <w:widowControl w:val="0"/>
              <w:spacing w:line="256" w:lineRule="auto"/>
              <w:rPr>
                <w:rFonts w:ascii="Arial Narrow" w:hAnsi="Arial Narrow"/>
                <w:snapToGrid w:val="0"/>
                <w:sz w:val="20"/>
                <w:szCs w:val="20"/>
                <w:lang w:eastAsia="en-US"/>
              </w:rPr>
            </w:pPr>
            <w:r w:rsidRPr="00BC52B5">
              <w:rPr>
                <w:rFonts w:ascii="Arial Narrow" w:hAnsi="Arial Narrow"/>
                <w:snapToGrid w:val="0"/>
                <w:sz w:val="20"/>
                <w:szCs w:val="20"/>
                <w:lang w:eastAsia="en-US"/>
              </w:rPr>
              <w:t>Non-steroidal aromatase inhibitors for the purposes of this restriction are anastrozole and letrozole</w:t>
            </w:r>
          </w:p>
        </w:tc>
      </w:tr>
      <w:tr w:rsidR="002E47EE" w:rsidRPr="007F2E0C" w14:paraId="20821B8B" w14:textId="77777777" w:rsidTr="00973EB3">
        <w:tblPrEx>
          <w:tblCellMar>
            <w:top w:w="15" w:type="dxa"/>
            <w:left w:w="15" w:type="dxa"/>
            <w:bottom w:w="15" w:type="dxa"/>
            <w:right w:w="15" w:type="dxa"/>
          </w:tblCellMar>
        </w:tblPrEx>
        <w:tc>
          <w:tcPr>
            <w:tcW w:w="1412" w:type="dxa"/>
            <w:gridSpan w:val="2"/>
            <w:shd w:val="clear" w:color="auto" w:fill="auto"/>
            <w:vAlign w:val="center"/>
          </w:tcPr>
          <w:p w14:paraId="047A8D1B" w14:textId="30B82CFB" w:rsidR="002E47EE" w:rsidRPr="00BC52B5" w:rsidRDefault="002E47EE" w:rsidP="00973EB3">
            <w:pPr>
              <w:widowControl w:val="0"/>
              <w:jc w:val="center"/>
              <w:rPr>
                <w:rFonts w:ascii="Arial Narrow" w:hAnsi="Arial Narrow"/>
                <w:b/>
                <w:bCs/>
                <w:snapToGrid w:val="0"/>
                <w:sz w:val="20"/>
                <w:szCs w:val="20"/>
              </w:rPr>
            </w:pPr>
          </w:p>
        </w:tc>
        <w:tc>
          <w:tcPr>
            <w:tcW w:w="7655" w:type="dxa"/>
            <w:gridSpan w:val="7"/>
            <w:shd w:val="clear" w:color="auto" w:fill="auto"/>
            <w:vAlign w:val="center"/>
            <w:hideMark/>
          </w:tcPr>
          <w:p w14:paraId="6C840A0A" w14:textId="77777777" w:rsidR="002E47EE" w:rsidRPr="00BC52B5" w:rsidRDefault="002E47EE" w:rsidP="00973EB3">
            <w:pPr>
              <w:widowControl w:val="0"/>
              <w:rPr>
                <w:rFonts w:ascii="Arial Narrow" w:hAnsi="Arial Narrow"/>
                <w:bCs/>
                <w:snapToGrid w:val="0"/>
                <w:sz w:val="20"/>
                <w:szCs w:val="20"/>
              </w:rPr>
            </w:pPr>
            <w:r w:rsidRPr="00BC52B5">
              <w:rPr>
                <w:rFonts w:ascii="Arial Narrow" w:hAnsi="Arial Narrow"/>
                <w:b/>
                <w:bCs/>
                <w:snapToGrid w:val="0"/>
                <w:sz w:val="20"/>
                <w:szCs w:val="20"/>
              </w:rPr>
              <w:t>Indication:</w:t>
            </w:r>
            <w:r w:rsidRPr="00BC52B5">
              <w:rPr>
                <w:rFonts w:ascii="Arial Narrow" w:hAnsi="Arial Narrow"/>
                <w:bCs/>
                <w:snapToGrid w:val="0"/>
                <w:sz w:val="20"/>
                <w:szCs w:val="20"/>
              </w:rPr>
              <w:t xml:space="preserve"> Locally advanced or metastatic breast cancer</w:t>
            </w:r>
          </w:p>
        </w:tc>
      </w:tr>
      <w:tr w:rsidR="002E47EE" w:rsidRPr="007F2E0C" w14:paraId="67C52DA3" w14:textId="77777777" w:rsidTr="00973EB3">
        <w:tblPrEx>
          <w:tblCellMar>
            <w:top w:w="15" w:type="dxa"/>
            <w:left w:w="15" w:type="dxa"/>
            <w:bottom w:w="15" w:type="dxa"/>
            <w:right w:w="15" w:type="dxa"/>
          </w:tblCellMar>
        </w:tblPrEx>
        <w:tc>
          <w:tcPr>
            <w:tcW w:w="1412" w:type="dxa"/>
            <w:gridSpan w:val="2"/>
            <w:shd w:val="clear" w:color="auto" w:fill="auto"/>
            <w:vAlign w:val="center"/>
          </w:tcPr>
          <w:p w14:paraId="3A676B5A" w14:textId="77777777" w:rsidR="002E47EE" w:rsidRPr="00BC52B5" w:rsidRDefault="002E47EE" w:rsidP="00973EB3">
            <w:pPr>
              <w:widowControl w:val="0"/>
              <w:jc w:val="center"/>
              <w:rPr>
                <w:rFonts w:ascii="Arial Narrow" w:hAnsi="Arial Narrow"/>
                <w:b/>
                <w:bCs/>
                <w:snapToGrid w:val="0"/>
                <w:sz w:val="20"/>
                <w:szCs w:val="20"/>
              </w:rPr>
            </w:pPr>
          </w:p>
        </w:tc>
        <w:tc>
          <w:tcPr>
            <w:tcW w:w="7655" w:type="dxa"/>
            <w:gridSpan w:val="7"/>
            <w:shd w:val="clear" w:color="auto" w:fill="auto"/>
            <w:vAlign w:val="center"/>
            <w:hideMark/>
          </w:tcPr>
          <w:p w14:paraId="2C8E3CF4" w14:textId="77777777" w:rsidR="002E47EE" w:rsidRPr="00BC52B5" w:rsidRDefault="002E47EE" w:rsidP="00973EB3">
            <w:pPr>
              <w:widowControl w:val="0"/>
              <w:rPr>
                <w:rFonts w:ascii="Arial Narrow" w:hAnsi="Arial Narrow"/>
                <w:bCs/>
                <w:snapToGrid w:val="0"/>
                <w:sz w:val="20"/>
                <w:szCs w:val="20"/>
              </w:rPr>
            </w:pPr>
            <w:r w:rsidRPr="00BC52B5">
              <w:rPr>
                <w:rFonts w:ascii="Arial Narrow" w:hAnsi="Arial Narrow"/>
                <w:b/>
                <w:bCs/>
                <w:snapToGrid w:val="0"/>
                <w:sz w:val="20"/>
                <w:szCs w:val="20"/>
              </w:rPr>
              <w:t>Treatment Phase:</w:t>
            </w:r>
            <w:r w:rsidRPr="00BC52B5">
              <w:rPr>
                <w:rFonts w:ascii="Arial Narrow" w:hAnsi="Arial Narrow"/>
                <w:bCs/>
                <w:snapToGrid w:val="0"/>
                <w:sz w:val="20"/>
                <w:szCs w:val="20"/>
              </w:rPr>
              <w:t xml:space="preserve"> Initial treatment</w:t>
            </w:r>
          </w:p>
        </w:tc>
      </w:tr>
      <w:tr w:rsidR="002E47EE" w:rsidRPr="007F2E0C" w14:paraId="15CB6C14" w14:textId="77777777" w:rsidTr="00973EB3">
        <w:tblPrEx>
          <w:tblCellMar>
            <w:top w:w="15" w:type="dxa"/>
            <w:left w:w="15" w:type="dxa"/>
            <w:bottom w:w="15" w:type="dxa"/>
            <w:right w:w="15" w:type="dxa"/>
          </w:tblCellMar>
        </w:tblPrEx>
        <w:tc>
          <w:tcPr>
            <w:tcW w:w="1412" w:type="dxa"/>
            <w:gridSpan w:val="2"/>
            <w:shd w:val="clear" w:color="auto" w:fill="auto"/>
            <w:vAlign w:val="center"/>
          </w:tcPr>
          <w:p w14:paraId="1274AD9E" w14:textId="77777777" w:rsidR="002E47EE" w:rsidRPr="00BC52B5" w:rsidRDefault="002E47EE" w:rsidP="00973EB3">
            <w:pPr>
              <w:widowControl w:val="0"/>
              <w:jc w:val="center"/>
              <w:rPr>
                <w:rFonts w:ascii="Arial Narrow" w:hAnsi="Arial Narrow"/>
                <w:b/>
                <w:bCs/>
                <w:snapToGrid w:val="0"/>
                <w:sz w:val="20"/>
                <w:szCs w:val="20"/>
              </w:rPr>
            </w:pPr>
          </w:p>
        </w:tc>
        <w:tc>
          <w:tcPr>
            <w:tcW w:w="7655" w:type="dxa"/>
            <w:gridSpan w:val="7"/>
            <w:shd w:val="clear" w:color="auto" w:fill="auto"/>
            <w:vAlign w:val="center"/>
          </w:tcPr>
          <w:p w14:paraId="2135535A" w14:textId="77777777" w:rsidR="002E47EE" w:rsidRPr="00BC52B5" w:rsidRDefault="002E47EE" w:rsidP="00973EB3">
            <w:pPr>
              <w:widowControl w:val="0"/>
              <w:rPr>
                <w:rFonts w:ascii="Arial Narrow" w:hAnsi="Arial Narrow"/>
                <w:b/>
                <w:bCs/>
                <w:snapToGrid w:val="0"/>
                <w:sz w:val="20"/>
                <w:szCs w:val="20"/>
              </w:rPr>
            </w:pPr>
            <w:r w:rsidRPr="00BC52B5">
              <w:rPr>
                <w:rFonts w:ascii="Arial Narrow" w:hAnsi="Arial Narrow"/>
                <w:b/>
                <w:bCs/>
                <w:snapToGrid w:val="0"/>
                <w:sz w:val="20"/>
                <w:szCs w:val="20"/>
              </w:rPr>
              <w:t>Clinical criteria:</w:t>
            </w:r>
          </w:p>
        </w:tc>
      </w:tr>
      <w:tr w:rsidR="002E47EE" w:rsidRPr="007F2E0C" w14:paraId="20AFB809" w14:textId="77777777" w:rsidTr="00973EB3">
        <w:tblPrEx>
          <w:tblCellMar>
            <w:top w:w="15" w:type="dxa"/>
            <w:left w:w="15" w:type="dxa"/>
            <w:bottom w:w="15" w:type="dxa"/>
            <w:right w:w="15" w:type="dxa"/>
          </w:tblCellMar>
        </w:tblPrEx>
        <w:trPr>
          <w:trHeight w:val="98"/>
        </w:trPr>
        <w:tc>
          <w:tcPr>
            <w:tcW w:w="1412" w:type="dxa"/>
            <w:gridSpan w:val="2"/>
            <w:shd w:val="clear" w:color="auto" w:fill="auto"/>
            <w:vAlign w:val="center"/>
          </w:tcPr>
          <w:p w14:paraId="37FE0093" w14:textId="24A27293" w:rsidR="002E47EE" w:rsidRPr="00BC52B5" w:rsidRDefault="002E47EE" w:rsidP="00973EB3">
            <w:pPr>
              <w:widowControl w:val="0"/>
              <w:jc w:val="center"/>
              <w:rPr>
                <w:rFonts w:ascii="Arial Narrow" w:hAnsi="Arial Narrow"/>
                <w:bCs/>
                <w:snapToGrid w:val="0"/>
                <w:sz w:val="20"/>
                <w:szCs w:val="20"/>
              </w:rPr>
            </w:pPr>
          </w:p>
        </w:tc>
        <w:tc>
          <w:tcPr>
            <w:tcW w:w="7655" w:type="dxa"/>
            <w:gridSpan w:val="7"/>
            <w:shd w:val="clear" w:color="auto" w:fill="auto"/>
            <w:vAlign w:val="center"/>
          </w:tcPr>
          <w:p w14:paraId="2668E1EB" w14:textId="77777777" w:rsidR="002E47EE" w:rsidRPr="00BC52B5" w:rsidRDefault="002E47EE" w:rsidP="00973EB3">
            <w:pPr>
              <w:widowControl w:val="0"/>
              <w:rPr>
                <w:rFonts w:ascii="Arial Narrow" w:hAnsi="Arial Narrow"/>
                <w:bCs/>
                <w:snapToGrid w:val="0"/>
                <w:sz w:val="20"/>
                <w:szCs w:val="20"/>
              </w:rPr>
            </w:pPr>
            <w:r w:rsidRPr="00BC52B5">
              <w:rPr>
                <w:rFonts w:ascii="Arial Narrow" w:hAnsi="Arial Narrow"/>
                <w:bCs/>
                <w:snapToGrid w:val="0"/>
                <w:sz w:val="20"/>
                <w:szCs w:val="20"/>
              </w:rPr>
              <w:t>Patient must be untreated with a cyclin-dependent kinase 4 and 6 (CDK4/6) inhibitor therapy; or</w:t>
            </w:r>
          </w:p>
        </w:tc>
      </w:tr>
      <w:tr w:rsidR="002E47EE" w:rsidRPr="007F2E0C" w14:paraId="00FBB6A4" w14:textId="77777777" w:rsidTr="00973EB3">
        <w:tblPrEx>
          <w:tblCellMar>
            <w:top w:w="15" w:type="dxa"/>
            <w:left w:w="15" w:type="dxa"/>
            <w:bottom w:w="15" w:type="dxa"/>
            <w:right w:w="15" w:type="dxa"/>
          </w:tblCellMar>
        </w:tblPrEx>
        <w:tc>
          <w:tcPr>
            <w:tcW w:w="1412" w:type="dxa"/>
            <w:gridSpan w:val="2"/>
            <w:shd w:val="clear" w:color="auto" w:fill="auto"/>
            <w:vAlign w:val="center"/>
          </w:tcPr>
          <w:p w14:paraId="1033E593" w14:textId="07123FA2" w:rsidR="002E47EE" w:rsidRPr="00BC52B5" w:rsidRDefault="002E47EE" w:rsidP="00973EB3">
            <w:pPr>
              <w:widowControl w:val="0"/>
              <w:jc w:val="center"/>
              <w:rPr>
                <w:rFonts w:ascii="Arial Narrow" w:hAnsi="Arial Narrow"/>
                <w:bCs/>
                <w:snapToGrid w:val="0"/>
                <w:sz w:val="20"/>
                <w:szCs w:val="20"/>
              </w:rPr>
            </w:pPr>
          </w:p>
        </w:tc>
        <w:tc>
          <w:tcPr>
            <w:tcW w:w="7655" w:type="dxa"/>
            <w:gridSpan w:val="7"/>
            <w:shd w:val="clear" w:color="auto" w:fill="auto"/>
            <w:vAlign w:val="center"/>
            <w:hideMark/>
          </w:tcPr>
          <w:p w14:paraId="31FAE3A3" w14:textId="049ED59C" w:rsidR="002E47EE" w:rsidRPr="00BC52B5" w:rsidRDefault="002E47EE" w:rsidP="00973EB3">
            <w:pPr>
              <w:widowControl w:val="0"/>
              <w:rPr>
                <w:rFonts w:ascii="Arial Narrow" w:hAnsi="Arial Narrow"/>
                <w:bCs/>
                <w:snapToGrid w:val="0"/>
                <w:sz w:val="20"/>
                <w:szCs w:val="20"/>
              </w:rPr>
            </w:pPr>
            <w:r w:rsidRPr="00BC52B5">
              <w:rPr>
                <w:rFonts w:ascii="Arial Narrow" w:hAnsi="Arial Narrow"/>
                <w:bCs/>
                <w:snapToGrid w:val="0"/>
                <w:sz w:val="20"/>
                <w:szCs w:val="20"/>
              </w:rPr>
              <w:t>Patient must have developed an intolerance to another CDK4/6 inhibitor therapy (other than this drug) of a severity necessitating permanent treatment withdrawal</w:t>
            </w:r>
          </w:p>
        </w:tc>
      </w:tr>
      <w:tr w:rsidR="002E47EE" w:rsidRPr="007F2E0C" w14:paraId="0E99E944" w14:textId="77777777" w:rsidTr="00973EB3">
        <w:tblPrEx>
          <w:tblCellMar>
            <w:top w:w="15" w:type="dxa"/>
            <w:left w:w="15" w:type="dxa"/>
            <w:bottom w:w="15" w:type="dxa"/>
            <w:right w:w="15" w:type="dxa"/>
          </w:tblCellMar>
        </w:tblPrEx>
        <w:tc>
          <w:tcPr>
            <w:tcW w:w="1412" w:type="dxa"/>
            <w:gridSpan w:val="2"/>
            <w:shd w:val="clear" w:color="auto" w:fill="auto"/>
            <w:vAlign w:val="center"/>
          </w:tcPr>
          <w:p w14:paraId="539A5D8F" w14:textId="77777777" w:rsidR="002E47EE" w:rsidRPr="00BC52B5" w:rsidRDefault="002E47EE" w:rsidP="00973EB3">
            <w:pPr>
              <w:widowControl w:val="0"/>
              <w:jc w:val="center"/>
              <w:rPr>
                <w:rFonts w:ascii="Arial Narrow" w:hAnsi="Arial Narrow"/>
                <w:b/>
                <w:bCs/>
                <w:snapToGrid w:val="0"/>
                <w:sz w:val="20"/>
                <w:szCs w:val="20"/>
              </w:rPr>
            </w:pPr>
          </w:p>
        </w:tc>
        <w:tc>
          <w:tcPr>
            <w:tcW w:w="7655" w:type="dxa"/>
            <w:gridSpan w:val="7"/>
            <w:shd w:val="clear" w:color="auto" w:fill="auto"/>
            <w:vAlign w:val="center"/>
          </w:tcPr>
          <w:p w14:paraId="640428B1" w14:textId="77777777" w:rsidR="002E47EE" w:rsidRPr="00BC52B5" w:rsidRDefault="002E47EE" w:rsidP="00973EB3">
            <w:pPr>
              <w:widowControl w:val="0"/>
              <w:rPr>
                <w:rFonts w:ascii="Arial Narrow" w:hAnsi="Arial Narrow"/>
                <w:b/>
                <w:bCs/>
                <w:snapToGrid w:val="0"/>
                <w:sz w:val="20"/>
                <w:szCs w:val="20"/>
              </w:rPr>
            </w:pPr>
            <w:r w:rsidRPr="00BC52B5">
              <w:rPr>
                <w:rFonts w:ascii="Arial Narrow" w:hAnsi="Arial Narrow"/>
                <w:b/>
                <w:sz w:val="20"/>
                <w:szCs w:val="20"/>
              </w:rPr>
              <w:t>AND</w:t>
            </w:r>
          </w:p>
        </w:tc>
      </w:tr>
      <w:tr w:rsidR="002E47EE" w:rsidRPr="007F2E0C" w14:paraId="13AF9759" w14:textId="77777777" w:rsidTr="00973EB3">
        <w:tblPrEx>
          <w:tblCellMar>
            <w:top w:w="15" w:type="dxa"/>
            <w:left w:w="15" w:type="dxa"/>
            <w:bottom w:w="15" w:type="dxa"/>
            <w:right w:w="15" w:type="dxa"/>
          </w:tblCellMar>
        </w:tblPrEx>
        <w:tc>
          <w:tcPr>
            <w:tcW w:w="1412" w:type="dxa"/>
            <w:gridSpan w:val="2"/>
            <w:shd w:val="clear" w:color="auto" w:fill="auto"/>
            <w:vAlign w:val="center"/>
          </w:tcPr>
          <w:p w14:paraId="41969CCF" w14:textId="621FCF3D" w:rsidR="002E47EE" w:rsidRPr="00BC52B5" w:rsidRDefault="002E47EE" w:rsidP="00973EB3">
            <w:pPr>
              <w:widowControl w:val="0"/>
              <w:jc w:val="center"/>
              <w:rPr>
                <w:rFonts w:ascii="Arial Narrow" w:hAnsi="Arial Narrow"/>
                <w:b/>
                <w:bCs/>
                <w:snapToGrid w:val="0"/>
                <w:sz w:val="20"/>
                <w:szCs w:val="20"/>
              </w:rPr>
            </w:pPr>
          </w:p>
        </w:tc>
        <w:tc>
          <w:tcPr>
            <w:tcW w:w="7655" w:type="dxa"/>
            <w:gridSpan w:val="7"/>
            <w:shd w:val="clear" w:color="auto" w:fill="auto"/>
            <w:vAlign w:val="center"/>
            <w:hideMark/>
          </w:tcPr>
          <w:p w14:paraId="4A0A9980" w14:textId="77777777" w:rsidR="002E47EE" w:rsidRPr="00BC52B5" w:rsidRDefault="002E47EE" w:rsidP="00973EB3">
            <w:pPr>
              <w:widowControl w:val="0"/>
              <w:rPr>
                <w:rFonts w:ascii="Arial Narrow" w:hAnsi="Arial Narrow"/>
                <w:bCs/>
                <w:snapToGrid w:val="0"/>
                <w:sz w:val="20"/>
                <w:szCs w:val="20"/>
              </w:rPr>
            </w:pPr>
            <w:r w:rsidRPr="00BC52B5">
              <w:rPr>
                <w:rFonts w:ascii="Arial Narrow" w:hAnsi="Arial Narrow"/>
                <w:b/>
                <w:bCs/>
                <w:snapToGrid w:val="0"/>
                <w:sz w:val="20"/>
                <w:szCs w:val="20"/>
              </w:rPr>
              <w:t>Clinical criteria:</w:t>
            </w:r>
          </w:p>
        </w:tc>
      </w:tr>
      <w:tr w:rsidR="002E47EE" w:rsidRPr="007F2E0C" w14:paraId="26633614" w14:textId="77777777" w:rsidTr="00973EB3">
        <w:tblPrEx>
          <w:tblCellMar>
            <w:top w:w="15" w:type="dxa"/>
            <w:left w:w="15" w:type="dxa"/>
            <w:bottom w:w="15" w:type="dxa"/>
            <w:right w:w="15" w:type="dxa"/>
          </w:tblCellMar>
        </w:tblPrEx>
        <w:tc>
          <w:tcPr>
            <w:tcW w:w="1412" w:type="dxa"/>
            <w:gridSpan w:val="2"/>
            <w:shd w:val="clear" w:color="auto" w:fill="auto"/>
            <w:vAlign w:val="center"/>
          </w:tcPr>
          <w:p w14:paraId="524DEE9F" w14:textId="795E497F" w:rsidR="002E47EE" w:rsidRPr="00BC52B5" w:rsidRDefault="002E47EE" w:rsidP="00973EB3">
            <w:pPr>
              <w:widowControl w:val="0"/>
              <w:jc w:val="center"/>
              <w:rPr>
                <w:rFonts w:ascii="Arial Narrow" w:hAnsi="Arial Narrow"/>
                <w:bCs/>
                <w:snapToGrid w:val="0"/>
                <w:sz w:val="20"/>
                <w:szCs w:val="20"/>
              </w:rPr>
            </w:pPr>
          </w:p>
        </w:tc>
        <w:tc>
          <w:tcPr>
            <w:tcW w:w="7655" w:type="dxa"/>
            <w:gridSpan w:val="7"/>
            <w:shd w:val="clear" w:color="auto" w:fill="auto"/>
            <w:vAlign w:val="center"/>
            <w:hideMark/>
          </w:tcPr>
          <w:p w14:paraId="12C839EF" w14:textId="77777777" w:rsidR="002E47EE" w:rsidRPr="00BC52B5" w:rsidRDefault="002E47EE" w:rsidP="00973EB3">
            <w:pPr>
              <w:widowControl w:val="0"/>
              <w:rPr>
                <w:rFonts w:ascii="Arial Narrow" w:hAnsi="Arial Narrow"/>
                <w:bCs/>
                <w:snapToGrid w:val="0"/>
                <w:sz w:val="20"/>
                <w:szCs w:val="20"/>
              </w:rPr>
            </w:pPr>
            <w:r w:rsidRPr="00BC52B5">
              <w:rPr>
                <w:rFonts w:ascii="Arial Narrow" w:hAnsi="Arial Narrow"/>
                <w:bCs/>
                <w:snapToGrid w:val="0"/>
                <w:sz w:val="20"/>
                <w:szCs w:val="20"/>
              </w:rPr>
              <w:t>The condition must be hormone receptor positive</w:t>
            </w:r>
          </w:p>
        </w:tc>
      </w:tr>
      <w:tr w:rsidR="002E47EE" w:rsidRPr="007F2E0C" w14:paraId="63870962" w14:textId="77777777" w:rsidTr="00973EB3">
        <w:tblPrEx>
          <w:tblCellMar>
            <w:top w:w="15" w:type="dxa"/>
            <w:left w:w="15" w:type="dxa"/>
            <w:bottom w:w="15" w:type="dxa"/>
            <w:right w:w="15" w:type="dxa"/>
          </w:tblCellMar>
        </w:tblPrEx>
        <w:tc>
          <w:tcPr>
            <w:tcW w:w="1412" w:type="dxa"/>
            <w:gridSpan w:val="2"/>
            <w:shd w:val="clear" w:color="auto" w:fill="auto"/>
            <w:vAlign w:val="center"/>
          </w:tcPr>
          <w:p w14:paraId="471E7635" w14:textId="77777777" w:rsidR="002E47EE" w:rsidRPr="00BC52B5" w:rsidRDefault="002E47EE" w:rsidP="00973EB3">
            <w:pPr>
              <w:widowControl w:val="0"/>
              <w:jc w:val="center"/>
              <w:rPr>
                <w:rFonts w:ascii="Arial Narrow" w:hAnsi="Arial Narrow"/>
                <w:b/>
                <w:bCs/>
                <w:snapToGrid w:val="0"/>
                <w:sz w:val="20"/>
                <w:szCs w:val="20"/>
              </w:rPr>
            </w:pPr>
          </w:p>
        </w:tc>
        <w:tc>
          <w:tcPr>
            <w:tcW w:w="7655" w:type="dxa"/>
            <w:gridSpan w:val="7"/>
            <w:shd w:val="clear" w:color="auto" w:fill="auto"/>
            <w:vAlign w:val="center"/>
            <w:hideMark/>
          </w:tcPr>
          <w:p w14:paraId="76A99A08" w14:textId="77777777" w:rsidR="002E47EE" w:rsidRPr="00BC52B5" w:rsidRDefault="002E47EE" w:rsidP="00973EB3">
            <w:pPr>
              <w:widowControl w:val="0"/>
              <w:rPr>
                <w:rFonts w:ascii="Arial Narrow" w:hAnsi="Arial Narrow"/>
                <w:bCs/>
                <w:snapToGrid w:val="0"/>
                <w:sz w:val="20"/>
                <w:szCs w:val="20"/>
              </w:rPr>
            </w:pPr>
            <w:r w:rsidRPr="00BC52B5">
              <w:rPr>
                <w:rFonts w:ascii="Arial Narrow" w:hAnsi="Arial Narrow"/>
                <w:b/>
                <w:bCs/>
                <w:snapToGrid w:val="0"/>
                <w:sz w:val="20"/>
                <w:szCs w:val="20"/>
              </w:rPr>
              <w:t>AND</w:t>
            </w:r>
          </w:p>
        </w:tc>
      </w:tr>
      <w:tr w:rsidR="002E47EE" w:rsidRPr="007F2E0C" w14:paraId="6CDD5403" w14:textId="77777777" w:rsidTr="00973EB3">
        <w:tblPrEx>
          <w:tblCellMar>
            <w:top w:w="15" w:type="dxa"/>
            <w:left w:w="15" w:type="dxa"/>
            <w:bottom w:w="15" w:type="dxa"/>
            <w:right w:w="15" w:type="dxa"/>
          </w:tblCellMar>
        </w:tblPrEx>
        <w:tc>
          <w:tcPr>
            <w:tcW w:w="1412" w:type="dxa"/>
            <w:gridSpan w:val="2"/>
            <w:shd w:val="clear" w:color="auto" w:fill="auto"/>
            <w:vAlign w:val="center"/>
          </w:tcPr>
          <w:p w14:paraId="4E7FE4C5" w14:textId="31369462" w:rsidR="002E47EE" w:rsidRPr="00BC52B5" w:rsidRDefault="002E47EE" w:rsidP="00973EB3">
            <w:pPr>
              <w:widowControl w:val="0"/>
              <w:jc w:val="center"/>
              <w:rPr>
                <w:rFonts w:ascii="Arial Narrow" w:hAnsi="Arial Narrow"/>
                <w:b/>
                <w:bCs/>
                <w:snapToGrid w:val="0"/>
                <w:sz w:val="20"/>
                <w:szCs w:val="20"/>
              </w:rPr>
            </w:pPr>
          </w:p>
        </w:tc>
        <w:tc>
          <w:tcPr>
            <w:tcW w:w="7655" w:type="dxa"/>
            <w:gridSpan w:val="7"/>
            <w:shd w:val="clear" w:color="auto" w:fill="auto"/>
            <w:vAlign w:val="center"/>
            <w:hideMark/>
          </w:tcPr>
          <w:p w14:paraId="1B783030" w14:textId="77777777" w:rsidR="002E47EE" w:rsidRPr="00BC52B5" w:rsidRDefault="002E47EE" w:rsidP="00973EB3">
            <w:pPr>
              <w:widowControl w:val="0"/>
              <w:rPr>
                <w:rFonts w:ascii="Arial Narrow" w:hAnsi="Arial Narrow"/>
                <w:bCs/>
                <w:snapToGrid w:val="0"/>
                <w:sz w:val="20"/>
                <w:szCs w:val="20"/>
              </w:rPr>
            </w:pPr>
            <w:r w:rsidRPr="00BC52B5">
              <w:rPr>
                <w:rFonts w:ascii="Arial Narrow" w:hAnsi="Arial Narrow"/>
                <w:b/>
                <w:bCs/>
                <w:snapToGrid w:val="0"/>
                <w:sz w:val="20"/>
                <w:szCs w:val="20"/>
              </w:rPr>
              <w:t>Clinical criteria:</w:t>
            </w:r>
          </w:p>
        </w:tc>
      </w:tr>
      <w:tr w:rsidR="002E47EE" w:rsidRPr="007F2E0C" w14:paraId="2E26B17B" w14:textId="77777777" w:rsidTr="00973EB3">
        <w:tblPrEx>
          <w:tblCellMar>
            <w:top w:w="15" w:type="dxa"/>
            <w:left w:w="15" w:type="dxa"/>
            <w:bottom w:w="15" w:type="dxa"/>
            <w:right w:w="15" w:type="dxa"/>
          </w:tblCellMar>
        </w:tblPrEx>
        <w:tc>
          <w:tcPr>
            <w:tcW w:w="1412" w:type="dxa"/>
            <w:gridSpan w:val="2"/>
            <w:shd w:val="clear" w:color="auto" w:fill="auto"/>
            <w:vAlign w:val="center"/>
          </w:tcPr>
          <w:p w14:paraId="01ECE83C" w14:textId="15E74833" w:rsidR="002E47EE" w:rsidRPr="00BC52B5" w:rsidRDefault="002E47EE" w:rsidP="00973EB3">
            <w:pPr>
              <w:widowControl w:val="0"/>
              <w:jc w:val="center"/>
              <w:rPr>
                <w:rFonts w:ascii="Arial Narrow" w:hAnsi="Arial Narrow"/>
                <w:bCs/>
                <w:snapToGrid w:val="0"/>
                <w:sz w:val="20"/>
                <w:szCs w:val="20"/>
              </w:rPr>
            </w:pPr>
          </w:p>
        </w:tc>
        <w:tc>
          <w:tcPr>
            <w:tcW w:w="7655" w:type="dxa"/>
            <w:gridSpan w:val="7"/>
            <w:shd w:val="clear" w:color="auto" w:fill="auto"/>
            <w:vAlign w:val="center"/>
            <w:hideMark/>
          </w:tcPr>
          <w:p w14:paraId="7896040F" w14:textId="77777777" w:rsidR="002E47EE" w:rsidRPr="00BC52B5" w:rsidRDefault="002E47EE" w:rsidP="00973EB3">
            <w:pPr>
              <w:widowControl w:val="0"/>
              <w:rPr>
                <w:rFonts w:ascii="Arial Narrow" w:hAnsi="Arial Narrow"/>
                <w:bCs/>
                <w:snapToGrid w:val="0"/>
                <w:sz w:val="20"/>
                <w:szCs w:val="20"/>
              </w:rPr>
            </w:pPr>
            <w:r w:rsidRPr="00BC52B5">
              <w:rPr>
                <w:rFonts w:ascii="Arial Narrow" w:hAnsi="Arial Narrow"/>
                <w:bCs/>
                <w:snapToGrid w:val="0"/>
                <w:sz w:val="20"/>
                <w:szCs w:val="20"/>
              </w:rPr>
              <w:t>The condition must be human epidermal growth factor receptor 2 (HER2) negative</w:t>
            </w:r>
          </w:p>
        </w:tc>
      </w:tr>
      <w:tr w:rsidR="002E47EE" w:rsidRPr="007F2E0C" w14:paraId="2D00864F" w14:textId="77777777" w:rsidTr="00973EB3">
        <w:tblPrEx>
          <w:tblCellMar>
            <w:top w:w="15" w:type="dxa"/>
            <w:left w:w="15" w:type="dxa"/>
            <w:bottom w:w="15" w:type="dxa"/>
            <w:right w:w="15" w:type="dxa"/>
          </w:tblCellMar>
        </w:tblPrEx>
        <w:tc>
          <w:tcPr>
            <w:tcW w:w="1412" w:type="dxa"/>
            <w:gridSpan w:val="2"/>
            <w:shd w:val="clear" w:color="auto" w:fill="auto"/>
            <w:vAlign w:val="center"/>
          </w:tcPr>
          <w:p w14:paraId="1D739A2C" w14:textId="77777777" w:rsidR="002E47EE" w:rsidRPr="00BC52B5" w:rsidRDefault="002E47EE" w:rsidP="00973EB3">
            <w:pPr>
              <w:widowControl w:val="0"/>
              <w:jc w:val="center"/>
              <w:rPr>
                <w:rFonts w:ascii="Arial Narrow" w:hAnsi="Arial Narrow"/>
                <w:b/>
                <w:bCs/>
                <w:snapToGrid w:val="0"/>
                <w:sz w:val="20"/>
                <w:szCs w:val="20"/>
              </w:rPr>
            </w:pPr>
          </w:p>
        </w:tc>
        <w:tc>
          <w:tcPr>
            <w:tcW w:w="7655" w:type="dxa"/>
            <w:gridSpan w:val="7"/>
            <w:shd w:val="clear" w:color="auto" w:fill="auto"/>
            <w:vAlign w:val="center"/>
            <w:hideMark/>
          </w:tcPr>
          <w:p w14:paraId="76EE3F55" w14:textId="77777777" w:rsidR="002E47EE" w:rsidRPr="00BC52B5" w:rsidRDefault="002E47EE" w:rsidP="00973EB3">
            <w:pPr>
              <w:widowControl w:val="0"/>
              <w:rPr>
                <w:rFonts w:ascii="Arial Narrow" w:hAnsi="Arial Narrow"/>
                <w:bCs/>
                <w:snapToGrid w:val="0"/>
                <w:sz w:val="20"/>
                <w:szCs w:val="20"/>
              </w:rPr>
            </w:pPr>
            <w:r w:rsidRPr="00BC52B5">
              <w:rPr>
                <w:rFonts w:ascii="Arial Narrow" w:hAnsi="Arial Narrow"/>
                <w:b/>
                <w:bCs/>
                <w:snapToGrid w:val="0"/>
                <w:sz w:val="20"/>
                <w:szCs w:val="20"/>
              </w:rPr>
              <w:t>AND</w:t>
            </w:r>
          </w:p>
        </w:tc>
      </w:tr>
      <w:tr w:rsidR="002E47EE" w:rsidRPr="007F2E0C" w14:paraId="214A6827" w14:textId="77777777" w:rsidTr="00973EB3">
        <w:tblPrEx>
          <w:tblCellMar>
            <w:top w:w="15" w:type="dxa"/>
            <w:left w:w="15" w:type="dxa"/>
            <w:bottom w:w="15" w:type="dxa"/>
            <w:right w:w="15" w:type="dxa"/>
          </w:tblCellMar>
        </w:tblPrEx>
        <w:tc>
          <w:tcPr>
            <w:tcW w:w="1412" w:type="dxa"/>
            <w:gridSpan w:val="2"/>
            <w:shd w:val="clear" w:color="auto" w:fill="auto"/>
            <w:vAlign w:val="center"/>
          </w:tcPr>
          <w:p w14:paraId="082D43DE" w14:textId="64C982C6" w:rsidR="002E47EE" w:rsidRPr="00BC52B5" w:rsidRDefault="002E47EE" w:rsidP="00973EB3">
            <w:pPr>
              <w:widowControl w:val="0"/>
              <w:jc w:val="center"/>
              <w:rPr>
                <w:rFonts w:ascii="Arial Narrow" w:hAnsi="Arial Narrow"/>
                <w:b/>
                <w:bCs/>
                <w:snapToGrid w:val="0"/>
                <w:sz w:val="20"/>
                <w:szCs w:val="20"/>
              </w:rPr>
            </w:pPr>
          </w:p>
        </w:tc>
        <w:tc>
          <w:tcPr>
            <w:tcW w:w="7655" w:type="dxa"/>
            <w:gridSpan w:val="7"/>
            <w:shd w:val="clear" w:color="auto" w:fill="auto"/>
            <w:vAlign w:val="center"/>
            <w:hideMark/>
          </w:tcPr>
          <w:p w14:paraId="4B9153D8" w14:textId="77777777" w:rsidR="002E47EE" w:rsidRPr="00BC52B5" w:rsidRDefault="002E47EE" w:rsidP="00973EB3">
            <w:pPr>
              <w:widowControl w:val="0"/>
              <w:rPr>
                <w:rFonts w:ascii="Arial Narrow" w:hAnsi="Arial Narrow"/>
                <w:bCs/>
                <w:snapToGrid w:val="0"/>
                <w:sz w:val="20"/>
                <w:szCs w:val="20"/>
              </w:rPr>
            </w:pPr>
            <w:r w:rsidRPr="00BC52B5">
              <w:rPr>
                <w:rFonts w:ascii="Arial Narrow" w:hAnsi="Arial Narrow"/>
                <w:b/>
                <w:bCs/>
                <w:snapToGrid w:val="0"/>
                <w:sz w:val="20"/>
                <w:szCs w:val="20"/>
              </w:rPr>
              <w:t>Clinical criteria:</w:t>
            </w:r>
          </w:p>
        </w:tc>
      </w:tr>
      <w:tr w:rsidR="002E47EE" w:rsidRPr="007F2E0C" w14:paraId="5E60C811" w14:textId="77777777" w:rsidTr="00973EB3">
        <w:tblPrEx>
          <w:tblCellMar>
            <w:top w:w="15" w:type="dxa"/>
            <w:left w:w="15" w:type="dxa"/>
            <w:bottom w:w="15" w:type="dxa"/>
            <w:right w:w="15" w:type="dxa"/>
          </w:tblCellMar>
        </w:tblPrEx>
        <w:tc>
          <w:tcPr>
            <w:tcW w:w="1412" w:type="dxa"/>
            <w:gridSpan w:val="2"/>
            <w:shd w:val="clear" w:color="auto" w:fill="auto"/>
            <w:vAlign w:val="center"/>
          </w:tcPr>
          <w:p w14:paraId="3E8A5C1C" w14:textId="21AAD341" w:rsidR="002E47EE" w:rsidRPr="00BC52B5" w:rsidRDefault="002E47EE" w:rsidP="00973EB3">
            <w:pPr>
              <w:widowControl w:val="0"/>
              <w:jc w:val="center"/>
              <w:rPr>
                <w:rFonts w:ascii="Arial Narrow" w:hAnsi="Arial Narrow"/>
                <w:bCs/>
                <w:snapToGrid w:val="0"/>
                <w:sz w:val="20"/>
                <w:szCs w:val="20"/>
              </w:rPr>
            </w:pPr>
          </w:p>
        </w:tc>
        <w:tc>
          <w:tcPr>
            <w:tcW w:w="7655" w:type="dxa"/>
            <w:gridSpan w:val="7"/>
            <w:shd w:val="clear" w:color="auto" w:fill="auto"/>
            <w:vAlign w:val="center"/>
            <w:hideMark/>
          </w:tcPr>
          <w:p w14:paraId="5CFC83FF" w14:textId="77777777" w:rsidR="002E47EE" w:rsidRPr="00BC52B5" w:rsidRDefault="002E47EE" w:rsidP="00973EB3">
            <w:pPr>
              <w:widowControl w:val="0"/>
              <w:rPr>
                <w:rFonts w:ascii="Arial Narrow" w:hAnsi="Arial Narrow"/>
                <w:bCs/>
                <w:snapToGrid w:val="0"/>
                <w:sz w:val="20"/>
                <w:szCs w:val="20"/>
              </w:rPr>
            </w:pPr>
            <w:r w:rsidRPr="00BC52B5">
              <w:rPr>
                <w:rFonts w:ascii="Arial Narrow" w:hAnsi="Arial Narrow"/>
                <w:bCs/>
                <w:snapToGrid w:val="0"/>
                <w:sz w:val="20"/>
                <w:szCs w:val="20"/>
              </w:rPr>
              <w:t>The condition must be inoperable</w:t>
            </w:r>
          </w:p>
        </w:tc>
      </w:tr>
      <w:tr w:rsidR="002E47EE" w:rsidRPr="007F2E0C" w14:paraId="0D221931" w14:textId="77777777" w:rsidTr="00973EB3">
        <w:tblPrEx>
          <w:tblCellMar>
            <w:top w:w="15" w:type="dxa"/>
            <w:left w:w="15" w:type="dxa"/>
            <w:bottom w:w="15" w:type="dxa"/>
            <w:right w:w="15" w:type="dxa"/>
          </w:tblCellMar>
        </w:tblPrEx>
        <w:tc>
          <w:tcPr>
            <w:tcW w:w="1412" w:type="dxa"/>
            <w:gridSpan w:val="2"/>
            <w:shd w:val="clear" w:color="auto" w:fill="auto"/>
            <w:vAlign w:val="center"/>
          </w:tcPr>
          <w:p w14:paraId="41E82CBC" w14:textId="77777777" w:rsidR="002E47EE" w:rsidRPr="00BC52B5" w:rsidRDefault="002E47EE" w:rsidP="00973EB3">
            <w:pPr>
              <w:widowControl w:val="0"/>
              <w:jc w:val="center"/>
              <w:rPr>
                <w:rFonts w:ascii="Arial Narrow" w:hAnsi="Arial Narrow"/>
                <w:b/>
                <w:bCs/>
                <w:snapToGrid w:val="0"/>
                <w:sz w:val="20"/>
                <w:szCs w:val="20"/>
              </w:rPr>
            </w:pPr>
          </w:p>
        </w:tc>
        <w:tc>
          <w:tcPr>
            <w:tcW w:w="7655" w:type="dxa"/>
            <w:gridSpan w:val="7"/>
            <w:shd w:val="clear" w:color="auto" w:fill="auto"/>
            <w:vAlign w:val="center"/>
            <w:hideMark/>
          </w:tcPr>
          <w:p w14:paraId="03090C1B" w14:textId="77777777" w:rsidR="002E47EE" w:rsidRPr="00BC52B5" w:rsidRDefault="002E47EE" w:rsidP="00973EB3">
            <w:pPr>
              <w:widowControl w:val="0"/>
              <w:rPr>
                <w:rFonts w:ascii="Arial Narrow" w:hAnsi="Arial Narrow"/>
                <w:bCs/>
                <w:snapToGrid w:val="0"/>
                <w:sz w:val="20"/>
                <w:szCs w:val="20"/>
              </w:rPr>
            </w:pPr>
            <w:r w:rsidRPr="00BC52B5">
              <w:rPr>
                <w:rFonts w:ascii="Arial Narrow" w:hAnsi="Arial Narrow"/>
                <w:b/>
                <w:bCs/>
                <w:snapToGrid w:val="0"/>
                <w:sz w:val="20"/>
                <w:szCs w:val="20"/>
              </w:rPr>
              <w:t>AND</w:t>
            </w:r>
          </w:p>
        </w:tc>
      </w:tr>
      <w:tr w:rsidR="002E47EE" w:rsidRPr="007F2E0C" w14:paraId="4D6D22C8" w14:textId="77777777" w:rsidTr="00973EB3">
        <w:tblPrEx>
          <w:tblCellMar>
            <w:top w:w="15" w:type="dxa"/>
            <w:left w:w="15" w:type="dxa"/>
            <w:bottom w:w="15" w:type="dxa"/>
            <w:right w:w="15" w:type="dxa"/>
          </w:tblCellMar>
        </w:tblPrEx>
        <w:tc>
          <w:tcPr>
            <w:tcW w:w="1412" w:type="dxa"/>
            <w:gridSpan w:val="2"/>
            <w:shd w:val="clear" w:color="auto" w:fill="auto"/>
            <w:vAlign w:val="center"/>
          </w:tcPr>
          <w:p w14:paraId="702D14D0" w14:textId="3177189D" w:rsidR="002E47EE" w:rsidRPr="00BC52B5" w:rsidRDefault="002E47EE" w:rsidP="00973EB3">
            <w:pPr>
              <w:widowControl w:val="0"/>
              <w:jc w:val="center"/>
              <w:rPr>
                <w:rFonts w:ascii="Arial Narrow" w:hAnsi="Arial Narrow"/>
                <w:b/>
                <w:bCs/>
                <w:snapToGrid w:val="0"/>
                <w:sz w:val="20"/>
                <w:szCs w:val="20"/>
              </w:rPr>
            </w:pPr>
          </w:p>
        </w:tc>
        <w:tc>
          <w:tcPr>
            <w:tcW w:w="7655" w:type="dxa"/>
            <w:gridSpan w:val="7"/>
            <w:shd w:val="clear" w:color="auto" w:fill="auto"/>
            <w:vAlign w:val="center"/>
            <w:hideMark/>
          </w:tcPr>
          <w:p w14:paraId="0C846040" w14:textId="77777777" w:rsidR="002E47EE" w:rsidRPr="00BC52B5" w:rsidRDefault="002E47EE" w:rsidP="00973EB3">
            <w:pPr>
              <w:widowControl w:val="0"/>
              <w:rPr>
                <w:rFonts w:ascii="Arial Narrow" w:hAnsi="Arial Narrow"/>
                <w:bCs/>
                <w:snapToGrid w:val="0"/>
                <w:sz w:val="20"/>
                <w:szCs w:val="20"/>
              </w:rPr>
            </w:pPr>
            <w:r w:rsidRPr="00BC52B5">
              <w:rPr>
                <w:rFonts w:ascii="Arial Narrow" w:hAnsi="Arial Narrow"/>
                <w:b/>
                <w:bCs/>
                <w:snapToGrid w:val="0"/>
                <w:sz w:val="20"/>
                <w:szCs w:val="20"/>
              </w:rPr>
              <w:t>Clinical criteria:</w:t>
            </w:r>
          </w:p>
        </w:tc>
      </w:tr>
      <w:tr w:rsidR="002E47EE" w:rsidRPr="007F2E0C" w14:paraId="34652BD1" w14:textId="77777777" w:rsidTr="00973EB3">
        <w:tblPrEx>
          <w:tblCellMar>
            <w:top w:w="15" w:type="dxa"/>
            <w:left w:w="15" w:type="dxa"/>
            <w:bottom w:w="15" w:type="dxa"/>
            <w:right w:w="15" w:type="dxa"/>
          </w:tblCellMar>
        </w:tblPrEx>
        <w:tc>
          <w:tcPr>
            <w:tcW w:w="1412" w:type="dxa"/>
            <w:gridSpan w:val="2"/>
            <w:shd w:val="clear" w:color="auto" w:fill="auto"/>
            <w:vAlign w:val="center"/>
          </w:tcPr>
          <w:p w14:paraId="6EDC40F3" w14:textId="40F81B1F" w:rsidR="002E47EE" w:rsidRPr="00BC52B5" w:rsidRDefault="002E47EE" w:rsidP="00973EB3">
            <w:pPr>
              <w:widowControl w:val="0"/>
              <w:jc w:val="center"/>
              <w:rPr>
                <w:rFonts w:ascii="Arial Narrow" w:hAnsi="Arial Narrow"/>
                <w:bCs/>
                <w:snapToGrid w:val="0"/>
                <w:sz w:val="20"/>
                <w:szCs w:val="20"/>
              </w:rPr>
            </w:pPr>
          </w:p>
        </w:tc>
        <w:tc>
          <w:tcPr>
            <w:tcW w:w="7655" w:type="dxa"/>
            <w:gridSpan w:val="7"/>
            <w:shd w:val="clear" w:color="auto" w:fill="auto"/>
            <w:vAlign w:val="center"/>
            <w:hideMark/>
          </w:tcPr>
          <w:p w14:paraId="12B49281" w14:textId="77777777" w:rsidR="002E47EE" w:rsidRPr="00BC52B5" w:rsidRDefault="002E47EE" w:rsidP="00973EB3">
            <w:pPr>
              <w:widowControl w:val="0"/>
              <w:rPr>
                <w:rFonts w:ascii="Arial Narrow" w:hAnsi="Arial Narrow"/>
                <w:bCs/>
                <w:snapToGrid w:val="0"/>
                <w:sz w:val="20"/>
                <w:szCs w:val="20"/>
              </w:rPr>
            </w:pPr>
            <w:r w:rsidRPr="00BC52B5">
              <w:rPr>
                <w:rFonts w:ascii="Arial Narrow" w:hAnsi="Arial Narrow"/>
                <w:bCs/>
                <w:snapToGrid w:val="0"/>
                <w:sz w:val="20"/>
                <w:szCs w:val="20"/>
              </w:rPr>
              <w:t>Patient must have a World Health Organisation (WHO) Eastern Cooperative Oncology Group (ECOG) performance status score of 2 or less</w:t>
            </w:r>
          </w:p>
        </w:tc>
      </w:tr>
      <w:tr w:rsidR="002E47EE" w:rsidRPr="007F2E0C" w14:paraId="658A143D" w14:textId="77777777" w:rsidTr="00973EB3">
        <w:tblPrEx>
          <w:tblCellMar>
            <w:top w:w="15" w:type="dxa"/>
            <w:left w:w="15" w:type="dxa"/>
            <w:bottom w:w="15" w:type="dxa"/>
            <w:right w:w="15" w:type="dxa"/>
          </w:tblCellMar>
        </w:tblPrEx>
        <w:tc>
          <w:tcPr>
            <w:tcW w:w="1412" w:type="dxa"/>
            <w:gridSpan w:val="2"/>
            <w:shd w:val="clear" w:color="auto" w:fill="auto"/>
            <w:vAlign w:val="center"/>
          </w:tcPr>
          <w:p w14:paraId="284EB94F" w14:textId="77777777" w:rsidR="002E47EE" w:rsidRPr="00BC52B5" w:rsidRDefault="002E47EE" w:rsidP="00973EB3">
            <w:pPr>
              <w:widowControl w:val="0"/>
              <w:jc w:val="center"/>
              <w:rPr>
                <w:rFonts w:ascii="Arial Narrow" w:hAnsi="Arial Narrow"/>
                <w:b/>
                <w:bCs/>
                <w:snapToGrid w:val="0"/>
                <w:sz w:val="20"/>
                <w:szCs w:val="20"/>
              </w:rPr>
            </w:pPr>
          </w:p>
        </w:tc>
        <w:tc>
          <w:tcPr>
            <w:tcW w:w="7655" w:type="dxa"/>
            <w:gridSpan w:val="7"/>
            <w:shd w:val="clear" w:color="auto" w:fill="auto"/>
            <w:vAlign w:val="center"/>
            <w:hideMark/>
          </w:tcPr>
          <w:p w14:paraId="6F27D101" w14:textId="77777777" w:rsidR="002E47EE" w:rsidRPr="00BC52B5" w:rsidRDefault="002E47EE" w:rsidP="00973EB3">
            <w:pPr>
              <w:widowControl w:val="0"/>
              <w:rPr>
                <w:rFonts w:ascii="Arial Narrow" w:hAnsi="Arial Narrow"/>
                <w:bCs/>
                <w:snapToGrid w:val="0"/>
                <w:sz w:val="20"/>
                <w:szCs w:val="20"/>
              </w:rPr>
            </w:pPr>
            <w:r w:rsidRPr="00BC52B5">
              <w:rPr>
                <w:rFonts w:ascii="Arial Narrow" w:hAnsi="Arial Narrow"/>
                <w:b/>
                <w:bCs/>
                <w:snapToGrid w:val="0"/>
                <w:sz w:val="20"/>
                <w:szCs w:val="20"/>
              </w:rPr>
              <w:t>AND</w:t>
            </w:r>
          </w:p>
        </w:tc>
      </w:tr>
      <w:tr w:rsidR="002E47EE" w:rsidRPr="007F2E0C" w14:paraId="3B5AB768" w14:textId="77777777" w:rsidTr="00973EB3">
        <w:tblPrEx>
          <w:tblCellMar>
            <w:top w:w="15" w:type="dxa"/>
            <w:left w:w="15" w:type="dxa"/>
            <w:bottom w:w="15" w:type="dxa"/>
            <w:right w:w="15" w:type="dxa"/>
          </w:tblCellMar>
        </w:tblPrEx>
        <w:tc>
          <w:tcPr>
            <w:tcW w:w="1412" w:type="dxa"/>
            <w:gridSpan w:val="2"/>
            <w:shd w:val="clear" w:color="auto" w:fill="auto"/>
            <w:vAlign w:val="center"/>
          </w:tcPr>
          <w:p w14:paraId="7D37522E" w14:textId="0935572C" w:rsidR="002E47EE" w:rsidRPr="00BC52B5" w:rsidRDefault="002E47EE" w:rsidP="00973EB3">
            <w:pPr>
              <w:widowControl w:val="0"/>
              <w:jc w:val="center"/>
              <w:rPr>
                <w:rFonts w:ascii="Arial Narrow" w:hAnsi="Arial Narrow"/>
                <w:bCs/>
                <w:snapToGrid w:val="0"/>
                <w:sz w:val="20"/>
                <w:szCs w:val="20"/>
              </w:rPr>
            </w:pPr>
          </w:p>
        </w:tc>
        <w:tc>
          <w:tcPr>
            <w:tcW w:w="7655" w:type="dxa"/>
            <w:gridSpan w:val="7"/>
            <w:shd w:val="clear" w:color="auto" w:fill="auto"/>
            <w:vAlign w:val="center"/>
            <w:hideMark/>
          </w:tcPr>
          <w:p w14:paraId="4E58AFBD" w14:textId="77777777" w:rsidR="002E47EE" w:rsidRPr="00BC52B5" w:rsidRDefault="002E47EE" w:rsidP="00973EB3">
            <w:pPr>
              <w:widowControl w:val="0"/>
              <w:rPr>
                <w:rFonts w:ascii="Arial Narrow" w:hAnsi="Arial Narrow"/>
                <w:bCs/>
                <w:snapToGrid w:val="0"/>
                <w:sz w:val="20"/>
                <w:szCs w:val="20"/>
              </w:rPr>
            </w:pPr>
            <w:r w:rsidRPr="00BC52B5">
              <w:rPr>
                <w:rFonts w:ascii="Arial Narrow" w:hAnsi="Arial Narrow"/>
                <w:b/>
                <w:bCs/>
                <w:snapToGrid w:val="0"/>
                <w:sz w:val="20"/>
                <w:szCs w:val="20"/>
              </w:rPr>
              <w:t>Clinical criteria:</w:t>
            </w:r>
          </w:p>
        </w:tc>
      </w:tr>
      <w:tr w:rsidR="002E47EE" w:rsidRPr="00B5124C" w14:paraId="56DD2333" w14:textId="77777777" w:rsidTr="00973EB3">
        <w:tblPrEx>
          <w:tblCellMar>
            <w:top w:w="15" w:type="dxa"/>
            <w:left w:w="15" w:type="dxa"/>
            <w:bottom w:w="15" w:type="dxa"/>
            <w:right w:w="15" w:type="dxa"/>
          </w:tblCellMar>
        </w:tblPrEx>
        <w:tc>
          <w:tcPr>
            <w:tcW w:w="1412" w:type="dxa"/>
            <w:gridSpan w:val="2"/>
            <w:shd w:val="clear" w:color="auto" w:fill="auto"/>
            <w:vAlign w:val="center"/>
          </w:tcPr>
          <w:p w14:paraId="223AF124" w14:textId="5E5DDD78" w:rsidR="002E47EE" w:rsidRPr="00BC52B5" w:rsidRDefault="002E47EE" w:rsidP="00973EB3">
            <w:pPr>
              <w:widowControl w:val="0"/>
              <w:jc w:val="center"/>
              <w:rPr>
                <w:rFonts w:ascii="Arial Narrow" w:hAnsi="Arial Narrow"/>
                <w:bCs/>
                <w:snapToGrid w:val="0"/>
                <w:sz w:val="20"/>
                <w:szCs w:val="20"/>
              </w:rPr>
            </w:pPr>
          </w:p>
        </w:tc>
        <w:tc>
          <w:tcPr>
            <w:tcW w:w="7655" w:type="dxa"/>
            <w:gridSpan w:val="7"/>
            <w:shd w:val="clear" w:color="auto" w:fill="auto"/>
            <w:vAlign w:val="center"/>
          </w:tcPr>
          <w:p w14:paraId="4A41BC2F" w14:textId="692F8C7B" w:rsidR="002E47EE" w:rsidRPr="00BC52B5" w:rsidRDefault="002E47EE" w:rsidP="00973EB3">
            <w:pPr>
              <w:jc w:val="left"/>
              <w:rPr>
                <w:rFonts w:ascii="Times New Roman" w:eastAsiaTheme="minorHAnsi" w:hAnsi="Times New Roman" w:cs="Times New Roman"/>
              </w:rPr>
            </w:pPr>
            <w:r w:rsidRPr="00BC52B5">
              <w:rPr>
                <w:rFonts w:ascii="Arial Narrow" w:hAnsi="Arial Narrow"/>
                <w:bCs/>
                <w:snapToGrid w:val="0"/>
                <w:sz w:val="20"/>
                <w:szCs w:val="20"/>
              </w:rPr>
              <w:t xml:space="preserve">The treatment must be in combination, where the patient has never been treated with endocrine therapy for advanced/metastatic disease, with </w:t>
            </w:r>
            <w:r w:rsidR="00BC52B5" w:rsidRPr="00BC52B5">
              <w:rPr>
                <w:rFonts w:ascii="Arial Narrow" w:hAnsi="Arial Narrow"/>
                <w:bCs/>
                <w:snapToGrid w:val="0"/>
                <w:sz w:val="20"/>
                <w:szCs w:val="20"/>
              </w:rPr>
              <w:t>one of (</w:t>
            </w:r>
            <w:proofErr w:type="spellStart"/>
            <w:r w:rsidR="00BC52B5" w:rsidRPr="00BC52B5">
              <w:rPr>
                <w:rFonts w:ascii="Arial Narrow" w:hAnsi="Arial Narrow"/>
                <w:bCs/>
                <w:snapToGrid w:val="0"/>
                <w:sz w:val="20"/>
                <w:szCs w:val="20"/>
              </w:rPr>
              <w:t>i</w:t>
            </w:r>
            <w:proofErr w:type="spellEnd"/>
            <w:r w:rsidR="00BC52B5" w:rsidRPr="00BC52B5">
              <w:rPr>
                <w:rFonts w:ascii="Arial Narrow" w:hAnsi="Arial Narrow"/>
                <w:bCs/>
                <w:snapToGrid w:val="0"/>
                <w:sz w:val="20"/>
                <w:szCs w:val="20"/>
              </w:rPr>
              <w:t xml:space="preserve">) </w:t>
            </w:r>
            <w:r w:rsidRPr="00BC52B5">
              <w:rPr>
                <w:rFonts w:ascii="Arial Narrow" w:hAnsi="Arial Narrow"/>
                <w:bCs/>
                <w:snapToGrid w:val="0"/>
                <w:sz w:val="20"/>
                <w:szCs w:val="20"/>
              </w:rPr>
              <w:t>a non-steroidal aromatase inhibitor</w:t>
            </w:r>
            <w:r w:rsidR="00BC52B5" w:rsidRPr="00BC52B5">
              <w:rPr>
                <w:rFonts w:ascii="Arial Narrow" w:hAnsi="Arial Narrow"/>
                <w:bCs/>
                <w:snapToGrid w:val="0"/>
                <w:sz w:val="20"/>
                <w:szCs w:val="20"/>
              </w:rPr>
              <w:t xml:space="preserve">, (ii) </w:t>
            </w:r>
            <w:proofErr w:type="spellStart"/>
            <w:r w:rsidR="00BC52B5" w:rsidRPr="00BC52B5">
              <w:rPr>
                <w:rFonts w:ascii="Arial Narrow" w:hAnsi="Arial Narrow"/>
                <w:bCs/>
                <w:snapToGrid w:val="0"/>
                <w:sz w:val="20"/>
                <w:szCs w:val="20"/>
              </w:rPr>
              <w:t>fulvestrant</w:t>
            </w:r>
            <w:proofErr w:type="spellEnd"/>
            <w:r w:rsidRPr="00BC52B5">
              <w:rPr>
                <w:rFonts w:ascii="Arial Narrow" w:hAnsi="Arial Narrow"/>
                <w:bCs/>
                <w:snapToGrid w:val="0"/>
                <w:sz w:val="20"/>
                <w:szCs w:val="20"/>
              </w:rPr>
              <w:t xml:space="preserve">; OR </w:t>
            </w:r>
            <w:r w:rsidRPr="00BC52B5">
              <w:rPr>
                <w:rFonts w:ascii="Times New Roman" w:eastAsiaTheme="minorHAnsi" w:hAnsi="Times New Roman" w:cs="Times New Roman"/>
              </w:rPr>
              <w:t xml:space="preserve"> </w:t>
            </w:r>
          </w:p>
        </w:tc>
      </w:tr>
      <w:tr w:rsidR="002E47EE" w:rsidRPr="007F2E0C" w14:paraId="4406AB37" w14:textId="77777777" w:rsidTr="00973EB3">
        <w:tblPrEx>
          <w:tblCellMar>
            <w:top w:w="15" w:type="dxa"/>
            <w:left w:w="15" w:type="dxa"/>
            <w:bottom w:w="15" w:type="dxa"/>
            <w:right w:w="15" w:type="dxa"/>
          </w:tblCellMar>
        </w:tblPrEx>
        <w:tc>
          <w:tcPr>
            <w:tcW w:w="1412" w:type="dxa"/>
            <w:gridSpan w:val="2"/>
            <w:shd w:val="clear" w:color="auto" w:fill="auto"/>
            <w:vAlign w:val="center"/>
          </w:tcPr>
          <w:p w14:paraId="7C9C4A58" w14:textId="52061E0F" w:rsidR="002E47EE" w:rsidRPr="00BC52B5" w:rsidRDefault="002E47EE" w:rsidP="00973EB3">
            <w:pPr>
              <w:widowControl w:val="0"/>
              <w:jc w:val="center"/>
              <w:rPr>
                <w:rFonts w:ascii="Arial Narrow" w:hAnsi="Arial Narrow"/>
                <w:bCs/>
                <w:snapToGrid w:val="0"/>
                <w:sz w:val="20"/>
                <w:szCs w:val="20"/>
              </w:rPr>
            </w:pPr>
          </w:p>
        </w:tc>
        <w:tc>
          <w:tcPr>
            <w:tcW w:w="7655" w:type="dxa"/>
            <w:gridSpan w:val="7"/>
            <w:shd w:val="clear" w:color="auto" w:fill="auto"/>
            <w:vAlign w:val="center"/>
          </w:tcPr>
          <w:p w14:paraId="12DD049D" w14:textId="602D395A" w:rsidR="002E47EE" w:rsidRPr="00BC52B5" w:rsidRDefault="002E47EE" w:rsidP="00973EB3">
            <w:pPr>
              <w:widowControl w:val="0"/>
              <w:rPr>
                <w:rFonts w:ascii="Arial Narrow" w:hAnsi="Arial Narrow"/>
                <w:bCs/>
                <w:snapToGrid w:val="0"/>
                <w:sz w:val="20"/>
                <w:szCs w:val="20"/>
              </w:rPr>
            </w:pPr>
            <w:r w:rsidRPr="00BC52B5">
              <w:rPr>
                <w:rFonts w:ascii="Arial Narrow" w:hAnsi="Arial Narrow"/>
                <w:bCs/>
                <w:snapToGrid w:val="0"/>
                <w:sz w:val="20"/>
                <w:szCs w:val="20"/>
              </w:rPr>
              <w:t xml:space="preserve">The treatment must be in combination, where the patient has recurrence/progressive disease despite being treated with endocrine therapy for advanced/metastatic disease, with </w:t>
            </w:r>
            <w:proofErr w:type="spellStart"/>
            <w:r w:rsidRPr="00BC52B5">
              <w:rPr>
                <w:rFonts w:ascii="Arial Narrow" w:hAnsi="Arial Narrow"/>
                <w:bCs/>
                <w:snapToGrid w:val="0"/>
                <w:sz w:val="20"/>
                <w:szCs w:val="20"/>
              </w:rPr>
              <w:t>fulvestrant</w:t>
            </w:r>
            <w:proofErr w:type="spellEnd"/>
            <w:r w:rsidRPr="00BC52B5">
              <w:rPr>
                <w:rFonts w:ascii="Arial Narrow" w:hAnsi="Arial Narrow"/>
                <w:bCs/>
                <w:snapToGrid w:val="0"/>
                <w:sz w:val="20"/>
                <w:szCs w:val="20"/>
              </w:rPr>
              <w:t xml:space="preserve"> only</w:t>
            </w:r>
          </w:p>
        </w:tc>
      </w:tr>
      <w:tr w:rsidR="002E47EE" w:rsidRPr="007F2E0C" w14:paraId="4B80333D" w14:textId="77777777" w:rsidTr="00973EB3">
        <w:tblPrEx>
          <w:tblCellMar>
            <w:top w:w="15" w:type="dxa"/>
            <w:left w:w="15" w:type="dxa"/>
            <w:bottom w:w="15" w:type="dxa"/>
            <w:right w:w="15" w:type="dxa"/>
          </w:tblCellMar>
        </w:tblPrEx>
        <w:tc>
          <w:tcPr>
            <w:tcW w:w="1412" w:type="dxa"/>
            <w:gridSpan w:val="2"/>
            <w:shd w:val="clear" w:color="auto" w:fill="auto"/>
            <w:vAlign w:val="center"/>
          </w:tcPr>
          <w:p w14:paraId="4EE32EF4" w14:textId="77777777" w:rsidR="002E47EE" w:rsidRPr="00BC52B5" w:rsidRDefault="002E47EE" w:rsidP="00973EB3">
            <w:pPr>
              <w:widowControl w:val="0"/>
              <w:jc w:val="center"/>
              <w:rPr>
                <w:rFonts w:ascii="Arial Narrow" w:hAnsi="Arial Narrow"/>
                <w:bCs/>
                <w:snapToGrid w:val="0"/>
                <w:sz w:val="20"/>
                <w:szCs w:val="20"/>
              </w:rPr>
            </w:pPr>
          </w:p>
        </w:tc>
        <w:tc>
          <w:tcPr>
            <w:tcW w:w="7655" w:type="dxa"/>
            <w:gridSpan w:val="7"/>
            <w:shd w:val="clear" w:color="auto" w:fill="auto"/>
            <w:vAlign w:val="center"/>
          </w:tcPr>
          <w:p w14:paraId="7C8D1589" w14:textId="77777777" w:rsidR="002E47EE" w:rsidRPr="00BC52B5" w:rsidRDefault="002E47EE" w:rsidP="00973EB3">
            <w:pPr>
              <w:widowControl w:val="0"/>
              <w:rPr>
                <w:rFonts w:ascii="Arial Narrow" w:hAnsi="Arial Narrow"/>
                <w:bCs/>
                <w:snapToGrid w:val="0"/>
                <w:sz w:val="20"/>
                <w:szCs w:val="20"/>
              </w:rPr>
            </w:pPr>
            <w:r w:rsidRPr="00BC52B5">
              <w:rPr>
                <w:rFonts w:ascii="Arial Narrow" w:hAnsi="Arial Narrow"/>
                <w:b/>
                <w:bCs/>
                <w:snapToGrid w:val="0"/>
                <w:sz w:val="20"/>
                <w:szCs w:val="20"/>
              </w:rPr>
              <w:t>AND</w:t>
            </w:r>
          </w:p>
        </w:tc>
      </w:tr>
      <w:tr w:rsidR="002E47EE" w:rsidRPr="007F2E0C" w14:paraId="24C27C3F" w14:textId="77777777" w:rsidTr="00973EB3">
        <w:tblPrEx>
          <w:tblCellMar>
            <w:top w:w="15" w:type="dxa"/>
            <w:left w:w="15" w:type="dxa"/>
            <w:bottom w:w="15" w:type="dxa"/>
            <w:right w:w="15" w:type="dxa"/>
          </w:tblCellMar>
        </w:tblPrEx>
        <w:tc>
          <w:tcPr>
            <w:tcW w:w="1412" w:type="dxa"/>
            <w:gridSpan w:val="2"/>
            <w:shd w:val="clear" w:color="auto" w:fill="auto"/>
            <w:vAlign w:val="center"/>
          </w:tcPr>
          <w:p w14:paraId="103A786A" w14:textId="77777777" w:rsidR="002E47EE" w:rsidRPr="00BC52B5" w:rsidRDefault="002E47EE" w:rsidP="00973EB3">
            <w:pPr>
              <w:widowControl w:val="0"/>
              <w:jc w:val="center"/>
              <w:rPr>
                <w:rFonts w:ascii="Arial Narrow" w:hAnsi="Arial Narrow"/>
                <w:bCs/>
                <w:snapToGrid w:val="0"/>
                <w:sz w:val="20"/>
                <w:szCs w:val="20"/>
              </w:rPr>
            </w:pPr>
          </w:p>
        </w:tc>
        <w:tc>
          <w:tcPr>
            <w:tcW w:w="7655" w:type="dxa"/>
            <w:gridSpan w:val="7"/>
            <w:shd w:val="clear" w:color="auto" w:fill="auto"/>
            <w:vAlign w:val="center"/>
          </w:tcPr>
          <w:p w14:paraId="2E2A3866" w14:textId="77777777" w:rsidR="002E47EE" w:rsidRPr="00BC52B5" w:rsidRDefault="002E47EE" w:rsidP="00973EB3">
            <w:pPr>
              <w:widowControl w:val="0"/>
              <w:rPr>
                <w:rFonts w:ascii="Arial Narrow" w:hAnsi="Arial Narrow"/>
                <w:bCs/>
                <w:snapToGrid w:val="0"/>
                <w:sz w:val="20"/>
                <w:szCs w:val="20"/>
              </w:rPr>
            </w:pPr>
            <w:r w:rsidRPr="00BC52B5">
              <w:rPr>
                <w:rFonts w:ascii="Arial Narrow" w:hAnsi="Arial Narrow"/>
                <w:b/>
                <w:bCs/>
                <w:snapToGrid w:val="0"/>
                <w:sz w:val="20"/>
                <w:szCs w:val="20"/>
              </w:rPr>
              <w:t>Clinical criteria:</w:t>
            </w:r>
          </w:p>
        </w:tc>
      </w:tr>
      <w:tr w:rsidR="002E47EE" w:rsidRPr="007F2E0C" w14:paraId="40192DB9" w14:textId="77777777" w:rsidTr="00973EB3">
        <w:tblPrEx>
          <w:tblCellMar>
            <w:top w:w="15" w:type="dxa"/>
            <w:left w:w="15" w:type="dxa"/>
            <w:bottom w:w="15" w:type="dxa"/>
            <w:right w:w="15" w:type="dxa"/>
          </w:tblCellMar>
        </w:tblPrEx>
        <w:tc>
          <w:tcPr>
            <w:tcW w:w="1412" w:type="dxa"/>
            <w:gridSpan w:val="2"/>
            <w:shd w:val="clear" w:color="auto" w:fill="auto"/>
            <w:vAlign w:val="center"/>
          </w:tcPr>
          <w:p w14:paraId="54253289" w14:textId="4FBBFAA4" w:rsidR="002E47EE" w:rsidRPr="00BC52B5" w:rsidRDefault="002E47EE" w:rsidP="00973EB3">
            <w:pPr>
              <w:widowControl w:val="0"/>
              <w:jc w:val="center"/>
              <w:rPr>
                <w:rFonts w:ascii="Arial Narrow" w:hAnsi="Arial Narrow"/>
                <w:bCs/>
                <w:snapToGrid w:val="0"/>
                <w:sz w:val="20"/>
                <w:szCs w:val="20"/>
              </w:rPr>
            </w:pPr>
          </w:p>
        </w:tc>
        <w:tc>
          <w:tcPr>
            <w:tcW w:w="7655" w:type="dxa"/>
            <w:gridSpan w:val="7"/>
            <w:shd w:val="clear" w:color="auto" w:fill="auto"/>
            <w:vAlign w:val="center"/>
          </w:tcPr>
          <w:p w14:paraId="32108DB5" w14:textId="77777777" w:rsidR="002E47EE" w:rsidRPr="00BC52B5" w:rsidRDefault="002E47EE" w:rsidP="00973EB3">
            <w:pPr>
              <w:widowControl w:val="0"/>
              <w:rPr>
                <w:rFonts w:ascii="Arial Narrow" w:hAnsi="Arial Narrow"/>
                <w:bCs/>
                <w:snapToGrid w:val="0"/>
                <w:sz w:val="20"/>
                <w:szCs w:val="20"/>
              </w:rPr>
            </w:pPr>
            <w:r w:rsidRPr="00BC52B5">
              <w:rPr>
                <w:rFonts w:ascii="Arial Narrow" w:hAnsi="Arial Narrow"/>
                <w:sz w:val="20"/>
                <w:szCs w:val="20"/>
              </w:rPr>
              <w:t xml:space="preserve">The treatment must not be in combination with another </w:t>
            </w:r>
            <w:r w:rsidRPr="00BC52B5">
              <w:rPr>
                <w:rFonts w:ascii="Arial Narrow" w:hAnsi="Arial Narrow"/>
                <w:bCs/>
                <w:snapToGrid w:val="0"/>
                <w:sz w:val="20"/>
                <w:szCs w:val="20"/>
              </w:rPr>
              <w:t>cyclin-dependent kinase 4 and 6 (CDK4/6) inhibitor therapy</w:t>
            </w:r>
            <w:r w:rsidRPr="00BC52B5" w:rsidDel="00981380">
              <w:rPr>
                <w:rFonts w:ascii="Arial Narrow" w:hAnsi="Arial Narrow"/>
                <w:sz w:val="20"/>
                <w:szCs w:val="20"/>
              </w:rPr>
              <w:t xml:space="preserve"> </w:t>
            </w:r>
          </w:p>
        </w:tc>
      </w:tr>
      <w:tr w:rsidR="002E47EE" w:rsidRPr="007F2E0C" w14:paraId="43199B64" w14:textId="77777777" w:rsidTr="00973EB3">
        <w:tblPrEx>
          <w:tblCellMar>
            <w:top w:w="15" w:type="dxa"/>
            <w:left w:w="15" w:type="dxa"/>
            <w:bottom w:w="15" w:type="dxa"/>
            <w:right w:w="15" w:type="dxa"/>
          </w:tblCellMar>
        </w:tblPrEx>
        <w:tc>
          <w:tcPr>
            <w:tcW w:w="1412" w:type="dxa"/>
            <w:gridSpan w:val="2"/>
            <w:shd w:val="clear" w:color="auto" w:fill="auto"/>
            <w:vAlign w:val="center"/>
          </w:tcPr>
          <w:p w14:paraId="20FBEB4D" w14:textId="798B5392" w:rsidR="002E47EE" w:rsidRPr="00BC52B5" w:rsidRDefault="002E47EE" w:rsidP="00973EB3">
            <w:pPr>
              <w:widowControl w:val="0"/>
              <w:jc w:val="center"/>
              <w:rPr>
                <w:rFonts w:ascii="Arial Narrow" w:hAnsi="Arial Narrow"/>
                <w:bCs/>
                <w:snapToGrid w:val="0"/>
                <w:sz w:val="20"/>
                <w:szCs w:val="20"/>
              </w:rPr>
            </w:pPr>
          </w:p>
        </w:tc>
        <w:tc>
          <w:tcPr>
            <w:tcW w:w="7655" w:type="dxa"/>
            <w:gridSpan w:val="7"/>
            <w:shd w:val="clear" w:color="auto" w:fill="auto"/>
            <w:vAlign w:val="center"/>
          </w:tcPr>
          <w:p w14:paraId="7B7E9B52" w14:textId="77777777" w:rsidR="002E47EE" w:rsidRPr="00BC52B5" w:rsidRDefault="002E47EE" w:rsidP="00973EB3">
            <w:pPr>
              <w:widowControl w:val="0"/>
              <w:rPr>
                <w:rFonts w:ascii="Arial Narrow" w:hAnsi="Arial Narrow"/>
                <w:bCs/>
                <w:snapToGrid w:val="0"/>
                <w:sz w:val="20"/>
                <w:szCs w:val="20"/>
              </w:rPr>
            </w:pPr>
            <w:r w:rsidRPr="00BC52B5">
              <w:rPr>
                <w:rFonts w:ascii="Arial Narrow" w:hAnsi="Arial Narrow"/>
                <w:b/>
                <w:bCs/>
                <w:snapToGrid w:val="0"/>
                <w:sz w:val="20"/>
                <w:szCs w:val="20"/>
              </w:rPr>
              <w:t>Population criteria:</w:t>
            </w:r>
          </w:p>
        </w:tc>
      </w:tr>
      <w:tr w:rsidR="002E47EE" w:rsidRPr="007F2E0C" w14:paraId="7E5E18F0" w14:textId="77777777" w:rsidTr="00973EB3">
        <w:tblPrEx>
          <w:tblCellMar>
            <w:top w:w="15" w:type="dxa"/>
            <w:left w:w="15" w:type="dxa"/>
            <w:bottom w:w="15" w:type="dxa"/>
            <w:right w:w="15" w:type="dxa"/>
          </w:tblCellMar>
        </w:tblPrEx>
        <w:tc>
          <w:tcPr>
            <w:tcW w:w="1412" w:type="dxa"/>
            <w:gridSpan w:val="2"/>
            <w:shd w:val="clear" w:color="auto" w:fill="auto"/>
            <w:vAlign w:val="center"/>
          </w:tcPr>
          <w:p w14:paraId="486B15E2" w14:textId="7111FAC0" w:rsidR="002E47EE" w:rsidRPr="00BC52B5" w:rsidRDefault="002E47EE" w:rsidP="00973EB3">
            <w:pPr>
              <w:widowControl w:val="0"/>
              <w:jc w:val="center"/>
              <w:rPr>
                <w:rFonts w:ascii="Arial Narrow" w:hAnsi="Arial Narrow"/>
                <w:bCs/>
                <w:snapToGrid w:val="0"/>
                <w:sz w:val="20"/>
                <w:szCs w:val="20"/>
              </w:rPr>
            </w:pPr>
          </w:p>
        </w:tc>
        <w:tc>
          <w:tcPr>
            <w:tcW w:w="7655" w:type="dxa"/>
            <w:gridSpan w:val="7"/>
            <w:shd w:val="clear" w:color="auto" w:fill="auto"/>
            <w:vAlign w:val="center"/>
          </w:tcPr>
          <w:p w14:paraId="4F334EAD" w14:textId="77777777" w:rsidR="002E47EE" w:rsidRPr="00BC52B5" w:rsidRDefault="002E47EE" w:rsidP="00973EB3">
            <w:pPr>
              <w:widowControl w:val="0"/>
              <w:rPr>
                <w:rFonts w:ascii="Arial Narrow" w:hAnsi="Arial Narrow"/>
                <w:bCs/>
                <w:snapToGrid w:val="0"/>
                <w:sz w:val="20"/>
                <w:szCs w:val="20"/>
              </w:rPr>
            </w:pPr>
            <w:r w:rsidRPr="00BC52B5">
              <w:rPr>
                <w:rFonts w:ascii="Arial Narrow" w:hAnsi="Arial Narrow"/>
                <w:bCs/>
                <w:snapToGrid w:val="0"/>
                <w:sz w:val="20"/>
                <w:szCs w:val="20"/>
              </w:rPr>
              <w:t>Patient must not be premenopausal</w:t>
            </w:r>
          </w:p>
        </w:tc>
      </w:tr>
      <w:tr w:rsidR="002E47EE" w:rsidRPr="007F2E0C" w14:paraId="56765487" w14:textId="77777777" w:rsidTr="00973EB3">
        <w:tblPrEx>
          <w:tblCellMar>
            <w:top w:w="15" w:type="dxa"/>
            <w:left w:w="15" w:type="dxa"/>
            <w:bottom w:w="15" w:type="dxa"/>
            <w:right w:w="15" w:type="dxa"/>
          </w:tblCellMar>
        </w:tblPrEx>
        <w:tc>
          <w:tcPr>
            <w:tcW w:w="9067" w:type="dxa"/>
            <w:gridSpan w:val="9"/>
            <w:shd w:val="clear" w:color="auto" w:fill="auto"/>
          </w:tcPr>
          <w:p w14:paraId="7AEFA413" w14:textId="77777777" w:rsidR="002E47EE" w:rsidRPr="00BC52B5" w:rsidRDefault="002E47EE" w:rsidP="00973EB3">
            <w:pPr>
              <w:widowControl w:val="0"/>
              <w:rPr>
                <w:rFonts w:ascii="Arial Narrow" w:hAnsi="Arial Narrow"/>
                <w:b/>
                <w:bCs/>
                <w:snapToGrid w:val="0"/>
                <w:sz w:val="20"/>
                <w:szCs w:val="20"/>
              </w:rPr>
            </w:pPr>
          </w:p>
        </w:tc>
      </w:tr>
      <w:tr w:rsidR="002E47EE" w:rsidRPr="007F2E0C" w14:paraId="4B4D59CE" w14:textId="77777777" w:rsidTr="00973EB3">
        <w:tblPrEx>
          <w:tblCellMar>
            <w:top w:w="15" w:type="dxa"/>
            <w:left w:w="15" w:type="dxa"/>
            <w:bottom w:w="15" w:type="dxa"/>
            <w:right w:w="15" w:type="dxa"/>
          </w:tblCellMar>
          <w:tblLook w:val="04A0" w:firstRow="1" w:lastRow="0" w:firstColumn="1" w:lastColumn="0" w:noHBand="0" w:noVBand="1"/>
        </w:tblPrEx>
        <w:tc>
          <w:tcPr>
            <w:tcW w:w="9067" w:type="dxa"/>
            <w:gridSpan w:val="9"/>
            <w:shd w:val="clear" w:color="auto" w:fill="auto"/>
          </w:tcPr>
          <w:p w14:paraId="1495A0FA" w14:textId="022DDCC4" w:rsidR="002E47EE" w:rsidRPr="00BC52B5" w:rsidRDefault="002E47EE" w:rsidP="00973EB3">
            <w:pPr>
              <w:widowControl w:val="0"/>
              <w:rPr>
                <w:rFonts w:ascii="Arial Narrow" w:hAnsi="Arial Narrow"/>
                <w:b/>
                <w:bCs/>
                <w:snapToGrid w:val="0"/>
                <w:sz w:val="20"/>
                <w:szCs w:val="20"/>
              </w:rPr>
            </w:pPr>
            <w:r w:rsidRPr="00BC52B5">
              <w:rPr>
                <w:rFonts w:ascii="Arial Narrow" w:hAnsi="Arial Narrow"/>
                <w:b/>
                <w:bCs/>
                <w:snapToGrid w:val="0"/>
                <w:sz w:val="20"/>
                <w:szCs w:val="20"/>
              </w:rPr>
              <w:t>Edit Restriction Summar</w:t>
            </w:r>
            <w:r w:rsidR="00BC52B5">
              <w:rPr>
                <w:rFonts w:ascii="Arial Narrow" w:hAnsi="Arial Narrow"/>
                <w:b/>
                <w:bCs/>
                <w:snapToGrid w:val="0"/>
                <w:sz w:val="20"/>
                <w:szCs w:val="20"/>
              </w:rPr>
              <w:t>ies</w:t>
            </w:r>
            <w:r w:rsidRPr="00BC52B5">
              <w:rPr>
                <w:rFonts w:ascii="Arial Narrow" w:hAnsi="Arial Narrow"/>
                <w:b/>
                <w:bCs/>
                <w:snapToGrid w:val="0"/>
                <w:sz w:val="20"/>
                <w:szCs w:val="20"/>
              </w:rPr>
              <w:t xml:space="preserve"> / </w:t>
            </w:r>
            <w:proofErr w:type="spellStart"/>
            <w:r w:rsidRPr="00BC52B5">
              <w:rPr>
                <w:rFonts w:ascii="Arial Narrow" w:hAnsi="Arial Narrow"/>
                <w:b/>
                <w:bCs/>
                <w:snapToGrid w:val="0"/>
                <w:sz w:val="20"/>
                <w:szCs w:val="20"/>
              </w:rPr>
              <w:t>ToC</w:t>
            </w:r>
            <w:r w:rsidR="00BC52B5">
              <w:rPr>
                <w:rFonts w:ascii="Arial Narrow" w:hAnsi="Arial Narrow"/>
                <w:b/>
                <w:bCs/>
                <w:snapToGrid w:val="0"/>
                <w:sz w:val="20"/>
                <w:szCs w:val="20"/>
              </w:rPr>
              <w:t>s</w:t>
            </w:r>
            <w:proofErr w:type="spellEnd"/>
            <w:r w:rsidRPr="00BC52B5">
              <w:rPr>
                <w:rFonts w:ascii="Arial Narrow" w:hAnsi="Arial Narrow"/>
                <w:b/>
                <w:bCs/>
                <w:snapToGrid w:val="0"/>
                <w:sz w:val="20"/>
                <w:szCs w:val="20"/>
              </w:rPr>
              <w:t xml:space="preserve"> to appear as follows:</w:t>
            </w:r>
          </w:p>
        </w:tc>
      </w:tr>
      <w:tr w:rsidR="002E47EE" w:rsidRPr="007F2E0C" w14:paraId="2813E90F" w14:textId="77777777" w:rsidTr="00973EB3">
        <w:tblPrEx>
          <w:tblCellMar>
            <w:top w:w="15" w:type="dxa"/>
            <w:left w:w="15" w:type="dxa"/>
            <w:bottom w:w="15" w:type="dxa"/>
            <w:right w:w="15" w:type="dxa"/>
          </w:tblCellMar>
        </w:tblPrEx>
        <w:tc>
          <w:tcPr>
            <w:tcW w:w="1412" w:type="dxa"/>
            <w:gridSpan w:val="2"/>
            <w:shd w:val="clear" w:color="auto" w:fill="auto"/>
            <w:vAlign w:val="center"/>
          </w:tcPr>
          <w:p w14:paraId="717B1C82" w14:textId="59CD9B8C" w:rsidR="002E47EE" w:rsidRPr="00BC52B5" w:rsidRDefault="002E47EE" w:rsidP="00973EB3">
            <w:pPr>
              <w:widowControl w:val="0"/>
              <w:jc w:val="center"/>
              <w:rPr>
                <w:rFonts w:ascii="Arial Narrow" w:hAnsi="Arial Narrow"/>
                <w:b/>
                <w:bCs/>
                <w:snapToGrid w:val="0"/>
                <w:sz w:val="20"/>
                <w:szCs w:val="20"/>
              </w:rPr>
            </w:pPr>
          </w:p>
        </w:tc>
        <w:tc>
          <w:tcPr>
            <w:tcW w:w="7655" w:type="dxa"/>
            <w:gridSpan w:val="7"/>
            <w:shd w:val="clear" w:color="auto" w:fill="auto"/>
            <w:vAlign w:val="center"/>
            <w:hideMark/>
          </w:tcPr>
          <w:p w14:paraId="1B019DEA" w14:textId="77777777" w:rsidR="002E47EE" w:rsidRPr="00BC52B5" w:rsidRDefault="002E47EE" w:rsidP="00973EB3">
            <w:pPr>
              <w:widowControl w:val="0"/>
              <w:rPr>
                <w:rFonts w:ascii="Arial Narrow" w:hAnsi="Arial Narrow"/>
                <w:bCs/>
                <w:snapToGrid w:val="0"/>
                <w:sz w:val="20"/>
                <w:szCs w:val="20"/>
              </w:rPr>
            </w:pPr>
            <w:r w:rsidRPr="00BC52B5">
              <w:rPr>
                <w:rFonts w:ascii="Arial Narrow" w:hAnsi="Arial Narrow"/>
                <w:b/>
                <w:bCs/>
                <w:snapToGrid w:val="0"/>
                <w:sz w:val="20"/>
                <w:szCs w:val="20"/>
              </w:rPr>
              <w:t>Indication:</w:t>
            </w:r>
            <w:r w:rsidRPr="00BC52B5">
              <w:rPr>
                <w:rFonts w:ascii="Arial Narrow" w:hAnsi="Arial Narrow"/>
                <w:bCs/>
                <w:snapToGrid w:val="0"/>
                <w:sz w:val="20"/>
                <w:szCs w:val="20"/>
              </w:rPr>
              <w:t xml:space="preserve"> Locally advanced or metastatic breast cancer</w:t>
            </w:r>
          </w:p>
        </w:tc>
      </w:tr>
      <w:tr w:rsidR="002E47EE" w:rsidRPr="007F2E0C" w14:paraId="020069A5" w14:textId="77777777" w:rsidTr="00973EB3">
        <w:tblPrEx>
          <w:tblCellMar>
            <w:top w:w="15" w:type="dxa"/>
            <w:left w:w="15" w:type="dxa"/>
            <w:bottom w:w="15" w:type="dxa"/>
            <w:right w:w="15" w:type="dxa"/>
          </w:tblCellMar>
        </w:tblPrEx>
        <w:tc>
          <w:tcPr>
            <w:tcW w:w="1412" w:type="dxa"/>
            <w:gridSpan w:val="2"/>
            <w:shd w:val="clear" w:color="auto" w:fill="auto"/>
            <w:vAlign w:val="center"/>
          </w:tcPr>
          <w:p w14:paraId="1EE0B021" w14:textId="77777777" w:rsidR="002E47EE" w:rsidRPr="00BC52B5" w:rsidRDefault="002E47EE" w:rsidP="00973EB3">
            <w:pPr>
              <w:widowControl w:val="0"/>
              <w:jc w:val="center"/>
              <w:rPr>
                <w:rFonts w:ascii="Arial Narrow" w:hAnsi="Arial Narrow"/>
                <w:b/>
                <w:bCs/>
                <w:snapToGrid w:val="0"/>
                <w:sz w:val="20"/>
                <w:szCs w:val="20"/>
              </w:rPr>
            </w:pPr>
          </w:p>
        </w:tc>
        <w:tc>
          <w:tcPr>
            <w:tcW w:w="7655" w:type="dxa"/>
            <w:gridSpan w:val="7"/>
            <w:shd w:val="clear" w:color="auto" w:fill="auto"/>
            <w:vAlign w:val="center"/>
            <w:hideMark/>
          </w:tcPr>
          <w:p w14:paraId="2CD1A700" w14:textId="77777777" w:rsidR="002E47EE" w:rsidRPr="00BC52B5" w:rsidRDefault="002E47EE" w:rsidP="00973EB3">
            <w:pPr>
              <w:widowControl w:val="0"/>
              <w:rPr>
                <w:rFonts w:ascii="Arial Narrow" w:hAnsi="Arial Narrow"/>
                <w:bCs/>
                <w:snapToGrid w:val="0"/>
                <w:sz w:val="20"/>
                <w:szCs w:val="20"/>
              </w:rPr>
            </w:pPr>
            <w:r w:rsidRPr="00BC52B5">
              <w:rPr>
                <w:rFonts w:ascii="Arial Narrow" w:hAnsi="Arial Narrow"/>
                <w:b/>
                <w:bCs/>
                <w:snapToGrid w:val="0"/>
                <w:sz w:val="20"/>
                <w:szCs w:val="20"/>
              </w:rPr>
              <w:t>Treatment Phase:</w:t>
            </w:r>
            <w:r w:rsidRPr="00BC52B5">
              <w:rPr>
                <w:rFonts w:ascii="Arial Narrow" w:hAnsi="Arial Narrow"/>
                <w:bCs/>
                <w:snapToGrid w:val="0"/>
                <w:sz w:val="20"/>
                <w:szCs w:val="20"/>
              </w:rPr>
              <w:t xml:space="preserve"> Continuing treatment</w:t>
            </w:r>
          </w:p>
        </w:tc>
      </w:tr>
      <w:tr w:rsidR="002E47EE" w:rsidRPr="007F2E0C" w14:paraId="2BF72933" w14:textId="77777777" w:rsidTr="00973EB3">
        <w:tblPrEx>
          <w:tblCellMar>
            <w:top w:w="15" w:type="dxa"/>
            <w:left w:w="15" w:type="dxa"/>
            <w:bottom w:w="15" w:type="dxa"/>
            <w:right w:w="15" w:type="dxa"/>
          </w:tblCellMar>
        </w:tblPrEx>
        <w:tc>
          <w:tcPr>
            <w:tcW w:w="1412" w:type="dxa"/>
            <w:gridSpan w:val="2"/>
            <w:shd w:val="clear" w:color="auto" w:fill="auto"/>
            <w:vAlign w:val="center"/>
          </w:tcPr>
          <w:p w14:paraId="64E18CB8" w14:textId="3FD5372E" w:rsidR="002E47EE" w:rsidRPr="00BC52B5" w:rsidRDefault="002E47EE" w:rsidP="00973EB3">
            <w:pPr>
              <w:widowControl w:val="0"/>
              <w:jc w:val="center"/>
              <w:rPr>
                <w:rFonts w:ascii="Arial Narrow" w:hAnsi="Arial Narrow"/>
                <w:b/>
                <w:bCs/>
                <w:snapToGrid w:val="0"/>
                <w:sz w:val="20"/>
                <w:szCs w:val="20"/>
              </w:rPr>
            </w:pPr>
          </w:p>
        </w:tc>
        <w:tc>
          <w:tcPr>
            <w:tcW w:w="7655" w:type="dxa"/>
            <w:gridSpan w:val="7"/>
            <w:shd w:val="clear" w:color="auto" w:fill="auto"/>
            <w:vAlign w:val="center"/>
            <w:hideMark/>
          </w:tcPr>
          <w:p w14:paraId="3BE06E60" w14:textId="77777777" w:rsidR="002E47EE" w:rsidRPr="00BC52B5" w:rsidRDefault="002E47EE" w:rsidP="00973EB3">
            <w:pPr>
              <w:widowControl w:val="0"/>
              <w:rPr>
                <w:rFonts w:ascii="Arial Narrow" w:hAnsi="Arial Narrow"/>
                <w:bCs/>
                <w:snapToGrid w:val="0"/>
                <w:sz w:val="20"/>
                <w:szCs w:val="20"/>
              </w:rPr>
            </w:pPr>
            <w:r w:rsidRPr="00BC52B5">
              <w:rPr>
                <w:rFonts w:ascii="Arial Narrow" w:hAnsi="Arial Narrow"/>
                <w:b/>
                <w:bCs/>
                <w:snapToGrid w:val="0"/>
                <w:sz w:val="20"/>
                <w:szCs w:val="20"/>
              </w:rPr>
              <w:t>Clinical criteria:</w:t>
            </w:r>
          </w:p>
        </w:tc>
      </w:tr>
      <w:tr w:rsidR="002E47EE" w:rsidRPr="007F2E0C" w14:paraId="0F99676D" w14:textId="77777777" w:rsidTr="00973EB3">
        <w:tblPrEx>
          <w:tblCellMar>
            <w:top w:w="15" w:type="dxa"/>
            <w:left w:w="15" w:type="dxa"/>
            <w:bottom w:w="15" w:type="dxa"/>
            <w:right w:w="15" w:type="dxa"/>
          </w:tblCellMar>
        </w:tblPrEx>
        <w:tc>
          <w:tcPr>
            <w:tcW w:w="1412" w:type="dxa"/>
            <w:gridSpan w:val="2"/>
            <w:shd w:val="clear" w:color="auto" w:fill="auto"/>
            <w:vAlign w:val="center"/>
          </w:tcPr>
          <w:p w14:paraId="43F45894" w14:textId="71B2BA12" w:rsidR="002E47EE" w:rsidRPr="00BC52B5" w:rsidRDefault="002E47EE" w:rsidP="00973EB3">
            <w:pPr>
              <w:widowControl w:val="0"/>
              <w:jc w:val="center"/>
              <w:rPr>
                <w:rFonts w:ascii="Arial Narrow" w:hAnsi="Arial Narrow"/>
                <w:bCs/>
                <w:snapToGrid w:val="0"/>
                <w:sz w:val="20"/>
                <w:szCs w:val="20"/>
              </w:rPr>
            </w:pPr>
          </w:p>
        </w:tc>
        <w:tc>
          <w:tcPr>
            <w:tcW w:w="7655" w:type="dxa"/>
            <w:gridSpan w:val="7"/>
            <w:shd w:val="clear" w:color="auto" w:fill="auto"/>
            <w:vAlign w:val="center"/>
            <w:hideMark/>
          </w:tcPr>
          <w:p w14:paraId="0FF6F172" w14:textId="77777777" w:rsidR="002E47EE" w:rsidRPr="00BC52B5" w:rsidRDefault="002E47EE" w:rsidP="00973EB3">
            <w:pPr>
              <w:widowControl w:val="0"/>
              <w:rPr>
                <w:rFonts w:ascii="Arial Narrow" w:hAnsi="Arial Narrow"/>
                <w:bCs/>
                <w:snapToGrid w:val="0"/>
                <w:sz w:val="20"/>
                <w:szCs w:val="20"/>
              </w:rPr>
            </w:pPr>
            <w:r w:rsidRPr="00BC52B5">
              <w:rPr>
                <w:rFonts w:ascii="Arial Narrow" w:hAnsi="Arial Narrow"/>
                <w:bCs/>
                <w:snapToGrid w:val="0"/>
                <w:sz w:val="20"/>
                <w:szCs w:val="20"/>
              </w:rPr>
              <w:t>Patient must have previously received PBS-subsidised treatment with this drug for this condition</w:t>
            </w:r>
          </w:p>
        </w:tc>
      </w:tr>
      <w:tr w:rsidR="002E47EE" w:rsidRPr="007F2E0C" w14:paraId="6DF35880" w14:textId="77777777" w:rsidTr="00973EB3">
        <w:tblPrEx>
          <w:tblCellMar>
            <w:top w:w="15" w:type="dxa"/>
            <w:left w:w="15" w:type="dxa"/>
            <w:bottom w:w="15" w:type="dxa"/>
            <w:right w:w="15" w:type="dxa"/>
          </w:tblCellMar>
        </w:tblPrEx>
        <w:tc>
          <w:tcPr>
            <w:tcW w:w="1412" w:type="dxa"/>
            <w:gridSpan w:val="2"/>
            <w:shd w:val="clear" w:color="auto" w:fill="auto"/>
            <w:vAlign w:val="center"/>
          </w:tcPr>
          <w:p w14:paraId="0B217F3E" w14:textId="77777777" w:rsidR="002E47EE" w:rsidRPr="00BC52B5" w:rsidRDefault="002E47EE" w:rsidP="00973EB3">
            <w:pPr>
              <w:widowControl w:val="0"/>
              <w:jc w:val="center"/>
              <w:rPr>
                <w:rFonts w:ascii="Arial Narrow" w:hAnsi="Arial Narrow"/>
                <w:b/>
                <w:bCs/>
                <w:snapToGrid w:val="0"/>
                <w:sz w:val="20"/>
                <w:szCs w:val="20"/>
              </w:rPr>
            </w:pPr>
          </w:p>
        </w:tc>
        <w:tc>
          <w:tcPr>
            <w:tcW w:w="7655" w:type="dxa"/>
            <w:gridSpan w:val="7"/>
            <w:shd w:val="clear" w:color="auto" w:fill="auto"/>
            <w:vAlign w:val="center"/>
            <w:hideMark/>
          </w:tcPr>
          <w:p w14:paraId="1F1B1B4F" w14:textId="77777777" w:rsidR="002E47EE" w:rsidRPr="00BC52B5" w:rsidRDefault="002E47EE" w:rsidP="00973EB3">
            <w:pPr>
              <w:widowControl w:val="0"/>
              <w:rPr>
                <w:rFonts w:ascii="Arial Narrow" w:hAnsi="Arial Narrow"/>
                <w:bCs/>
                <w:snapToGrid w:val="0"/>
                <w:sz w:val="20"/>
                <w:szCs w:val="20"/>
              </w:rPr>
            </w:pPr>
            <w:r w:rsidRPr="00BC52B5">
              <w:rPr>
                <w:rFonts w:ascii="Arial Narrow" w:hAnsi="Arial Narrow"/>
                <w:b/>
                <w:bCs/>
                <w:snapToGrid w:val="0"/>
                <w:sz w:val="20"/>
                <w:szCs w:val="20"/>
              </w:rPr>
              <w:t>AND</w:t>
            </w:r>
          </w:p>
        </w:tc>
      </w:tr>
      <w:tr w:rsidR="002E47EE" w:rsidRPr="007F2E0C" w14:paraId="18042F87" w14:textId="77777777" w:rsidTr="00973EB3">
        <w:tblPrEx>
          <w:tblCellMar>
            <w:top w:w="15" w:type="dxa"/>
            <w:left w:w="15" w:type="dxa"/>
            <w:bottom w:w="15" w:type="dxa"/>
            <w:right w:w="15" w:type="dxa"/>
          </w:tblCellMar>
        </w:tblPrEx>
        <w:tc>
          <w:tcPr>
            <w:tcW w:w="1412" w:type="dxa"/>
            <w:gridSpan w:val="2"/>
            <w:shd w:val="clear" w:color="auto" w:fill="auto"/>
            <w:vAlign w:val="center"/>
          </w:tcPr>
          <w:p w14:paraId="2B97062F" w14:textId="77777777" w:rsidR="002E47EE" w:rsidRPr="00BC52B5" w:rsidRDefault="002E47EE" w:rsidP="00973EB3">
            <w:pPr>
              <w:widowControl w:val="0"/>
              <w:jc w:val="center"/>
              <w:rPr>
                <w:rFonts w:ascii="Arial Narrow" w:hAnsi="Arial Narrow"/>
                <w:b/>
                <w:bCs/>
                <w:snapToGrid w:val="0"/>
                <w:sz w:val="20"/>
                <w:szCs w:val="20"/>
              </w:rPr>
            </w:pPr>
          </w:p>
        </w:tc>
        <w:tc>
          <w:tcPr>
            <w:tcW w:w="7655" w:type="dxa"/>
            <w:gridSpan w:val="7"/>
            <w:shd w:val="clear" w:color="auto" w:fill="auto"/>
            <w:vAlign w:val="center"/>
            <w:hideMark/>
          </w:tcPr>
          <w:p w14:paraId="5BD51143" w14:textId="77777777" w:rsidR="002E47EE" w:rsidRPr="00BC52B5" w:rsidRDefault="002E47EE" w:rsidP="00973EB3">
            <w:pPr>
              <w:widowControl w:val="0"/>
              <w:rPr>
                <w:rFonts w:ascii="Arial Narrow" w:hAnsi="Arial Narrow"/>
                <w:bCs/>
                <w:snapToGrid w:val="0"/>
                <w:sz w:val="20"/>
                <w:szCs w:val="20"/>
              </w:rPr>
            </w:pPr>
            <w:r w:rsidRPr="00BC52B5">
              <w:rPr>
                <w:rFonts w:ascii="Arial Narrow" w:hAnsi="Arial Narrow"/>
                <w:b/>
                <w:bCs/>
                <w:snapToGrid w:val="0"/>
                <w:sz w:val="20"/>
                <w:szCs w:val="20"/>
              </w:rPr>
              <w:t>Clinical criteria:</w:t>
            </w:r>
          </w:p>
        </w:tc>
      </w:tr>
      <w:tr w:rsidR="002E47EE" w:rsidRPr="007F2E0C" w14:paraId="045263C6" w14:textId="77777777" w:rsidTr="00973EB3">
        <w:tblPrEx>
          <w:tblCellMar>
            <w:top w:w="15" w:type="dxa"/>
            <w:left w:w="15" w:type="dxa"/>
            <w:bottom w:w="15" w:type="dxa"/>
            <w:right w:w="15" w:type="dxa"/>
          </w:tblCellMar>
        </w:tblPrEx>
        <w:tc>
          <w:tcPr>
            <w:tcW w:w="1412" w:type="dxa"/>
            <w:gridSpan w:val="2"/>
            <w:shd w:val="clear" w:color="auto" w:fill="auto"/>
            <w:vAlign w:val="center"/>
          </w:tcPr>
          <w:p w14:paraId="73A00F01" w14:textId="709946FD" w:rsidR="002E47EE" w:rsidRPr="00BC52B5" w:rsidRDefault="002E47EE" w:rsidP="00973EB3">
            <w:pPr>
              <w:widowControl w:val="0"/>
              <w:jc w:val="center"/>
              <w:rPr>
                <w:rFonts w:ascii="Arial Narrow" w:hAnsi="Arial Narrow"/>
                <w:bCs/>
                <w:snapToGrid w:val="0"/>
                <w:sz w:val="20"/>
                <w:szCs w:val="20"/>
              </w:rPr>
            </w:pPr>
          </w:p>
        </w:tc>
        <w:tc>
          <w:tcPr>
            <w:tcW w:w="7655" w:type="dxa"/>
            <w:gridSpan w:val="7"/>
            <w:shd w:val="clear" w:color="auto" w:fill="auto"/>
            <w:vAlign w:val="center"/>
          </w:tcPr>
          <w:p w14:paraId="5E6C85B5" w14:textId="77777777" w:rsidR="002E47EE" w:rsidRPr="00BC52B5" w:rsidRDefault="002E47EE" w:rsidP="00973EB3">
            <w:pPr>
              <w:widowControl w:val="0"/>
              <w:rPr>
                <w:rFonts w:ascii="Arial Narrow" w:hAnsi="Arial Narrow"/>
                <w:bCs/>
                <w:snapToGrid w:val="0"/>
                <w:sz w:val="20"/>
                <w:szCs w:val="20"/>
              </w:rPr>
            </w:pPr>
            <w:r w:rsidRPr="00BC52B5">
              <w:rPr>
                <w:rFonts w:ascii="Arial Narrow" w:hAnsi="Arial Narrow"/>
                <w:bCs/>
                <w:snapToGrid w:val="0"/>
                <w:sz w:val="20"/>
                <w:szCs w:val="20"/>
              </w:rPr>
              <w:t>Patient must not have developed disease progression while being treated with this drug for this condition</w:t>
            </w:r>
          </w:p>
        </w:tc>
      </w:tr>
      <w:tr w:rsidR="002E47EE" w:rsidRPr="007F2E0C" w14:paraId="2580B4B3" w14:textId="77777777" w:rsidTr="00973EB3">
        <w:tblPrEx>
          <w:tblCellMar>
            <w:top w:w="15" w:type="dxa"/>
            <w:left w:w="15" w:type="dxa"/>
            <w:bottom w:w="15" w:type="dxa"/>
            <w:right w:w="15" w:type="dxa"/>
          </w:tblCellMar>
        </w:tblPrEx>
        <w:tc>
          <w:tcPr>
            <w:tcW w:w="1412" w:type="dxa"/>
            <w:gridSpan w:val="2"/>
            <w:shd w:val="clear" w:color="auto" w:fill="auto"/>
            <w:vAlign w:val="center"/>
          </w:tcPr>
          <w:p w14:paraId="67CA4F6F" w14:textId="77777777" w:rsidR="002E47EE" w:rsidRPr="00BC52B5" w:rsidRDefault="002E47EE" w:rsidP="00973EB3">
            <w:pPr>
              <w:widowControl w:val="0"/>
              <w:jc w:val="center"/>
              <w:rPr>
                <w:rFonts w:ascii="Arial Narrow" w:hAnsi="Arial Narrow"/>
                <w:b/>
                <w:bCs/>
                <w:strike/>
                <w:snapToGrid w:val="0"/>
                <w:sz w:val="20"/>
                <w:szCs w:val="20"/>
              </w:rPr>
            </w:pPr>
          </w:p>
        </w:tc>
        <w:tc>
          <w:tcPr>
            <w:tcW w:w="7655" w:type="dxa"/>
            <w:gridSpan w:val="7"/>
            <w:shd w:val="clear" w:color="auto" w:fill="auto"/>
            <w:vAlign w:val="center"/>
            <w:hideMark/>
          </w:tcPr>
          <w:p w14:paraId="5756517B" w14:textId="77777777" w:rsidR="002E47EE" w:rsidRPr="00BC52B5" w:rsidRDefault="002E47EE" w:rsidP="00973EB3">
            <w:pPr>
              <w:widowControl w:val="0"/>
              <w:rPr>
                <w:rFonts w:ascii="Arial Narrow" w:hAnsi="Arial Narrow"/>
                <w:bCs/>
                <w:snapToGrid w:val="0"/>
                <w:sz w:val="20"/>
                <w:szCs w:val="20"/>
              </w:rPr>
            </w:pPr>
            <w:r w:rsidRPr="00BC52B5">
              <w:rPr>
                <w:rFonts w:ascii="Arial Narrow" w:hAnsi="Arial Narrow"/>
                <w:b/>
                <w:bCs/>
                <w:snapToGrid w:val="0"/>
                <w:sz w:val="20"/>
                <w:szCs w:val="20"/>
              </w:rPr>
              <w:t>AND</w:t>
            </w:r>
          </w:p>
        </w:tc>
      </w:tr>
      <w:tr w:rsidR="002E47EE" w:rsidRPr="007F2E0C" w14:paraId="60AC04FC" w14:textId="77777777" w:rsidTr="00973EB3">
        <w:tblPrEx>
          <w:tblCellMar>
            <w:top w:w="15" w:type="dxa"/>
            <w:left w:w="15" w:type="dxa"/>
            <w:bottom w:w="15" w:type="dxa"/>
            <w:right w:w="15" w:type="dxa"/>
          </w:tblCellMar>
        </w:tblPrEx>
        <w:tc>
          <w:tcPr>
            <w:tcW w:w="1412" w:type="dxa"/>
            <w:gridSpan w:val="2"/>
            <w:shd w:val="clear" w:color="auto" w:fill="auto"/>
            <w:vAlign w:val="center"/>
          </w:tcPr>
          <w:p w14:paraId="55A108C6" w14:textId="77777777" w:rsidR="002E47EE" w:rsidRPr="00BC52B5" w:rsidRDefault="002E47EE" w:rsidP="00973EB3">
            <w:pPr>
              <w:widowControl w:val="0"/>
              <w:jc w:val="center"/>
              <w:rPr>
                <w:rFonts w:ascii="Arial Narrow" w:hAnsi="Arial Narrow"/>
                <w:b/>
                <w:bCs/>
                <w:snapToGrid w:val="0"/>
                <w:sz w:val="20"/>
                <w:szCs w:val="20"/>
              </w:rPr>
            </w:pPr>
          </w:p>
        </w:tc>
        <w:tc>
          <w:tcPr>
            <w:tcW w:w="7655" w:type="dxa"/>
            <w:gridSpan w:val="7"/>
            <w:shd w:val="clear" w:color="auto" w:fill="auto"/>
            <w:vAlign w:val="center"/>
            <w:hideMark/>
          </w:tcPr>
          <w:p w14:paraId="1DDA744A" w14:textId="77777777" w:rsidR="002E47EE" w:rsidRPr="00BC52B5" w:rsidRDefault="002E47EE" w:rsidP="00973EB3">
            <w:pPr>
              <w:widowControl w:val="0"/>
              <w:rPr>
                <w:rFonts w:ascii="Arial Narrow" w:hAnsi="Arial Narrow"/>
                <w:bCs/>
                <w:snapToGrid w:val="0"/>
                <w:sz w:val="20"/>
                <w:szCs w:val="20"/>
              </w:rPr>
            </w:pPr>
            <w:r w:rsidRPr="00BC52B5">
              <w:rPr>
                <w:rFonts w:ascii="Arial Narrow" w:hAnsi="Arial Narrow"/>
                <w:b/>
                <w:bCs/>
                <w:snapToGrid w:val="0"/>
                <w:sz w:val="20"/>
                <w:szCs w:val="20"/>
              </w:rPr>
              <w:t>Clinical criteria:</w:t>
            </w:r>
          </w:p>
        </w:tc>
      </w:tr>
      <w:tr w:rsidR="002E47EE" w:rsidRPr="007F2E0C" w14:paraId="24D6FD3F" w14:textId="77777777" w:rsidTr="00973EB3">
        <w:tblPrEx>
          <w:tblCellMar>
            <w:top w:w="15" w:type="dxa"/>
            <w:left w:w="15" w:type="dxa"/>
            <w:bottom w:w="15" w:type="dxa"/>
            <w:right w:w="15" w:type="dxa"/>
          </w:tblCellMar>
        </w:tblPrEx>
        <w:tc>
          <w:tcPr>
            <w:tcW w:w="1412" w:type="dxa"/>
            <w:gridSpan w:val="2"/>
            <w:shd w:val="clear" w:color="auto" w:fill="auto"/>
            <w:vAlign w:val="center"/>
          </w:tcPr>
          <w:p w14:paraId="65818A16" w14:textId="51F114B8" w:rsidR="002E47EE" w:rsidRPr="00BC52B5" w:rsidRDefault="002E47EE" w:rsidP="00973EB3">
            <w:pPr>
              <w:widowControl w:val="0"/>
              <w:jc w:val="center"/>
              <w:rPr>
                <w:rFonts w:ascii="Arial Narrow" w:hAnsi="Arial Narrow"/>
                <w:bCs/>
                <w:snapToGrid w:val="0"/>
                <w:sz w:val="20"/>
                <w:szCs w:val="20"/>
              </w:rPr>
            </w:pPr>
          </w:p>
        </w:tc>
        <w:tc>
          <w:tcPr>
            <w:tcW w:w="7655" w:type="dxa"/>
            <w:gridSpan w:val="7"/>
            <w:shd w:val="clear" w:color="auto" w:fill="auto"/>
            <w:vAlign w:val="center"/>
          </w:tcPr>
          <w:p w14:paraId="359B60A2" w14:textId="77777777" w:rsidR="002E47EE" w:rsidRPr="00BC52B5" w:rsidRDefault="002E47EE" w:rsidP="00973EB3">
            <w:pPr>
              <w:widowControl w:val="0"/>
              <w:rPr>
                <w:rFonts w:ascii="Arial Narrow" w:hAnsi="Arial Narrow"/>
                <w:bCs/>
                <w:strike/>
                <w:snapToGrid w:val="0"/>
                <w:sz w:val="20"/>
                <w:szCs w:val="20"/>
              </w:rPr>
            </w:pPr>
            <w:r w:rsidRPr="00BC52B5">
              <w:rPr>
                <w:rFonts w:ascii="Arial Narrow" w:hAnsi="Arial Narrow"/>
                <w:bCs/>
                <w:snapToGrid w:val="0"/>
                <w:sz w:val="20"/>
                <w:szCs w:val="20"/>
              </w:rPr>
              <w:t>The treatment must be in combination with one of: (</w:t>
            </w:r>
            <w:proofErr w:type="spellStart"/>
            <w:r w:rsidRPr="00BC52B5">
              <w:rPr>
                <w:rFonts w:ascii="Arial Narrow" w:hAnsi="Arial Narrow"/>
                <w:bCs/>
                <w:snapToGrid w:val="0"/>
                <w:sz w:val="20"/>
                <w:szCs w:val="20"/>
              </w:rPr>
              <w:t>i</w:t>
            </w:r>
            <w:proofErr w:type="spellEnd"/>
            <w:r w:rsidRPr="00BC52B5">
              <w:rPr>
                <w:rFonts w:ascii="Arial Narrow" w:hAnsi="Arial Narrow"/>
                <w:bCs/>
                <w:snapToGrid w:val="0"/>
                <w:sz w:val="20"/>
                <w:szCs w:val="20"/>
              </w:rPr>
              <w:t xml:space="preserve">) non-steroidal aromatase inhibitor, (ii) </w:t>
            </w:r>
            <w:proofErr w:type="spellStart"/>
            <w:r w:rsidRPr="00BC52B5">
              <w:rPr>
                <w:rFonts w:ascii="Arial Narrow" w:hAnsi="Arial Narrow"/>
                <w:bCs/>
                <w:snapToGrid w:val="0"/>
                <w:sz w:val="20"/>
                <w:szCs w:val="20"/>
              </w:rPr>
              <w:t>fulvestrant</w:t>
            </w:r>
            <w:proofErr w:type="spellEnd"/>
          </w:p>
        </w:tc>
      </w:tr>
      <w:tr w:rsidR="002E47EE" w:rsidRPr="007F2E0C" w14:paraId="4D171DBB" w14:textId="77777777" w:rsidTr="00973EB3">
        <w:tblPrEx>
          <w:tblCellMar>
            <w:top w:w="15" w:type="dxa"/>
            <w:left w:w="15" w:type="dxa"/>
            <w:bottom w:w="15" w:type="dxa"/>
            <w:right w:w="15" w:type="dxa"/>
          </w:tblCellMar>
        </w:tblPrEx>
        <w:tc>
          <w:tcPr>
            <w:tcW w:w="1412" w:type="dxa"/>
            <w:gridSpan w:val="2"/>
            <w:shd w:val="clear" w:color="auto" w:fill="auto"/>
            <w:vAlign w:val="center"/>
          </w:tcPr>
          <w:p w14:paraId="66BE1DEB" w14:textId="77777777" w:rsidR="002E47EE" w:rsidRPr="00BC52B5" w:rsidRDefault="002E47EE" w:rsidP="00973EB3">
            <w:pPr>
              <w:widowControl w:val="0"/>
              <w:jc w:val="center"/>
              <w:rPr>
                <w:rFonts w:ascii="Arial Narrow" w:hAnsi="Arial Narrow"/>
                <w:b/>
                <w:bCs/>
                <w:snapToGrid w:val="0"/>
                <w:sz w:val="20"/>
                <w:szCs w:val="20"/>
              </w:rPr>
            </w:pPr>
          </w:p>
        </w:tc>
        <w:tc>
          <w:tcPr>
            <w:tcW w:w="7655" w:type="dxa"/>
            <w:gridSpan w:val="7"/>
            <w:shd w:val="clear" w:color="auto" w:fill="auto"/>
            <w:vAlign w:val="center"/>
            <w:hideMark/>
          </w:tcPr>
          <w:p w14:paraId="268EBDE1" w14:textId="77777777" w:rsidR="002E47EE" w:rsidRPr="00BC52B5" w:rsidRDefault="002E47EE" w:rsidP="00973EB3">
            <w:pPr>
              <w:widowControl w:val="0"/>
              <w:rPr>
                <w:rFonts w:ascii="Arial Narrow" w:hAnsi="Arial Narrow"/>
                <w:bCs/>
                <w:snapToGrid w:val="0"/>
                <w:sz w:val="20"/>
                <w:szCs w:val="20"/>
              </w:rPr>
            </w:pPr>
            <w:r w:rsidRPr="00BC52B5">
              <w:rPr>
                <w:rFonts w:ascii="Arial Narrow" w:hAnsi="Arial Narrow"/>
                <w:b/>
                <w:bCs/>
                <w:snapToGrid w:val="0"/>
                <w:sz w:val="20"/>
                <w:szCs w:val="20"/>
              </w:rPr>
              <w:t>AND</w:t>
            </w:r>
          </w:p>
        </w:tc>
      </w:tr>
      <w:tr w:rsidR="002E47EE" w:rsidRPr="007F2E0C" w14:paraId="3F9C626D" w14:textId="77777777" w:rsidTr="00973EB3">
        <w:tblPrEx>
          <w:tblCellMar>
            <w:top w:w="15" w:type="dxa"/>
            <w:left w:w="15" w:type="dxa"/>
            <w:bottom w:w="15" w:type="dxa"/>
            <w:right w:w="15" w:type="dxa"/>
          </w:tblCellMar>
        </w:tblPrEx>
        <w:tc>
          <w:tcPr>
            <w:tcW w:w="1412" w:type="dxa"/>
            <w:gridSpan w:val="2"/>
            <w:shd w:val="clear" w:color="auto" w:fill="auto"/>
            <w:vAlign w:val="center"/>
          </w:tcPr>
          <w:p w14:paraId="0ADC633B" w14:textId="77777777" w:rsidR="002E47EE" w:rsidRPr="00BC52B5" w:rsidRDefault="002E47EE" w:rsidP="00973EB3">
            <w:pPr>
              <w:widowControl w:val="0"/>
              <w:jc w:val="center"/>
              <w:rPr>
                <w:rFonts w:ascii="Arial Narrow" w:hAnsi="Arial Narrow"/>
                <w:bCs/>
                <w:snapToGrid w:val="0"/>
                <w:sz w:val="20"/>
                <w:szCs w:val="20"/>
              </w:rPr>
            </w:pPr>
          </w:p>
        </w:tc>
        <w:tc>
          <w:tcPr>
            <w:tcW w:w="7655" w:type="dxa"/>
            <w:gridSpan w:val="7"/>
            <w:shd w:val="clear" w:color="auto" w:fill="auto"/>
            <w:vAlign w:val="center"/>
            <w:hideMark/>
          </w:tcPr>
          <w:p w14:paraId="43D78F2C" w14:textId="77777777" w:rsidR="002E47EE" w:rsidRPr="00BC52B5" w:rsidRDefault="002E47EE" w:rsidP="00973EB3">
            <w:pPr>
              <w:widowControl w:val="0"/>
              <w:rPr>
                <w:rFonts w:ascii="Arial Narrow" w:hAnsi="Arial Narrow"/>
                <w:bCs/>
                <w:snapToGrid w:val="0"/>
                <w:sz w:val="20"/>
                <w:szCs w:val="20"/>
              </w:rPr>
            </w:pPr>
            <w:r w:rsidRPr="00BC52B5">
              <w:rPr>
                <w:rFonts w:ascii="Arial Narrow" w:hAnsi="Arial Narrow"/>
                <w:b/>
                <w:bCs/>
                <w:snapToGrid w:val="0"/>
                <w:sz w:val="20"/>
                <w:szCs w:val="20"/>
              </w:rPr>
              <w:t>Clinical criteria:</w:t>
            </w:r>
          </w:p>
        </w:tc>
      </w:tr>
      <w:tr w:rsidR="002E47EE" w:rsidRPr="007F2E0C" w14:paraId="735B7805" w14:textId="77777777" w:rsidTr="00973EB3">
        <w:tblPrEx>
          <w:tblCellMar>
            <w:top w:w="15" w:type="dxa"/>
            <w:left w:w="15" w:type="dxa"/>
            <w:bottom w:w="15" w:type="dxa"/>
            <w:right w:w="15" w:type="dxa"/>
          </w:tblCellMar>
        </w:tblPrEx>
        <w:tc>
          <w:tcPr>
            <w:tcW w:w="1412" w:type="dxa"/>
            <w:gridSpan w:val="2"/>
            <w:shd w:val="clear" w:color="auto" w:fill="auto"/>
            <w:vAlign w:val="center"/>
          </w:tcPr>
          <w:p w14:paraId="4DAF410A" w14:textId="28B4B328" w:rsidR="002E47EE" w:rsidRPr="00BC52B5" w:rsidRDefault="002E47EE" w:rsidP="00973EB3">
            <w:pPr>
              <w:widowControl w:val="0"/>
              <w:jc w:val="center"/>
              <w:rPr>
                <w:rFonts w:ascii="Arial Narrow" w:hAnsi="Arial Narrow"/>
                <w:bCs/>
                <w:snapToGrid w:val="0"/>
                <w:sz w:val="20"/>
                <w:szCs w:val="20"/>
              </w:rPr>
            </w:pPr>
          </w:p>
        </w:tc>
        <w:tc>
          <w:tcPr>
            <w:tcW w:w="7655" w:type="dxa"/>
            <w:gridSpan w:val="7"/>
            <w:shd w:val="clear" w:color="auto" w:fill="auto"/>
            <w:vAlign w:val="center"/>
          </w:tcPr>
          <w:p w14:paraId="575F054E" w14:textId="77777777" w:rsidR="002E47EE" w:rsidRPr="00BC52B5" w:rsidRDefault="002E47EE" w:rsidP="00973EB3">
            <w:pPr>
              <w:widowControl w:val="0"/>
              <w:rPr>
                <w:rFonts w:ascii="Arial Narrow" w:hAnsi="Arial Narrow"/>
                <w:bCs/>
                <w:snapToGrid w:val="0"/>
                <w:sz w:val="20"/>
                <w:szCs w:val="20"/>
              </w:rPr>
            </w:pPr>
            <w:r w:rsidRPr="00BC52B5">
              <w:rPr>
                <w:rFonts w:ascii="Arial Narrow" w:hAnsi="Arial Narrow"/>
                <w:sz w:val="20"/>
                <w:szCs w:val="20"/>
              </w:rPr>
              <w:t xml:space="preserve">The treatment must not be in combination with another </w:t>
            </w:r>
            <w:r w:rsidRPr="00BC52B5">
              <w:rPr>
                <w:rFonts w:ascii="Arial Narrow" w:hAnsi="Arial Narrow"/>
                <w:bCs/>
                <w:snapToGrid w:val="0"/>
                <w:sz w:val="20"/>
                <w:szCs w:val="20"/>
              </w:rPr>
              <w:t>cyclin-dependent kinase 4 and 6 (CDK4/6) inhibitor therapy</w:t>
            </w:r>
            <w:r w:rsidRPr="00BC52B5">
              <w:rPr>
                <w:rFonts w:ascii="Arial Narrow" w:hAnsi="Arial Narrow"/>
                <w:sz w:val="20"/>
                <w:szCs w:val="20"/>
              </w:rPr>
              <w:t xml:space="preserve"> </w:t>
            </w:r>
          </w:p>
        </w:tc>
      </w:tr>
      <w:tr w:rsidR="002E47EE" w:rsidRPr="007F2E0C" w14:paraId="2E0FA96B" w14:textId="77777777" w:rsidTr="00973EB3">
        <w:tblPrEx>
          <w:tblCellMar>
            <w:top w:w="15" w:type="dxa"/>
            <w:left w:w="15" w:type="dxa"/>
            <w:bottom w:w="15" w:type="dxa"/>
            <w:right w:w="15" w:type="dxa"/>
          </w:tblCellMar>
        </w:tblPrEx>
        <w:tc>
          <w:tcPr>
            <w:tcW w:w="1412" w:type="dxa"/>
            <w:gridSpan w:val="2"/>
            <w:shd w:val="clear" w:color="auto" w:fill="auto"/>
            <w:vAlign w:val="center"/>
          </w:tcPr>
          <w:p w14:paraId="17184D3B" w14:textId="77777777" w:rsidR="002E47EE" w:rsidRPr="00BC52B5" w:rsidRDefault="002E47EE" w:rsidP="00973EB3">
            <w:pPr>
              <w:widowControl w:val="0"/>
              <w:jc w:val="center"/>
              <w:rPr>
                <w:rFonts w:ascii="Arial Narrow" w:hAnsi="Arial Narrow"/>
                <w:bCs/>
                <w:snapToGrid w:val="0"/>
                <w:sz w:val="20"/>
                <w:szCs w:val="20"/>
              </w:rPr>
            </w:pPr>
          </w:p>
        </w:tc>
        <w:tc>
          <w:tcPr>
            <w:tcW w:w="7655" w:type="dxa"/>
            <w:gridSpan w:val="7"/>
            <w:shd w:val="clear" w:color="auto" w:fill="auto"/>
            <w:vAlign w:val="center"/>
          </w:tcPr>
          <w:p w14:paraId="1A579C30" w14:textId="77777777" w:rsidR="002E47EE" w:rsidRPr="00BC52B5" w:rsidRDefault="002E47EE" w:rsidP="00973EB3">
            <w:pPr>
              <w:widowControl w:val="0"/>
              <w:rPr>
                <w:rFonts w:ascii="Arial Narrow" w:hAnsi="Arial Narrow"/>
                <w:bCs/>
                <w:snapToGrid w:val="0"/>
                <w:sz w:val="20"/>
                <w:szCs w:val="20"/>
              </w:rPr>
            </w:pPr>
            <w:r w:rsidRPr="00BC52B5">
              <w:rPr>
                <w:rFonts w:ascii="Arial Narrow" w:hAnsi="Arial Narrow"/>
                <w:b/>
                <w:bCs/>
                <w:snapToGrid w:val="0"/>
                <w:sz w:val="20"/>
                <w:szCs w:val="20"/>
              </w:rPr>
              <w:t>AND</w:t>
            </w:r>
          </w:p>
        </w:tc>
      </w:tr>
      <w:tr w:rsidR="002E47EE" w:rsidRPr="007F2E0C" w14:paraId="050A527B" w14:textId="77777777" w:rsidTr="00973EB3">
        <w:tblPrEx>
          <w:tblCellMar>
            <w:top w:w="15" w:type="dxa"/>
            <w:left w:w="15" w:type="dxa"/>
            <w:bottom w:w="15" w:type="dxa"/>
            <w:right w:w="15" w:type="dxa"/>
          </w:tblCellMar>
        </w:tblPrEx>
        <w:tc>
          <w:tcPr>
            <w:tcW w:w="1412" w:type="dxa"/>
            <w:gridSpan w:val="2"/>
            <w:shd w:val="clear" w:color="auto" w:fill="auto"/>
            <w:vAlign w:val="center"/>
          </w:tcPr>
          <w:p w14:paraId="29E32864" w14:textId="3749D6FB" w:rsidR="002E47EE" w:rsidRPr="00BC52B5" w:rsidRDefault="002E47EE" w:rsidP="00973EB3">
            <w:pPr>
              <w:widowControl w:val="0"/>
              <w:jc w:val="center"/>
              <w:rPr>
                <w:rFonts w:ascii="Arial Narrow" w:hAnsi="Arial Narrow"/>
                <w:b/>
                <w:bCs/>
                <w:snapToGrid w:val="0"/>
                <w:sz w:val="20"/>
                <w:szCs w:val="20"/>
              </w:rPr>
            </w:pPr>
          </w:p>
        </w:tc>
        <w:tc>
          <w:tcPr>
            <w:tcW w:w="7655" w:type="dxa"/>
            <w:gridSpan w:val="7"/>
            <w:shd w:val="clear" w:color="auto" w:fill="auto"/>
            <w:vAlign w:val="center"/>
            <w:hideMark/>
          </w:tcPr>
          <w:p w14:paraId="0A9158DA" w14:textId="77777777" w:rsidR="002E47EE" w:rsidRPr="00BC52B5" w:rsidRDefault="002E47EE" w:rsidP="00973EB3">
            <w:pPr>
              <w:widowControl w:val="0"/>
              <w:rPr>
                <w:rFonts w:ascii="Arial Narrow" w:hAnsi="Arial Narrow"/>
                <w:bCs/>
                <w:snapToGrid w:val="0"/>
                <w:sz w:val="20"/>
                <w:szCs w:val="20"/>
              </w:rPr>
            </w:pPr>
            <w:r w:rsidRPr="00BC52B5">
              <w:rPr>
                <w:rFonts w:ascii="Arial Narrow" w:hAnsi="Arial Narrow"/>
                <w:b/>
                <w:bCs/>
                <w:snapToGrid w:val="0"/>
                <w:sz w:val="20"/>
                <w:szCs w:val="20"/>
              </w:rPr>
              <w:t>Population criteria:</w:t>
            </w:r>
          </w:p>
        </w:tc>
      </w:tr>
      <w:tr w:rsidR="002E47EE" w:rsidRPr="007F2E0C" w14:paraId="4A29C1AE" w14:textId="77777777" w:rsidTr="00973EB3">
        <w:tblPrEx>
          <w:tblCellMar>
            <w:top w:w="15" w:type="dxa"/>
            <w:left w:w="15" w:type="dxa"/>
            <w:bottom w:w="15" w:type="dxa"/>
            <w:right w:w="15" w:type="dxa"/>
          </w:tblCellMar>
        </w:tblPrEx>
        <w:tc>
          <w:tcPr>
            <w:tcW w:w="1412" w:type="dxa"/>
            <w:gridSpan w:val="2"/>
            <w:shd w:val="clear" w:color="auto" w:fill="auto"/>
            <w:vAlign w:val="center"/>
          </w:tcPr>
          <w:p w14:paraId="780ADD65" w14:textId="26C91FAB" w:rsidR="002E47EE" w:rsidRPr="00BC52B5" w:rsidRDefault="002E47EE" w:rsidP="00973EB3">
            <w:pPr>
              <w:widowControl w:val="0"/>
              <w:jc w:val="center"/>
              <w:rPr>
                <w:rFonts w:ascii="Arial Narrow" w:hAnsi="Arial Narrow"/>
                <w:bCs/>
                <w:snapToGrid w:val="0"/>
                <w:sz w:val="20"/>
                <w:szCs w:val="20"/>
              </w:rPr>
            </w:pPr>
          </w:p>
        </w:tc>
        <w:tc>
          <w:tcPr>
            <w:tcW w:w="7655" w:type="dxa"/>
            <w:gridSpan w:val="7"/>
            <w:shd w:val="clear" w:color="auto" w:fill="auto"/>
            <w:vAlign w:val="center"/>
            <w:hideMark/>
          </w:tcPr>
          <w:p w14:paraId="53DC6C0B" w14:textId="77777777" w:rsidR="002E47EE" w:rsidRPr="00BC52B5" w:rsidRDefault="002E47EE" w:rsidP="00973EB3">
            <w:pPr>
              <w:widowControl w:val="0"/>
              <w:rPr>
                <w:rFonts w:ascii="Arial Narrow" w:hAnsi="Arial Narrow"/>
                <w:bCs/>
                <w:snapToGrid w:val="0"/>
                <w:sz w:val="20"/>
                <w:szCs w:val="20"/>
              </w:rPr>
            </w:pPr>
            <w:r w:rsidRPr="00BC52B5">
              <w:rPr>
                <w:rFonts w:ascii="Arial Narrow" w:hAnsi="Arial Narrow"/>
                <w:bCs/>
                <w:snapToGrid w:val="0"/>
                <w:sz w:val="20"/>
                <w:szCs w:val="20"/>
              </w:rPr>
              <w:t>Patient must not be premenopausal</w:t>
            </w:r>
          </w:p>
        </w:tc>
      </w:tr>
      <w:tr w:rsidR="002E47EE" w:rsidRPr="007F2E0C" w14:paraId="4C64495E" w14:textId="77777777" w:rsidTr="00973EB3">
        <w:tblPrEx>
          <w:tblCellMar>
            <w:top w:w="15" w:type="dxa"/>
            <w:left w:w="15" w:type="dxa"/>
            <w:bottom w:w="15" w:type="dxa"/>
            <w:right w:w="15" w:type="dxa"/>
          </w:tblCellMar>
          <w:tblLook w:val="04A0" w:firstRow="1" w:lastRow="0" w:firstColumn="1" w:lastColumn="0" w:noHBand="0" w:noVBand="1"/>
        </w:tblPrEx>
        <w:tc>
          <w:tcPr>
            <w:tcW w:w="9067" w:type="dxa"/>
            <w:gridSpan w:val="9"/>
          </w:tcPr>
          <w:p w14:paraId="3EF80854" w14:textId="77777777" w:rsidR="002E47EE" w:rsidRPr="00BC52B5" w:rsidRDefault="002E47EE" w:rsidP="00973EB3">
            <w:pPr>
              <w:widowControl w:val="0"/>
              <w:ind w:left="57" w:right="57"/>
              <w:rPr>
                <w:rFonts w:ascii="Arial Narrow" w:hAnsi="Arial Narrow"/>
                <w:b/>
                <w:bCs/>
                <w:strike/>
                <w:snapToGrid w:val="0"/>
                <w:sz w:val="20"/>
                <w:szCs w:val="20"/>
              </w:rPr>
            </w:pPr>
          </w:p>
        </w:tc>
      </w:tr>
      <w:tr w:rsidR="002E47EE" w:rsidRPr="007F2E0C" w14:paraId="71BB6130" w14:textId="77777777" w:rsidTr="00973EB3">
        <w:tblPrEx>
          <w:tblCellMar>
            <w:top w:w="15" w:type="dxa"/>
            <w:left w:w="15" w:type="dxa"/>
            <w:bottom w:w="15" w:type="dxa"/>
            <w:right w:w="15" w:type="dxa"/>
          </w:tblCellMar>
          <w:tblLook w:val="04A0" w:firstRow="1" w:lastRow="0" w:firstColumn="1" w:lastColumn="0" w:noHBand="0" w:noVBand="1"/>
        </w:tblPrEx>
        <w:tc>
          <w:tcPr>
            <w:tcW w:w="9067" w:type="dxa"/>
            <w:gridSpan w:val="9"/>
            <w:shd w:val="clear" w:color="auto" w:fill="auto"/>
          </w:tcPr>
          <w:p w14:paraId="3E5F8699" w14:textId="313CCFB2" w:rsidR="002E47EE" w:rsidRPr="00BC52B5" w:rsidRDefault="00BC52B5" w:rsidP="00973EB3">
            <w:pPr>
              <w:widowControl w:val="0"/>
              <w:ind w:left="57" w:right="57"/>
              <w:rPr>
                <w:rFonts w:ascii="Arial Narrow" w:hAnsi="Arial Narrow"/>
                <w:b/>
                <w:bCs/>
                <w:strike/>
                <w:snapToGrid w:val="0"/>
                <w:sz w:val="20"/>
                <w:szCs w:val="20"/>
              </w:rPr>
            </w:pPr>
            <w:r w:rsidRPr="00BC52B5">
              <w:rPr>
                <w:rFonts w:ascii="Arial Narrow" w:hAnsi="Arial Narrow"/>
                <w:b/>
                <w:bCs/>
                <w:snapToGrid w:val="0"/>
                <w:sz w:val="20"/>
                <w:szCs w:val="20"/>
              </w:rPr>
              <w:t>Edit Restriction Summar</w:t>
            </w:r>
            <w:r>
              <w:rPr>
                <w:rFonts w:ascii="Arial Narrow" w:hAnsi="Arial Narrow"/>
                <w:b/>
                <w:bCs/>
                <w:snapToGrid w:val="0"/>
                <w:sz w:val="20"/>
                <w:szCs w:val="20"/>
              </w:rPr>
              <w:t>ies</w:t>
            </w:r>
            <w:r w:rsidRPr="00BC52B5">
              <w:rPr>
                <w:rFonts w:ascii="Arial Narrow" w:hAnsi="Arial Narrow"/>
                <w:b/>
                <w:bCs/>
                <w:snapToGrid w:val="0"/>
                <w:sz w:val="20"/>
                <w:szCs w:val="20"/>
              </w:rPr>
              <w:t xml:space="preserve"> / </w:t>
            </w:r>
            <w:proofErr w:type="spellStart"/>
            <w:r w:rsidRPr="00BC52B5">
              <w:rPr>
                <w:rFonts w:ascii="Arial Narrow" w:hAnsi="Arial Narrow"/>
                <w:b/>
                <w:bCs/>
                <w:snapToGrid w:val="0"/>
                <w:sz w:val="20"/>
                <w:szCs w:val="20"/>
              </w:rPr>
              <w:t>ToC</w:t>
            </w:r>
            <w:r>
              <w:rPr>
                <w:rFonts w:ascii="Arial Narrow" w:hAnsi="Arial Narrow"/>
                <w:b/>
                <w:bCs/>
                <w:snapToGrid w:val="0"/>
                <w:sz w:val="20"/>
                <w:szCs w:val="20"/>
              </w:rPr>
              <w:t>s</w:t>
            </w:r>
            <w:proofErr w:type="spellEnd"/>
            <w:r w:rsidRPr="00BC52B5">
              <w:rPr>
                <w:rFonts w:ascii="Arial Narrow" w:hAnsi="Arial Narrow"/>
                <w:b/>
                <w:bCs/>
                <w:snapToGrid w:val="0"/>
                <w:sz w:val="20"/>
                <w:szCs w:val="20"/>
              </w:rPr>
              <w:t xml:space="preserve"> to appear as follows:</w:t>
            </w:r>
          </w:p>
        </w:tc>
      </w:tr>
      <w:tr w:rsidR="002E47EE" w:rsidRPr="007F2E0C" w14:paraId="6C7A7A63" w14:textId="77777777" w:rsidTr="00973EB3">
        <w:tblPrEx>
          <w:tblCellMar>
            <w:top w:w="15" w:type="dxa"/>
            <w:left w:w="15" w:type="dxa"/>
            <w:bottom w:w="15" w:type="dxa"/>
            <w:right w:w="15" w:type="dxa"/>
          </w:tblCellMar>
        </w:tblPrEx>
        <w:trPr>
          <w:trHeight w:val="158"/>
        </w:trPr>
        <w:tc>
          <w:tcPr>
            <w:tcW w:w="1412" w:type="dxa"/>
            <w:gridSpan w:val="2"/>
            <w:vMerge w:val="restart"/>
            <w:shd w:val="clear" w:color="auto" w:fill="auto"/>
            <w:vAlign w:val="center"/>
          </w:tcPr>
          <w:p w14:paraId="7104CC30" w14:textId="3F0AB9BF" w:rsidR="002E47EE" w:rsidRPr="00BC52B5" w:rsidRDefault="002E47EE" w:rsidP="00973EB3">
            <w:pPr>
              <w:ind w:left="57"/>
              <w:jc w:val="center"/>
              <w:rPr>
                <w:rFonts w:ascii="Arial Narrow" w:hAnsi="Arial Narrow"/>
                <w:b/>
                <w:sz w:val="20"/>
                <w:szCs w:val="20"/>
              </w:rPr>
            </w:pPr>
          </w:p>
        </w:tc>
        <w:tc>
          <w:tcPr>
            <w:tcW w:w="7655" w:type="dxa"/>
            <w:gridSpan w:val="7"/>
            <w:tcBorders>
              <w:top w:val="single" w:sz="4" w:space="0" w:color="auto"/>
              <w:left w:val="single" w:sz="4" w:space="0" w:color="auto"/>
              <w:bottom w:val="single" w:sz="4" w:space="0" w:color="auto"/>
              <w:right w:val="single" w:sz="4" w:space="0" w:color="auto"/>
            </w:tcBorders>
            <w:shd w:val="clear" w:color="auto" w:fill="auto"/>
          </w:tcPr>
          <w:p w14:paraId="601A4FF6" w14:textId="77777777" w:rsidR="002E47EE" w:rsidRPr="00BC52B5" w:rsidRDefault="002E47EE" w:rsidP="00973EB3">
            <w:pPr>
              <w:ind w:left="57"/>
              <w:rPr>
                <w:rFonts w:ascii="Arial Narrow" w:hAnsi="Arial Narrow"/>
                <w:sz w:val="20"/>
                <w:szCs w:val="20"/>
              </w:rPr>
            </w:pPr>
            <w:r w:rsidRPr="00BC52B5">
              <w:rPr>
                <w:rFonts w:ascii="Arial Narrow" w:hAnsi="Arial Narrow"/>
                <w:b/>
                <w:sz w:val="20"/>
                <w:szCs w:val="20"/>
              </w:rPr>
              <w:t xml:space="preserve">Category / Program:   </w:t>
            </w:r>
            <w:r w:rsidRPr="00BC52B5">
              <w:rPr>
                <w:rFonts w:ascii="Arial Narrow" w:hAnsi="Arial Narrow"/>
                <w:sz w:val="20"/>
                <w:szCs w:val="20"/>
              </w:rPr>
              <w:t xml:space="preserve">GENERAL – General Schedule (Code GE) </w:t>
            </w:r>
          </w:p>
        </w:tc>
      </w:tr>
      <w:tr w:rsidR="002E47EE" w:rsidRPr="007F2E0C" w14:paraId="65A3222C" w14:textId="77777777" w:rsidTr="00973EB3">
        <w:tblPrEx>
          <w:tblCellMar>
            <w:top w:w="15" w:type="dxa"/>
            <w:left w:w="15" w:type="dxa"/>
            <w:bottom w:w="15" w:type="dxa"/>
            <w:right w:w="15" w:type="dxa"/>
          </w:tblCellMar>
        </w:tblPrEx>
        <w:tc>
          <w:tcPr>
            <w:tcW w:w="1412" w:type="dxa"/>
            <w:gridSpan w:val="2"/>
            <w:vMerge/>
            <w:shd w:val="clear" w:color="auto" w:fill="auto"/>
            <w:vAlign w:val="center"/>
          </w:tcPr>
          <w:p w14:paraId="31B628FE" w14:textId="77777777" w:rsidR="002E47EE" w:rsidRPr="00BC52B5" w:rsidRDefault="002E47EE" w:rsidP="00973EB3">
            <w:pPr>
              <w:widowControl w:val="0"/>
              <w:ind w:left="57"/>
              <w:rPr>
                <w:rFonts w:ascii="Arial Narrow" w:hAnsi="Arial Narrow"/>
                <w:b/>
                <w:sz w:val="20"/>
                <w:szCs w:val="20"/>
              </w:rPr>
            </w:pPr>
          </w:p>
        </w:tc>
        <w:tc>
          <w:tcPr>
            <w:tcW w:w="7655" w:type="dxa"/>
            <w:gridSpan w:val="7"/>
            <w:tcBorders>
              <w:top w:val="single" w:sz="4" w:space="0" w:color="auto"/>
              <w:left w:val="single" w:sz="4" w:space="0" w:color="auto"/>
              <w:bottom w:val="single" w:sz="4" w:space="0" w:color="auto"/>
              <w:right w:val="single" w:sz="4" w:space="0" w:color="auto"/>
            </w:tcBorders>
            <w:shd w:val="clear" w:color="auto" w:fill="auto"/>
          </w:tcPr>
          <w:p w14:paraId="344F6A05" w14:textId="77777777" w:rsidR="002E47EE" w:rsidRPr="00BC52B5" w:rsidRDefault="002E47EE" w:rsidP="00973EB3">
            <w:pPr>
              <w:widowControl w:val="0"/>
              <w:ind w:left="57"/>
              <w:rPr>
                <w:rFonts w:ascii="Arial Narrow" w:hAnsi="Arial Narrow"/>
                <w:b/>
                <w:bCs/>
                <w:snapToGrid w:val="0"/>
                <w:sz w:val="20"/>
                <w:szCs w:val="20"/>
              </w:rPr>
            </w:pPr>
            <w:r w:rsidRPr="00BC52B5">
              <w:rPr>
                <w:rFonts w:ascii="Arial Narrow" w:hAnsi="Arial Narrow"/>
                <w:b/>
                <w:sz w:val="20"/>
                <w:szCs w:val="20"/>
              </w:rPr>
              <w:t xml:space="preserve">Prescriber type:   </w:t>
            </w:r>
            <w:r w:rsidRPr="00BC52B5">
              <w:rPr>
                <w:rFonts w:ascii="Arial Narrow" w:hAnsi="Arial Narrow"/>
                <w:sz w:val="20"/>
                <w:szCs w:val="20"/>
              </w:rPr>
              <w:fldChar w:fldCharType="begin">
                <w:ffData>
                  <w:name w:val=""/>
                  <w:enabled/>
                  <w:calcOnExit w:val="0"/>
                  <w:checkBox>
                    <w:sizeAuto/>
                    <w:default w:val="1"/>
                  </w:checkBox>
                </w:ffData>
              </w:fldChar>
            </w:r>
            <w:r w:rsidRPr="00BC52B5">
              <w:rPr>
                <w:rFonts w:ascii="Arial Narrow" w:hAnsi="Arial Narrow"/>
                <w:sz w:val="20"/>
                <w:szCs w:val="20"/>
              </w:rPr>
              <w:instrText xml:space="preserve"> FORMCHECKBOX </w:instrText>
            </w:r>
            <w:r w:rsidR="009728EB">
              <w:rPr>
                <w:rFonts w:ascii="Arial Narrow" w:hAnsi="Arial Narrow"/>
                <w:sz w:val="20"/>
                <w:szCs w:val="20"/>
              </w:rPr>
            </w:r>
            <w:r w:rsidR="009728EB">
              <w:rPr>
                <w:rFonts w:ascii="Arial Narrow" w:hAnsi="Arial Narrow"/>
                <w:sz w:val="20"/>
                <w:szCs w:val="20"/>
              </w:rPr>
              <w:fldChar w:fldCharType="separate"/>
            </w:r>
            <w:r w:rsidRPr="00BC52B5">
              <w:rPr>
                <w:rFonts w:ascii="Arial Narrow" w:hAnsi="Arial Narrow"/>
                <w:sz w:val="20"/>
                <w:szCs w:val="20"/>
              </w:rPr>
              <w:fldChar w:fldCharType="end"/>
            </w:r>
            <w:r w:rsidRPr="00BC52B5">
              <w:rPr>
                <w:rFonts w:ascii="Arial Narrow" w:hAnsi="Arial Narrow"/>
                <w:sz w:val="20"/>
                <w:szCs w:val="20"/>
              </w:rPr>
              <w:t xml:space="preserve"> Medical Practitioners    </w:t>
            </w:r>
          </w:p>
        </w:tc>
      </w:tr>
      <w:tr w:rsidR="002E47EE" w:rsidRPr="007F2E0C" w14:paraId="0A5F4787" w14:textId="77777777" w:rsidTr="00973EB3">
        <w:tblPrEx>
          <w:tblCellMar>
            <w:top w:w="15" w:type="dxa"/>
            <w:left w:w="15" w:type="dxa"/>
            <w:bottom w:w="15" w:type="dxa"/>
            <w:right w:w="15" w:type="dxa"/>
          </w:tblCellMar>
        </w:tblPrEx>
        <w:trPr>
          <w:trHeight w:val="194"/>
        </w:trPr>
        <w:tc>
          <w:tcPr>
            <w:tcW w:w="1412" w:type="dxa"/>
            <w:gridSpan w:val="2"/>
            <w:vMerge/>
            <w:shd w:val="clear" w:color="auto" w:fill="auto"/>
            <w:vAlign w:val="center"/>
          </w:tcPr>
          <w:p w14:paraId="3E62E274" w14:textId="77777777" w:rsidR="002E47EE" w:rsidRPr="00BC52B5" w:rsidRDefault="002E47EE" w:rsidP="00973EB3">
            <w:pPr>
              <w:ind w:left="57"/>
              <w:rPr>
                <w:rFonts w:ascii="Arial Narrow" w:hAnsi="Arial Narrow"/>
                <w:b/>
                <w:sz w:val="20"/>
                <w:szCs w:val="20"/>
              </w:rPr>
            </w:pPr>
          </w:p>
        </w:tc>
        <w:tc>
          <w:tcPr>
            <w:tcW w:w="7655" w:type="dxa"/>
            <w:gridSpan w:val="7"/>
            <w:tcBorders>
              <w:top w:val="single" w:sz="4" w:space="0" w:color="auto"/>
              <w:left w:val="single" w:sz="4" w:space="0" w:color="auto"/>
              <w:bottom w:val="single" w:sz="4" w:space="0" w:color="auto"/>
              <w:right w:val="single" w:sz="4" w:space="0" w:color="auto"/>
            </w:tcBorders>
            <w:shd w:val="clear" w:color="auto" w:fill="auto"/>
          </w:tcPr>
          <w:p w14:paraId="72964844" w14:textId="77777777" w:rsidR="002E47EE" w:rsidRPr="00BC52B5" w:rsidRDefault="002E47EE" w:rsidP="00973EB3">
            <w:pPr>
              <w:ind w:left="57"/>
              <w:rPr>
                <w:rFonts w:ascii="Arial Narrow" w:hAnsi="Arial Narrow"/>
                <w:b/>
                <w:sz w:val="20"/>
                <w:szCs w:val="20"/>
              </w:rPr>
            </w:pPr>
            <w:r w:rsidRPr="00BC52B5">
              <w:rPr>
                <w:rFonts w:ascii="Arial Narrow" w:hAnsi="Arial Narrow"/>
                <w:b/>
                <w:sz w:val="20"/>
                <w:szCs w:val="20"/>
              </w:rPr>
              <w:t xml:space="preserve">Restriction type: </w:t>
            </w:r>
            <w:r w:rsidRPr="00BC52B5">
              <w:rPr>
                <w:rFonts w:ascii="Arial Narrow" w:eastAsia="Calibri" w:hAnsi="Arial Narrow"/>
                <w:sz w:val="20"/>
                <w:szCs w:val="20"/>
              </w:rPr>
              <w:fldChar w:fldCharType="begin">
                <w:ffData>
                  <w:name w:val="Check3"/>
                  <w:enabled/>
                  <w:calcOnExit w:val="0"/>
                  <w:checkBox>
                    <w:sizeAuto/>
                    <w:default w:val="1"/>
                  </w:checkBox>
                </w:ffData>
              </w:fldChar>
            </w:r>
            <w:r w:rsidRPr="00BC52B5">
              <w:rPr>
                <w:rFonts w:ascii="Arial Narrow" w:eastAsia="Calibri" w:hAnsi="Arial Narrow"/>
                <w:sz w:val="20"/>
                <w:szCs w:val="20"/>
              </w:rPr>
              <w:instrText xml:space="preserve"> FORMCHECKBOX </w:instrText>
            </w:r>
            <w:r w:rsidR="009728EB">
              <w:rPr>
                <w:rFonts w:ascii="Arial Narrow" w:eastAsia="Calibri" w:hAnsi="Arial Narrow"/>
                <w:sz w:val="20"/>
                <w:szCs w:val="20"/>
              </w:rPr>
            </w:r>
            <w:r w:rsidR="009728EB">
              <w:rPr>
                <w:rFonts w:ascii="Arial Narrow" w:eastAsia="Calibri" w:hAnsi="Arial Narrow"/>
                <w:sz w:val="20"/>
                <w:szCs w:val="20"/>
              </w:rPr>
              <w:fldChar w:fldCharType="separate"/>
            </w:r>
            <w:r w:rsidRPr="00BC52B5">
              <w:rPr>
                <w:rFonts w:ascii="Arial Narrow" w:eastAsia="Calibri" w:hAnsi="Arial Narrow"/>
                <w:sz w:val="20"/>
                <w:szCs w:val="20"/>
              </w:rPr>
              <w:fldChar w:fldCharType="end"/>
            </w:r>
            <w:r w:rsidRPr="00BC52B5">
              <w:rPr>
                <w:rFonts w:ascii="Arial Narrow" w:eastAsia="Calibri" w:hAnsi="Arial Narrow"/>
                <w:sz w:val="20"/>
                <w:szCs w:val="20"/>
              </w:rPr>
              <w:t xml:space="preserve"> Authority Required – immediate/real time assessment by Services Australia </w:t>
            </w:r>
          </w:p>
        </w:tc>
      </w:tr>
      <w:tr w:rsidR="002E47EE" w:rsidRPr="007F2E0C" w14:paraId="1FD4F2FC" w14:textId="77777777" w:rsidTr="00973EB3">
        <w:tblPrEx>
          <w:tblCellMar>
            <w:top w:w="15" w:type="dxa"/>
            <w:left w:w="15" w:type="dxa"/>
            <w:bottom w:w="15" w:type="dxa"/>
            <w:right w:w="15" w:type="dxa"/>
          </w:tblCellMar>
        </w:tblPrEx>
        <w:tc>
          <w:tcPr>
            <w:tcW w:w="1412" w:type="dxa"/>
            <w:gridSpan w:val="2"/>
            <w:shd w:val="clear" w:color="auto" w:fill="auto"/>
            <w:vAlign w:val="center"/>
          </w:tcPr>
          <w:p w14:paraId="0447AC09" w14:textId="1984AAEE" w:rsidR="002E47EE" w:rsidRPr="00BC52B5" w:rsidRDefault="002E47EE" w:rsidP="00973EB3">
            <w:pPr>
              <w:widowControl w:val="0"/>
              <w:ind w:left="57"/>
              <w:jc w:val="center"/>
              <w:rPr>
                <w:rFonts w:ascii="Arial Narrow" w:hAnsi="Arial Narrow"/>
                <w:b/>
                <w:bCs/>
                <w:snapToGrid w:val="0"/>
                <w:sz w:val="20"/>
                <w:szCs w:val="20"/>
              </w:rPr>
            </w:pPr>
          </w:p>
        </w:tc>
        <w:tc>
          <w:tcPr>
            <w:tcW w:w="7655" w:type="dxa"/>
            <w:gridSpan w:val="7"/>
            <w:shd w:val="clear" w:color="auto" w:fill="auto"/>
            <w:vAlign w:val="center"/>
            <w:hideMark/>
          </w:tcPr>
          <w:p w14:paraId="4C9F8C44" w14:textId="77777777" w:rsidR="002E47EE" w:rsidRPr="00BC52B5" w:rsidRDefault="002E47EE" w:rsidP="00973EB3">
            <w:pPr>
              <w:widowControl w:val="0"/>
              <w:ind w:left="57"/>
              <w:rPr>
                <w:rFonts w:ascii="Arial Narrow" w:hAnsi="Arial Narrow"/>
                <w:bCs/>
                <w:snapToGrid w:val="0"/>
                <w:sz w:val="20"/>
                <w:szCs w:val="20"/>
              </w:rPr>
            </w:pPr>
            <w:r w:rsidRPr="00BC52B5">
              <w:rPr>
                <w:rFonts w:ascii="Arial Narrow" w:hAnsi="Arial Narrow"/>
                <w:b/>
                <w:bCs/>
                <w:snapToGrid w:val="0"/>
                <w:sz w:val="20"/>
                <w:szCs w:val="20"/>
              </w:rPr>
              <w:t>Indication:</w:t>
            </w:r>
            <w:r w:rsidRPr="00BC52B5">
              <w:rPr>
                <w:rFonts w:ascii="Arial Narrow" w:hAnsi="Arial Narrow"/>
                <w:bCs/>
                <w:snapToGrid w:val="0"/>
                <w:sz w:val="20"/>
                <w:szCs w:val="20"/>
              </w:rPr>
              <w:t xml:space="preserve"> Locally advanced or metastatic breast cancer</w:t>
            </w:r>
          </w:p>
        </w:tc>
      </w:tr>
      <w:tr w:rsidR="002E47EE" w:rsidRPr="007F2E0C" w14:paraId="757F55F9" w14:textId="77777777" w:rsidTr="00973EB3">
        <w:tblPrEx>
          <w:tblCellMar>
            <w:top w:w="15" w:type="dxa"/>
            <w:left w:w="15" w:type="dxa"/>
            <w:bottom w:w="15" w:type="dxa"/>
            <w:right w:w="15" w:type="dxa"/>
          </w:tblCellMar>
        </w:tblPrEx>
        <w:tc>
          <w:tcPr>
            <w:tcW w:w="1412" w:type="dxa"/>
            <w:gridSpan w:val="2"/>
            <w:shd w:val="clear" w:color="auto" w:fill="auto"/>
            <w:vAlign w:val="center"/>
          </w:tcPr>
          <w:p w14:paraId="477A5EB3" w14:textId="77777777" w:rsidR="002E47EE" w:rsidRPr="00BC52B5" w:rsidRDefault="002E47EE" w:rsidP="00973EB3">
            <w:pPr>
              <w:widowControl w:val="0"/>
              <w:ind w:left="57"/>
              <w:jc w:val="center"/>
              <w:rPr>
                <w:rFonts w:ascii="Arial Narrow" w:hAnsi="Arial Narrow"/>
                <w:b/>
                <w:bCs/>
                <w:snapToGrid w:val="0"/>
                <w:sz w:val="20"/>
                <w:szCs w:val="20"/>
              </w:rPr>
            </w:pPr>
          </w:p>
        </w:tc>
        <w:tc>
          <w:tcPr>
            <w:tcW w:w="7655" w:type="dxa"/>
            <w:gridSpan w:val="7"/>
            <w:shd w:val="clear" w:color="auto" w:fill="auto"/>
            <w:vAlign w:val="center"/>
            <w:hideMark/>
          </w:tcPr>
          <w:p w14:paraId="3C8FD8DC" w14:textId="77777777" w:rsidR="002E47EE" w:rsidRPr="00BC52B5" w:rsidRDefault="002E47EE" w:rsidP="00973EB3">
            <w:pPr>
              <w:widowControl w:val="0"/>
              <w:ind w:left="57"/>
              <w:rPr>
                <w:rFonts w:ascii="Arial Narrow" w:hAnsi="Arial Narrow"/>
                <w:bCs/>
                <w:snapToGrid w:val="0"/>
                <w:sz w:val="20"/>
                <w:szCs w:val="20"/>
              </w:rPr>
            </w:pPr>
            <w:r w:rsidRPr="00BC52B5">
              <w:rPr>
                <w:rFonts w:ascii="Arial Narrow" w:hAnsi="Arial Narrow"/>
                <w:b/>
                <w:bCs/>
                <w:snapToGrid w:val="0"/>
                <w:sz w:val="20"/>
                <w:szCs w:val="20"/>
              </w:rPr>
              <w:t>Treatment Phase:</w:t>
            </w:r>
            <w:r w:rsidRPr="00BC52B5">
              <w:rPr>
                <w:rFonts w:ascii="Arial Narrow" w:hAnsi="Arial Narrow"/>
                <w:bCs/>
                <w:snapToGrid w:val="0"/>
                <w:sz w:val="20"/>
                <w:szCs w:val="20"/>
              </w:rPr>
              <w:t xml:space="preserve"> Transitioning from non-PBS to PBS-subsidised supply - ‘Grandfather’ arrangements</w:t>
            </w:r>
          </w:p>
        </w:tc>
      </w:tr>
      <w:tr w:rsidR="002E47EE" w:rsidRPr="007F2E0C" w14:paraId="1C9CF555" w14:textId="77777777" w:rsidTr="00973EB3">
        <w:tblPrEx>
          <w:tblCellMar>
            <w:top w:w="15" w:type="dxa"/>
            <w:left w:w="15" w:type="dxa"/>
            <w:bottom w:w="15" w:type="dxa"/>
            <w:right w:w="15" w:type="dxa"/>
          </w:tblCellMar>
        </w:tblPrEx>
        <w:tc>
          <w:tcPr>
            <w:tcW w:w="1412" w:type="dxa"/>
            <w:gridSpan w:val="2"/>
            <w:shd w:val="clear" w:color="auto" w:fill="auto"/>
            <w:vAlign w:val="center"/>
          </w:tcPr>
          <w:p w14:paraId="31121A6F" w14:textId="77777777" w:rsidR="002E47EE" w:rsidRPr="00BC52B5" w:rsidRDefault="002E47EE" w:rsidP="00973EB3">
            <w:pPr>
              <w:widowControl w:val="0"/>
              <w:ind w:left="57"/>
              <w:jc w:val="center"/>
              <w:rPr>
                <w:rFonts w:ascii="Arial Narrow" w:hAnsi="Arial Narrow"/>
                <w:b/>
                <w:bCs/>
                <w:snapToGrid w:val="0"/>
                <w:sz w:val="20"/>
                <w:szCs w:val="20"/>
              </w:rPr>
            </w:pPr>
          </w:p>
        </w:tc>
        <w:tc>
          <w:tcPr>
            <w:tcW w:w="7655" w:type="dxa"/>
            <w:gridSpan w:val="7"/>
            <w:shd w:val="clear" w:color="auto" w:fill="auto"/>
            <w:vAlign w:val="center"/>
          </w:tcPr>
          <w:p w14:paraId="1E8CDA3C" w14:textId="77777777" w:rsidR="002E47EE" w:rsidRPr="00BC52B5" w:rsidRDefault="002E47EE" w:rsidP="00973EB3">
            <w:pPr>
              <w:widowControl w:val="0"/>
              <w:ind w:left="57"/>
              <w:rPr>
                <w:rFonts w:ascii="Arial Narrow" w:hAnsi="Arial Narrow"/>
                <w:b/>
                <w:bCs/>
                <w:snapToGrid w:val="0"/>
                <w:sz w:val="20"/>
                <w:szCs w:val="20"/>
              </w:rPr>
            </w:pPr>
            <w:r w:rsidRPr="00BC52B5">
              <w:rPr>
                <w:rFonts w:ascii="Arial Narrow" w:hAnsi="Arial Narrow"/>
                <w:b/>
                <w:bCs/>
                <w:snapToGrid w:val="0"/>
                <w:sz w:val="20"/>
                <w:szCs w:val="20"/>
              </w:rPr>
              <w:t>Clinical criteria:</w:t>
            </w:r>
          </w:p>
        </w:tc>
      </w:tr>
      <w:tr w:rsidR="002E47EE" w:rsidRPr="007F2E0C" w14:paraId="2C55DCD6" w14:textId="77777777" w:rsidTr="00973EB3">
        <w:tblPrEx>
          <w:tblCellMar>
            <w:top w:w="15" w:type="dxa"/>
            <w:left w:w="15" w:type="dxa"/>
            <w:bottom w:w="15" w:type="dxa"/>
            <w:right w:w="15" w:type="dxa"/>
          </w:tblCellMar>
        </w:tblPrEx>
        <w:tc>
          <w:tcPr>
            <w:tcW w:w="1412" w:type="dxa"/>
            <w:gridSpan w:val="2"/>
            <w:shd w:val="clear" w:color="auto" w:fill="auto"/>
            <w:vAlign w:val="center"/>
          </w:tcPr>
          <w:p w14:paraId="4C7C86EF" w14:textId="119E3E70" w:rsidR="002E47EE" w:rsidRPr="00BC52B5" w:rsidRDefault="002E47EE" w:rsidP="00973EB3">
            <w:pPr>
              <w:widowControl w:val="0"/>
              <w:ind w:left="57"/>
              <w:jc w:val="center"/>
              <w:rPr>
                <w:rFonts w:ascii="Arial Narrow" w:hAnsi="Arial Narrow"/>
                <w:bCs/>
                <w:snapToGrid w:val="0"/>
                <w:sz w:val="20"/>
                <w:szCs w:val="20"/>
              </w:rPr>
            </w:pPr>
          </w:p>
        </w:tc>
        <w:tc>
          <w:tcPr>
            <w:tcW w:w="7655" w:type="dxa"/>
            <w:gridSpan w:val="7"/>
            <w:shd w:val="clear" w:color="auto" w:fill="auto"/>
            <w:vAlign w:val="center"/>
          </w:tcPr>
          <w:p w14:paraId="60515C7C" w14:textId="77777777" w:rsidR="002E47EE" w:rsidRPr="00BC52B5" w:rsidRDefault="002E47EE" w:rsidP="00973EB3">
            <w:pPr>
              <w:widowControl w:val="0"/>
              <w:ind w:left="57"/>
              <w:rPr>
                <w:rFonts w:ascii="Arial Narrow" w:hAnsi="Arial Narrow"/>
                <w:bCs/>
                <w:snapToGrid w:val="0"/>
                <w:sz w:val="20"/>
                <w:szCs w:val="20"/>
              </w:rPr>
            </w:pPr>
            <w:r w:rsidRPr="00BC52B5">
              <w:rPr>
                <w:rFonts w:ascii="Arial Narrow" w:hAnsi="Arial Narrow"/>
                <w:bCs/>
                <w:snapToGrid w:val="0"/>
                <w:sz w:val="20"/>
                <w:szCs w:val="20"/>
              </w:rPr>
              <w:t>Patient must have received treatment with this drug for this PBS-indication prior to [insert date of PBS listing]</w:t>
            </w:r>
          </w:p>
        </w:tc>
      </w:tr>
      <w:tr w:rsidR="002E47EE" w:rsidRPr="007F2E0C" w14:paraId="29B4FF62" w14:textId="77777777" w:rsidTr="00973EB3">
        <w:tblPrEx>
          <w:tblCellMar>
            <w:top w:w="15" w:type="dxa"/>
            <w:left w:w="15" w:type="dxa"/>
            <w:bottom w:w="15" w:type="dxa"/>
            <w:right w:w="15" w:type="dxa"/>
          </w:tblCellMar>
        </w:tblPrEx>
        <w:tc>
          <w:tcPr>
            <w:tcW w:w="1412" w:type="dxa"/>
            <w:gridSpan w:val="2"/>
            <w:shd w:val="clear" w:color="auto" w:fill="auto"/>
            <w:vAlign w:val="center"/>
          </w:tcPr>
          <w:p w14:paraId="7505C4C5" w14:textId="77777777" w:rsidR="002E47EE" w:rsidRPr="00BC52B5" w:rsidRDefault="002E47EE" w:rsidP="00973EB3">
            <w:pPr>
              <w:widowControl w:val="0"/>
              <w:ind w:left="57"/>
              <w:jc w:val="center"/>
              <w:rPr>
                <w:rFonts w:ascii="Arial Narrow" w:hAnsi="Arial Narrow"/>
                <w:b/>
                <w:bCs/>
                <w:snapToGrid w:val="0"/>
                <w:sz w:val="20"/>
                <w:szCs w:val="20"/>
              </w:rPr>
            </w:pPr>
          </w:p>
        </w:tc>
        <w:tc>
          <w:tcPr>
            <w:tcW w:w="7655" w:type="dxa"/>
            <w:gridSpan w:val="7"/>
            <w:shd w:val="clear" w:color="auto" w:fill="auto"/>
            <w:vAlign w:val="center"/>
          </w:tcPr>
          <w:p w14:paraId="795AC142" w14:textId="77777777" w:rsidR="002E47EE" w:rsidRPr="00BC52B5" w:rsidRDefault="002E47EE" w:rsidP="00973EB3">
            <w:pPr>
              <w:widowControl w:val="0"/>
              <w:ind w:left="57"/>
              <w:rPr>
                <w:rFonts w:ascii="Arial Narrow" w:hAnsi="Arial Narrow"/>
                <w:b/>
                <w:bCs/>
                <w:snapToGrid w:val="0"/>
                <w:sz w:val="20"/>
                <w:szCs w:val="20"/>
              </w:rPr>
            </w:pPr>
            <w:r w:rsidRPr="00BC52B5">
              <w:rPr>
                <w:rFonts w:ascii="Arial Narrow" w:hAnsi="Arial Narrow"/>
                <w:b/>
                <w:bCs/>
                <w:snapToGrid w:val="0"/>
                <w:sz w:val="20"/>
                <w:szCs w:val="20"/>
              </w:rPr>
              <w:t>AND</w:t>
            </w:r>
          </w:p>
        </w:tc>
      </w:tr>
      <w:tr w:rsidR="002E47EE" w:rsidRPr="007F2E0C" w14:paraId="4FAB1686" w14:textId="77777777" w:rsidTr="00973EB3">
        <w:tblPrEx>
          <w:tblCellMar>
            <w:top w:w="15" w:type="dxa"/>
            <w:left w:w="15" w:type="dxa"/>
            <w:bottom w:w="15" w:type="dxa"/>
            <w:right w:w="15" w:type="dxa"/>
          </w:tblCellMar>
        </w:tblPrEx>
        <w:tc>
          <w:tcPr>
            <w:tcW w:w="1412" w:type="dxa"/>
            <w:gridSpan w:val="2"/>
            <w:shd w:val="clear" w:color="auto" w:fill="auto"/>
            <w:vAlign w:val="center"/>
          </w:tcPr>
          <w:p w14:paraId="1FB61690" w14:textId="77777777" w:rsidR="002E47EE" w:rsidRPr="00BC52B5" w:rsidRDefault="002E47EE" w:rsidP="00973EB3">
            <w:pPr>
              <w:widowControl w:val="0"/>
              <w:ind w:left="57"/>
              <w:jc w:val="center"/>
              <w:rPr>
                <w:rFonts w:ascii="Arial Narrow" w:hAnsi="Arial Narrow"/>
                <w:b/>
                <w:bCs/>
                <w:snapToGrid w:val="0"/>
                <w:sz w:val="20"/>
                <w:szCs w:val="20"/>
              </w:rPr>
            </w:pPr>
          </w:p>
        </w:tc>
        <w:tc>
          <w:tcPr>
            <w:tcW w:w="7655" w:type="dxa"/>
            <w:gridSpan w:val="7"/>
            <w:shd w:val="clear" w:color="auto" w:fill="auto"/>
            <w:vAlign w:val="center"/>
          </w:tcPr>
          <w:p w14:paraId="278C627D" w14:textId="77777777" w:rsidR="002E47EE" w:rsidRPr="00BC52B5" w:rsidRDefault="002E47EE" w:rsidP="00973EB3">
            <w:pPr>
              <w:widowControl w:val="0"/>
              <w:ind w:left="57"/>
              <w:rPr>
                <w:rFonts w:ascii="Arial Narrow" w:hAnsi="Arial Narrow"/>
                <w:b/>
                <w:bCs/>
                <w:snapToGrid w:val="0"/>
                <w:sz w:val="20"/>
                <w:szCs w:val="20"/>
              </w:rPr>
            </w:pPr>
            <w:r w:rsidRPr="00BC52B5">
              <w:rPr>
                <w:rFonts w:ascii="Arial Narrow" w:hAnsi="Arial Narrow"/>
                <w:b/>
                <w:bCs/>
                <w:snapToGrid w:val="0"/>
                <w:sz w:val="20"/>
                <w:szCs w:val="20"/>
              </w:rPr>
              <w:t>Clinical criteria:</w:t>
            </w:r>
          </w:p>
        </w:tc>
      </w:tr>
      <w:tr w:rsidR="002E47EE" w:rsidRPr="007F2E0C" w14:paraId="52CFC503" w14:textId="77777777" w:rsidTr="00973EB3">
        <w:tblPrEx>
          <w:tblCellMar>
            <w:top w:w="15" w:type="dxa"/>
            <w:left w:w="15" w:type="dxa"/>
            <w:bottom w:w="15" w:type="dxa"/>
            <w:right w:w="15" w:type="dxa"/>
          </w:tblCellMar>
        </w:tblPrEx>
        <w:tc>
          <w:tcPr>
            <w:tcW w:w="1412" w:type="dxa"/>
            <w:gridSpan w:val="2"/>
            <w:shd w:val="clear" w:color="auto" w:fill="auto"/>
            <w:vAlign w:val="center"/>
          </w:tcPr>
          <w:p w14:paraId="718BE699" w14:textId="7ECDF738" w:rsidR="002E47EE" w:rsidRPr="00BC52B5" w:rsidRDefault="002E47EE" w:rsidP="00973EB3">
            <w:pPr>
              <w:widowControl w:val="0"/>
              <w:ind w:left="57"/>
              <w:jc w:val="center"/>
              <w:rPr>
                <w:rFonts w:ascii="Arial Narrow" w:hAnsi="Arial Narrow"/>
                <w:bCs/>
                <w:snapToGrid w:val="0"/>
                <w:sz w:val="20"/>
                <w:szCs w:val="20"/>
              </w:rPr>
            </w:pPr>
          </w:p>
        </w:tc>
        <w:tc>
          <w:tcPr>
            <w:tcW w:w="7655" w:type="dxa"/>
            <w:gridSpan w:val="7"/>
            <w:shd w:val="clear" w:color="auto" w:fill="auto"/>
            <w:vAlign w:val="center"/>
          </w:tcPr>
          <w:p w14:paraId="1F1A6635" w14:textId="77777777" w:rsidR="002E47EE" w:rsidRPr="00BC52B5" w:rsidRDefault="002E47EE" w:rsidP="00973EB3">
            <w:pPr>
              <w:widowControl w:val="0"/>
              <w:ind w:left="57"/>
              <w:rPr>
                <w:rFonts w:ascii="Arial Narrow" w:hAnsi="Arial Narrow"/>
                <w:b/>
                <w:bCs/>
                <w:snapToGrid w:val="0"/>
                <w:sz w:val="20"/>
                <w:szCs w:val="20"/>
              </w:rPr>
            </w:pPr>
            <w:r w:rsidRPr="00BC52B5">
              <w:rPr>
                <w:rFonts w:ascii="Arial Narrow" w:hAnsi="Arial Narrow"/>
                <w:bCs/>
                <w:snapToGrid w:val="0"/>
                <w:sz w:val="20"/>
                <w:szCs w:val="20"/>
              </w:rPr>
              <w:t>Patient must not have developed disease progression while being treated with this drug for this condition</w:t>
            </w:r>
          </w:p>
        </w:tc>
      </w:tr>
      <w:tr w:rsidR="002E47EE" w:rsidRPr="007F2E0C" w14:paraId="70BB42BA" w14:textId="77777777" w:rsidTr="00973EB3">
        <w:tblPrEx>
          <w:tblCellMar>
            <w:top w:w="15" w:type="dxa"/>
            <w:left w:w="15" w:type="dxa"/>
            <w:bottom w:w="15" w:type="dxa"/>
            <w:right w:w="15" w:type="dxa"/>
          </w:tblCellMar>
        </w:tblPrEx>
        <w:tc>
          <w:tcPr>
            <w:tcW w:w="1412" w:type="dxa"/>
            <w:gridSpan w:val="2"/>
            <w:shd w:val="clear" w:color="auto" w:fill="auto"/>
            <w:vAlign w:val="center"/>
          </w:tcPr>
          <w:p w14:paraId="07C5E20E" w14:textId="77777777" w:rsidR="002E47EE" w:rsidRPr="00BC52B5" w:rsidRDefault="002E47EE" w:rsidP="00973EB3">
            <w:pPr>
              <w:widowControl w:val="0"/>
              <w:ind w:left="57"/>
              <w:jc w:val="center"/>
              <w:rPr>
                <w:rFonts w:ascii="Arial Narrow" w:hAnsi="Arial Narrow"/>
                <w:b/>
                <w:bCs/>
                <w:snapToGrid w:val="0"/>
                <w:sz w:val="20"/>
                <w:szCs w:val="20"/>
              </w:rPr>
            </w:pPr>
          </w:p>
        </w:tc>
        <w:tc>
          <w:tcPr>
            <w:tcW w:w="7655" w:type="dxa"/>
            <w:gridSpan w:val="7"/>
            <w:shd w:val="clear" w:color="auto" w:fill="auto"/>
            <w:vAlign w:val="center"/>
          </w:tcPr>
          <w:p w14:paraId="4D7DDE05" w14:textId="77777777" w:rsidR="002E47EE" w:rsidRPr="00BC52B5" w:rsidRDefault="002E47EE" w:rsidP="00973EB3">
            <w:pPr>
              <w:widowControl w:val="0"/>
              <w:ind w:left="57"/>
              <w:rPr>
                <w:rFonts w:ascii="Arial Narrow" w:hAnsi="Arial Narrow"/>
                <w:b/>
                <w:bCs/>
                <w:snapToGrid w:val="0"/>
                <w:sz w:val="20"/>
                <w:szCs w:val="20"/>
              </w:rPr>
            </w:pPr>
            <w:r w:rsidRPr="00BC52B5">
              <w:rPr>
                <w:rFonts w:ascii="Arial Narrow" w:hAnsi="Arial Narrow"/>
                <w:b/>
                <w:bCs/>
                <w:snapToGrid w:val="0"/>
                <w:sz w:val="20"/>
                <w:szCs w:val="20"/>
              </w:rPr>
              <w:t>AND</w:t>
            </w:r>
          </w:p>
        </w:tc>
      </w:tr>
      <w:tr w:rsidR="002E47EE" w:rsidRPr="007F2E0C" w14:paraId="32447211" w14:textId="77777777" w:rsidTr="00973EB3">
        <w:tblPrEx>
          <w:tblCellMar>
            <w:top w:w="15" w:type="dxa"/>
            <w:left w:w="15" w:type="dxa"/>
            <w:bottom w:w="15" w:type="dxa"/>
            <w:right w:w="15" w:type="dxa"/>
          </w:tblCellMar>
        </w:tblPrEx>
        <w:tc>
          <w:tcPr>
            <w:tcW w:w="1412" w:type="dxa"/>
            <w:gridSpan w:val="2"/>
            <w:shd w:val="clear" w:color="auto" w:fill="auto"/>
            <w:vAlign w:val="center"/>
          </w:tcPr>
          <w:p w14:paraId="5AFBBC66" w14:textId="77777777" w:rsidR="002E47EE" w:rsidRPr="00BC52B5" w:rsidRDefault="002E47EE" w:rsidP="00973EB3">
            <w:pPr>
              <w:widowControl w:val="0"/>
              <w:ind w:left="57"/>
              <w:jc w:val="center"/>
              <w:rPr>
                <w:rFonts w:ascii="Arial Narrow" w:hAnsi="Arial Narrow"/>
                <w:b/>
                <w:bCs/>
                <w:snapToGrid w:val="0"/>
                <w:sz w:val="20"/>
                <w:szCs w:val="20"/>
              </w:rPr>
            </w:pPr>
          </w:p>
        </w:tc>
        <w:tc>
          <w:tcPr>
            <w:tcW w:w="7655" w:type="dxa"/>
            <w:gridSpan w:val="7"/>
            <w:shd w:val="clear" w:color="auto" w:fill="auto"/>
            <w:vAlign w:val="center"/>
            <w:hideMark/>
          </w:tcPr>
          <w:p w14:paraId="06778560" w14:textId="77777777" w:rsidR="002E47EE" w:rsidRPr="00BC52B5" w:rsidRDefault="002E47EE" w:rsidP="00973EB3">
            <w:pPr>
              <w:widowControl w:val="0"/>
              <w:ind w:left="57"/>
              <w:rPr>
                <w:rFonts w:ascii="Arial Narrow" w:hAnsi="Arial Narrow"/>
                <w:bCs/>
                <w:snapToGrid w:val="0"/>
                <w:sz w:val="20"/>
                <w:szCs w:val="20"/>
              </w:rPr>
            </w:pPr>
            <w:r w:rsidRPr="00BC52B5">
              <w:rPr>
                <w:rFonts w:ascii="Arial Narrow" w:hAnsi="Arial Narrow"/>
                <w:b/>
                <w:bCs/>
                <w:snapToGrid w:val="0"/>
                <w:sz w:val="20"/>
                <w:szCs w:val="20"/>
              </w:rPr>
              <w:t>Clinical criteria:</w:t>
            </w:r>
          </w:p>
        </w:tc>
      </w:tr>
      <w:tr w:rsidR="002E47EE" w:rsidRPr="007F2E0C" w14:paraId="6BDA32F0" w14:textId="77777777" w:rsidTr="00973EB3">
        <w:tblPrEx>
          <w:tblCellMar>
            <w:top w:w="15" w:type="dxa"/>
            <w:left w:w="15" w:type="dxa"/>
            <w:bottom w:w="15" w:type="dxa"/>
            <w:right w:w="15" w:type="dxa"/>
          </w:tblCellMar>
        </w:tblPrEx>
        <w:tc>
          <w:tcPr>
            <w:tcW w:w="1412" w:type="dxa"/>
            <w:gridSpan w:val="2"/>
            <w:shd w:val="clear" w:color="auto" w:fill="auto"/>
            <w:vAlign w:val="center"/>
          </w:tcPr>
          <w:p w14:paraId="45524AE7" w14:textId="3E9229D0" w:rsidR="002E47EE" w:rsidRPr="00BC52B5" w:rsidRDefault="002E47EE" w:rsidP="00973EB3">
            <w:pPr>
              <w:widowControl w:val="0"/>
              <w:ind w:left="57"/>
              <w:jc w:val="center"/>
              <w:rPr>
                <w:rFonts w:ascii="Arial Narrow" w:hAnsi="Arial Narrow"/>
                <w:bCs/>
                <w:snapToGrid w:val="0"/>
                <w:sz w:val="20"/>
                <w:szCs w:val="20"/>
              </w:rPr>
            </w:pPr>
          </w:p>
        </w:tc>
        <w:tc>
          <w:tcPr>
            <w:tcW w:w="7655" w:type="dxa"/>
            <w:gridSpan w:val="7"/>
            <w:shd w:val="clear" w:color="auto" w:fill="auto"/>
            <w:vAlign w:val="center"/>
          </w:tcPr>
          <w:p w14:paraId="01105D5C" w14:textId="77777777" w:rsidR="002E47EE" w:rsidRPr="00BC52B5" w:rsidRDefault="002E47EE" w:rsidP="00973EB3">
            <w:pPr>
              <w:widowControl w:val="0"/>
              <w:ind w:left="57"/>
              <w:rPr>
                <w:rFonts w:ascii="Arial Narrow" w:hAnsi="Arial Narrow"/>
                <w:bCs/>
                <w:snapToGrid w:val="0"/>
                <w:sz w:val="20"/>
                <w:szCs w:val="20"/>
              </w:rPr>
            </w:pPr>
            <w:r w:rsidRPr="00BC52B5">
              <w:rPr>
                <w:rFonts w:ascii="Arial Narrow" w:hAnsi="Arial Narrow"/>
                <w:bCs/>
                <w:snapToGrid w:val="0"/>
                <w:sz w:val="20"/>
                <w:szCs w:val="20"/>
              </w:rPr>
              <w:t>Patient must have been untreated with a cyclin-dependent kinase 4 and 6 (CDK4/6) at the time non-PBS supply was initiated; or</w:t>
            </w:r>
          </w:p>
        </w:tc>
      </w:tr>
      <w:tr w:rsidR="002E47EE" w:rsidRPr="007F2E0C" w14:paraId="1BF091C0" w14:textId="77777777" w:rsidTr="00973EB3">
        <w:tblPrEx>
          <w:tblCellMar>
            <w:top w:w="15" w:type="dxa"/>
            <w:left w:w="15" w:type="dxa"/>
            <w:bottom w:w="15" w:type="dxa"/>
            <w:right w:w="15" w:type="dxa"/>
          </w:tblCellMar>
        </w:tblPrEx>
        <w:tc>
          <w:tcPr>
            <w:tcW w:w="1412" w:type="dxa"/>
            <w:gridSpan w:val="2"/>
            <w:shd w:val="clear" w:color="auto" w:fill="auto"/>
            <w:vAlign w:val="center"/>
          </w:tcPr>
          <w:p w14:paraId="2CE11AF3" w14:textId="085ADDD1" w:rsidR="002E47EE" w:rsidRPr="00BC52B5" w:rsidRDefault="002E47EE" w:rsidP="00973EB3">
            <w:pPr>
              <w:widowControl w:val="0"/>
              <w:ind w:left="57"/>
              <w:jc w:val="center"/>
              <w:rPr>
                <w:rFonts w:ascii="Arial Narrow" w:hAnsi="Arial Narrow"/>
                <w:bCs/>
                <w:snapToGrid w:val="0"/>
                <w:sz w:val="20"/>
                <w:szCs w:val="20"/>
              </w:rPr>
            </w:pPr>
          </w:p>
        </w:tc>
        <w:tc>
          <w:tcPr>
            <w:tcW w:w="7655" w:type="dxa"/>
            <w:gridSpan w:val="7"/>
            <w:shd w:val="clear" w:color="auto" w:fill="auto"/>
            <w:vAlign w:val="center"/>
            <w:hideMark/>
          </w:tcPr>
          <w:p w14:paraId="52D3A1BC" w14:textId="77777777" w:rsidR="002E47EE" w:rsidRPr="00BC52B5" w:rsidRDefault="002E47EE" w:rsidP="00973EB3">
            <w:pPr>
              <w:widowControl w:val="0"/>
              <w:ind w:left="57"/>
              <w:rPr>
                <w:rFonts w:ascii="Arial Narrow" w:hAnsi="Arial Narrow"/>
                <w:bCs/>
                <w:snapToGrid w:val="0"/>
                <w:sz w:val="20"/>
                <w:szCs w:val="20"/>
              </w:rPr>
            </w:pPr>
            <w:r w:rsidRPr="00BC52B5">
              <w:rPr>
                <w:rFonts w:ascii="Arial Narrow" w:hAnsi="Arial Narrow"/>
                <w:bCs/>
                <w:snapToGrid w:val="0"/>
                <w:sz w:val="20"/>
                <w:szCs w:val="20"/>
              </w:rPr>
              <w:t>Patient must have developed an intolerance to another CDK4/6 inhibitor therapy (other than this drug) of a severity necessitating permanent treatment withdrawal</w:t>
            </w:r>
          </w:p>
        </w:tc>
      </w:tr>
      <w:tr w:rsidR="002E47EE" w:rsidRPr="007F2E0C" w14:paraId="054D3AD4" w14:textId="77777777" w:rsidTr="00973EB3">
        <w:tblPrEx>
          <w:tblCellMar>
            <w:top w:w="15" w:type="dxa"/>
            <w:left w:w="15" w:type="dxa"/>
            <w:bottom w:w="15" w:type="dxa"/>
            <w:right w:w="15" w:type="dxa"/>
          </w:tblCellMar>
        </w:tblPrEx>
        <w:tc>
          <w:tcPr>
            <w:tcW w:w="1412" w:type="dxa"/>
            <w:gridSpan w:val="2"/>
            <w:shd w:val="clear" w:color="auto" w:fill="auto"/>
            <w:vAlign w:val="center"/>
          </w:tcPr>
          <w:p w14:paraId="77142E2A" w14:textId="77777777" w:rsidR="002E47EE" w:rsidRPr="00BC52B5" w:rsidRDefault="002E47EE" w:rsidP="00973EB3">
            <w:pPr>
              <w:widowControl w:val="0"/>
              <w:ind w:left="57"/>
              <w:jc w:val="center"/>
              <w:rPr>
                <w:rFonts w:ascii="Arial Narrow" w:hAnsi="Arial Narrow"/>
                <w:b/>
                <w:bCs/>
                <w:snapToGrid w:val="0"/>
                <w:sz w:val="20"/>
                <w:szCs w:val="20"/>
              </w:rPr>
            </w:pPr>
          </w:p>
        </w:tc>
        <w:tc>
          <w:tcPr>
            <w:tcW w:w="7655" w:type="dxa"/>
            <w:gridSpan w:val="7"/>
            <w:shd w:val="clear" w:color="auto" w:fill="auto"/>
            <w:vAlign w:val="center"/>
            <w:hideMark/>
          </w:tcPr>
          <w:p w14:paraId="5C3C0308" w14:textId="77777777" w:rsidR="002E47EE" w:rsidRPr="00BC52B5" w:rsidRDefault="002E47EE" w:rsidP="00973EB3">
            <w:pPr>
              <w:widowControl w:val="0"/>
              <w:ind w:left="57"/>
              <w:rPr>
                <w:rFonts w:ascii="Arial Narrow" w:hAnsi="Arial Narrow"/>
                <w:bCs/>
                <w:snapToGrid w:val="0"/>
                <w:sz w:val="20"/>
                <w:szCs w:val="20"/>
              </w:rPr>
            </w:pPr>
            <w:r w:rsidRPr="00BC52B5">
              <w:rPr>
                <w:rFonts w:ascii="Arial Narrow" w:hAnsi="Arial Narrow"/>
                <w:b/>
                <w:bCs/>
                <w:snapToGrid w:val="0"/>
                <w:sz w:val="20"/>
                <w:szCs w:val="20"/>
              </w:rPr>
              <w:t>AND</w:t>
            </w:r>
          </w:p>
        </w:tc>
      </w:tr>
      <w:tr w:rsidR="002E47EE" w:rsidRPr="007F2E0C" w14:paraId="16D9A4DC" w14:textId="77777777" w:rsidTr="00973EB3">
        <w:tblPrEx>
          <w:tblCellMar>
            <w:top w:w="15" w:type="dxa"/>
            <w:left w:w="15" w:type="dxa"/>
            <w:bottom w:w="15" w:type="dxa"/>
            <w:right w:w="15" w:type="dxa"/>
          </w:tblCellMar>
        </w:tblPrEx>
        <w:tc>
          <w:tcPr>
            <w:tcW w:w="1412" w:type="dxa"/>
            <w:gridSpan w:val="2"/>
            <w:shd w:val="clear" w:color="auto" w:fill="auto"/>
            <w:vAlign w:val="center"/>
          </w:tcPr>
          <w:p w14:paraId="7ED68039" w14:textId="20FC58D2" w:rsidR="002E47EE" w:rsidRPr="00BC52B5" w:rsidRDefault="002E47EE" w:rsidP="00973EB3">
            <w:pPr>
              <w:widowControl w:val="0"/>
              <w:ind w:left="57"/>
              <w:jc w:val="center"/>
              <w:rPr>
                <w:rFonts w:ascii="Arial Narrow" w:hAnsi="Arial Narrow"/>
                <w:b/>
                <w:bCs/>
                <w:snapToGrid w:val="0"/>
                <w:sz w:val="20"/>
                <w:szCs w:val="20"/>
              </w:rPr>
            </w:pPr>
          </w:p>
        </w:tc>
        <w:tc>
          <w:tcPr>
            <w:tcW w:w="7655" w:type="dxa"/>
            <w:gridSpan w:val="7"/>
            <w:shd w:val="clear" w:color="auto" w:fill="auto"/>
            <w:vAlign w:val="center"/>
            <w:hideMark/>
          </w:tcPr>
          <w:p w14:paraId="0602072B" w14:textId="77777777" w:rsidR="002E47EE" w:rsidRPr="00BC52B5" w:rsidRDefault="002E47EE" w:rsidP="00973EB3">
            <w:pPr>
              <w:widowControl w:val="0"/>
              <w:ind w:left="57"/>
              <w:rPr>
                <w:rFonts w:ascii="Arial Narrow" w:hAnsi="Arial Narrow"/>
                <w:bCs/>
                <w:snapToGrid w:val="0"/>
                <w:sz w:val="20"/>
                <w:szCs w:val="20"/>
              </w:rPr>
            </w:pPr>
            <w:r w:rsidRPr="00BC52B5">
              <w:rPr>
                <w:rFonts w:ascii="Arial Narrow" w:hAnsi="Arial Narrow"/>
                <w:b/>
                <w:bCs/>
                <w:snapToGrid w:val="0"/>
                <w:sz w:val="20"/>
                <w:szCs w:val="20"/>
              </w:rPr>
              <w:t>Clinical criteria:</w:t>
            </w:r>
          </w:p>
        </w:tc>
      </w:tr>
      <w:tr w:rsidR="002E47EE" w:rsidRPr="007F2E0C" w14:paraId="3BE535AD" w14:textId="77777777" w:rsidTr="00973EB3">
        <w:tblPrEx>
          <w:tblCellMar>
            <w:top w:w="15" w:type="dxa"/>
            <w:left w:w="15" w:type="dxa"/>
            <w:bottom w:w="15" w:type="dxa"/>
            <w:right w:w="15" w:type="dxa"/>
          </w:tblCellMar>
        </w:tblPrEx>
        <w:tc>
          <w:tcPr>
            <w:tcW w:w="1412" w:type="dxa"/>
            <w:gridSpan w:val="2"/>
            <w:shd w:val="clear" w:color="auto" w:fill="auto"/>
            <w:vAlign w:val="center"/>
          </w:tcPr>
          <w:p w14:paraId="36965427" w14:textId="0BE8251E" w:rsidR="002E47EE" w:rsidRPr="00BC52B5" w:rsidRDefault="002E47EE" w:rsidP="00973EB3">
            <w:pPr>
              <w:widowControl w:val="0"/>
              <w:ind w:left="57"/>
              <w:jc w:val="center"/>
              <w:rPr>
                <w:rFonts w:ascii="Arial Narrow" w:hAnsi="Arial Narrow"/>
                <w:bCs/>
                <w:snapToGrid w:val="0"/>
                <w:sz w:val="20"/>
                <w:szCs w:val="20"/>
              </w:rPr>
            </w:pPr>
          </w:p>
        </w:tc>
        <w:tc>
          <w:tcPr>
            <w:tcW w:w="7655" w:type="dxa"/>
            <w:gridSpan w:val="7"/>
            <w:shd w:val="clear" w:color="auto" w:fill="auto"/>
            <w:vAlign w:val="center"/>
            <w:hideMark/>
          </w:tcPr>
          <w:p w14:paraId="402739E7" w14:textId="77777777" w:rsidR="002E47EE" w:rsidRPr="00BC52B5" w:rsidRDefault="002E47EE" w:rsidP="00973EB3">
            <w:pPr>
              <w:widowControl w:val="0"/>
              <w:ind w:left="57"/>
              <w:rPr>
                <w:rFonts w:ascii="Arial Narrow" w:hAnsi="Arial Narrow"/>
                <w:bCs/>
                <w:snapToGrid w:val="0"/>
                <w:sz w:val="20"/>
                <w:szCs w:val="20"/>
              </w:rPr>
            </w:pPr>
            <w:r w:rsidRPr="00BC52B5">
              <w:rPr>
                <w:rFonts w:ascii="Arial Narrow" w:hAnsi="Arial Narrow"/>
                <w:bCs/>
                <w:snapToGrid w:val="0"/>
                <w:sz w:val="20"/>
                <w:szCs w:val="20"/>
              </w:rPr>
              <w:t>The condition must be hormone receptor positive</w:t>
            </w:r>
          </w:p>
        </w:tc>
      </w:tr>
      <w:tr w:rsidR="002E47EE" w:rsidRPr="007F2E0C" w14:paraId="10FDF386" w14:textId="77777777" w:rsidTr="00973EB3">
        <w:tblPrEx>
          <w:tblCellMar>
            <w:top w:w="15" w:type="dxa"/>
            <w:left w:w="15" w:type="dxa"/>
            <w:bottom w:w="15" w:type="dxa"/>
            <w:right w:w="15" w:type="dxa"/>
          </w:tblCellMar>
        </w:tblPrEx>
        <w:tc>
          <w:tcPr>
            <w:tcW w:w="1412" w:type="dxa"/>
            <w:gridSpan w:val="2"/>
            <w:shd w:val="clear" w:color="auto" w:fill="auto"/>
            <w:vAlign w:val="center"/>
          </w:tcPr>
          <w:p w14:paraId="6348F0C2" w14:textId="77777777" w:rsidR="002E47EE" w:rsidRPr="00BC52B5" w:rsidRDefault="002E47EE" w:rsidP="00973EB3">
            <w:pPr>
              <w:widowControl w:val="0"/>
              <w:ind w:left="57"/>
              <w:jc w:val="center"/>
              <w:rPr>
                <w:rFonts w:ascii="Arial Narrow" w:hAnsi="Arial Narrow"/>
                <w:b/>
                <w:bCs/>
                <w:snapToGrid w:val="0"/>
                <w:sz w:val="20"/>
                <w:szCs w:val="20"/>
              </w:rPr>
            </w:pPr>
          </w:p>
        </w:tc>
        <w:tc>
          <w:tcPr>
            <w:tcW w:w="7655" w:type="dxa"/>
            <w:gridSpan w:val="7"/>
            <w:shd w:val="clear" w:color="auto" w:fill="auto"/>
            <w:vAlign w:val="center"/>
            <w:hideMark/>
          </w:tcPr>
          <w:p w14:paraId="00492430" w14:textId="77777777" w:rsidR="002E47EE" w:rsidRPr="00BC52B5" w:rsidRDefault="002E47EE" w:rsidP="00973EB3">
            <w:pPr>
              <w:widowControl w:val="0"/>
              <w:ind w:left="57"/>
              <w:rPr>
                <w:rFonts w:ascii="Arial Narrow" w:hAnsi="Arial Narrow"/>
                <w:bCs/>
                <w:snapToGrid w:val="0"/>
                <w:sz w:val="20"/>
                <w:szCs w:val="20"/>
              </w:rPr>
            </w:pPr>
            <w:r w:rsidRPr="00BC52B5">
              <w:rPr>
                <w:rFonts w:ascii="Arial Narrow" w:hAnsi="Arial Narrow"/>
                <w:b/>
                <w:bCs/>
                <w:snapToGrid w:val="0"/>
                <w:sz w:val="20"/>
                <w:szCs w:val="20"/>
              </w:rPr>
              <w:t>AND</w:t>
            </w:r>
          </w:p>
        </w:tc>
      </w:tr>
      <w:tr w:rsidR="002E47EE" w:rsidRPr="007F2E0C" w14:paraId="4B2888CB" w14:textId="77777777" w:rsidTr="00973EB3">
        <w:tblPrEx>
          <w:tblCellMar>
            <w:top w:w="15" w:type="dxa"/>
            <w:left w:w="15" w:type="dxa"/>
            <w:bottom w:w="15" w:type="dxa"/>
            <w:right w:w="15" w:type="dxa"/>
          </w:tblCellMar>
        </w:tblPrEx>
        <w:tc>
          <w:tcPr>
            <w:tcW w:w="1412" w:type="dxa"/>
            <w:gridSpan w:val="2"/>
            <w:shd w:val="clear" w:color="auto" w:fill="auto"/>
            <w:vAlign w:val="center"/>
          </w:tcPr>
          <w:p w14:paraId="797403FD" w14:textId="63E4A58C" w:rsidR="002E47EE" w:rsidRPr="00BC52B5" w:rsidRDefault="002E47EE" w:rsidP="00973EB3">
            <w:pPr>
              <w:widowControl w:val="0"/>
              <w:ind w:left="57"/>
              <w:jc w:val="center"/>
              <w:rPr>
                <w:rFonts w:ascii="Arial Narrow" w:hAnsi="Arial Narrow"/>
                <w:b/>
                <w:bCs/>
                <w:snapToGrid w:val="0"/>
                <w:sz w:val="20"/>
                <w:szCs w:val="20"/>
              </w:rPr>
            </w:pPr>
          </w:p>
        </w:tc>
        <w:tc>
          <w:tcPr>
            <w:tcW w:w="7655" w:type="dxa"/>
            <w:gridSpan w:val="7"/>
            <w:shd w:val="clear" w:color="auto" w:fill="auto"/>
            <w:vAlign w:val="center"/>
            <w:hideMark/>
          </w:tcPr>
          <w:p w14:paraId="72CA04D6" w14:textId="77777777" w:rsidR="002E47EE" w:rsidRPr="00BC52B5" w:rsidRDefault="002E47EE" w:rsidP="00973EB3">
            <w:pPr>
              <w:widowControl w:val="0"/>
              <w:ind w:left="57"/>
              <w:rPr>
                <w:rFonts w:ascii="Arial Narrow" w:hAnsi="Arial Narrow"/>
                <w:bCs/>
                <w:snapToGrid w:val="0"/>
                <w:sz w:val="20"/>
                <w:szCs w:val="20"/>
              </w:rPr>
            </w:pPr>
            <w:r w:rsidRPr="00BC52B5">
              <w:rPr>
                <w:rFonts w:ascii="Arial Narrow" w:hAnsi="Arial Narrow"/>
                <w:b/>
                <w:bCs/>
                <w:snapToGrid w:val="0"/>
                <w:sz w:val="20"/>
                <w:szCs w:val="20"/>
              </w:rPr>
              <w:t>Clinical criteria:</w:t>
            </w:r>
          </w:p>
        </w:tc>
      </w:tr>
      <w:tr w:rsidR="002E47EE" w:rsidRPr="007F2E0C" w14:paraId="20AD3AED" w14:textId="77777777" w:rsidTr="00973EB3">
        <w:tblPrEx>
          <w:tblCellMar>
            <w:top w:w="15" w:type="dxa"/>
            <w:left w:w="15" w:type="dxa"/>
            <w:bottom w:w="15" w:type="dxa"/>
            <w:right w:w="15" w:type="dxa"/>
          </w:tblCellMar>
        </w:tblPrEx>
        <w:tc>
          <w:tcPr>
            <w:tcW w:w="1412" w:type="dxa"/>
            <w:gridSpan w:val="2"/>
            <w:shd w:val="clear" w:color="auto" w:fill="auto"/>
            <w:vAlign w:val="center"/>
          </w:tcPr>
          <w:p w14:paraId="6D14A1BE" w14:textId="55AFC7CC" w:rsidR="002E47EE" w:rsidRPr="00BC52B5" w:rsidRDefault="002E47EE" w:rsidP="00973EB3">
            <w:pPr>
              <w:widowControl w:val="0"/>
              <w:ind w:left="57"/>
              <w:jc w:val="center"/>
              <w:rPr>
                <w:rFonts w:ascii="Arial Narrow" w:hAnsi="Arial Narrow"/>
                <w:bCs/>
                <w:snapToGrid w:val="0"/>
                <w:sz w:val="20"/>
                <w:szCs w:val="20"/>
              </w:rPr>
            </w:pPr>
          </w:p>
        </w:tc>
        <w:tc>
          <w:tcPr>
            <w:tcW w:w="7655" w:type="dxa"/>
            <w:gridSpan w:val="7"/>
            <w:shd w:val="clear" w:color="auto" w:fill="auto"/>
            <w:vAlign w:val="center"/>
            <w:hideMark/>
          </w:tcPr>
          <w:p w14:paraId="4B8DF999" w14:textId="77777777" w:rsidR="002E47EE" w:rsidRPr="00BC52B5" w:rsidRDefault="002E47EE" w:rsidP="00973EB3">
            <w:pPr>
              <w:widowControl w:val="0"/>
              <w:ind w:left="57"/>
              <w:rPr>
                <w:rFonts w:ascii="Arial Narrow" w:hAnsi="Arial Narrow"/>
                <w:bCs/>
                <w:snapToGrid w:val="0"/>
                <w:sz w:val="20"/>
                <w:szCs w:val="20"/>
              </w:rPr>
            </w:pPr>
            <w:r w:rsidRPr="00BC52B5">
              <w:rPr>
                <w:rFonts w:ascii="Arial Narrow" w:hAnsi="Arial Narrow"/>
                <w:bCs/>
                <w:snapToGrid w:val="0"/>
                <w:sz w:val="20"/>
                <w:szCs w:val="20"/>
              </w:rPr>
              <w:t>The condition must be human epidermal growth factor receptor 2 (HER2) negative</w:t>
            </w:r>
          </w:p>
        </w:tc>
      </w:tr>
      <w:tr w:rsidR="002E47EE" w:rsidRPr="007F2E0C" w14:paraId="6BD185A7" w14:textId="77777777" w:rsidTr="00973EB3">
        <w:tblPrEx>
          <w:tblCellMar>
            <w:top w:w="15" w:type="dxa"/>
            <w:left w:w="15" w:type="dxa"/>
            <w:bottom w:w="15" w:type="dxa"/>
            <w:right w:w="15" w:type="dxa"/>
          </w:tblCellMar>
        </w:tblPrEx>
        <w:tc>
          <w:tcPr>
            <w:tcW w:w="1412" w:type="dxa"/>
            <w:gridSpan w:val="2"/>
            <w:shd w:val="clear" w:color="auto" w:fill="auto"/>
            <w:vAlign w:val="center"/>
          </w:tcPr>
          <w:p w14:paraId="30BA4F7E" w14:textId="77777777" w:rsidR="002E47EE" w:rsidRPr="00BC52B5" w:rsidRDefault="002E47EE" w:rsidP="00973EB3">
            <w:pPr>
              <w:widowControl w:val="0"/>
              <w:ind w:left="57"/>
              <w:jc w:val="center"/>
              <w:rPr>
                <w:rFonts w:ascii="Arial Narrow" w:hAnsi="Arial Narrow"/>
                <w:b/>
                <w:bCs/>
                <w:snapToGrid w:val="0"/>
                <w:sz w:val="20"/>
                <w:szCs w:val="20"/>
              </w:rPr>
            </w:pPr>
          </w:p>
        </w:tc>
        <w:tc>
          <w:tcPr>
            <w:tcW w:w="7655" w:type="dxa"/>
            <w:gridSpan w:val="7"/>
            <w:shd w:val="clear" w:color="auto" w:fill="auto"/>
            <w:vAlign w:val="center"/>
            <w:hideMark/>
          </w:tcPr>
          <w:p w14:paraId="768873DB" w14:textId="77777777" w:rsidR="002E47EE" w:rsidRPr="00BC52B5" w:rsidRDefault="002E47EE" w:rsidP="00973EB3">
            <w:pPr>
              <w:widowControl w:val="0"/>
              <w:ind w:left="57"/>
              <w:rPr>
                <w:rFonts w:ascii="Arial Narrow" w:hAnsi="Arial Narrow"/>
                <w:bCs/>
                <w:snapToGrid w:val="0"/>
                <w:sz w:val="20"/>
                <w:szCs w:val="20"/>
              </w:rPr>
            </w:pPr>
            <w:r w:rsidRPr="00BC52B5">
              <w:rPr>
                <w:rFonts w:ascii="Arial Narrow" w:hAnsi="Arial Narrow"/>
                <w:b/>
                <w:bCs/>
                <w:snapToGrid w:val="0"/>
                <w:sz w:val="20"/>
                <w:szCs w:val="20"/>
              </w:rPr>
              <w:t>AND</w:t>
            </w:r>
          </w:p>
        </w:tc>
      </w:tr>
      <w:tr w:rsidR="002E47EE" w:rsidRPr="007F2E0C" w14:paraId="74558B92" w14:textId="77777777" w:rsidTr="00973EB3">
        <w:tblPrEx>
          <w:tblCellMar>
            <w:top w:w="15" w:type="dxa"/>
            <w:left w:w="15" w:type="dxa"/>
            <w:bottom w:w="15" w:type="dxa"/>
            <w:right w:w="15" w:type="dxa"/>
          </w:tblCellMar>
        </w:tblPrEx>
        <w:tc>
          <w:tcPr>
            <w:tcW w:w="1412" w:type="dxa"/>
            <w:gridSpan w:val="2"/>
            <w:shd w:val="clear" w:color="auto" w:fill="auto"/>
            <w:vAlign w:val="center"/>
          </w:tcPr>
          <w:p w14:paraId="6001437D" w14:textId="5390B214" w:rsidR="002E47EE" w:rsidRPr="00BC52B5" w:rsidRDefault="002E47EE" w:rsidP="00973EB3">
            <w:pPr>
              <w:widowControl w:val="0"/>
              <w:ind w:left="57"/>
              <w:jc w:val="center"/>
              <w:rPr>
                <w:rFonts w:ascii="Arial Narrow" w:hAnsi="Arial Narrow"/>
                <w:b/>
                <w:bCs/>
                <w:snapToGrid w:val="0"/>
                <w:sz w:val="20"/>
                <w:szCs w:val="20"/>
              </w:rPr>
            </w:pPr>
          </w:p>
        </w:tc>
        <w:tc>
          <w:tcPr>
            <w:tcW w:w="7655" w:type="dxa"/>
            <w:gridSpan w:val="7"/>
            <w:shd w:val="clear" w:color="auto" w:fill="auto"/>
            <w:vAlign w:val="center"/>
            <w:hideMark/>
          </w:tcPr>
          <w:p w14:paraId="2B86FAF0" w14:textId="77777777" w:rsidR="002E47EE" w:rsidRPr="00BC52B5" w:rsidRDefault="002E47EE" w:rsidP="00973EB3">
            <w:pPr>
              <w:widowControl w:val="0"/>
              <w:ind w:left="57"/>
              <w:rPr>
                <w:rFonts w:ascii="Arial Narrow" w:hAnsi="Arial Narrow"/>
                <w:bCs/>
                <w:snapToGrid w:val="0"/>
                <w:sz w:val="20"/>
                <w:szCs w:val="20"/>
              </w:rPr>
            </w:pPr>
            <w:r w:rsidRPr="00BC52B5">
              <w:rPr>
                <w:rFonts w:ascii="Arial Narrow" w:hAnsi="Arial Narrow"/>
                <w:b/>
                <w:bCs/>
                <w:snapToGrid w:val="0"/>
                <w:sz w:val="20"/>
                <w:szCs w:val="20"/>
              </w:rPr>
              <w:t>Clinical criteria:</w:t>
            </w:r>
          </w:p>
        </w:tc>
      </w:tr>
      <w:tr w:rsidR="002E47EE" w:rsidRPr="007F2E0C" w14:paraId="2DB0B325" w14:textId="77777777" w:rsidTr="00973EB3">
        <w:tblPrEx>
          <w:tblCellMar>
            <w:top w:w="15" w:type="dxa"/>
            <w:left w:w="15" w:type="dxa"/>
            <w:bottom w:w="15" w:type="dxa"/>
            <w:right w:w="15" w:type="dxa"/>
          </w:tblCellMar>
        </w:tblPrEx>
        <w:tc>
          <w:tcPr>
            <w:tcW w:w="1412" w:type="dxa"/>
            <w:gridSpan w:val="2"/>
            <w:shd w:val="clear" w:color="auto" w:fill="auto"/>
            <w:vAlign w:val="center"/>
          </w:tcPr>
          <w:p w14:paraId="10D85DB2" w14:textId="710C825A" w:rsidR="002E47EE" w:rsidRPr="00BC52B5" w:rsidRDefault="002E47EE" w:rsidP="00973EB3">
            <w:pPr>
              <w:widowControl w:val="0"/>
              <w:ind w:left="57"/>
              <w:jc w:val="center"/>
              <w:rPr>
                <w:rFonts w:ascii="Arial Narrow" w:hAnsi="Arial Narrow"/>
                <w:bCs/>
                <w:snapToGrid w:val="0"/>
                <w:sz w:val="20"/>
                <w:szCs w:val="20"/>
              </w:rPr>
            </w:pPr>
          </w:p>
        </w:tc>
        <w:tc>
          <w:tcPr>
            <w:tcW w:w="7655" w:type="dxa"/>
            <w:gridSpan w:val="7"/>
            <w:shd w:val="clear" w:color="auto" w:fill="auto"/>
            <w:vAlign w:val="center"/>
            <w:hideMark/>
          </w:tcPr>
          <w:p w14:paraId="578F40AB" w14:textId="77777777" w:rsidR="002E47EE" w:rsidRPr="00BC52B5" w:rsidRDefault="002E47EE" w:rsidP="00973EB3">
            <w:pPr>
              <w:widowControl w:val="0"/>
              <w:ind w:left="57"/>
              <w:rPr>
                <w:rFonts w:ascii="Arial Narrow" w:hAnsi="Arial Narrow"/>
                <w:bCs/>
                <w:snapToGrid w:val="0"/>
                <w:sz w:val="20"/>
                <w:szCs w:val="20"/>
              </w:rPr>
            </w:pPr>
            <w:r w:rsidRPr="00BC52B5">
              <w:rPr>
                <w:rFonts w:ascii="Arial Narrow" w:hAnsi="Arial Narrow"/>
                <w:bCs/>
                <w:snapToGrid w:val="0"/>
                <w:sz w:val="20"/>
                <w:szCs w:val="20"/>
              </w:rPr>
              <w:t>The condition must be inoperable</w:t>
            </w:r>
          </w:p>
        </w:tc>
      </w:tr>
      <w:tr w:rsidR="002E47EE" w:rsidRPr="007F2E0C" w14:paraId="6D8A8B1A" w14:textId="77777777" w:rsidTr="00973EB3">
        <w:tblPrEx>
          <w:tblCellMar>
            <w:top w:w="15" w:type="dxa"/>
            <w:left w:w="15" w:type="dxa"/>
            <w:bottom w:w="15" w:type="dxa"/>
            <w:right w:w="15" w:type="dxa"/>
          </w:tblCellMar>
        </w:tblPrEx>
        <w:tc>
          <w:tcPr>
            <w:tcW w:w="1412" w:type="dxa"/>
            <w:gridSpan w:val="2"/>
            <w:shd w:val="clear" w:color="auto" w:fill="auto"/>
            <w:vAlign w:val="center"/>
          </w:tcPr>
          <w:p w14:paraId="6ED54FCE" w14:textId="77777777" w:rsidR="002E47EE" w:rsidRPr="00BC52B5" w:rsidRDefault="002E47EE" w:rsidP="00973EB3">
            <w:pPr>
              <w:widowControl w:val="0"/>
              <w:ind w:left="57"/>
              <w:jc w:val="center"/>
              <w:rPr>
                <w:rFonts w:ascii="Arial Narrow" w:hAnsi="Arial Narrow"/>
                <w:b/>
                <w:bCs/>
                <w:snapToGrid w:val="0"/>
                <w:sz w:val="20"/>
                <w:szCs w:val="20"/>
              </w:rPr>
            </w:pPr>
          </w:p>
        </w:tc>
        <w:tc>
          <w:tcPr>
            <w:tcW w:w="7655" w:type="dxa"/>
            <w:gridSpan w:val="7"/>
            <w:shd w:val="clear" w:color="auto" w:fill="auto"/>
            <w:vAlign w:val="center"/>
            <w:hideMark/>
          </w:tcPr>
          <w:p w14:paraId="086388FA" w14:textId="77777777" w:rsidR="002E47EE" w:rsidRPr="00BC52B5" w:rsidRDefault="002E47EE" w:rsidP="00973EB3">
            <w:pPr>
              <w:widowControl w:val="0"/>
              <w:ind w:left="57"/>
              <w:rPr>
                <w:rFonts w:ascii="Arial Narrow" w:hAnsi="Arial Narrow"/>
                <w:bCs/>
                <w:snapToGrid w:val="0"/>
                <w:sz w:val="20"/>
                <w:szCs w:val="20"/>
              </w:rPr>
            </w:pPr>
            <w:r w:rsidRPr="00BC52B5">
              <w:rPr>
                <w:rFonts w:ascii="Arial Narrow" w:hAnsi="Arial Narrow"/>
                <w:b/>
                <w:bCs/>
                <w:snapToGrid w:val="0"/>
                <w:sz w:val="20"/>
                <w:szCs w:val="20"/>
              </w:rPr>
              <w:t>AND</w:t>
            </w:r>
          </w:p>
        </w:tc>
      </w:tr>
      <w:tr w:rsidR="002E47EE" w:rsidRPr="007F2E0C" w14:paraId="24392370" w14:textId="77777777" w:rsidTr="00973EB3">
        <w:tblPrEx>
          <w:tblCellMar>
            <w:top w:w="15" w:type="dxa"/>
            <w:left w:w="15" w:type="dxa"/>
            <w:bottom w:w="15" w:type="dxa"/>
            <w:right w:w="15" w:type="dxa"/>
          </w:tblCellMar>
        </w:tblPrEx>
        <w:tc>
          <w:tcPr>
            <w:tcW w:w="1412" w:type="dxa"/>
            <w:gridSpan w:val="2"/>
            <w:shd w:val="clear" w:color="auto" w:fill="auto"/>
            <w:vAlign w:val="center"/>
          </w:tcPr>
          <w:p w14:paraId="77074BB2" w14:textId="77777777" w:rsidR="002E47EE" w:rsidRPr="00BC52B5" w:rsidRDefault="002E47EE" w:rsidP="00973EB3">
            <w:pPr>
              <w:widowControl w:val="0"/>
              <w:ind w:left="57"/>
              <w:jc w:val="center"/>
              <w:rPr>
                <w:rFonts w:ascii="Arial Narrow" w:hAnsi="Arial Narrow"/>
                <w:b/>
                <w:bCs/>
                <w:snapToGrid w:val="0"/>
                <w:sz w:val="20"/>
                <w:szCs w:val="20"/>
              </w:rPr>
            </w:pPr>
          </w:p>
        </w:tc>
        <w:tc>
          <w:tcPr>
            <w:tcW w:w="7655" w:type="dxa"/>
            <w:gridSpan w:val="7"/>
            <w:shd w:val="clear" w:color="auto" w:fill="auto"/>
            <w:vAlign w:val="center"/>
            <w:hideMark/>
          </w:tcPr>
          <w:p w14:paraId="6DEFD130" w14:textId="77777777" w:rsidR="002E47EE" w:rsidRPr="00BC52B5" w:rsidRDefault="002E47EE" w:rsidP="00973EB3">
            <w:pPr>
              <w:widowControl w:val="0"/>
              <w:ind w:left="57"/>
              <w:rPr>
                <w:rFonts w:ascii="Arial Narrow" w:hAnsi="Arial Narrow"/>
                <w:bCs/>
                <w:snapToGrid w:val="0"/>
                <w:sz w:val="20"/>
                <w:szCs w:val="20"/>
              </w:rPr>
            </w:pPr>
            <w:r w:rsidRPr="00BC52B5">
              <w:rPr>
                <w:rFonts w:ascii="Arial Narrow" w:hAnsi="Arial Narrow"/>
                <w:b/>
                <w:bCs/>
                <w:snapToGrid w:val="0"/>
                <w:sz w:val="20"/>
                <w:szCs w:val="20"/>
              </w:rPr>
              <w:t>Clinical criteria:</w:t>
            </w:r>
          </w:p>
        </w:tc>
      </w:tr>
      <w:tr w:rsidR="002E47EE" w:rsidRPr="007F2E0C" w14:paraId="5DC16BAB" w14:textId="77777777" w:rsidTr="00973EB3">
        <w:tblPrEx>
          <w:tblCellMar>
            <w:top w:w="15" w:type="dxa"/>
            <w:left w:w="15" w:type="dxa"/>
            <w:bottom w:w="15" w:type="dxa"/>
            <w:right w:w="15" w:type="dxa"/>
          </w:tblCellMar>
        </w:tblPrEx>
        <w:trPr>
          <w:trHeight w:val="140"/>
        </w:trPr>
        <w:tc>
          <w:tcPr>
            <w:tcW w:w="1412" w:type="dxa"/>
            <w:gridSpan w:val="2"/>
            <w:shd w:val="clear" w:color="auto" w:fill="auto"/>
            <w:vAlign w:val="center"/>
          </w:tcPr>
          <w:p w14:paraId="3F11430C" w14:textId="07F1B5C7" w:rsidR="002E47EE" w:rsidRPr="00BC52B5" w:rsidRDefault="002E47EE" w:rsidP="00973EB3">
            <w:pPr>
              <w:widowControl w:val="0"/>
              <w:ind w:left="57"/>
              <w:jc w:val="center"/>
              <w:rPr>
                <w:rFonts w:ascii="Arial Narrow" w:hAnsi="Arial Narrow"/>
                <w:bCs/>
                <w:snapToGrid w:val="0"/>
                <w:sz w:val="20"/>
                <w:szCs w:val="20"/>
              </w:rPr>
            </w:pPr>
          </w:p>
        </w:tc>
        <w:tc>
          <w:tcPr>
            <w:tcW w:w="7655" w:type="dxa"/>
            <w:gridSpan w:val="7"/>
            <w:shd w:val="clear" w:color="auto" w:fill="auto"/>
            <w:vAlign w:val="center"/>
            <w:hideMark/>
          </w:tcPr>
          <w:p w14:paraId="14460884" w14:textId="77777777" w:rsidR="002E47EE" w:rsidRPr="00BC52B5" w:rsidRDefault="002E47EE" w:rsidP="00973EB3">
            <w:pPr>
              <w:widowControl w:val="0"/>
              <w:ind w:left="57"/>
              <w:rPr>
                <w:rFonts w:ascii="Arial Narrow" w:hAnsi="Arial Narrow"/>
                <w:bCs/>
                <w:snapToGrid w:val="0"/>
                <w:sz w:val="20"/>
                <w:szCs w:val="20"/>
              </w:rPr>
            </w:pPr>
            <w:r w:rsidRPr="00BC52B5">
              <w:rPr>
                <w:rFonts w:ascii="Arial Narrow" w:hAnsi="Arial Narrow"/>
                <w:bCs/>
                <w:snapToGrid w:val="0"/>
                <w:sz w:val="20"/>
                <w:szCs w:val="20"/>
              </w:rPr>
              <w:t xml:space="preserve">Patient must have had a World Health Organisation (WHO) Eastern Cooperative Oncology Group (ECOG) performance status score no higher than 2 at the time of non-PBS supply was initiated </w:t>
            </w:r>
          </w:p>
        </w:tc>
      </w:tr>
      <w:tr w:rsidR="002E47EE" w:rsidRPr="007F2E0C" w14:paraId="4716930E" w14:textId="77777777" w:rsidTr="00973EB3">
        <w:tblPrEx>
          <w:tblCellMar>
            <w:top w:w="15" w:type="dxa"/>
            <w:left w:w="15" w:type="dxa"/>
            <w:bottom w:w="15" w:type="dxa"/>
            <w:right w:w="15" w:type="dxa"/>
          </w:tblCellMar>
        </w:tblPrEx>
        <w:tc>
          <w:tcPr>
            <w:tcW w:w="1412" w:type="dxa"/>
            <w:gridSpan w:val="2"/>
            <w:shd w:val="clear" w:color="auto" w:fill="auto"/>
            <w:vAlign w:val="center"/>
          </w:tcPr>
          <w:p w14:paraId="604C7668" w14:textId="77777777" w:rsidR="002E47EE" w:rsidRPr="00BC52B5" w:rsidRDefault="002E47EE" w:rsidP="00973EB3">
            <w:pPr>
              <w:widowControl w:val="0"/>
              <w:ind w:left="57"/>
              <w:jc w:val="center"/>
              <w:rPr>
                <w:rFonts w:ascii="Arial Narrow" w:hAnsi="Arial Narrow"/>
                <w:b/>
                <w:bCs/>
                <w:snapToGrid w:val="0"/>
                <w:sz w:val="20"/>
                <w:szCs w:val="20"/>
              </w:rPr>
            </w:pPr>
          </w:p>
        </w:tc>
        <w:tc>
          <w:tcPr>
            <w:tcW w:w="7655" w:type="dxa"/>
            <w:gridSpan w:val="7"/>
            <w:shd w:val="clear" w:color="auto" w:fill="auto"/>
            <w:vAlign w:val="center"/>
            <w:hideMark/>
          </w:tcPr>
          <w:p w14:paraId="70675436" w14:textId="77777777" w:rsidR="002E47EE" w:rsidRPr="00BC52B5" w:rsidRDefault="002E47EE" w:rsidP="00973EB3">
            <w:pPr>
              <w:widowControl w:val="0"/>
              <w:ind w:left="57"/>
              <w:rPr>
                <w:rFonts w:ascii="Arial Narrow" w:hAnsi="Arial Narrow"/>
                <w:bCs/>
                <w:snapToGrid w:val="0"/>
                <w:sz w:val="20"/>
                <w:szCs w:val="20"/>
              </w:rPr>
            </w:pPr>
            <w:r w:rsidRPr="00BC52B5">
              <w:rPr>
                <w:rFonts w:ascii="Arial Narrow" w:hAnsi="Arial Narrow"/>
                <w:b/>
                <w:bCs/>
                <w:snapToGrid w:val="0"/>
                <w:sz w:val="20"/>
                <w:szCs w:val="20"/>
              </w:rPr>
              <w:t>AND</w:t>
            </w:r>
          </w:p>
        </w:tc>
      </w:tr>
      <w:tr w:rsidR="00BC52B5" w:rsidRPr="007F2E0C" w14:paraId="67065D6C" w14:textId="77777777" w:rsidTr="00973EB3">
        <w:tblPrEx>
          <w:tblCellMar>
            <w:top w:w="15" w:type="dxa"/>
            <w:left w:w="15" w:type="dxa"/>
            <w:bottom w:w="15" w:type="dxa"/>
            <w:right w:w="15" w:type="dxa"/>
          </w:tblCellMar>
        </w:tblPrEx>
        <w:tc>
          <w:tcPr>
            <w:tcW w:w="1412" w:type="dxa"/>
            <w:gridSpan w:val="2"/>
            <w:shd w:val="clear" w:color="auto" w:fill="auto"/>
            <w:vAlign w:val="center"/>
          </w:tcPr>
          <w:p w14:paraId="0A4B3B14" w14:textId="5ED7492A" w:rsidR="00BC52B5" w:rsidRPr="00BC52B5" w:rsidRDefault="00BC52B5" w:rsidP="00973EB3">
            <w:pPr>
              <w:widowControl w:val="0"/>
              <w:jc w:val="center"/>
              <w:rPr>
                <w:rFonts w:ascii="Arial Narrow" w:hAnsi="Arial Narrow"/>
                <w:bCs/>
                <w:snapToGrid w:val="0"/>
                <w:sz w:val="20"/>
                <w:szCs w:val="20"/>
              </w:rPr>
            </w:pPr>
          </w:p>
        </w:tc>
        <w:tc>
          <w:tcPr>
            <w:tcW w:w="7655" w:type="dxa"/>
            <w:gridSpan w:val="7"/>
            <w:shd w:val="clear" w:color="auto" w:fill="auto"/>
            <w:vAlign w:val="center"/>
            <w:hideMark/>
          </w:tcPr>
          <w:p w14:paraId="03261528" w14:textId="77777777" w:rsidR="00BC52B5" w:rsidRPr="00BC52B5" w:rsidRDefault="00BC52B5" w:rsidP="00973EB3">
            <w:pPr>
              <w:widowControl w:val="0"/>
              <w:rPr>
                <w:rFonts w:ascii="Arial Narrow" w:hAnsi="Arial Narrow"/>
                <w:bCs/>
                <w:snapToGrid w:val="0"/>
                <w:sz w:val="20"/>
                <w:szCs w:val="20"/>
              </w:rPr>
            </w:pPr>
            <w:r w:rsidRPr="00BC52B5">
              <w:rPr>
                <w:rFonts w:ascii="Arial Narrow" w:hAnsi="Arial Narrow"/>
                <w:b/>
                <w:bCs/>
                <w:snapToGrid w:val="0"/>
                <w:sz w:val="20"/>
                <w:szCs w:val="20"/>
              </w:rPr>
              <w:t>Clinical criteria:</w:t>
            </w:r>
          </w:p>
        </w:tc>
      </w:tr>
      <w:tr w:rsidR="00BC52B5" w:rsidRPr="00B5124C" w14:paraId="1AAE6F33" w14:textId="77777777" w:rsidTr="00973EB3">
        <w:tblPrEx>
          <w:tblCellMar>
            <w:top w:w="15" w:type="dxa"/>
            <w:left w:w="15" w:type="dxa"/>
            <w:bottom w:w="15" w:type="dxa"/>
            <w:right w:w="15" w:type="dxa"/>
          </w:tblCellMar>
        </w:tblPrEx>
        <w:tc>
          <w:tcPr>
            <w:tcW w:w="1412" w:type="dxa"/>
            <w:gridSpan w:val="2"/>
            <w:shd w:val="clear" w:color="auto" w:fill="auto"/>
            <w:vAlign w:val="center"/>
          </w:tcPr>
          <w:p w14:paraId="7A3AD36C" w14:textId="041EC11B" w:rsidR="00BC52B5" w:rsidRPr="00BC52B5" w:rsidRDefault="00BC52B5" w:rsidP="00973EB3">
            <w:pPr>
              <w:widowControl w:val="0"/>
              <w:jc w:val="center"/>
              <w:rPr>
                <w:rFonts w:ascii="Arial Narrow" w:hAnsi="Arial Narrow"/>
                <w:bCs/>
                <w:snapToGrid w:val="0"/>
                <w:sz w:val="20"/>
                <w:szCs w:val="20"/>
              </w:rPr>
            </w:pPr>
          </w:p>
        </w:tc>
        <w:tc>
          <w:tcPr>
            <w:tcW w:w="7655" w:type="dxa"/>
            <w:gridSpan w:val="7"/>
            <w:shd w:val="clear" w:color="auto" w:fill="auto"/>
            <w:vAlign w:val="center"/>
          </w:tcPr>
          <w:p w14:paraId="3DCDC940" w14:textId="285E1ED7" w:rsidR="00BC52B5" w:rsidRPr="00BC52B5" w:rsidRDefault="00BC52B5" w:rsidP="00973EB3">
            <w:pPr>
              <w:jc w:val="left"/>
              <w:rPr>
                <w:rFonts w:ascii="Times New Roman" w:eastAsiaTheme="minorHAnsi" w:hAnsi="Times New Roman" w:cs="Times New Roman"/>
              </w:rPr>
            </w:pPr>
            <w:r w:rsidRPr="00BC52B5">
              <w:rPr>
                <w:rFonts w:ascii="Arial Narrow" w:hAnsi="Arial Narrow"/>
                <w:bCs/>
                <w:snapToGrid w:val="0"/>
                <w:sz w:val="20"/>
                <w:szCs w:val="20"/>
              </w:rPr>
              <w:t>The treatment must be in combination with one of (</w:t>
            </w:r>
            <w:proofErr w:type="spellStart"/>
            <w:r w:rsidRPr="00BC52B5">
              <w:rPr>
                <w:rFonts w:ascii="Arial Narrow" w:hAnsi="Arial Narrow"/>
                <w:bCs/>
                <w:snapToGrid w:val="0"/>
                <w:sz w:val="20"/>
                <w:szCs w:val="20"/>
              </w:rPr>
              <w:t>i</w:t>
            </w:r>
            <w:proofErr w:type="spellEnd"/>
            <w:r w:rsidRPr="00BC52B5">
              <w:rPr>
                <w:rFonts w:ascii="Arial Narrow" w:hAnsi="Arial Narrow"/>
                <w:bCs/>
                <w:snapToGrid w:val="0"/>
                <w:sz w:val="20"/>
                <w:szCs w:val="20"/>
              </w:rPr>
              <w:t xml:space="preserve">) a non-steroidal aromatase inhibitor, (ii) </w:t>
            </w:r>
            <w:proofErr w:type="spellStart"/>
            <w:r w:rsidRPr="00BC52B5">
              <w:rPr>
                <w:rFonts w:ascii="Arial Narrow" w:hAnsi="Arial Narrow"/>
                <w:bCs/>
                <w:snapToGrid w:val="0"/>
                <w:sz w:val="20"/>
                <w:szCs w:val="20"/>
              </w:rPr>
              <w:t>fulvestrant</w:t>
            </w:r>
            <w:proofErr w:type="spellEnd"/>
            <w:r w:rsidRPr="00BC52B5">
              <w:rPr>
                <w:rFonts w:ascii="Arial Narrow" w:hAnsi="Arial Narrow"/>
                <w:bCs/>
                <w:snapToGrid w:val="0"/>
                <w:sz w:val="20"/>
                <w:szCs w:val="20"/>
              </w:rPr>
              <w:t xml:space="preserve">, where the patient has never been treated with endocrine therapy for advanced/metastatic disease at the time non-PBS supply was initiated OR </w:t>
            </w:r>
            <w:r w:rsidRPr="00BC52B5">
              <w:rPr>
                <w:rFonts w:ascii="Times New Roman" w:eastAsiaTheme="minorHAnsi" w:hAnsi="Times New Roman" w:cs="Times New Roman"/>
              </w:rPr>
              <w:t xml:space="preserve"> </w:t>
            </w:r>
          </w:p>
        </w:tc>
      </w:tr>
      <w:tr w:rsidR="002E47EE" w:rsidRPr="007F2E0C" w14:paraId="041C82C3" w14:textId="77777777" w:rsidTr="00973EB3">
        <w:tblPrEx>
          <w:tblCellMar>
            <w:top w:w="15" w:type="dxa"/>
            <w:left w:w="15" w:type="dxa"/>
            <w:bottom w:w="15" w:type="dxa"/>
            <w:right w:w="15" w:type="dxa"/>
          </w:tblCellMar>
        </w:tblPrEx>
        <w:tc>
          <w:tcPr>
            <w:tcW w:w="1412" w:type="dxa"/>
            <w:gridSpan w:val="2"/>
            <w:shd w:val="clear" w:color="auto" w:fill="auto"/>
            <w:vAlign w:val="center"/>
          </w:tcPr>
          <w:p w14:paraId="4814483E" w14:textId="77777777" w:rsidR="002E47EE" w:rsidRPr="00BC52B5" w:rsidRDefault="002E47EE" w:rsidP="00973EB3">
            <w:pPr>
              <w:widowControl w:val="0"/>
              <w:ind w:left="57"/>
              <w:jc w:val="center"/>
              <w:rPr>
                <w:rFonts w:ascii="Arial Narrow" w:hAnsi="Arial Narrow"/>
                <w:b/>
                <w:bCs/>
                <w:snapToGrid w:val="0"/>
                <w:sz w:val="20"/>
                <w:szCs w:val="20"/>
              </w:rPr>
            </w:pPr>
          </w:p>
        </w:tc>
        <w:tc>
          <w:tcPr>
            <w:tcW w:w="7655" w:type="dxa"/>
            <w:gridSpan w:val="7"/>
            <w:shd w:val="clear" w:color="auto" w:fill="auto"/>
            <w:vAlign w:val="center"/>
            <w:hideMark/>
          </w:tcPr>
          <w:p w14:paraId="4D24494A" w14:textId="77777777" w:rsidR="002E47EE" w:rsidRPr="00BC52B5" w:rsidRDefault="002E47EE" w:rsidP="00973EB3">
            <w:pPr>
              <w:widowControl w:val="0"/>
              <w:ind w:left="57"/>
              <w:rPr>
                <w:rFonts w:ascii="Arial Narrow" w:hAnsi="Arial Narrow"/>
                <w:bCs/>
                <w:snapToGrid w:val="0"/>
                <w:sz w:val="20"/>
                <w:szCs w:val="20"/>
              </w:rPr>
            </w:pPr>
            <w:r w:rsidRPr="00BC52B5">
              <w:rPr>
                <w:rFonts w:ascii="Arial Narrow" w:hAnsi="Arial Narrow"/>
                <w:b/>
                <w:bCs/>
                <w:snapToGrid w:val="0"/>
                <w:sz w:val="20"/>
                <w:szCs w:val="20"/>
              </w:rPr>
              <w:t>Clinical criteria:</w:t>
            </w:r>
          </w:p>
        </w:tc>
      </w:tr>
      <w:tr w:rsidR="002E47EE" w:rsidRPr="007F2E0C" w14:paraId="5BE03C16" w14:textId="77777777" w:rsidTr="00973EB3">
        <w:tblPrEx>
          <w:tblCellMar>
            <w:top w:w="15" w:type="dxa"/>
            <w:left w:w="15" w:type="dxa"/>
            <w:bottom w:w="15" w:type="dxa"/>
            <w:right w:w="15" w:type="dxa"/>
          </w:tblCellMar>
        </w:tblPrEx>
        <w:tc>
          <w:tcPr>
            <w:tcW w:w="1412" w:type="dxa"/>
            <w:gridSpan w:val="2"/>
            <w:shd w:val="clear" w:color="auto" w:fill="auto"/>
            <w:vAlign w:val="center"/>
          </w:tcPr>
          <w:p w14:paraId="78F9891A" w14:textId="2AE2CB0D" w:rsidR="002E47EE" w:rsidRPr="00BC52B5" w:rsidRDefault="002E47EE" w:rsidP="00973EB3">
            <w:pPr>
              <w:widowControl w:val="0"/>
              <w:ind w:left="57"/>
              <w:jc w:val="center"/>
              <w:rPr>
                <w:rFonts w:ascii="Arial Narrow" w:hAnsi="Arial Narrow"/>
                <w:bCs/>
                <w:snapToGrid w:val="0"/>
                <w:sz w:val="20"/>
                <w:szCs w:val="20"/>
              </w:rPr>
            </w:pPr>
          </w:p>
        </w:tc>
        <w:tc>
          <w:tcPr>
            <w:tcW w:w="7655" w:type="dxa"/>
            <w:gridSpan w:val="7"/>
            <w:shd w:val="clear" w:color="auto" w:fill="auto"/>
            <w:vAlign w:val="center"/>
          </w:tcPr>
          <w:p w14:paraId="180D937F" w14:textId="075BF96C" w:rsidR="002E47EE" w:rsidRPr="00BC52B5" w:rsidRDefault="002E47EE" w:rsidP="00973EB3">
            <w:pPr>
              <w:widowControl w:val="0"/>
              <w:ind w:left="57"/>
              <w:rPr>
                <w:rFonts w:ascii="Arial Narrow" w:hAnsi="Arial Narrow"/>
                <w:bCs/>
                <w:snapToGrid w:val="0"/>
                <w:sz w:val="20"/>
                <w:szCs w:val="20"/>
              </w:rPr>
            </w:pPr>
            <w:r w:rsidRPr="00BC52B5">
              <w:rPr>
                <w:rFonts w:ascii="Arial Narrow" w:hAnsi="Arial Narrow"/>
                <w:bCs/>
                <w:snapToGrid w:val="0"/>
                <w:sz w:val="20"/>
                <w:szCs w:val="20"/>
              </w:rPr>
              <w:t xml:space="preserve">The treatment must be in combination with </w:t>
            </w:r>
            <w:proofErr w:type="spellStart"/>
            <w:r w:rsidRPr="00BC52B5">
              <w:rPr>
                <w:rFonts w:ascii="Arial Narrow" w:hAnsi="Arial Narrow"/>
                <w:bCs/>
                <w:snapToGrid w:val="0"/>
                <w:sz w:val="20"/>
                <w:szCs w:val="20"/>
              </w:rPr>
              <w:t>fulvestrant</w:t>
            </w:r>
            <w:proofErr w:type="spellEnd"/>
            <w:r w:rsidRPr="00BC52B5">
              <w:rPr>
                <w:rFonts w:ascii="Arial Narrow" w:hAnsi="Arial Narrow"/>
                <w:bCs/>
                <w:snapToGrid w:val="0"/>
                <w:sz w:val="20"/>
                <w:szCs w:val="20"/>
              </w:rPr>
              <w:t xml:space="preserve"> only, where at the time non-PBS supply was initiated, the patient had recurrent/progressive disease despite being treated with endocrine therapy for advanced/metastatic disease</w:t>
            </w:r>
          </w:p>
        </w:tc>
      </w:tr>
      <w:tr w:rsidR="002E47EE" w:rsidRPr="007F2E0C" w14:paraId="015A159C" w14:textId="77777777" w:rsidTr="00973EB3">
        <w:tblPrEx>
          <w:tblCellMar>
            <w:top w:w="15" w:type="dxa"/>
            <w:left w:w="15" w:type="dxa"/>
            <w:bottom w:w="15" w:type="dxa"/>
            <w:right w:w="15" w:type="dxa"/>
          </w:tblCellMar>
        </w:tblPrEx>
        <w:tc>
          <w:tcPr>
            <w:tcW w:w="1412" w:type="dxa"/>
            <w:gridSpan w:val="2"/>
            <w:shd w:val="clear" w:color="auto" w:fill="auto"/>
            <w:vAlign w:val="center"/>
          </w:tcPr>
          <w:p w14:paraId="446E06BC" w14:textId="77777777" w:rsidR="002E47EE" w:rsidRPr="00BC52B5" w:rsidRDefault="002E47EE" w:rsidP="00973EB3">
            <w:pPr>
              <w:widowControl w:val="0"/>
              <w:ind w:left="57"/>
              <w:jc w:val="center"/>
              <w:rPr>
                <w:rFonts w:ascii="Arial Narrow" w:hAnsi="Arial Narrow"/>
                <w:b/>
                <w:bCs/>
                <w:snapToGrid w:val="0"/>
                <w:sz w:val="20"/>
                <w:szCs w:val="20"/>
              </w:rPr>
            </w:pPr>
          </w:p>
        </w:tc>
        <w:tc>
          <w:tcPr>
            <w:tcW w:w="7655" w:type="dxa"/>
            <w:gridSpan w:val="7"/>
            <w:shd w:val="clear" w:color="auto" w:fill="auto"/>
            <w:vAlign w:val="center"/>
            <w:hideMark/>
          </w:tcPr>
          <w:p w14:paraId="4C0545F8" w14:textId="77777777" w:rsidR="002E47EE" w:rsidRPr="00BC52B5" w:rsidRDefault="002E47EE" w:rsidP="00973EB3">
            <w:pPr>
              <w:widowControl w:val="0"/>
              <w:ind w:left="57"/>
              <w:rPr>
                <w:rFonts w:ascii="Arial Narrow" w:hAnsi="Arial Narrow"/>
                <w:bCs/>
                <w:snapToGrid w:val="0"/>
                <w:sz w:val="20"/>
                <w:szCs w:val="20"/>
              </w:rPr>
            </w:pPr>
            <w:r w:rsidRPr="00BC52B5">
              <w:rPr>
                <w:rFonts w:ascii="Arial Narrow" w:hAnsi="Arial Narrow"/>
                <w:b/>
                <w:bCs/>
                <w:snapToGrid w:val="0"/>
                <w:sz w:val="20"/>
                <w:szCs w:val="20"/>
              </w:rPr>
              <w:t>AND</w:t>
            </w:r>
          </w:p>
        </w:tc>
      </w:tr>
      <w:tr w:rsidR="002E47EE" w:rsidRPr="007F2E0C" w14:paraId="4FF639A2" w14:textId="77777777" w:rsidTr="00973EB3">
        <w:tblPrEx>
          <w:tblCellMar>
            <w:top w:w="15" w:type="dxa"/>
            <w:left w:w="15" w:type="dxa"/>
            <w:bottom w:w="15" w:type="dxa"/>
            <w:right w:w="15" w:type="dxa"/>
          </w:tblCellMar>
        </w:tblPrEx>
        <w:tc>
          <w:tcPr>
            <w:tcW w:w="1412" w:type="dxa"/>
            <w:gridSpan w:val="2"/>
            <w:shd w:val="clear" w:color="auto" w:fill="auto"/>
            <w:vAlign w:val="center"/>
          </w:tcPr>
          <w:p w14:paraId="77FBC554" w14:textId="77777777" w:rsidR="002E47EE" w:rsidRPr="00BC52B5" w:rsidRDefault="002E47EE" w:rsidP="00973EB3">
            <w:pPr>
              <w:widowControl w:val="0"/>
              <w:ind w:left="57"/>
              <w:jc w:val="center"/>
              <w:rPr>
                <w:rFonts w:ascii="Arial Narrow" w:hAnsi="Arial Narrow"/>
                <w:bCs/>
                <w:snapToGrid w:val="0"/>
                <w:sz w:val="20"/>
                <w:szCs w:val="20"/>
              </w:rPr>
            </w:pPr>
          </w:p>
        </w:tc>
        <w:tc>
          <w:tcPr>
            <w:tcW w:w="7655" w:type="dxa"/>
            <w:gridSpan w:val="7"/>
            <w:shd w:val="clear" w:color="auto" w:fill="auto"/>
            <w:vAlign w:val="center"/>
            <w:hideMark/>
          </w:tcPr>
          <w:p w14:paraId="10CE288C" w14:textId="77777777" w:rsidR="002E47EE" w:rsidRPr="00BC52B5" w:rsidRDefault="002E47EE" w:rsidP="00973EB3">
            <w:pPr>
              <w:widowControl w:val="0"/>
              <w:ind w:left="57"/>
              <w:rPr>
                <w:rFonts w:ascii="Arial Narrow" w:hAnsi="Arial Narrow"/>
                <w:bCs/>
                <w:snapToGrid w:val="0"/>
                <w:sz w:val="20"/>
                <w:szCs w:val="20"/>
              </w:rPr>
            </w:pPr>
            <w:r w:rsidRPr="00BC52B5">
              <w:rPr>
                <w:rFonts w:ascii="Arial Narrow" w:hAnsi="Arial Narrow"/>
                <w:b/>
                <w:bCs/>
                <w:snapToGrid w:val="0"/>
                <w:sz w:val="20"/>
                <w:szCs w:val="20"/>
              </w:rPr>
              <w:t>Clinical criteria:</w:t>
            </w:r>
          </w:p>
        </w:tc>
      </w:tr>
      <w:tr w:rsidR="002E47EE" w:rsidRPr="007F2E0C" w14:paraId="21984926" w14:textId="77777777" w:rsidTr="00973EB3">
        <w:tblPrEx>
          <w:tblCellMar>
            <w:top w:w="15" w:type="dxa"/>
            <w:left w:w="15" w:type="dxa"/>
            <w:bottom w:w="15" w:type="dxa"/>
            <w:right w:w="15" w:type="dxa"/>
          </w:tblCellMar>
        </w:tblPrEx>
        <w:tc>
          <w:tcPr>
            <w:tcW w:w="1412" w:type="dxa"/>
            <w:gridSpan w:val="2"/>
            <w:shd w:val="clear" w:color="auto" w:fill="auto"/>
            <w:vAlign w:val="center"/>
          </w:tcPr>
          <w:p w14:paraId="1086E797" w14:textId="59948BEF" w:rsidR="002E47EE" w:rsidRPr="00BC52B5" w:rsidRDefault="002E47EE" w:rsidP="00973EB3">
            <w:pPr>
              <w:widowControl w:val="0"/>
              <w:jc w:val="center"/>
              <w:rPr>
                <w:rFonts w:ascii="Arial Narrow" w:hAnsi="Arial Narrow"/>
                <w:bCs/>
                <w:snapToGrid w:val="0"/>
                <w:sz w:val="20"/>
                <w:szCs w:val="20"/>
              </w:rPr>
            </w:pPr>
          </w:p>
        </w:tc>
        <w:tc>
          <w:tcPr>
            <w:tcW w:w="7655" w:type="dxa"/>
            <w:gridSpan w:val="7"/>
            <w:shd w:val="clear" w:color="auto" w:fill="auto"/>
            <w:vAlign w:val="center"/>
            <w:hideMark/>
          </w:tcPr>
          <w:p w14:paraId="226F4434" w14:textId="77777777" w:rsidR="002E47EE" w:rsidRPr="00BC52B5" w:rsidRDefault="002E47EE" w:rsidP="00973EB3">
            <w:pPr>
              <w:widowControl w:val="0"/>
              <w:ind w:left="57"/>
              <w:rPr>
                <w:rFonts w:ascii="Arial Narrow" w:hAnsi="Arial Narrow"/>
                <w:bCs/>
                <w:snapToGrid w:val="0"/>
                <w:sz w:val="20"/>
                <w:szCs w:val="20"/>
              </w:rPr>
            </w:pPr>
            <w:r w:rsidRPr="00BC52B5">
              <w:rPr>
                <w:rFonts w:ascii="Arial Narrow" w:hAnsi="Arial Narrow"/>
                <w:sz w:val="20"/>
                <w:szCs w:val="20"/>
              </w:rPr>
              <w:t xml:space="preserve">The treatment must not be in combination with another </w:t>
            </w:r>
            <w:r w:rsidRPr="00BC52B5">
              <w:rPr>
                <w:rFonts w:ascii="Arial Narrow" w:hAnsi="Arial Narrow"/>
                <w:bCs/>
                <w:snapToGrid w:val="0"/>
                <w:sz w:val="20"/>
                <w:szCs w:val="20"/>
              </w:rPr>
              <w:t>cyclin-dependent kinase 4 and 6 (CDK4/6) inhibitor therapy</w:t>
            </w:r>
          </w:p>
        </w:tc>
      </w:tr>
      <w:tr w:rsidR="002E47EE" w:rsidRPr="007F2E0C" w14:paraId="3B98E514" w14:textId="77777777" w:rsidTr="00973EB3">
        <w:tblPrEx>
          <w:tblCellMar>
            <w:top w:w="15" w:type="dxa"/>
            <w:left w:w="15" w:type="dxa"/>
            <w:bottom w:w="15" w:type="dxa"/>
            <w:right w:w="15" w:type="dxa"/>
          </w:tblCellMar>
        </w:tblPrEx>
        <w:tc>
          <w:tcPr>
            <w:tcW w:w="1412" w:type="dxa"/>
            <w:gridSpan w:val="2"/>
            <w:shd w:val="clear" w:color="auto" w:fill="auto"/>
            <w:vAlign w:val="center"/>
          </w:tcPr>
          <w:p w14:paraId="6A3AEA81" w14:textId="77777777" w:rsidR="002E47EE" w:rsidRPr="00BC52B5" w:rsidRDefault="002E47EE" w:rsidP="00973EB3">
            <w:pPr>
              <w:widowControl w:val="0"/>
              <w:ind w:left="57"/>
              <w:jc w:val="center"/>
              <w:rPr>
                <w:rFonts w:ascii="Arial Narrow" w:hAnsi="Arial Narrow"/>
                <w:bCs/>
                <w:snapToGrid w:val="0"/>
                <w:sz w:val="20"/>
                <w:szCs w:val="20"/>
              </w:rPr>
            </w:pPr>
          </w:p>
        </w:tc>
        <w:tc>
          <w:tcPr>
            <w:tcW w:w="7655" w:type="dxa"/>
            <w:gridSpan w:val="7"/>
            <w:shd w:val="clear" w:color="auto" w:fill="auto"/>
            <w:vAlign w:val="center"/>
          </w:tcPr>
          <w:p w14:paraId="71433D70" w14:textId="77777777" w:rsidR="002E47EE" w:rsidRPr="00BC52B5" w:rsidRDefault="002E47EE" w:rsidP="00973EB3">
            <w:pPr>
              <w:widowControl w:val="0"/>
              <w:ind w:left="57"/>
              <w:rPr>
                <w:rFonts w:ascii="Arial Narrow" w:hAnsi="Arial Narrow"/>
                <w:bCs/>
                <w:snapToGrid w:val="0"/>
                <w:sz w:val="20"/>
                <w:szCs w:val="20"/>
              </w:rPr>
            </w:pPr>
            <w:r w:rsidRPr="00BC52B5">
              <w:rPr>
                <w:rFonts w:ascii="Arial Narrow" w:hAnsi="Arial Narrow"/>
                <w:b/>
                <w:bCs/>
                <w:snapToGrid w:val="0"/>
                <w:sz w:val="20"/>
                <w:szCs w:val="20"/>
              </w:rPr>
              <w:t>AND</w:t>
            </w:r>
          </w:p>
        </w:tc>
      </w:tr>
      <w:tr w:rsidR="002E47EE" w:rsidRPr="007F2E0C" w14:paraId="58168287" w14:textId="77777777" w:rsidTr="00973EB3">
        <w:tblPrEx>
          <w:tblCellMar>
            <w:top w:w="15" w:type="dxa"/>
            <w:left w:w="15" w:type="dxa"/>
            <w:bottom w:w="15" w:type="dxa"/>
            <w:right w:w="15" w:type="dxa"/>
          </w:tblCellMar>
        </w:tblPrEx>
        <w:tc>
          <w:tcPr>
            <w:tcW w:w="1412" w:type="dxa"/>
            <w:gridSpan w:val="2"/>
            <w:shd w:val="clear" w:color="auto" w:fill="auto"/>
            <w:vAlign w:val="center"/>
          </w:tcPr>
          <w:p w14:paraId="7398FF9D" w14:textId="32C94457" w:rsidR="002E47EE" w:rsidRPr="00BC52B5" w:rsidRDefault="002E47EE" w:rsidP="00973EB3">
            <w:pPr>
              <w:widowControl w:val="0"/>
              <w:ind w:left="57"/>
              <w:jc w:val="center"/>
              <w:rPr>
                <w:rFonts w:ascii="Arial Narrow" w:hAnsi="Arial Narrow"/>
                <w:b/>
                <w:bCs/>
                <w:snapToGrid w:val="0"/>
                <w:sz w:val="20"/>
                <w:szCs w:val="20"/>
              </w:rPr>
            </w:pPr>
          </w:p>
        </w:tc>
        <w:tc>
          <w:tcPr>
            <w:tcW w:w="7655" w:type="dxa"/>
            <w:gridSpan w:val="7"/>
            <w:shd w:val="clear" w:color="auto" w:fill="auto"/>
            <w:vAlign w:val="center"/>
            <w:hideMark/>
          </w:tcPr>
          <w:p w14:paraId="4F931196" w14:textId="77777777" w:rsidR="002E47EE" w:rsidRPr="00BC52B5" w:rsidRDefault="002E47EE" w:rsidP="00973EB3">
            <w:pPr>
              <w:widowControl w:val="0"/>
              <w:ind w:left="57"/>
              <w:rPr>
                <w:rFonts w:ascii="Arial Narrow" w:hAnsi="Arial Narrow"/>
                <w:bCs/>
                <w:snapToGrid w:val="0"/>
                <w:sz w:val="20"/>
                <w:szCs w:val="20"/>
              </w:rPr>
            </w:pPr>
            <w:r w:rsidRPr="00BC52B5">
              <w:rPr>
                <w:rFonts w:ascii="Arial Narrow" w:hAnsi="Arial Narrow"/>
                <w:b/>
                <w:bCs/>
                <w:snapToGrid w:val="0"/>
                <w:sz w:val="20"/>
                <w:szCs w:val="20"/>
              </w:rPr>
              <w:t>Population criteria:</w:t>
            </w:r>
          </w:p>
        </w:tc>
      </w:tr>
      <w:tr w:rsidR="002E47EE" w:rsidRPr="007F2E0C" w14:paraId="6D7C2D94" w14:textId="77777777" w:rsidTr="00973EB3">
        <w:tblPrEx>
          <w:tblCellMar>
            <w:top w:w="15" w:type="dxa"/>
            <w:left w:w="15" w:type="dxa"/>
            <w:bottom w:w="15" w:type="dxa"/>
            <w:right w:w="15" w:type="dxa"/>
          </w:tblCellMar>
        </w:tblPrEx>
        <w:tc>
          <w:tcPr>
            <w:tcW w:w="1412" w:type="dxa"/>
            <w:gridSpan w:val="2"/>
            <w:shd w:val="clear" w:color="auto" w:fill="auto"/>
            <w:vAlign w:val="center"/>
          </w:tcPr>
          <w:p w14:paraId="729A697B" w14:textId="6E4F8263" w:rsidR="002E47EE" w:rsidRPr="00BC52B5" w:rsidRDefault="002E47EE" w:rsidP="00973EB3">
            <w:pPr>
              <w:widowControl w:val="0"/>
              <w:ind w:left="57"/>
              <w:jc w:val="center"/>
              <w:rPr>
                <w:rFonts w:ascii="Arial Narrow" w:hAnsi="Arial Narrow"/>
                <w:bCs/>
                <w:snapToGrid w:val="0"/>
                <w:sz w:val="20"/>
                <w:szCs w:val="20"/>
              </w:rPr>
            </w:pPr>
          </w:p>
        </w:tc>
        <w:tc>
          <w:tcPr>
            <w:tcW w:w="7655" w:type="dxa"/>
            <w:gridSpan w:val="7"/>
            <w:shd w:val="clear" w:color="auto" w:fill="auto"/>
            <w:vAlign w:val="center"/>
            <w:hideMark/>
          </w:tcPr>
          <w:p w14:paraId="28CD77DD" w14:textId="77777777" w:rsidR="002E47EE" w:rsidRPr="00BC52B5" w:rsidRDefault="002E47EE" w:rsidP="00973EB3">
            <w:pPr>
              <w:widowControl w:val="0"/>
              <w:ind w:left="57"/>
              <w:rPr>
                <w:rFonts w:ascii="Arial Narrow" w:hAnsi="Arial Narrow"/>
                <w:bCs/>
                <w:snapToGrid w:val="0"/>
                <w:sz w:val="20"/>
                <w:szCs w:val="20"/>
              </w:rPr>
            </w:pPr>
            <w:r w:rsidRPr="00BC52B5">
              <w:rPr>
                <w:rFonts w:ascii="Arial Narrow" w:hAnsi="Arial Narrow"/>
                <w:bCs/>
                <w:snapToGrid w:val="0"/>
                <w:sz w:val="20"/>
                <w:szCs w:val="20"/>
              </w:rPr>
              <w:t>Patient must not be premenopausal</w:t>
            </w:r>
          </w:p>
        </w:tc>
      </w:tr>
      <w:tr w:rsidR="002E47EE" w:rsidRPr="007F2E0C" w14:paraId="30DC0C39" w14:textId="77777777" w:rsidTr="00973EB3">
        <w:tblPrEx>
          <w:tblCellMar>
            <w:top w:w="15" w:type="dxa"/>
            <w:left w:w="15" w:type="dxa"/>
            <w:bottom w:w="15" w:type="dxa"/>
            <w:right w:w="15" w:type="dxa"/>
          </w:tblCellMar>
        </w:tblPrEx>
        <w:tc>
          <w:tcPr>
            <w:tcW w:w="1412" w:type="dxa"/>
            <w:gridSpan w:val="2"/>
            <w:shd w:val="clear" w:color="auto" w:fill="auto"/>
            <w:vAlign w:val="center"/>
          </w:tcPr>
          <w:p w14:paraId="4FED6DDE" w14:textId="7B4A066C" w:rsidR="002E47EE" w:rsidRPr="00BC52B5" w:rsidRDefault="002E47EE" w:rsidP="00973EB3">
            <w:pPr>
              <w:widowControl w:val="0"/>
              <w:ind w:left="57"/>
              <w:jc w:val="center"/>
              <w:rPr>
                <w:rFonts w:ascii="Arial Narrow" w:hAnsi="Arial Narrow"/>
                <w:b/>
                <w:bCs/>
                <w:snapToGrid w:val="0"/>
                <w:sz w:val="20"/>
                <w:szCs w:val="20"/>
              </w:rPr>
            </w:pPr>
          </w:p>
        </w:tc>
        <w:tc>
          <w:tcPr>
            <w:tcW w:w="7655" w:type="dxa"/>
            <w:gridSpan w:val="7"/>
            <w:shd w:val="clear" w:color="auto" w:fill="auto"/>
            <w:vAlign w:val="center"/>
          </w:tcPr>
          <w:p w14:paraId="629CB517" w14:textId="77777777" w:rsidR="002E47EE" w:rsidRPr="00BC52B5" w:rsidRDefault="002E47EE" w:rsidP="00973EB3">
            <w:pPr>
              <w:widowControl w:val="0"/>
              <w:ind w:left="57"/>
              <w:rPr>
                <w:rFonts w:ascii="Arial Narrow" w:hAnsi="Arial Narrow"/>
                <w:bCs/>
                <w:snapToGrid w:val="0"/>
                <w:sz w:val="20"/>
                <w:szCs w:val="20"/>
              </w:rPr>
            </w:pPr>
            <w:r w:rsidRPr="00BC52B5">
              <w:rPr>
                <w:rFonts w:ascii="Arial Narrow" w:hAnsi="Arial Narrow"/>
                <w:b/>
                <w:bCs/>
                <w:snapToGrid w:val="0"/>
                <w:sz w:val="20"/>
                <w:szCs w:val="20"/>
              </w:rPr>
              <w:t>Administrative Advice:</w:t>
            </w:r>
            <w:r w:rsidRPr="00BC52B5">
              <w:rPr>
                <w:rFonts w:ascii="Arial Narrow" w:hAnsi="Arial Narrow"/>
                <w:bCs/>
                <w:snapToGrid w:val="0"/>
                <w:sz w:val="20"/>
                <w:szCs w:val="20"/>
              </w:rPr>
              <w:t xml:space="preserve"> Patients may qualify for PBS-subsidised treatment under this restriction once only. For continuing PBS-subsidised treatment, a 'Grandfathered' patient must qualify under the 'Continuing treatment' criteria.</w:t>
            </w:r>
          </w:p>
        </w:tc>
      </w:tr>
      <w:tr w:rsidR="002E47EE" w:rsidRPr="007F2E0C" w14:paraId="421E7AF1" w14:textId="77777777" w:rsidTr="00973EB3">
        <w:tblPrEx>
          <w:tblCellMar>
            <w:top w:w="15" w:type="dxa"/>
            <w:left w:w="15" w:type="dxa"/>
            <w:bottom w:w="15" w:type="dxa"/>
            <w:right w:w="15" w:type="dxa"/>
          </w:tblCellMar>
        </w:tblPrEx>
        <w:tc>
          <w:tcPr>
            <w:tcW w:w="1412" w:type="dxa"/>
            <w:gridSpan w:val="2"/>
            <w:shd w:val="clear" w:color="auto" w:fill="auto"/>
            <w:vAlign w:val="center"/>
          </w:tcPr>
          <w:p w14:paraId="04CDAA85" w14:textId="61E5642E" w:rsidR="002E47EE" w:rsidRPr="00BC52B5" w:rsidRDefault="002E47EE" w:rsidP="00973EB3">
            <w:pPr>
              <w:widowControl w:val="0"/>
              <w:ind w:left="57"/>
              <w:jc w:val="center"/>
              <w:rPr>
                <w:rFonts w:ascii="Arial Narrow" w:hAnsi="Arial Narrow"/>
                <w:b/>
                <w:bCs/>
                <w:snapToGrid w:val="0"/>
                <w:sz w:val="20"/>
                <w:szCs w:val="20"/>
              </w:rPr>
            </w:pPr>
          </w:p>
        </w:tc>
        <w:tc>
          <w:tcPr>
            <w:tcW w:w="7655" w:type="dxa"/>
            <w:gridSpan w:val="7"/>
            <w:shd w:val="clear" w:color="auto" w:fill="auto"/>
            <w:vAlign w:val="center"/>
          </w:tcPr>
          <w:p w14:paraId="6113728D" w14:textId="77777777" w:rsidR="002E47EE" w:rsidRPr="00BC52B5" w:rsidRDefault="002E47EE" w:rsidP="00973EB3">
            <w:pPr>
              <w:widowControl w:val="0"/>
              <w:ind w:left="57"/>
              <w:rPr>
                <w:rFonts w:ascii="Arial Narrow" w:hAnsi="Arial Narrow"/>
                <w:bCs/>
                <w:snapToGrid w:val="0"/>
                <w:sz w:val="20"/>
                <w:szCs w:val="20"/>
              </w:rPr>
            </w:pPr>
            <w:r w:rsidRPr="00BC52B5">
              <w:rPr>
                <w:rFonts w:ascii="Arial Narrow" w:hAnsi="Arial Narrow"/>
                <w:b/>
                <w:bCs/>
                <w:snapToGrid w:val="0"/>
                <w:sz w:val="20"/>
                <w:szCs w:val="20"/>
              </w:rPr>
              <w:t>Administrative Advice:</w:t>
            </w:r>
            <w:r w:rsidRPr="00BC52B5">
              <w:rPr>
                <w:rFonts w:ascii="Arial Narrow" w:hAnsi="Arial Narrow"/>
                <w:bCs/>
                <w:snapToGrid w:val="0"/>
                <w:sz w:val="20"/>
                <w:szCs w:val="20"/>
              </w:rPr>
              <w:t xml:space="preserve"> This grandfather restriction will cease to operate from 12 months after the date specified in the clinical criteria.</w:t>
            </w:r>
          </w:p>
        </w:tc>
      </w:tr>
      <w:bookmarkEnd w:id="2"/>
      <w:bookmarkEnd w:id="3"/>
      <w:bookmarkEnd w:id="4"/>
      <w:bookmarkEnd w:id="47"/>
      <w:bookmarkEnd w:id="58"/>
    </w:tbl>
    <w:p w14:paraId="6201A0F2" w14:textId="73885640" w:rsidR="00973EB3" w:rsidRDefault="00973EB3" w:rsidP="00BA2CAD">
      <w:pPr>
        <w:jc w:val="left"/>
      </w:pPr>
    </w:p>
    <w:p w14:paraId="5554C8BB" w14:textId="10A3FAB4" w:rsidR="00973EB3" w:rsidRDefault="00973EB3" w:rsidP="00973EB3">
      <w:pPr>
        <w:pStyle w:val="3Bodytext"/>
        <w:ind w:left="0" w:firstLine="0"/>
        <w:rPr>
          <w:rFonts w:cs="Arial"/>
          <w:b/>
          <w:i/>
        </w:rPr>
      </w:pPr>
      <w:r w:rsidRPr="00936FC8">
        <w:rPr>
          <w:rFonts w:cs="Arial"/>
          <w:b/>
          <w:i/>
        </w:rPr>
        <w:t>This restriction may be subject to further review. Should there be any changes made to the</w:t>
      </w:r>
      <w:r>
        <w:rPr>
          <w:rFonts w:cs="Arial"/>
          <w:b/>
          <w:i/>
        </w:rPr>
        <w:t xml:space="preserve"> </w:t>
      </w:r>
      <w:r w:rsidRPr="00936FC8">
        <w:rPr>
          <w:rFonts w:cs="Arial"/>
          <w:b/>
          <w:i/>
        </w:rPr>
        <w:t xml:space="preserve">restriction the </w:t>
      </w:r>
      <w:r w:rsidR="000503B9">
        <w:rPr>
          <w:rFonts w:cs="Arial"/>
          <w:b/>
          <w:i/>
        </w:rPr>
        <w:t>s</w:t>
      </w:r>
      <w:r w:rsidRPr="00936FC8">
        <w:rPr>
          <w:rFonts w:cs="Arial"/>
          <w:b/>
          <w:i/>
        </w:rPr>
        <w:t>ponsor will be informed.</w:t>
      </w:r>
    </w:p>
    <w:p w14:paraId="2652E136" w14:textId="77777777" w:rsidR="00973EB3" w:rsidRDefault="00973EB3" w:rsidP="00973EB3">
      <w:pPr>
        <w:pStyle w:val="2-SectionHeading"/>
        <w:numPr>
          <w:ilvl w:val="0"/>
          <w:numId w:val="1"/>
        </w:numPr>
        <w:rPr>
          <w:bCs/>
          <w:lang w:val="en-GB"/>
        </w:rPr>
      </w:pPr>
      <w:r w:rsidRPr="00C07617">
        <w:t>Context for Decision</w:t>
      </w:r>
    </w:p>
    <w:p w14:paraId="54969C79" w14:textId="77777777" w:rsidR="00973EB3" w:rsidRPr="007129F2" w:rsidRDefault="00973EB3" w:rsidP="00973EB3">
      <w:pPr>
        <w:widowControl w:val="0"/>
        <w:spacing w:after="120"/>
        <w:ind w:left="720"/>
        <w:contextualSpacing/>
        <w:rPr>
          <w:rFonts w:asciiTheme="minorHAnsi" w:hAnsiTheme="minorHAnsi"/>
          <w:bCs/>
          <w:lang w:val="en-GB"/>
        </w:rPr>
      </w:pPr>
      <w:r w:rsidRPr="007129F2">
        <w:rPr>
          <w:rFonts w:asciiTheme="minorHAnsi" w:hAnsiTheme="minorHAnsi"/>
          <w:bCs/>
          <w:lang w:val="en-GB"/>
        </w:rPr>
        <w:t xml:space="preserve">The PBAC helps decide whether and, if so, how medicines should be subsidised through the Pharmaceutical Benefits Scheme (PBS) in Australia. It considers applications </w:t>
      </w:r>
      <w:r w:rsidRPr="00BB7E19">
        <w:rPr>
          <w:rFonts w:asciiTheme="minorHAnsi" w:hAnsiTheme="minorHAnsi"/>
          <w:bCs/>
          <w:snapToGrid w:val="0"/>
        </w:rPr>
        <w:t>regarding</w:t>
      </w:r>
      <w:r w:rsidRPr="007129F2">
        <w:rPr>
          <w:rFonts w:asciiTheme="minorHAnsi" w:hAnsiTheme="minorHAnsi"/>
          <w:bCs/>
          <w:lang w:val="en-GB"/>
        </w:rPr>
        <w:t xml:space="preserve">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0F37A1FB" w14:textId="4C520C4C" w:rsidR="00973EB3" w:rsidRPr="005E20BC" w:rsidRDefault="00973EB3" w:rsidP="005E20BC">
      <w:pPr>
        <w:pStyle w:val="2-SectionHeading"/>
        <w:numPr>
          <w:ilvl w:val="0"/>
          <w:numId w:val="1"/>
        </w:numPr>
        <w:rPr>
          <w:b w:val="0"/>
        </w:rPr>
      </w:pPr>
      <w:r>
        <w:t>Sponsor’s Comment</w:t>
      </w:r>
    </w:p>
    <w:p w14:paraId="19DFE6A9" w14:textId="77777777" w:rsidR="00973EB3" w:rsidRPr="001179AC" w:rsidRDefault="00973EB3" w:rsidP="00973EB3">
      <w:pPr>
        <w:widowControl w:val="0"/>
        <w:spacing w:after="120"/>
        <w:ind w:left="720"/>
        <w:contextualSpacing/>
        <w:rPr>
          <w:rFonts w:asciiTheme="minorHAnsi" w:hAnsiTheme="minorHAnsi"/>
          <w:bCs/>
        </w:rPr>
      </w:pPr>
      <w:r w:rsidRPr="00BB7E19">
        <w:rPr>
          <w:rFonts w:asciiTheme="minorHAnsi" w:hAnsiTheme="minorHAnsi"/>
          <w:bCs/>
        </w:rPr>
        <w:t xml:space="preserve">The </w:t>
      </w:r>
      <w:r w:rsidRPr="00BB7E19">
        <w:rPr>
          <w:rFonts w:asciiTheme="minorHAnsi" w:hAnsiTheme="minorHAnsi"/>
          <w:bCs/>
          <w:lang w:val="en-GB"/>
        </w:rPr>
        <w:t>sponsor</w:t>
      </w:r>
      <w:r w:rsidRPr="00BB7E19">
        <w:rPr>
          <w:rFonts w:asciiTheme="minorHAnsi" w:hAnsiTheme="minorHAnsi"/>
          <w:bCs/>
        </w:rPr>
        <w:t xml:space="preserve"> had</w:t>
      </w:r>
      <w:r w:rsidRPr="00C07617">
        <w:rPr>
          <w:rFonts w:asciiTheme="minorHAnsi" w:hAnsiTheme="minorHAnsi"/>
          <w:bCs/>
        </w:rPr>
        <w:t xml:space="preserve"> no comment.</w:t>
      </w:r>
    </w:p>
    <w:p w14:paraId="3DA0A9C7" w14:textId="77777777" w:rsidR="00973EB3" w:rsidRDefault="00973EB3" w:rsidP="00973EB3">
      <w:pPr>
        <w:pStyle w:val="3Bodytext"/>
        <w:ind w:left="0" w:firstLine="0"/>
        <w:rPr>
          <w:snapToGrid w:val="0"/>
        </w:rPr>
      </w:pPr>
    </w:p>
    <w:p w14:paraId="59C0E3D1" w14:textId="77777777" w:rsidR="00973EB3" w:rsidRDefault="00973EB3" w:rsidP="00BA2CAD">
      <w:pPr>
        <w:jc w:val="left"/>
      </w:pPr>
    </w:p>
    <w:sectPr w:rsidR="00973EB3" w:rsidSect="001F5AF9">
      <w:headerReference w:type="even" r:id="rId11"/>
      <w:headerReference w:type="default" r:id="rId12"/>
      <w:footerReference w:type="even" r:id="rId13"/>
      <w:footerReference w:type="default" r:id="rId14"/>
      <w:headerReference w:type="first" r:id="rId15"/>
      <w:footerReference w:type="first" r:id="rId16"/>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897E63" w14:textId="77777777" w:rsidR="00973EB3" w:rsidRDefault="00973EB3" w:rsidP="00124A51">
      <w:r>
        <w:separator/>
      </w:r>
    </w:p>
    <w:p w14:paraId="3EC24E51" w14:textId="77777777" w:rsidR="00973EB3" w:rsidRDefault="00973EB3"/>
  </w:endnote>
  <w:endnote w:type="continuationSeparator" w:id="0">
    <w:p w14:paraId="153A253D" w14:textId="77777777" w:rsidR="00973EB3" w:rsidRDefault="00973EB3" w:rsidP="00124A51">
      <w:r>
        <w:continuationSeparator/>
      </w:r>
    </w:p>
    <w:p w14:paraId="72B35DC3" w14:textId="77777777" w:rsidR="00973EB3" w:rsidRDefault="00973E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B3A31" w14:textId="77777777" w:rsidR="007B7D69" w:rsidRDefault="007B7D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3746350"/>
      <w:docPartObj>
        <w:docPartGallery w:val="Page Numbers (Bottom of Page)"/>
        <w:docPartUnique/>
      </w:docPartObj>
    </w:sdtPr>
    <w:sdtEndPr>
      <w:rPr>
        <w:b/>
        <w:bCs/>
        <w:noProof/>
      </w:rPr>
    </w:sdtEndPr>
    <w:sdtContent>
      <w:p w14:paraId="70D61A93" w14:textId="77777777" w:rsidR="00973EB3" w:rsidRDefault="00973EB3">
        <w:pPr>
          <w:pStyle w:val="Footer"/>
          <w:jc w:val="center"/>
        </w:pPr>
      </w:p>
      <w:p w14:paraId="082DAC74" w14:textId="1E5D0002" w:rsidR="00973EB3" w:rsidRPr="00E74253" w:rsidRDefault="00973EB3">
        <w:pPr>
          <w:pStyle w:val="Footer"/>
          <w:jc w:val="center"/>
          <w:rPr>
            <w:b/>
            <w:bCs/>
          </w:rPr>
        </w:pPr>
        <w:r w:rsidRPr="00E74253">
          <w:rPr>
            <w:b/>
            <w:bCs/>
          </w:rPr>
          <w:fldChar w:fldCharType="begin"/>
        </w:r>
        <w:r w:rsidRPr="00E74253">
          <w:rPr>
            <w:b/>
            <w:bCs/>
          </w:rPr>
          <w:instrText xml:space="preserve"> PAGE   \* MERGEFORMAT </w:instrText>
        </w:r>
        <w:r w:rsidRPr="00E74253">
          <w:rPr>
            <w:b/>
            <w:bCs/>
          </w:rPr>
          <w:fldChar w:fldCharType="separate"/>
        </w:r>
        <w:r w:rsidRPr="00E74253">
          <w:rPr>
            <w:b/>
            <w:bCs/>
            <w:noProof/>
          </w:rPr>
          <w:t>2</w:t>
        </w:r>
        <w:r w:rsidRPr="00E74253">
          <w:rPr>
            <w:b/>
            <w:bCs/>
            <w:noProof/>
          </w:rPr>
          <w:fldChar w:fldCharType="end"/>
        </w:r>
      </w:p>
    </w:sdtContent>
  </w:sdt>
  <w:p w14:paraId="4E0CC327" w14:textId="75CFE79E" w:rsidR="00973EB3" w:rsidRDefault="00973EB3" w:rsidP="00081A3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578FE" w14:textId="77777777" w:rsidR="007B7D69" w:rsidRDefault="007B7D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00EE0E" w14:textId="77777777" w:rsidR="00973EB3" w:rsidRDefault="00973EB3" w:rsidP="00124A51">
      <w:r>
        <w:separator/>
      </w:r>
    </w:p>
    <w:p w14:paraId="0EB93D9F" w14:textId="77777777" w:rsidR="00973EB3" w:rsidRDefault="00973EB3"/>
  </w:footnote>
  <w:footnote w:type="continuationSeparator" w:id="0">
    <w:p w14:paraId="36B6D327" w14:textId="77777777" w:rsidR="00973EB3" w:rsidRDefault="00973EB3" w:rsidP="00124A51">
      <w:r>
        <w:continuationSeparator/>
      </w:r>
    </w:p>
    <w:p w14:paraId="1ECF5B1B" w14:textId="77777777" w:rsidR="00973EB3" w:rsidRDefault="00973EB3"/>
  </w:footnote>
  <w:footnote w:id="1">
    <w:p w14:paraId="336EE28E" w14:textId="77777777" w:rsidR="00973EB3" w:rsidRPr="00577B04" w:rsidRDefault="00973EB3" w:rsidP="00937EEC">
      <w:pPr>
        <w:pStyle w:val="TableFigureFooter"/>
        <w:rPr>
          <w:lang w:val="en-US"/>
        </w:rPr>
      </w:pPr>
      <w:r>
        <w:rPr>
          <w:rStyle w:val="FootnoteReference"/>
        </w:rPr>
        <w:footnoteRef/>
      </w:r>
      <w:r>
        <w:t xml:space="preserve"> U.S. Food &amp; Drug Administration (available at: </w:t>
      </w:r>
      <w:hyperlink r:id="rId1" w:history="1">
        <w:r w:rsidRPr="00696AF8">
          <w:rPr>
            <w:rStyle w:val="Hyperlink"/>
          </w:rPr>
          <w:t>https://www.fda.gov/drugs/resources-information-approved-drugs/palbociclib-ibrance</w:t>
        </w:r>
      </w:hyperlink>
      <w:r>
        <w:t>; accessed 10 December 2021).</w:t>
      </w:r>
    </w:p>
  </w:footnote>
  <w:footnote w:id="2">
    <w:p w14:paraId="3FF63655" w14:textId="77777777" w:rsidR="00973EB3" w:rsidRPr="007F2E75" w:rsidRDefault="00973EB3" w:rsidP="00937EEC">
      <w:pPr>
        <w:pStyle w:val="TableFigureFooter"/>
        <w:rPr>
          <w:lang w:val="en-US"/>
        </w:rPr>
      </w:pPr>
      <w:r>
        <w:rPr>
          <w:rStyle w:val="FootnoteReference"/>
        </w:rPr>
        <w:footnoteRef/>
      </w:r>
      <w:r>
        <w:t xml:space="preserve"> </w:t>
      </w:r>
      <w:r w:rsidRPr="007F2E75">
        <w:t xml:space="preserve">Wedam S, Fashoyin-Aje L, </w:t>
      </w:r>
      <w:r>
        <w:t>et al.</w:t>
      </w:r>
      <w:r w:rsidRPr="007F2E75">
        <w:t xml:space="preserve"> FDA Approval Summary: Palbociclib for Male Patients with Metastatic Breast Cancer. </w:t>
      </w:r>
      <w:r w:rsidRPr="007F2E75">
        <w:rPr>
          <w:i/>
          <w:iCs/>
        </w:rPr>
        <w:t>Clin Cancer Res</w:t>
      </w:r>
      <w:r w:rsidRPr="007F2E75">
        <w:t>. 2020 Mar 15;26(6):1208-1212.</w:t>
      </w:r>
    </w:p>
  </w:footnote>
  <w:footnote w:id="3">
    <w:p w14:paraId="638F1F10" w14:textId="77777777" w:rsidR="00973EB3" w:rsidRPr="00786584" w:rsidRDefault="00973EB3" w:rsidP="00937EEC">
      <w:pPr>
        <w:pStyle w:val="TableFigureFooter"/>
        <w:rPr>
          <w:lang w:val="en-US"/>
        </w:rPr>
      </w:pPr>
      <w:r>
        <w:rPr>
          <w:rStyle w:val="FootnoteReference"/>
        </w:rPr>
        <w:footnoteRef/>
      </w:r>
      <w:r>
        <w:t xml:space="preserve"> Ibrance: European Public Assessment Report – Product Information, European Medicines Agency, first published November 2016, updated July 2021 (available at: </w:t>
      </w:r>
      <w:hyperlink r:id="rId2" w:history="1">
        <w:r w:rsidRPr="00696AF8">
          <w:rPr>
            <w:rStyle w:val="Hyperlink"/>
          </w:rPr>
          <w:t>https://www.ema.europa.eu/documents/product-information/ibrance-epar-product-information_en.pdf</w:t>
        </w:r>
      </w:hyperlink>
      <w:r>
        <w:t>; accessed 10 December 2021).</w:t>
      </w:r>
    </w:p>
  </w:footnote>
  <w:footnote w:id="4">
    <w:p w14:paraId="04A78DE5" w14:textId="77777777" w:rsidR="00973EB3" w:rsidRPr="003178E4" w:rsidRDefault="00973EB3" w:rsidP="00937EEC">
      <w:pPr>
        <w:pStyle w:val="TableFigureFooter"/>
        <w:rPr>
          <w:lang w:val="en-US"/>
        </w:rPr>
      </w:pPr>
      <w:r>
        <w:rPr>
          <w:rStyle w:val="FootnoteReference"/>
        </w:rPr>
        <w:footnoteRef/>
      </w:r>
      <w:r>
        <w:t xml:space="preserve"> Australian Institute of Health and Welfare 2021. </w:t>
      </w:r>
      <w:r w:rsidRPr="003178E4">
        <w:rPr>
          <w:i/>
          <w:iCs/>
        </w:rPr>
        <w:t>Cancer in Australia 2021</w:t>
      </w:r>
      <w:r>
        <w:t>. Cancer series no. 133. Cat. no. CAN 144. Canberra: AIHW.</w:t>
      </w:r>
    </w:p>
  </w:footnote>
  <w:footnote w:id="5">
    <w:p w14:paraId="2AFB3EF1" w14:textId="77777777" w:rsidR="00973EB3" w:rsidRPr="009B1959" w:rsidRDefault="00973EB3" w:rsidP="00937EEC">
      <w:pPr>
        <w:pStyle w:val="TableFigureFooter"/>
        <w:rPr>
          <w:lang w:val="en-US"/>
        </w:rPr>
      </w:pPr>
      <w:r>
        <w:rPr>
          <w:rStyle w:val="FootnoteReference"/>
        </w:rPr>
        <w:footnoteRef/>
      </w:r>
      <w:r>
        <w:t xml:space="preserve"> Therapeutic Goods Administration, Clinical Evaluation Report - Prescription Medicines Authorisation Branch – Palbociclib, second round report, p15.</w:t>
      </w:r>
    </w:p>
  </w:footnote>
  <w:footnote w:id="6">
    <w:p w14:paraId="2E037138" w14:textId="14FCC8F1" w:rsidR="00973EB3" w:rsidRPr="007F2E0C" w:rsidRDefault="00973EB3">
      <w:pPr>
        <w:pStyle w:val="FootnoteText"/>
        <w:rPr>
          <w:rFonts w:ascii="Arial Narrow" w:hAnsi="Arial Narrow"/>
          <w:sz w:val="18"/>
          <w:szCs w:val="18"/>
        </w:rPr>
      </w:pPr>
      <w:r w:rsidRPr="007F2E0C">
        <w:rPr>
          <w:rStyle w:val="FootnoteReference"/>
          <w:rFonts w:ascii="Arial Narrow" w:hAnsi="Arial Narrow"/>
          <w:sz w:val="18"/>
          <w:szCs w:val="18"/>
        </w:rPr>
        <w:footnoteRef/>
      </w:r>
      <w:r w:rsidRPr="007F2E0C">
        <w:rPr>
          <w:rFonts w:ascii="Arial Narrow" w:hAnsi="Arial Narrow"/>
          <w:sz w:val="18"/>
          <w:szCs w:val="18"/>
        </w:rPr>
        <w:t xml:space="preserve"> </w:t>
      </w:r>
      <w:r w:rsidRPr="007F2E0C">
        <w:rPr>
          <w:rFonts w:ascii="Arial Narrow" w:hAnsi="Arial Narrow"/>
          <w:bCs/>
          <w:snapToGrid w:val="0"/>
          <w:sz w:val="18"/>
          <w:szCs w:val="18"/>
        </w:rPr>
        <w:t>Cherny NI, Dafni U, Bogaerts J, et al: ESMO-Magnitude of Clinical Benefit Scale version 1.1. Annals of Oncology 28:2340-2366, 2017</w:t>
      </w:r>
    </w:p>
  </w:footnote>
  <w:footnote w:id="7">
    <w:p w14:paraId="21B12507" w14:textId="17A1215E" w:rsidR="00973EB3" w:rsidRPr="007E06E2" w:rsidRDefault="00973EB3" w:rsidP="007E06E2">
      <w:pPr>
        <w:pStyle w:val="TableFigureFooter"/>
        <w:rPr>
          <w:lang w:val="en-US"/>
        </w:rPr>
      </w:pPr>
      <w:r>
        <w:rPr>
          <w:rStyle w:val="FootnoteReference"/>
        </w:rPr>
        <w:footnoteRef/>
      </w:r>
      <w:r>
        <w:t xml:space="preserve"> NICE 2020. </w:t>
      </w:r>
      <w:r w:rsidRPr="007E06E2">
        <w:t>Palbociclib with fulvestrant for treating hormone receptor-positive, HER2-negative, advanced breast cancer</w:t>
      </w:r>
      <w:r>
        <w:t xml:space="preserve">. </w:t>
      </w:r>
      <w:r w:rsidRPr="007E06E2">
        <w:t>Technology appraisal guidance [TA619]</w:t>
      </w:r>
      <w:r>
        <w:t>. NICE 15 January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84C5A" w14:textId="77777777" w:rsidR="007B7D69" w:rsidRDefault="007B7D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3BD6D" w14:textId="60867DD7" w:rsidR="00973EB3" w:rsidRPr="00E74253" w:rsidRDefault="00973EB3" w:rsidP="00E74253">
    <w:pPr>
      <w:jc w:val="center"/>
      <w:rPr>
        <w:i/>
        <w:iCs/>
      </w:rPr>
    </w:pPr>
    <w:r>
      <w:rPr>
        <w:i/>
        <w:iCs/>
      </w:rPr>
      <w:t>Public Summary Document</w:t>
    </w:r>
    <w:r w:rsidRPr="00E74253">
      <w:rPr>
        <w:i/>
        <w:iCs/>
      </w:rPr>
      <w:t xml:space="preserve"> – March 2022 PBAC Meeting</w:t>
    </w:r>
  </w:p>
  <w:p w14:paraId="7986D53D" w14:textId="77777777" w:rsidR="00973EB3" w:rsidRDefault="00973EB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8F0F6" w14:textId="77777777" w:rsidR="007B7D69" w:rsidRDefault="007B7D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8BC3764"/>
    <w:multiLevelType w:val="hybridMultilevel"/>
    <w:tmpl w:val="3C6C5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9009C2"/>
    <w:multiLevelType w:val="multilevel"/>
    <w:tmpl w:val="1714A18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4A63DA2"/>
    <w:multiLevelType w:val="hybridMultilevel"/>
    <w:tmpl w:val="EF9CE8FC"/>
    <w:lvl w:ilvl="0" w:tplc="AD2022C2">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3C454E"/>
    <w:multiLevelType w:val="hybridMultilevel"/>
    <w:tmpl w:val="FC945F12"/>
    <w:lvl w:ilvl="0" w:tplc="0C090001">
      <w:start w:val="1"/>
      <w:numFmt w:val="bullet"/>
      <w:lvlText w:val=""/>
      <w:lvlJc w:val="left"/>
      <w:pPr>
        <w:ind w:left="291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0F58CF"/>
    <w:multiLevelType w:val="multilevel"/>
    <w:tmpl w:val="92FEBF20"/>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8D67A6"/>
    <w:multiLevelType w:val="hybridMultilevel"/>
    <w:tmpl w:val="B8E6E7C2"/>
    <w:lvl w:ilvl="0" w:tplc="04090001">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E76065"/>
    <w:multiLevelType w:val="hybridMultilevel"/>
    <w:tmpl w:val="885CA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B2283D"/>
    <w:multiLevelType w:val="hybridMultilevel"/>
    <w:tmpl w:val="B63A6B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6"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64CD5319"/>
    <w:multiLevelType w:val="hybridMultilevel"/>
    <w:tmpl w:val="C45EDA2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78B1689"/>
    <w:multiLevelType w:val="hybridMultilevel"/>
    <w:tmpl w:val="8C0AE71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AF22442"/>
    <w:multiLevelType w:val="hybridMultilevel"/>
    <w:tmpl w:val="9BA0DDBE"/>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800" w:hanging="360"/>
      </w:pPr>
      <w:rPr>
        <w:rFonts w:ascii="Symbol" w:hAnsi="Symbo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CF11866"/>
    <w:multiLevelType w:val="hybridMultilevel"/>
    <w:tmpl w:val="7AF80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2B5AFB"/>
    <w:multiLevelType w:val="hybridMultilevel"/>
    <w:tmpl w:val="B03EADB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1715B3D"/>
    <w:multiLevelType w:val="hybridMultilevel"/>
    <w:tmpl w:val="E7240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84D033C"/>
    <w:multiLevelType w:val="multilevel"/>
    <w:tmpl w:val="BE101760"/>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9EC272B"/>
    <w:multiLevelType w:val="hybridMultilevel"/>
    <w:tmpl w:val="4E0C7B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C31376F"/>
    <w:multiLevelType w:val="hybridMultilevel"/>
    <w:tmpl w:val="A9B87A14"/>
    <w:lvl w:ilvl="0" w:tplc="FCAAAEF0">
      <w:start w:val="1"/>
      <w:numFmt w:val="lowerLetter"/>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C581B5F"/>
    <w:multiLevelType w:val="hybridMultilevel"/>
    <w:tmpl w:val="9B8CB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11"/>
  </w:num>
  <w:num w:numId="3">
    <w:abstractNumId w:val="12"/>
  </w:num>
  <w:num w:numId="4">
    <w:abstractNumId w:val="25"/>
  </w:num>
  <w:num w:numId="5">
    <w:abstractNumId w:val="9"/>
  </w:num>
  <w:num w:numId="6">
    <w:abstractNumId w:val="1"/>
  </w:num>
  <w:num w:numId="7">
    <w:abstractNumId w:val="4"/>
  </w:num>
  <w:num w:numId="8">
    <w:abstractNumId w:val="26"/>
  </w:num>
  <w:num w:numId="9">
    <w:abstractNumId w:val="18"/>
  </w:num>
  <w:num w:numId="10">
    <w:abstractNumId w:val="22"/>
  </w:num>
  <w:num w:numId="11">
    <w:abstractNumId w:val="28"/>
  </w:num>
  <w:num w:numId="12">
    <w:abstractNumId w:val="7"/>
  </w:num>
  <w:num w:numId="13">
    <w:abstractNumId w:val="27"/>
  </w:num>
  <w:num w:numId="14">
    <w:abstractNumId w:val="21"/>
  </w:num>
  <w:num w:numId="15">
    <w:abstractNumId w:val="13"/>
  </w:num>
  <w:num w:numId="16">
    <w:abstractNumId w:val="24"/>
  </w:num>
  <w:num w:numId="17">
    <w:abstractNumId w:val="10"/>
  </w:num>
  <w:num w:numId="18">
    <w:abstractNumId w:val="20"/>
  </w:num>
  <w:num w:numId="19">
    <w:abstractNumId w:val="19"/>
  </w:num>
  <w:num w:numId="20">
    <w:abstractNumId w:val="14"/>
  </w:num>
  <w:num w:numId="21">
    <w:abstractNumId w:val="2"/>
  </w:num>
  <w:num w:numId="22">
    <w:abstractNumId w:val="15"/>
  </w:num>
  <w:num w:numId="23">
    <w:abstractNumId w:val="16"/>
  </w:num>
  <w:num w:numId="24">
    <w:abstractNumId w:val="3"/>
  </w:num>
  <w:num w:numId="25">
    <w:abstractNumId w:val="0"/>
  </w:num>
  <w:num w:numId="26">
    <w:abstractNumId w:val="6"/>
  </w:num>
  <w:num w:numId="27">
    <w:abstractNumId w:val="8"/>
  </w:num>
  <w:num w:numId="28">
    <w:abstractNumId w:val="5"/>
  </w:num>
  <w:num w:numId="29">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5"/>
  </w:num>
  <w:num w:numId="32">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NTE0NDM2NzI2MjBV0lEKTi0uzszPAykwNDWoBQAYVxNILgAAAA=="/>
  </w:docVars>
  <w:rsids>
    <w:rsidRoot w:val="00E65E79"/>
    <w:rsid w:val="00000790"/>
    <w:rsid w:val="0000110B"/>
    <w:rsid w:val="000019B9"/>
    <w:rsid w:val="00002521"/>
    <w:rsid w:val="00003499"/>
    <w:rsid w:val="0000385A"/>
    <w:rsid w:val="000039B7"/>
    <w:rsid w:val="00005198"/>
    <w:rsid w:val="00005F7A"/>
    <w:rsid w:val="0000639A"/>
    <w:rsid w:val="00006CF7"/>
    <w:rsid w:val="00006D8A"/>
    <w:rsid w:val="00010C34"/>
    <w:rsid w:val="000115F5"/>
    <w:rsid w:val="00012E3E"/>
    <w:rsid w:val="00013247"/>
    <w:rsid w:val="00013AAC"/>
    <w:rsid w:val="00013F98"/>
    <w:rsid w:val="000149C8"/>
    <w:rsid w:val="00014A02"/>
    <w:rsid w:val="000154FA"/>
    <w:rsid w:val="00015886"/>
    <w:rsid w:val="000162EF"/>
    <w:rsid w:val="00016767"/>
    <w:rsid w:val="00017793"/>
    <w:rsid w:val="00017842"/>
    <w:rsid w:val="00020572"/>
    <w:rsid w:val="000207C9"/>
    <w:rsid w:val="000211F4"/>
    <w:rsid w:val="0002225F"/>
    <w:rsid w:val="00022974"/>
    <w:rsid w:val="00022BA5"/>
    <w:rsid w:val="00022EC4"/>
    <w:rsid w:val="000230E9"/>
    <w:rsid w:val="00023763"/>
    <w:rsid w:val="00025623"/>
    <w:rsid w:val="0002624F"/>
    <w:rsid w:val="000270F1"/>
    <w:rsid w:val="0002748A"/>
    <w:rsid w:val="000274B8"/>
    <w:rsid w:val="00027627"/>
    <w:rsid w:val="00031895"/>
    <w:rsid w:val="00031E7E"/>
    <w:rsid w:val="000329F1"/>
    <w:rsid w:val="000329F5"/>
    <w:rsid w:val="00032EB2"/>
    <w:rsid w:val="00033863"/>
    <w:rsid w:val="000351AE"/>
    <w:rsid w:val="000358D1"/>
    <w:rsid w:val="00035DC0"/>
    <w:rsid w:val="000367E6"/>
    <w:rsid w:val="00036829"/>
    <w:rsid w:val="00036F38"/>
    <w:rsid w:val="000376EA"/>
    <w:rsid w:val="00037E20"/>
    <w:rsid w:val="00040165"/>
    <w:rsid w:val="00040338"/>
    <w:rsid w:val="00040895"/>
    <w:rsid w:val="00040B36"/>
    <w:rsid w:val="00041C18"/>
    <w:rsid w:val="000435EE"/>
    <w:rsid w:val="00043C37"/>
    <w:rsid w:val="0004403D"/>
    <w:rsid w:val="00045017"/>
    <w:rsid w:val="00045A2B"/>
    <w:rsid w:val="0004698F"/>
    <w:rsid w:val="00046A88"/>
    <w:rsid w:val="00046DB9"/>
    <w:rsid w:val="0004710B"/>
    <w:rsid w:val="00047F25"/>
    <w:rsid w:val="000503B9"/>
    <w:rsid w:val="00051AC9"/>
    <w:rsid w:val="00053061"/>
    <w:rsid w:val="000539D0"/>
    <w:rsid w:val="00053DA5"/>
    <w:rsid w:val="00053FD3"/>
    <w:rsid w:val="00054621"/>
    <w:rsid w:val="000546D7"/>
    <w:rsid w:val="00054C5C"/>
    <w:rsid w:val="00056256"/>
    <w:rsid w:val="000562B5"/>
    <w:rsid w:val="00056ECF"/>
    <w:rsid w:val="00057D24"/>
    <w:rsid w:val="00060069"/>
    <w:rsid w:val="0006042F"/>
    <w:rsid w:val="000604DF"/>
    <w:rsid w:val="00061C8B"/>
    <w:rsid w:val="00061E7D"/>
    <w:rsid w:val="0006216B"/>
    <w:rsid w:val="0006272B"/>
    <w:rsid w:val="000631B8"/>
    <w:rsid w:val="000646B2"/>
    <w:rsid w:val="0006472A"/>
    <w:rsid w:val="00064F0B"/>
    <w:rsid w:val="000653B5"/>
    <w:rsid w:val="000655A0"/>
    <w:rsid w:val="000659A3"/>
    <w:rsid w:val="00066360"/>
    <w:rsid w:val="00066437"/>
    <w:rsid w:val="00066AF8"/>
    <w:rsid w:val="00066DB3"/>
    <w:rsid w:val="00067AC0"/>
    <w:rsid w:val="000701AE"/>
    <w:rsid w:val="00070426"/>
    <w:rsid w:val="00071248"/>
    <w:rsid w:val="000720B9"/>
    <w:rsid w:val="00072839"/>
    <w:rsid w:val="00073735"/>
    <w:rsid w:val="000737F7"/>
    <w:rsid w:val="00073AB1"/>
    <w:rsid w:val="00073D5A"/>
    <w:rsid w:val="00075E64"/>
    <w:rsid w:val="0007672F"/>
    <w:rsid w:val="00076B54"/>
    <w:rsid w:val="000774F0"/>
    <w:rsid w:val="0008024C"/>
    <w:rsid w:val="00080909"/>
    <w:rsid w:val="00080F80"/>
    <w:rsid w:val="000812CA"/>
    <w:rsid w:val="00081A39"/>
    <w:rsid w:val="00081A43"/>
    <w:rsid w:val="00081B1E"/>
    <w:rsid w:val="00081E63"/>
    <w:rsid w:val="0008258D"/>
    <w:rsid w:val="00083B27"/>
    <w:rsid w:val="00083E99"/>
    <w:rsid w:val="000847E1"/>
    <w:rsid w:val="0008497D"/>
    <w:rsid w:val="00084FA8"/>
    <w:rsid w:val="000856C5"/>
    <w:rsid w:val="00085C31"/>
    <w:rsid w:val="000902D9"/>
    <w:rsid w:val="00090C7E"/>
    <w:rsid w:val="00090E42"/>
    <w:rsid w:val="000910EF"/>
    <w:rsid w:val="00092600"/>
    <w:rsid w:val="0009262B"/>
    <w:rsid w:val="00093310"/>
    <w:rsid w:val="0009445C"/>
    <w:rsid w:val="0009453C"/>
    <w:rsid w:val="00095200"/>
    <w:rsid w:val="00095977"/>
    <w:rsid w:val="00095DF0"/>
    <w:rsid w:val="00095FE5"/>
    <w:rsid w:val="00096284"/>
    <w:rsid w:val="00096DE4"/>
    <w:rsid w:val="00097282"/>
    <w:rsid w:val="000A110C"/>
    <w:rsid w:val="000A1742"/>
    <w:rsid w:val="000A1BC0"/>
    <w:rsid w:val="000A34F4"/>
    <w:rsid w:val="000A4317"/>
    <w:rsid w:val="000A4C05"/>
    <w:rsid w:val="000A6039"/>
    <w:rsid w:val="000A637C"/>
    <w:rsid w:val="000A6D1A"/>
    <w:rsid w:val="000A7453"/>
    <w:rsid w:val="000A7D08"/>
    <w:rsid w:val="000A7EA8"/>
    <w:rsid w:val="000B0121"/>
    <w:rsid w:val="000B0670"/>
    <w:rsid w:val="000B0E75"/>
    <w:rsid w:val="000B1A8C"/>
    <w:rsid w:val="000B224D"/>
    <w:rsid w:val="000B2BAC"/>
    <w:rsid w:val="000B2DCB"/>
    <w:rsid w:val="000B378F"/>
    <w:rsid w:val="000B477B"/>
    <w:rsid w:val="000B49B2"/>
    <w:rsid w:val="000B5CE0"/>
    <w:rsid w:val="000B6CAC"/>
    <w:rsid w:val="000B6CE5"/>
    <w:rsid w:val="000B7612"/>
    <w:rsid w:val="000B78AE"/>
    <w:rsid w:val="000C018E"/>
    <w:rsid w:val="000C18E7"/>
    <w:rsid w:val="000C24B5"/>
    <w:rsid w:val="000C3DD4"/>
    <w:rsid w:val="000C3DF9"/>
    <w:rsid w:val="000C6713"/>
    <w:rsid w:val="000C6766"/>
    <w:rsid w:val="000C7ECC"/>
    <w:rsid w:val="000D187F"/>
    <w:rsid w:val="000D1BFC"/>
    <w:rsid w:val="000D1D5D"/>
    <w:rsid w:val="000D281A"/>
    <w:rsid w:val="000D2848"/>
    <w:rsid w:val="000D2887"/>
    <w:rsid w:val="000D326A"/>
    <w:rsid w:val="000D35B1"/>
    <w:rsid w:val="000D3E90"/>
    <w:rsid w:val="000D427D"/>
    <w:rsid w:val="000D51FB"/>
    <w:rsid w:val="000D60EA"/>
    <w:rsid w:val="000D7915"/>
    <w:rsid w:val="000D7E65"/>
    <w:rsid w:val="000D7FDF"/>
    <w:rsid w:val="000E0640"/>
    <w:rsid w:val="000E135D"/>
    <w:rsid w:val="000E29BE"/>
    <w:rsid w:val="000E29C9"/>
    <w:rsid w:val="000E2A9A"/>
    <w:rsid w:val="000E3362"/>
    <w:rsid w:val="000E439B"/>
    <w:rsid w:val="000E484F"/>
    <w:rsid w:val="000E594F"/>
    <w:rsid w:val="000E73D8"/>
    <w:rsid w:val="000E77BD"/>
    <w:rsid w:val="000E7E18"/>
    <w:rsid w:val="000E7F83"/>
    <w:rsid w:val="000F00BA"/>
    <w:rsid w:val="000F07D5"/>
    <w:rsid w:val="000F1392"/>
    <w:rsid w:val="000F211B"/>
    <w:rsid w:val="000F2FB9"/>
    <w:rsid w:val="000F316A"/>
    <w:rsid w:val="000F3B8F"/>
    <w:rsid w:val="000F3C74"/>
    <w:rsid w:val="000F3E34"/>
    <w:rsid w:val="000F4BB8"/>
    <w:rsid w:val="000F4FA9"/>
    <w:rsid w:val="000F53FB"/>
    <w:rsid w:val="000F557E"/>
    <w:rsid w:val="000F6ACE"/>
    <w:rsid w:val="000F7127"/>
    <w:rsid w:val="000F7B54"/>
    <w:rsid w:val="000F7DA8"/>
    <w:rsid w:val="0010034B"/>
    <w:rsid w:val="00100C8D"/>
    <w:rsid w:val="00100F8A"/>
    <w:rsid w:val="001014B5"/>
    <w:rsid w:val="00101A69"/>
    <w:rsid w:val="00101E69"/>
    <w:rsid w:val="0010246B"/>
    <w:rsid w:val="00102519"/>
    <w:rsid w:val="001025A8"/>
    <w:rsid w:val="00102B71"/>
    <w:rsid w:val="00103243"/>
    <w:rsid w:val="00103654"/>
    <w:rsid w:val="001037AB"/>
    <w:rsid w:val="001044E5"/>
    <w:rsid w:val="0010452E"/>
    <w:rsid w:val="00104DF2"/>
    <w:rsid w:val="00105112"/>
    <w:rsid w:val="00105AE2"/>
    <w:rsid w:val="00105D3B"/>
    <w:rsid w:val="00105E50"/>
    <w:rsid w:val="001060C6"/>
    <w:rsid w:val="001069D1"/>
    <w:rsid w:val="00106B80"/>
    <w:rsid w:val="00106F6C"/>
    <w:rsid w:val="00107FA8"/>
    <w:rsid w:val="0011032E"/>
    <w:rsid w:val="00111078"/>
    <w:rsid w:val="00112341"/>
    <w:rsid w:val="00113350"/>
    <w:rsid w:val="0011348B"/>
    <w:rsid w:val="00114621"/>
    <w:rsid w:val="00115982"/>
    <w:rsid w:val="00116B55"/>
    <w:rsid w:val="00116C53"/>
    <w:rsid w:val="00116C69"/>
    <w:rsid w:val="00120929"/>
    <w:rsid w:val="00121799"/>
    <w:rsid w:val="00121A65"/>
    <w:rsid w:val="001222FC"/>
    <w:rsid w:val="00122812"/>
    <w:rsid w:val="001230D4"/>
    <w:rsid w:val="001236FA"/>
    <w:rsid w:val="00123902"/>
    <w:rsid w:val="00123A49"/>
    <w:rsid w:val="00123FBB"/>
    <w:rsid w:val="00124690"/>
    <w:rsid w:val="00124A51"/>
    <w:rsid w:val="0012516C"/>
    <w:rsid w:val="00125465"/>
    <w:rsid w:val="001257B6"/>
    <w:rsid w:val="00126621"/>
    <w:rsid w:val="00126B1D"/>
    <w:rsid w:val="0012739F"/>
    <w:rsid w:val="001300FA"/>
    <w:rsid w:val="001301E9"/>
    <w:rsid w:val="00130231"/>
    <w:rsid w:val="001304F3"/>
    <w:rsid w:val="00131D82"/>
    <w:rsid w:val="00132B22"/>
    <w:rsid w:val="00133A38"/>
    <w:rsid w:val="00133A80"/>
    <w:rsid w:val="00133D29"/>
    <w:rsid w:val="00133D36"/>
    <w:rsid w:val="0013436A"/>
    <w:rsid w:val="0013492D"/>
    <w:rsid w:val="00135FA8"/>
    <w:rsid w:val="00137645"/>
    <w:rsid w:val="001377F8"/>
    <w:rsid w:val="00137858"/>
    <w:rsid w:val="00137EEB"/>
    <w:rsid w:val="00137F7E"/>
    <w:rsid w:val="0014015A"/>
    <w:rsid w:val="00140E99"/>
    <w:rsid w:val="0014161A"/>
    <w:rsid w:val="00141952"/>
    <w:rsid w:val="00142589"/>
    <w:rsid w:val="00142877"/>
    <w:rsid w:val="00142F11"/>
    <w:rsid w:val="00143573"/>
    <w:rsid w:val="00143F67"/>
    <w:rsid w:val="00144302"/>
    <w:rsid w:val="0014449C"/>
    <w:rsid w:val="00145540"/>
    <w:rsid w:val="001456B0"/>
    <w:rsid w:val="00145899"/>
    <w:rsid w:val="00152F01"/>
    <w:rsid w:val="001539F3"/>
    <w:rsid w:val="00154C8C"/>
    <w:rsid w:val="00154D53"/>
    <w:rsid w:val="001553BD"/>
    <w:rsid w:val="00155CBD"/>
    <w:rsid w:val="00155DE0"/>
    <w:rsid w:val="00156F8F"/>
    <w:rsid w:val="00157130"/>
    <w:rsid w:val="001576B1"/>
    <w:rsid w:val="00157913"/>
    <w:rsid w:val="0016047B"/>
    <w:rsid w:val="001606F0"/>
    <w:rsid w:val="00160A4C"/>
    <w:rsid w:val="00161427"/>
    <w:rsid w:val="00161A4B"/>
    <w:rsid w:val="00161CD6"/>
    <w:rsid w:val="00161D76"/>
    <w:rsid w:val="001625D2"/>
    <w:rsid w:val="00162913"/>
    <w:rsid w:val="00162E21"/>
    <w:rsid w:val="00163EFF"/>
    <w:rsid w:val="00163F66"/>
    <w:rsid w:val="001641B6"/>
    <w:rsid w:val="00164CAC"/>
    <w:rsid w:val="001652C1"/>
    <w:rsid w:val="001661FB"/>
    <w:rsid w:val="00166869"/>
    <w:rsid w:val="00166CF1"/>
    <w:rsid w:val="001671A0"/>
    <w:rsid w:val="0016767F"/>
    <w:rsid w:val="001706DB"/>
    <w:rsid w:val="00171305"/>
    <w:rsid w:val="0017350E"/>
    <w:rsid w:val="00173565"/>
    <w:rsid w:val="00173B07"/>
    <w:rsid w:val="00174AB5"/>
    <w:rsid w:val="001751FA"/>
    <w:rsid w:val="001763F8"/>
    <w:rsid w:val="001775F4"/>
    <w:rsid w:val="001776A5"/>
    <w:rsid w:val="00180C58"/>
    <w:rsid w:val="00180E50"/>
    <w:rsid w:val="00180ED4"/>
    <w:rsid w:val="00181A91"/>
    <w:rsid w:val="00181D9C"/>
    <w:rsid w:val="0018466A"/>
    <w:rsid w:val="00184B0E"/>
    <w:rsid w:val="00184C3B"/>
    <w:rsid w:val="001855A4"/>
    <w:rsid w:val="001862F4"/>
    <w:rsid w:val="001866ED"/>
    <w:rsid w:val="001874D4"/>
    <w:rsid w:val="0018752F"/>
    <w:rsid w:val="001907EB"/>
    <w:rsid w:val="001914F2"/>
    <w:rsid w:val="0019163E"/>
    <w:rsid w:val="00191AC2"/>
    <w:rsid w:val="00192526"/>
    <w:rsid w:val="001929E5"/>
    <w:rsid w:val="00192A65"/>
    <w:rsid w:val="00193496"/>
    <w:rsid w:val="001936E2"/>
    <w:rsid w:val="00193838"/>
    <w:rsid w:val="001938F6"/>
    <w:rsid w:val="00193FD4"/>
    <w:rsid w:val="001940AC"/>
    <w:rsid w:val="00194AD8"/>
    <w:rsid w:val="00194F32"/>
    <w:rsid w:val="00195222"/>
    <w:rsid w:val="00196D9D"/>
    <w:rsid w:val="001975D8"/>
    <w:rsid w:val="001A00FD"/>
    <w:rsid w:val="001A173E"/>
    <w:rsid w:val="001A178E"/>
    <w:rsid w:val="001A1A70"/>
    <w:rsid w:val="001A43FA"/>
    <w:rsid w:val="001A47C5"/>
    <w:rsid w:val="001A59FB"/>
    <w:rsid w:val="001A5E9E"/>
    <w:rsid w:val="001A61DB"/>
    <w:rsid w:val="001A6354"/>
    <w:rsid w:val="001A6366"/>
    <w:rsid w:val="001A6715"/>
    <w:rsid w:val="001A7009"/>
    <w:rsid w:val="001A7AE8"/>
    <w:rsid w:val="001A7ED1"/>
    <w:rsid w:val="001B0D5B"/>
    <w:rsid w:val="001B0DF8"/>
    <w:rsid w:val="001B1058"/>
    <w:rsid w:val="001B204E"/>
    <w:rsid w:val="001B2256"/>
    <w:rsid w:val="001B227C"/>
    <w:rsid w:val="001B2372"/>
    <w:rsid w:val="001B2BAC"/>
    <w:rsid w:val="001B3443"/>
    <w:rsid w:val="001B4D20"/>
    <w:rsid w:val="001B5BF0"/>
    <w:rsid w:val="001B5D34"/>
    <w:rsid w:val="001B6D22"/>
    <w:rsid w:val="001B6F46"/>
    <w:rsid w:val="001C091D"/>
    <w:rsid w:val="001C276D"/>
    <w:rsid w:val="001C286D"/>
    <w:rsid w:val="001C2A9B"/>
    <w:rsid w:val="001C2E01"/>
    <w:rsid w:val="001C4299"/>
    <w:rsid w:val="001C4874"/>
    <w:rsid w:val="001C52E1"/>
    <w:rsid w:val="001C54B8"/>
    <w:rsid w:val="001C5E92"/>
    <w:rsid w:val="001C5F94"/>
    <w:rsid w:val="001C6183"/>
    <w:rsid w:val="001C6E66"/>
    <w:rsid w:val="001C6F09"/>
    <w:rsid w:val="001C6F6B"/>
    <w:rsid w:val="001C7B2B"/>
    <w:rsid w:val="001C7D34"/>
    <w:rsid w:val="001C7E0D"/>
    <w:rsid w:val="001D051B"/>
    <w:rsid w:val="001D1100"/>
    <w:rsid w:val="001D1391"/>
    <w:rsid w:val="001D1A66"/>
    <w:rsid w:val="001D25D7"/>
    <w:rsid w:val="001D2836"/>
    <w:rsid w:val="001D318D"/>
    <w:rsid w:val="001D3AE1"/>
    <w:rsid w:val="001D50B2"/>
    <w:rsid w:val="001D6CDE"/>
    <w:rsid w:val="001D6F08"/>
    <w:rsid w:val="001D7645"/>
    <w:rsid w:val="001D7944"/>
    <w:rsid w:val="001D7FB7"/>
    <w:rsid w:val="001E0923"/>
    <w:rsid w:val="001E1321"/>
    <w:rsid w:val="001E1E86"/>
    <w:rsid w:val="001E238E"/>
    <w:rsid w:val="001E2483"/>
    <w:rsid w:val="001E2760"/>
    <w:rsid w:val="001E2B1E"/>
    <w:rsid w:val="001E2CFF"/>
    <w:rsid w:val="001E2D58"/>
    <w:rsid w:val="001E2F24"/>
    <w:rsid w:val="001E30D4"/>
    <w:rsid w:val="001E3278"/>
    <w:rsid w:val="001E34DF"/>
    <w:rsid w:val="001E3C0B"/>
    <w:rsid w:val="001E4FD8"/>
    <w:rsid w:val="001E52EB"/>
    <w:rsid w:val="001E567E"/>
    <w:rsid w:val="001E593D"/>
    <w:rsid w:val="001E5EC5"/>
    <w:rsid w:val="001E61D2"/>
    <w:rsid w:val="001E740C"/>
    <w:rsid w:val="001E7635"/>
    <w:rsid w:val="001E77BE"/>
    <w:rsid w:val="001F0CAF"/>
    <w:rsid w:val="001F1017"/>
    <w:rsid w:val="001F1235"/>
    <w:rsid w:val="001F1CB3"/>
    <w:rsid w:val="001F1D47"/>
    <w:rsid w:val="001F2637"/>
    <w:rsid w:val="001F2A84"/>
    <w:rsid w:val="001F36CF"/>
    <w:rsid w:val="001F38B5"/>
    <w:rsid w:val="001F4081"/>
    <w:rsid w:val="001F4CBC"/>
    <w:rsid w:val="001F50B5"/>
    <w:rsid w:val="001F54BF"/>
    <w:rsid w:val="001F5929"/>
    <w:rsid w:val="001F5AF9"/>
    <w:rsid w:val="001F6329"/>
    <w:rsid w:val="001F7361"/>
    <w:rsid w:val="00200AED"/>
    <w:rsid w:val="00200C01"/>
    <w:rsid w:val="002011B0"/>
    <w:rsid w:val="002012DC"/>
    <w:rsid w:val="0020223E"/>
    <w:rsid w:val="002028A5"/>
    <w:rsid w:val="00203181"/>
    <w:rsid w:val="00203578"/>
    <w:rsid w:val="0020358C"/>
    <w:rsid w:val="002035DE"/>
    <w:rsid w:val="00203783"/>
    <w:rsid w:val="002037A0"/>
    <w:rsid w:val="0020385F"/>
    <w:rsid w:val="00204302"/>
    <w:rsid w:val="002053A2"/>
    <w:rsid w:val="00206460"/>
    <w:rsid w:val="002068A0"/>
    <w:rsid w:val="00207021"/>
    <w:rsid w:val="0020732F"/>
    <w:rsid w:val="00207421"/>
    <w:rsid w:val="002076F6"/>
    <w:rsid w:val="00207D00"/>
    <w:rsid w:val="00207FE7"/>
    <w:rsid w:val="002100AA"/>
    <w:rsid w:val="002105C1"/>
    <w:rsid w:val="0021072C"/>
    <w:rsid w:val="00210808"/>
    <w:rsid w:val="002111E8"/>
    <w:rsid w:val="00212F9C"/>
    <w:rsid w:val="00212FF5"/>
    <w:rsid w:val="00213EF5"/>
    <w:rsid w:val="00214354"/>
    <w:rsid w:val="002147B5"/>
    <w:rsid w:val="00214F55"/>
    <w:rsid w:val="00215057"/>
    <w:rsid w:val="002158CA"/>
    <w:rsid w:val="00215E1A"/>
    <w:rsid w:val="00215E6C"/>
    <w:rsid w:val="00216BF5"/>
    <w:rsid w:val="00216DF5"/>
    <w:rsid w:val="00217670"/>
    <w:rsid w:val="002201A2"/>
    <w:rsid w:val="0022044D"/>
    <w:rsid w:val="00220B26"/>
    <w:rsid w:val="00220BA8"/>
    <w:rsid w:val="00221888"/>
    <w:rsid w:val="002223B2"/>
    <w:rsid w:val="00222ABF"/>
    <w:rsid w:val="00222F23"/>
    <w:rsid w:val="00223B49"/>
    <w:rsid w:val="00223D5A"/>
    <w:rsid w:val="00223EB4"/>
    <w:rsid w:val="002240CA"/>
    <w:rsid w:val="002242BA"/>
    <w:rsid w:val="00224DD4"/>
    <w:rsid w:val="00225A15"/>
    <w:rsid w:val="00226453"/>
    <w:rsid w:val="002264A1"/>
    <w:rsid w:val="00226541"/>
    <w:rsid w:val="00226C3F"/>
    <w:rsid w:val="00226E1E"/>
    <w:rsid w:val="00226E2E"/>
    <w:rsid w:val="002278A0"/>
    <w:rsid w:val="00227ACA"/>
    <w:rsid w:val="002309CC"/>
    <w:rsid w:val="00230F0D"/>
    <w:rsid w:val="0023209F"/>
    <w:rsid w:val="002320C5"/>
    <w:rsid w:val="002325D6"/>
    <w:rsid w:val="00233C01"/>
    <w:rsid w:val="00233FE9"/>
    <w:rsid w:val="0023413C"/>
    <w:rsid w:val="00234582"/>
    <w:rsid w:val="002346C6"/>
    <w:rsid w:val="002346F0"/>
    <w:rsid w:val="00235A10"/>
    <w:rsid w:val="0023629D"/>
    <w:rsid w:val="00236ED9"/>
    <w:rsid w:val="00237255"/>
    <w:rsid w:val="002374D6"/>
    <w:rsid w:val="00237A9A"/>
    <w:rsid w:val="002402D7"/>
    <w:rsid w:val="00240BDC"/>
    <w:rsid w:val="002410B0"/>
    <w:rsid w:val="00241577"/>
    <w:rsid w:val="00241809"/>
    <w:rsid w:val="00241A4A"/>
    <w:rsid w:val="00241BEE"/>
    <w:rsid w:val="00241E55"/>
    <w:rsid w:val="002424AF"/>
    <w:rsid w:val="002439DC"/>
    <w:rsid w:val="002439E0"/>
    <w:rsid w:val="00243E7F"/>
    <w:rsid w:val="002441D2"/>
    <w:rsid w:val="00244DC8"/>
    <w:rsid w:val="002458BA"/>
    <w:rsid w:val="00245CE9"/>
    <w:rsid w:val="00245EB9"/>
    <w:rsid w:val="0024627D"/>
    <w:rsid w:val="0024636C"/>
    <w:rsid w:val="00246AFC"/>
    <w:rsid w:val="00246B7B"/>
    <w:rsid w:val="0024728B"/>
    <w:rsid w:val="00247925"/>
    <w:rsid w:val="00247C59"/>
    <w:rsid w:val="00250729"/>
    <w:rsid w:val="00250816"/>
    <w:rsid w:val="00250AE3"/>
    <w:rsid w:val="00251006"/>
    <w:rsid w:val="00251C51"/>
    <w:rsid w:val="002524D5"/>
    <w:rsid w:val="00253B1D"/>
    <w:rsid w:val="00253C42"/>
    <w:rsid w:val="00253E1F"/>
    <w:rsid w:val="0025403C"/>
    <w:rsid w:val="00254DCF"/>
    <w:rsid w:val="0025534B"/>
    <w:rsid w:val="00255BB7"/>
    <w:rsid w:val="00257541"/>
    <w:rsid w:val="00257A39"/>
    <w:rsid w:val="00257AC4"/>
    <w:rsid w:val="0026078F"/>
    <w:rsid w:val="00260D59"/>
    <w:rsid w:val="00261EEF"/>
    <w:rsid w:val="00262A1A"/>
    <w:rsid w:val="00262A87"/>
    <w:rsid w:val="00264037"/>
    <w:rsid w:val="00264833"/>
    <w:rsid w:val="00264D26"/>
    <w:rsid w:val="00264E3B"/>
    <w:rsid w:val="002656D0"/>
    <w:rsid w:val="00265866"/>
    <w:rsid w:val="00266AED"/>
    <w:rsid w:val="00267642"/>
    <w:rsid w:val="00267AEA"/>
    <w:rsid w:val="002700E6"/>
    <w:rsid w:val="0027090B"/>
    <w:rsid w:val="00271603"/>
    <w:rsid w:val="0027294B"/>
    <w:rsid w:val="00272B91"/>
    <w:rsid w:val="0027354F"/>
    <w:rsid w:val="00273EB4"/>
    <w:rsid w:val="0027435E"/>
    <w:rsid w:val="00274682"/>
    <w:rsid w:val="00274952"/>
    <w:rsid w:val="00275C5A"/>
    <w:rsid w:val="00275F43"/>
    <w:rsid w:val="0027647E"/>
    <w:rsid w:val="00276833"/>
    <w:rsid w:val="00280607"/>
    <w:rsid w:val="00281014"/>
    <w:rsid w:val="0028107D"/>
    <w:rsid w:val="00281E71"/>
    <w:rsid w:val="00282394"/>
    <w:rsid w:val="00282F51"/>
    <w:rsid w:val="00283589"/>
    <w:rsid w:val="0028418B"/>
    <w:rsid w:val="00284AE6"/>
    <w:rsid w:val="002852ED"/>
    <w:rsid w:val="00285A3D"/>
    <w:rsid w:val="002862E8"/>
    <w:rsid w:val="0028665D"/>
    <w:rsid w:val="00286F28"/>
    <w:rsid w:val="0028776B"/>
    <w:rsid w:val="00287F4E"/>
    <w:rsid w:val="0029077E"/>
    <w:rsid w:val="00290F46"/>
    <w:rsid w:val="00291300"/>
    <w:rsid w:val="00291ACA"/>
    <w:rsid w:val="0029343F"/>
    <w:rsid w:val="002934B3"/>
    <w:rsid w:val="00294FC2"/>
    <w:rsid w:val="00295FD9"/>
    <w:rsid w:val="002A084D"/>
    <w:rsid w:val="002A08F2"/>
    <w:rsid w:val="002A097A"/>
    <w:rsid w:val="002A0BE4"/>
    <w:rsid w:val="002A0E39"/>
    <w:rsid w:val="002A14AB"/>
    <w:rsid w:val="002A1BA3"/>
    <w:rsid w:val="002A1DB3"/>
    <w:rsid w:val="002A217E"/>
    <w:rsid w:val="002A2ADE"/>
    <w:rsid w:val="002A2F50"/>
    <w:rsid w:val="002A3D7E"/>
    <w:rsid w:val="002A4318"/>
    <w:rsid w:val="002A4F8B"/>
    <w:rsid w:val="002A5183"/>
    <w:rsid w:val="002A6081"/>
    <w:rsid w:val="002A74EB"/>
    <w:rsid w:val="002B05A1"/>
    <w:rsid w:val="002B07A0"/>
    <w:rsid w:val="002B09A4"/>
    <w:rsid w:val="002B147F"/>
    <w:rsid w:val="002B1C1F"/>
    <w:rsid w:val="002B2DB7"/>
    <w:rsid w:val="002B4127"/>
    <w:rsid w:val="002B418D"/>
    <w:rsid w:val="002B432F"/>
    <w:rsid w:val="002B4E7C"/>
    <w:rsid w:val="002B62B3"/>
    <w:rsid w:val="002B6754"/>
    <w:rsid w:val="002B6776"/>
    <w:rsid w:val="002B6CCE"/>
    <w:rsid w:val="002B7C25"/>
    <w:rsid w:val="002C0742"/>
    <w:rsid w:val="002C107F"/>
    <w:rsid w:val="002C11AB"/>
    <w:rsid w:val="002C138C"/>
    <w:rsid w:val="002C2230"/>
    <w:rsid w:val="002C2510"/>
    <w:rsid w:val="002C2775"/>
    <w:rsid w:val="002C27C1"/>
    <w:rsid w:val="002C283C"/>
    <w:rsid w:val="002C2E2D"/>
    <w:rsid w:val="002C3F32"/>
    <w:rsid w:val="002C40E3"/>
    <w:rsid w:val="002C5099"/>
    <w:rsid w:val="002C5889"/>
    <w:rsid w:val="002C5CD5"/>
    <w:rsid w:val="002C62BB"/>
    <w:rsid w:val="002C68CA"/>
    <w:rsid w:val="002C71CE"/>
    <w:rsid w:val="002C77BC"/>
    <w:rsid w:val="002D053F"/>
    <w:rsid w:val="002D08F8"/>
    <w:rsid w:val="002D16A6"/>
    <w:rsid w:val="002D2A9B"/>
    <w:rsid w:val="002D2BBB"/>
    <w:rsid w:val="002D3435"/>
    <w:rsid w:val="002D3A1B"/>
    <w:rsid w:val="002D4AFA"/>
    <w:rsid w:val="002D4C21"/>
    <w:rsid w:val="002D4DE5"/>
    <w:rsid w:val="002D4ED4"/>
    <w:rsid w:val="002D50F2"/>
    <w:rsid w:val="002D52B7"/>
    <w:rsid w:val="002D577C"/>
    <w:rsid w:val="002D7744"/>
    <w:rsid w:val="002D78B4"/>
    <w:rsid w:val="002E1071"/>
    <w:rsid w:val="002E15B9"/>
    <w:rsid w:val="002E1FF1"/>
    <w:rsid w:val="002E2158"/>
    <w:rsid w:val="002E296C"/>
    <w:rsid w:val="002E2E9F"/>
    <w:rsid w:val="002E3309"/>
    <w:rsid w:val="002E4391"/>
    <w:rsid w:val="002E43D2"/>
    <w:rsid w:val="002E47EE"/>
    <w:rsid w:val="002E4E04"/>
    <w:rsid w:val="002E4F02"/>
    <w:rsid w:val="002E5C03"/>
    <w:rsid w:val="002E5E49"/>
    <w:rsid w:val="002E62E0"/>
    <w:rsid w:val="002E65CA"/>
    <w:rsid w:val="002E7722"/>
    <w:rsid w:val="002E795F"/>
    <w:rsid w:val="002F0454"/>
    <w:rsid w:val="002F06AD"/>
    <w:rsid w:val="002F07BA"/>
    <w:rsid w:val="002F0DA9"/>
    <w:rsid w:val="002F1014"/>
    <w:rsid w:val="002F1E46"/>
    <w:rsid w:val="002F3028"/>
    <w:rsid w:val="002F3287"/>
    <w:rsid w:val="002F5517"/>
    <w:rsid w:val="002F5694"/>
    <w:rsid w:val="002F5C52"/>
    <w:rsid w:val="002F643C"/>
    <w:rsid w:val="002F6F74"/>
    <w:rsid w:val="002F71C0"/>
    <w:rsid w:val="002F74F1"/>
    <w:rsid w:val="002F788C"/>
    <w:rsid w:val="002F7C6E"/>
    <w:rsid w:val="0030092B"/>
    <w:rsid w:val="00301017"/>
    <w:rsid w:val="0030146C"/>
    <w:rsid w:val="0030155F"/>
    <w:rsid w:val="003023E0"/>
    <w:rsid w:val="003029EC"/>
    <w:rsid w:val="00302AD0"/>
    <w:rsid w:val="00303EC4"/>
    <w:rsid w:val="0030587B"/>
    <w:rsid w:val="00306044"/>
    <w:rsid w:val="00306D98"/>
    <w:rsid w:val="00307701"/>
    <w:rsid w:val="0030786C"/>
    <w:rsid w:val="0031031A"/>
    <w:rsid w:val="003103CD"/>
    <w:rsid w:val="00310981"/>
    <w:rsid w:val="00310DE3"/>
    <w:rsid w:val="00311C90"/>
    <w:rsid w:val="003124D9"/>
    <w:rsid w:val="00312594"/>
    <w:rsid w:val="00312A58"/>
    <w:rsid w:val="00314BC6"/>
    <w:rsid w:val="003153F3"/>
    <w:rsid w:val="00315498"/>
    <w:rsid w:val="00315876"/>
    <w:rsid w:val="00315C20"/>
    <w:rsid w:val="00315EAE"/>
    <w:rsid w:val="00316474"/>
    <w:rsid w:val="00317034"/>
    <w:rsid w:val="00317C42"/>
    <w:rsid w:val="00317EB5"/>
    <w:rsid w:val="00320E07"/>
    <w:rsid w:val="0032100A"/>
    <w:rsid w:val="0032124B"/>
    <w:rsid w:val="00322107"/>
    <w:rsid w:val="00322355"/>
    <w:rsid w:val="00322846"/>
    <w:rsid w:val="0032493F"/>
    <w:rsid w:val="00324C8A"/>
    <w:rsid w:val="00324F9A"/>
    <w:rsid w:val="003255AA"/>
    <w:rsid w:val="00326275"/>
    <w:rsid w:val="00326DA7"/>
    <w:rsid w:val="003270E4"/>
    <w:rsid w:val="00327893"/>
    <w:rsid w:val="00330DAA"/>
    <w:rsid w:val="00330F5C"/>
    <w:rsid w:val="00331756"/>
    <w:rsid w:val="0033356B"/>
    <w:rsid w:val="003349D1"/>
    <w:rsid w:val="0033505E"/>
    <w:rsid w:val="003353A0"/>
    <w:rsid w:val="00336687"/>
    <w:rsid w:val="003366C9"/>
    <w:rsid w:val="003371B0"/>
    <w:rsid w:val="003374F6"/>
    <w:rsid w:val="00340A3F"/>
    <w:rsid w:val="00340A6E"/>
    <w:rsid w:val="00340DF1"/>
    <w:rsid w:val="003418AE"/>
    <w:rsid w:val="00342573"/>
    <w:rsid w:val="00342D86"/>
    <w:rsid w:val="00343246"/>
    <w:rsid w:val="0034546B"/>
    <w:rsid w:val="003469F2"/>
    <w:rsid w:val="00346B68"/>
    <w:rsid w:val="003470AB"/>
    <w:rsid w:val="00347353"/>
    <w:rsid w:val="003478A1"/>
    <w:rsid w:val="00350C9B"/>
    <w:rsid w:val="00351346"/>
    <w:rsid w:val="003515B4"/>
    <w:rsid w:val="003517F9"/>
    <w:rsid w:val="00351BA9"/>
    <w:rsid w:val="00353741"/>
    <w:rsid w:val="003541F4"/>
    <w:rsid w:val="00354F64"/>
    <w:rsid w:val="003557C5"/>
    <w:rsid w:val="003557CA"/>
    <w:rsid w:val="0035620E"/>
    <w:rsid w:val="003562C5"/>
    <w:rsid w:val="00356406"/>
    <w:rsid w:val="00356C55"/>
    <w:rsid w:val="00357494"/>
    <w:rsid w:val="00357BAB"/>
    <w:rsid w:val="00357D72"/>
    <w:rsid w:val="00360345"/>
    <w:rsid w:val="003607A6"/>
    <w:rsid w:val="00360AAA"/>
    <w:rsid w:val="003614AD"/>
    <w:rsid w:val="00361571"/>
    <w:rsid w:val="00361612"/>
    <w:rsid w:val="00361A05"/>
    <w:rsid w:val="003624C4"/>
    <w:rsid w:val="00362A5B"/>
    <w:rsid w:val="0036340E"/>
    <w:rsid w:val="00363652"/>
    <w:rsid w:val="003639CB"/>
    <w:rsid w:val="00363B00"/>
    <w:rsid w:val="00363E52"/>
    <w:rsid w:val="00365297"/>
    <w:rsid w:val="003654AC"/>
    <w:rsid w:val="00365EF8"/>
    <w:rsid w:val="00366E5C"/>
    <w:rsid w:val="003702F5"/>
    <w:rsid w:val="00370C0D"/>
    <w:rsid w:val="00370C68"/>
    <w:rsid w:val="0037107F"/>
    <w:rsid w:val="003710CF"/>
    <w:rsid w:val="00371A8E"/>
    <w:rsid w:val="00371DE1"/>
    <w:rsid w:val="0037358A"/>
    <w:rsid w:val="00374773"/>
    <w:rsid w:val="003750F6"/>
    <w:rsid w:val="00375A7E"/>
    <w:rsid w:val="003760FC"/>
    <w:rsid w:val="003767BD"/>
    <w:rsid w:val="00376D44"/>
    <w:rsid w:val="00376E57"/>
    <w:rsid w:val="00381747"/>
    <w:rsid w:val="00381CDB"/>
    <w:rsid w:val="00381F8C"/>
    <w:rsid w:val="0038207E"/>
    <w:rsid w:val="0038365C"/>
    <w:rsid w:val="0038369B"/>
    <w:rsid w:val="00383B0D"/>
    <w:rsid w:val="00383B78"/>
    <w:rsid w:val="00384C55"/>
    <w:rsid w:val="00385A9D"/>
    <w:rsid w:val="00386A1E"/>
    <w:rsid w:val="00386E41"/>
    <w:rsid w:val="00387BF0"/>
    <w:rsid w:val="003902B1"/>
    <w:rsid w:val="0039050A"/>
    <w:rsid w:val="0039179C"/>
    <w:rsid w:val="00391DF0"/>
    <w:rsid w:val="00392048"/>
    <w:rsid w:val="003942B9"/>
    <w:rsid w:val="003949F8"/>
    <w:rsid w:val="0039510A"/>
    <w:rsid w:val="00395838"/>
    <w:rsid w:val="00396896"/>
    <w:rsid w:val="00396967"/>
    <w:rsid w:val="00396B61"/>
    <w:rsid w:val="00396FD0"/>
    <w:rsid w:val="003A0A3D"/>
    <w:rsid w:val="003A1A7A"/>
    <w:rsid w:val="003A2392"/>
    <w:rsid w:val="003A2831"/>
    <w:rsid w:val="003A2EE7"/>
    <w:rsid w:val="003A3020"/>
    <w:rsid w:val="003A3CB6"/>
    <w:rsid w:val="003A3ED1"/>
    <w:rsid w:val="003A3F08"/>
    <w:rsid w:val="003A44DB"/>
    <w:rsid w:val="003B063B"/>
    <w:rsid w:val="003B063F"/>
    <w:rsid w:val="003B0B6D"/>
    <w:rsid w:val="003B312A"/>
    <w:rsid w:val="003B33D8"/>
    <w:rsid w:val="003B3971"/>
    <w:rsid w:val="003B3A90"/>
    <w:rsid w:val="003B3DB7"/>
    <w:rsid w:val="003B55D1"/>
    <w:rsid w:val="003B5B61"/>
    <w:rsid w:val="003B773B"/>
    <w:rsid w:val="003B7C6E"/>
    <w:rsid w:val="003C057C"/>
    <w:rsid w:val="003C0595"/>
    <w:rsid w:val="003C0692"/>
    <w:rsid w:val="003C06E0"/>
    <w:rsid w:val="003C1654"/>
    <w:rsid w:val="003C19C4"/>
    <w:rsid w:val="003C2C1E"/>
    <w:rsid w:val="003C36B6"/>
    <w:rsid w:val="003C370E"/>
    <w:rsid w:val="003C4578"/>
    <w:rsid w:val="003C49C9"/>
    <w:rsid w:val="003C5542"/>
    <w:rsid w:val="003C6341"/>
    <w:rsid w:val="003C7D19"/>
    <w:rsid w:val="003C7D2F"/>
    <w:rsid w:val="003D0AB0"/>
    <w:rsid w:val="003D1828"/>
    <w:rsid w:val="003D1DE4"/>
    <w:rsid w:val="003D1E9A"/>
    <w:rsid w:val="003D20C2"/>
    <w:rsid w:val="003D2422"/>
    <w:rsid w:val="003D39A1"/>
    <w:rsid w:val="003D3FBF"/>
    <w:rsid w:val="003D4A30"/>
    <w:rsid w:val="003D4D81"/>
    <w:rsid w:val="003D544A"/>
    <w:rsid w:val="003D5F9D"/>
    <w:rsid w:val="003D6D95"/>
    <w:rsid w:val="003D71AB"/>
    <w:rsid w:val="003D73FB"/>
    <w:rsid w:val="003D7452"/>
    <w:rsid w:val="003D79BB"/>
    <w:rsid w:val="003D7C98"/>
    <w:rsid w:val="003D7D9D"/>
    <w:rsid w:val="003E0543"/>
    <w:rsid w:val="003E064C"/>
    <w:rsid w:val="003E0F29"/>
    <w:rsid w:val="003E0F35"/>
    <w:rsid w:val="003E12BC"/>
    <w:rsid w:val="003E13C4"/>
    <w:rsid w:val="003E171E"/>
    <w:rsid w:val="003E1C85"/>
    <w:rsid w:val="003E1D1E"/>
    <w:rsid w:val="003E1ED1"/>
    <w:rsid w:val="003E1F15"/>
    <w:rsid w:val="003E2C9A"/>
    <w:rsid w:val="003E2DCA"/>
    <w:rsid w:val="003E555C"/>
    <w:rsid w:val="003E5617"/>
    <w:rsid w:val="003E63CB"/>
    <w:rsid w:val="003E6420"/>
    <w:rsid w:val="003E7309"/>
    <w:rsid w:val="003E749E"/>
    <w:rsid w:val="003E75B5"/>
    <w:rsid w:val="003F0659"/>
    <w:rsid w:val="003F06DD"/>
    <w:rsid w:val="003F13BE"/>
    <w:rsid w:val="003F29D9"/>
    <w:rsid w:val="003F2E99"/>
    <w:rsid w:val="003F4156"/>
    <w:rsid w:val="003F45F2"/>
    <w:rsid w:val="003F5668"/>
    <w:rsid w:val="003F5ADF"/>
    <w:rsid w:val="003F63A5"/>
    <w:rsid w:val="003F6645"/>
    <w:rsid w:val="003F73A4"/>
    <w:rsid w:val="003F7996"/>
    <w:rsid w:val="00400B29"/>
    <w:rsid w:val="00400E52"/>
    <w:rsid w:val="00401C5D"/>
    <w:rsid w:val="00403A39"/>
    <w:rsid w:val="00404F98"/>
    <w:rsid w:val="00404FF5"/>
    <w:rsid w:val="0040504B"/>
    <w:rsid w:val="004059F4"/>
    <w:rsid w:val="004063E7"/>
    <w:rsid w:val="00406585"/>
    <w:rsid w:val="00406D92"/>
    <w:rsid w:val="00406E1C"/>
    <w:rsid w:val="00406F73"/>
    <w:rsid w:val="00407B99"/>
    <w:rsid w:val="00407FE5"/>
    <w:rsid w:val="004101B0"/>
    <w:rsid w:val="00410326"/>
    <w:rsid w:val="00410708"/>
    <w:rsid w:val="00410EC7"/>
    <w:rsid w:val="00411A05"/>
    <w:rsid w:val="00411B39"/>
    <w:rsid w:val="0041220D"/>
    <w:rsid w:val="004122BC"/>
    <w:rsid w:val="004127A7"/>
    <w:rsid w:val="00413A1E"/>
    <w:rsid w:val="00413B72"/>
    <w:rsid w:val="00414249"/>
    <w:rsid w:val="004143BD"/>
    <w:rsid w:val="00414476"/>
    <w:rsid w:val="00414C2E"/>
    <w:rsid w:val="00414F37"/>
    <w:rsid w:val="004151CF"/>
    <w:rsid w:val="00415352"/>
    <w:rsid w:val="00416364"/>
    <w:rsid w:val="00416420"/>
    <w:rsid w:val="004173A1"/>
    <w:rsid w:val="00417441"/>
    <w:rsid w:val="0042047F"/>
    <w:rsid w:val="00420AA6"/>
    <w:rsid w:val="00420B9F"/>
    <w:rsid w:val="004218A8"/>
    <w:rsid w:val="0042192C"/>
    <w:rsid w:val="00421C87"/>
    <w:rsid w:val="00422260"/>
    <w:rsid w:val="004226A0"/>
    <w:rsid w:val="00424005"/>
    <w:rsid w:val="0042413F"/>
    <w:rsid w:val="00424719"/>
    <w:rsid w:val="00424927"/>
    <w:rsid w:val="004259A5"/>
    <w:rsid w:val="004306B5"/>
    <w:rsid w:val="004319F8"/>
    <w:rsid w:val="00431E55"/>
    <w:rsid w:val="004321F6"/>
    <w:rsid w:val="00433044"/>
    <w:rsid w:val="004333AA"/>
    <w:rsid w:val="0043381D"/>
    <w:rsid w:val="00434088"/>
    <w:rsid w:val="00434AFD"/>
    <w:rsid w:val="00435E60"/>
    <w:rsid w:val="00437003"/>
    <w:rsid w:val="004375B9"/>
    <w:rsid w:val="004401B7"/>
    <w:rsid w:val="00441428"/>
    <w:rsid w:val="0044232C"/>
    <w:rsid w:val="004428D0"/>
    <w:rsid w:val="00443059"/>
    <w:rsid w:val="00443200"/>
    <w:rsid w:val="00444185"/>
    <w:rsid w:val="004443A7"/>
    <w:rsid w:val="0044442C"/>
    <w:rsid w:val="00445016"/>
    <w:rsid w:val="004450DF"/>
    <w:rsid w:val="00445472"/>
    <w:rsid w:val="004454F5"/>
    <w:rsid w:val="00445941"/>
    <w:rsid w:val="00445FE1"/>
    <w:rsid w:val="004464EB"/>
    <w:rsid w:val="00447D26"/>
    <w:rsid w:val="00447DFC"/>
    <w:rsid w:val="004518F4"/>
    <w:rsid w:val="00451D32"/>
    <w:rsid w:val="00452D0C"/>
    <w:rsid w:val="00452F97"/>
    <w:rsid w:val="00453306"/>
    <w:rsid w:val="004536C7"/>
    <w:rsid w:val="00453767"/>
    <w:rsid w:val="004537CB"/>
    <w:rsid w:val="00453CEF"/>
    <w:rsid w:val="00453F31"/>
    <w:rsid w:val="00454D4A"/>
    <w:rsid w:val="004552D0"/>
    <w:rsid w:val="00455D45"/>
    <w:rsid w:val="00456A58"/>
    <w:rsid w:val="00457F2A"/>
    <w:rsid w:val="00460167"/>
    <w:rsid w:val="004603AF"/>
    <w:rsid w:val="004605FF"/>
    <w:rsid w:val="004612D1"/>
    <w:rsid w:val="00461C15"/>
    <w:rsid w:val="00464595"/>
    <w:rsid w:val="004647B8"/>
    <w:rsid w:val="004658B5"/>
    <w:rsid w:val="00465CD7"/>
    <w:rsid w:val="00466C7C"/>
    <w:rsid w:val="0046776C"/>
    <w:rsid w:val="00467D9F"/>
    <w:rsid w:val="00470DFF"/>
    <w:rsid w:val="0047179F"/>
    <w:rsid w:val="00471EA5"/>
    <w:rsid w:val="004724C4"/>
    <w:rsid w:val="00472A79"/>
    <w:rsid w:val="00472B13"/>
    <w:rsid w:val="00473463"/>
    <w:rsid w:val="00473D93"/>
    <w:rsid w:val="00473F19"/>
    <w:rsid w:val="00473F7D"/>
    <w:rsid w:val="0047403B"/>
    <w:rsid w:val="00475E22"/>
    <w:rsid w:val="0047616A"/>
    <w:rsid w:val="00476966"/>
    <w:rsid w:val="00476CBF"/>
    <w:rsid w:val="0048088E"/>
    <w:rsid w:val="00480891"/>
    <w:rsid w:val="00480F2B"/>
    <w:rsid w:val="0048205A"/>
    <w:rsid w:val="004823AA"/>
    <w:rsid w:val="00482720"/>
    <w:rsid w:val="00482F9C"/>
    <w:rsid w:val="004835E7"/>
    <w:rsid w:val="0048437B"/>
    <w:rsid w:val="00484CE1"/>
    <w:rsid w:val="004867E2"/>
    <w:rsid w:val="00487A5E"/>
    <w:rsid w:val="004903DC"/>
    <w:rsid w:val="00490484"/>
    <w:rsid w:val="00490B17"/>
    <w:rsid w:val="00491029"/>
    <w:rsid w:val="00491B3A"/>
    <w:rsid w:val="00492C34"/>
    <w:rsid w:val="00492CFD"/>
    <w:rsid w:val="00494207"/>
    <w:rsid w:val="00494DD5"/>
    <w:rsid w:val="00495230"/>
    <w:rsid w:val="00495D4B"/>
    <w:rsid w:val="00496018"/>
    <w:rsid w:val="004962D2"/>
    <w:rsid w:val="00496653"/>
    <w:rsid w:val="0049688B"/>
    <w:rsid w:val="00496FAC"/>
    <w:rsid w:val="00497074"/>
    <w:rsid w:val="004979D8"/>
    <w:rsid w:val="004A09AD"/>
    <w:rsid w:val="004A0DA1"/>
    <w:rsid w:val="004A126F"/>
    <w:rsid w:val="004A13D6"/>
    <w:rsid w:val="004A1A21"/>
    <w:rsid w:val="004A275A"/>
    <w:rsid w:val="004A2BE2"/>
    <w:rsid w:val="004A4574"/>
    <w:rsid w:val="004A4836"/>
    <w:rsid w:val="004A52E9"/>
    <w:rsid w:val="004A5A54"/>
    <w:rsid w:val="004A6040"/>
    <w:rsid w:val="004A6597"/>
    <w:rsid w:val="004A6BCB"/>
    <w:rsid w:val="004A71D2"/>
    <w:rsid w:val="004A7848"/>
    <w:rsid w:val="004B077B"/>
    <w:rsid w:val="004B0D40"/>
    <w:rsid w:val="004B1CB4"/>
    <w:rsid w:val="004B260D"/>
    <w:rsid w:val="004B2D5A"/>
    <w:rsid w:val="004B2F18"/>
    <w:rsid w:val="004B2FD0"/>
    <w:rsid w:val="004B310E"/>
    <w:rsid w:val="004B31B3"/>
    <w:rsid w:val="004B33F7"/>
    <w:rsid w:val="004B34B2"/>
    <w:rsid w:val="004B3DDB"/>
    <w:rsid w:val="004B44FD"/>
    <w:rsid w:val="004B54A5"/>
    <w:rsid w:val="004B5A8B"/>
    <w:rsid w:val="004B5CFC"/>
    <w:rsid w:val="004B6BD3"/>
    <w:rsid w:val="004B6F79"/>
    <w:rsid w:val="004B7008"/>
    <w:rsid w:val="004B7127"/>
    <w:rsid w:val="004B774D"/>
    <w:rsid w:val="004B797B"/>
    <w:rsid w:val="004B7B02"/>
    <w:rsid w:val="004C03FC"/>
    <w:rsid w:val="004C2681"/>
    <w:rsid w:val="004C3EF7"/>
    <w:rsid w:val="004C4AED"/>
    <w:rsid w:val="004C51D6"/>
    <w:rsid w:val="004C74FD"/>
    <w:rsid w:val="004C7B33"/>
    <w:rsid w:val="004D23DA"/>
    <w:rsid w:val="004D2C2D"/>
    <w:rsid w:val="004D38DE"/>
    <w:rsid w:val="004D3DF4"/>
    <w:rsid w:val="004D4723"/>
    <w:rsid w:val="004D610D"/>
    <w:rsid w:val="004D65C4"/>
    <w:rsid w:val="004D69B5"/>
    <w:rsid w:val="004D7227"/>
    <w:rsid w:val="004D7899"/>
    <w:rsid w:val="004E060D"/>
    <w:rsid w:val="004E0E7F"/>
    <w:rsid w:val="004E0EB8"/>
    <w:rsid w:val="004E18E9"/>
    <w:rsid w:val="004E2ADC"/>
    <w:rsid w:val="004E2E6A"/>
    <w:rsid w:val="004E433B"/>
    <w:rsid w:val="004E43B2"/>
    <w:rsid w:val="004E4AC9"/>
    <w:rsid w:val="004E582F"/>
    <w:rsid w:val="004E7B07"/>
    <w:rsid w:val="004F13E7"/>
    <w:rsid w:val="004F190C"/>
    <w:rsid w:val="004F1A2D"/>
    <w:rsid w:val="004F1B21"/>
    <w:rsid w:val="004F1D02"/>
    <w:rsid w:val="004F2679"/>
    <w:rsid w:val="004F2F21"/>
    <w:rsid w:val="004F3DE5"/>
    <w:rsid w:val="004F43E4"/>
    <w:rsid w:val="004F4F7A"/>
    <w:rsid w:val="004F4FD2"/>
    <w:rsid w:val="004F55EB"/>
    <w:rsid w:val="004F67CB"/>
    <w:rsid w:val="004F685F"/>
    <w:rsid w:val="004F6913"/>
    <w:rsid w:val="004F7425"/>
    <w:rsid w:val="004F7865"/>
    <w:rsid w:val="005005DE"/>
    <w:rsid w:val="00500694"/>
    <w:rsid w:val="00500BF4"/>
    <w:rsid w:val="00500C03"/>
    <w:rsid w:val="0050174E"/>
    <w:rsid w:val="00501854"/>
    <w:rsid w:val="00501E12"/>
    <w:rsid w:val="0050219B"/>
    <w:rsid w:val="00503F17"/>
    <w:rsid w:val="0050401E"/>
    <w:rsid w:val="005053EB"/>
    <w:rsid w:val="005058F5"/>
    <w:rsid w:val="00506928"/>
    <w:rsid w:val="00506E70"/>
    <w:rsid w:val="005073EA"/>
    <w:rsid w:val="00507463"/>
    <w:rsid w:val="005077EF"/>
    <w:rsid w:val="005104E7"/>
    <w:rsid w:val="00511809"/>
    <w:rsid w:val="00511AD5"/>
    <w:rsid w:val="00511D87"/>
    <w:rsid w:val="00511DC7"/>
    <w:rsid w:val="005128F6"/>
    <w:rsid w:val="0051372F"/>
    <w:rsid w:val="00513C96"/>
    <w:rsid w:val="005142C5"/>
    <w:rsid w:val="005143E9"/>
    <w:rsid w:val="0051467F"/>
    <w:rsid w:val="0051501B"/>
    <w:rsid w:val="005152B5"/>
    <w:rsid w:val="005177D2"/>
    <w:rsid w:val="005179B5"/>
    <w:rsid w:val="00520A21"/>
    <w:rsid w:val="0052123C"/>
    <w:rsid w:val="005212F7"/>
    <w:rsid w:val="00521319"/>
    <w:rsid w:val="00522A4F"/>
    <w:rsid w:val="00522BC8"/>
    <w:rsid w:val="0052337E"/>
    <w:rsid w:val="005235D7"/>
    <w:rsid w:val="00523C28"/>
    <w:rsid w:val="00524106"/>
    <w:rsid w:val="00526AD7"/>
    <w:rsid w:val="00526C98"/>
    <w:rsid w:val="00526EC6"/>
    <w:rsid w:val="005312E9"/>
    <w:rsid w:val="0053176B"/>
    <w:rsid w:val="00533BDE"/>
    <w:rsid w:val="00534563"/>
    <w:rsid w:val="00535293"/>
    <w:rsid w:val="00536B40"/>
    <w:rsid w:val="00536DA3"/>
    <w:rsid w:val="00536F42"/>
    <w:rsid w:val="00537182"/>
    <w:rsid w:val="0054066A"/>
    <w:rsid w:val="0054068D"/>
    <w:rsid w:val="00540D85"/>
    <w:rsid w:val="00541EDD"/>
    <w:rsid w:val="00541F9D"/>
    <w:rsid w:val="00542116"/>
    <w:rsid w:val="00542691"/>
    <w:rsid w:val="00542743"/>
    <w:rsid w:val="005429D4"/>
    <w:rsid w:val="00542AE0"/>
    <w:rsid w:val="00542C2D"/>
    <w:rsid w:val="00543521"/>
    <w:rsid w:val="005436B9"/>
    <w:rsid w:val="00543D18"/>
    <w:rsid w:val="005448C9"/>
    <w:rsid w:val="005455EB"/>
    <w:rsid w:val="00546509"/>
    <w:rsid w:val="00546846"/>
    <w:rsid w:val="00546A2C"/>
    <w:rsid w:val="00546A6B"/>
    <w:rsid w:val="00547376"/>
    <w:rsid w:val="0054783F"/>
    <w:rsid w:val="005478BD"/>
    <w:rsid w:val="005479E3"/>
    <w:rsid w:val="00547CBC"/>
    <w:rsid w:val="00550898"/>
    <w:rsid w:val="00550C81"/>
    <w:rsid w:val="00551985"/>
    <w:rsid w:val="005521F4"/>
    <w:rsid w:val="00552380"/>
    <w:rsid w:val="00552ADA"/>
    <w:rsid w:val="00552BD3"/>
    <w:rsid w:val="00552F19"/>
    <w:rsid w:val="00552F4F"/>
    <w:rsid w:val="005532A0"/>
    <w:rsid w:val="005534A0"/>
    <w:rsid w:val="00554A48"/>
    <w:rsid w:val="00554B33"/>
    <w:rsid w:val="00554C62"/>
    <w:rsid w:val="00555109"/>
    <w:rsid w:val="00555418"/>
    <w:rsid w:val="00556B35"/>
    <w:rsid w:val="0055741A"/>
    <w:rsid w:val="005611B7"/>
    <w:rsid w:val="005617B2"/>
    <w:rsid w:val="005618A5"/>
    <w:rsid w:val="005618D4"/>
    <w:rsid w:val="00562F0C"/>
    <w:rsid w:val="0056504C"/>
    <w:rsid w:val="00565DF0"/>
    <w:rsid w:val="0056652F"/>
    <w:rsid w:val="0056662B"/>
    <w:rsid w:val="0056696F"/>
    <w:rsid w:val="00566ED3"/>
    <w:rsid w:val="00567267"/>
    <w:rsid w:val="00572269"/>
    <w:rsid w:val="0057244A"/>
    <w:rsid w:val="00572F26"/>
    <w:rsid w:val="0057305D"/>
    <w:rsid w:val="00573485"/>
    <w:rsid w:val="0057370D"/>
    <w:rsid w:val="005750C5"/>
    <w:rsid w:val="005752DE"/>
    <w:rsid w:val="005753A2"/>
    <w:rsid w:val="00575452"/>
    <w:rsid w:val="00575D8D"/>
    <w:rsid w:val="00576972"/>
    <w:rsid w:val="005813AA"/>
    <w:rsid w:val="005813F6"/>
    <w:rsid w:val="00582918"/>
    <w:rsid w:val="00583699"/>
    <w:rsid w:val="00583916"/>
    <w:rsid w:val="0058404A"/>
    <w:rsid w:val="005845A0"/>
    <w:rsid w:val="00585417"/>
    <w:rsid w:val="00585770"/>
    <w:rsid w:val="00585AB9"/>
    <w:rsid w:val="00585CDD"/>
    <w:rsid w:val="005865F3"/>
    <w:rsid w:val="00587058"/>
    <w:rsid w:val="0059039C"/>
    <w:rsid w:val="005904A3"/>
    <w:rsid w:val="00590C20"/>
    <w:rsid w:val="00591957"/>
    <w:rsid w:val="00592A89"/>
    <w:rsid w:val="00593017"/>
    <w:rsid w:val="00593D30"/>
    <w:rsid w:val="005958FC"/>
    <w:rsid w:val="00595E27"/>
    <w:rsid w:val="005966CA"/>
    <w:rsid w:val="00596D9E"/>
    <w:rsid w:val="00596FA7"/>
    <w:rsid w:val="005972E0"/>
    <w:rsid w:val="00597BF9"/>
    <w:rsid w:val="005A0BE8"/>
    <w:rsid w:val="005A1B7B"/>
    <w:rsid w:val="005A1F00"/>
    <w:rsid w:val="005A2E7B"/>
    <w:rsid w:val="005A309A"/>
    <w:rsid w:val="005A3481"/>
    <w:rsid w:val="005A373D"/>
    <w:rsid w:val="005A3816"/>
    <w:rsid w:val="005A451C"/>
    <w:rsid w:val="005A4BA5"/>
    <w:rsid w:val="005A59A2"/>
    <w:rsid w:val="005A612E"/>
    <w:rsid w:val="005A6324"/>
    <w:rsid w:val="005A7595"/>
    <w:rsid w:val="005B06F6"/>
    <w:rsid w:val="005B0B58"/>
    <w:rsid w:val="005B0B89"/>
    <w:rsid w:val="005B156A"/>
    <w:rsid w:val="005B2898"/>
    <w:rsid w:val="005B40B0"/>
    <w:rsid w:val="005B46C3"/>
    <w:rsid w:val="005B4E53"/>
    <w:rsid w:val="005B5857"/>
    <w:rsid w:val="005B6374"/>
    <w:rsid w:val="005B7450"/>
    <w:rsid w:val="005B7628"/>
    <w:rsid w:val="005B7BCC"/>
    <w:rsid w:val="005C1B83"/>
    <w:rsid w:val="005C25FF"/>
    <w:rsid w:val="005C2882"/>
    <w:rsid w:val="005C2D55"/>
    <w:rsid w:val="005C346B"/>
    <w:rsid w:val="005C408E"/>
    <w:rsid w:val="005C46D1"/>
    <w:rsid w:val="005C4C14"/>
    <w:rsid w:val="005C573B"/>
    <w:rsid w:val="005C5E39"/>
    <w:rsid w:val="005C63DA"/>
    <w:rsid w:val="005C6C65"/>
    <w:rsid w:val="005C72A9"/>
    <w:rsid w:val="005C7352"/>
    <w:rsid w:val="005C7A31"/>
    <w:rsid w:val="005D044D"/>
    <w:rsid w:val="005D0ABD"/>
    <w:rsid w:val="005D147E"/>
    <w:rsid w:val="005D18AD"/>
    <w:rsid w:val="005D22AC"/>
    <w:rsid w:val="005D2603"/>
    <w:rsid w:val="005D26B4"/>
    <w:rsid w:val="005D33B9"/>
    <w:rsid w:val="005D343B"/>
    <w:rsid w:val="005D3482"/>
    <w:rsid w:val="005D3941"/>
    <w:rsid w:val="005D43CF"/>
    <w:rsid w:val="005D62F0"/>
    <w:rsid w:val="005D6E64"/>
    <w:rsid w:val="005D7401"/>
    <w:rsid w:val="005D78A3"/>
    <w:rsid w:val="005E20BC"/>
    <w:rsid w:val="005E24CD"/>
    <w:rsid w:val="005E3AAA"/>
    <w:rsid w:val="005E4831"/>
    <w:rsid w:val="005E499D"/>
    <w:rsid w:val="005E53B8"/>
    <w:rsid w:val="005E6512"/>
    <w:rsid w:val="005E67AC"/>
    <w:rsid w:val="005E6917"/>
    <w:rsid w:val="005E6CBC"/>
    <w:rsid w:val="005E72FF"/>
    <w:rsid w:val="005E73C0"/>
    <w:rsid w:val="005E7AA6"/>
    <w:rsid w:val="005F0BB5"/>
    <w:rsid w:val="005F0CA4"/>
    <w:rsid w:val="005F2706"/>
    <w:rsid w:val="005F36BA"/>
    <w:rsid w:val="005F5222"/>
    <w:rsid w:val="005F599F"/>
    <w:rsid w:val="005F5AB2"/>
    <w:rsid w:val="005F666A"/>
    <w:rsid w:val="005F6949"/>
    <w:rsid w:val="005F6A8F"/>
    <w:rsid w:val="005F6BB7"/>
    <w:rsid w:val="005F7588"/>
    <w:rsid w:val="005F77F3"/>
    <w:rsid w:val="006011B4"/>
    <w:rsid w:val="0060137D"/>
    <w:rsid w:val="00601443"/>
    <w:rsid w:val="00602590"/>
    <w:rsid w:val="0060273F"/>
    <w:rsid w:val="006028EE"/>
    <w:rsid w:val="00603088"/>
    <w:rsid w:val="006038C5"/>
    <w:rsid w:val="00603DB9"/>
    <w:rsid w:val="006043C9"/>
    <w:rsid w:val="006047F8"/>
    <w:rsid w:val="00604B95"/>
    <w:rsid w:val="006051D9"/>
    <w:rsid w:val="006054D6"/>
    <w:rsid w:val="00605D22"/>
    <w:rsid w:val="00606FBA"/>
    <w:rsid w:val="00607669"/>
    <w:rsid w:val="006076F4"/>
    <w:rsid w:val="006079FA"/>
    <w:rsid w:val="00607AFD"/>
    <w:rsid w:val="00610499"/>
    <w:rsid w:val="006120C1"/>
    <w:rsid w:val="00612F97"/>
    <w:rsid w:val="0061345D"/>
    <w:rsid w:val="006142E8"/>
    <w:rsid w:val="00614AC4"/>
    <w:rsid w:val="0061549B"/>
    <w:rsid w:val="00616802"/>
    <w:rsid w:val="00617770"/>
    <w:rsid w:val="00617E12"/>
    <w:rsid w:val="0062027C"/>
    <w:rsid w:val="00620C25"/>
    <w:rsid w:val="00620F40"/>
    <w:rsid w:val="00621477"/>
    <w:rsid w:val="00621ADA"/>
    <w:rsid w:val="00622027"/>
    <w:rsid w:val="00623F7B"/>
    <w:rsid w:val="006250CB"/>
    <w:rsid w:val="006257E1"/>
    <w:rsid w:val="006261E4"/>
    <w:rsid w:val="006276AF"/>
    <w:rsid w:val="00627C3B"/>
    <w:rsid w:val="00627FA8"/>
    <w:rsid w:val="00630BCF"/>
    <w:rsid w:val="00630CE3"/>
    <w:rsid w:val="00631581"/>
    <w:rsid w:val="0063158F"/>
    <w:rsid w:val="00631D6B"/>
    <w:rsid w:val="00632183"/>
    <w:rsid w:val="006330A1"/>
    <w:rsid w:val="0063361B"/>
    <w:rsid w:val="00633A27"/>
    <w:rsid w:val="0063479F"/>
    <w:rsid w:val="00634D69"/>
    <w:rsid w:val="006353F0"/>
    <w:rsid w:val="006357B5"/>
    <w:rsid w:val="00635E91"/>
    <w:rsid w:val="006364A1"/>
    <w:rsid w:val="0063678E"/>
    <w:rsid w:val="00637BFD"/>
    <w:rsid w:val="006401AE"/>
    <w:rsid w:val="00641661"/>
    <w:rsid w:val="00641C4E"/>
    <w:rsid w:val="00641FB3"/>
    <w:rsid w:val="00642206"/>
    <w:rsid w:val="00642263"/>
    <w:rsid w:val="006427B0"/>
    <w:rsid w:val="00643586"/>
    <w:rsid w:val="00643896"/>
    <w:rsid w:val="0064434C"/>
    <w:rsid w:val="0064454F"/>
    <w:rsid w:val="006471CC"/>
    <w:rsid w:val="006472AE"/>
    <w:rsid w:val="006473DD"/>
    <w:rsid w:val="00647A29"/>
    <w:rsid w:val="00647A94"/>
    <w:rsid w:val="0065079F"/>
    <w:rsid w:val="00652A28"/>
    <w:rsid w:val="0065379F"/>
    <w:rsid w:val="006550E5"/>
    <w:rsid w:val="006553F6"/>
    <w:rsid w:val="00656188"/>
    <w:rsid w:val="006564B4"/>
    <w:rsid w:val="0065684E"/>
    <w:rsid w:val="00656B02"/>
    <w:rsid w:val="00657041"/>
    <w:rsid w:val="0065715A"/>
    <w:rsid w:val="006577CB"/>
    <w:rsid w:val="006606AE"/>
    <w:rsid w:val="00660AD6"/>
    <w:rsid w:val="006610F1"/>
    <w:rsid w:val="00661C6B"/>
    <w:rsid w:val="00662222"/>
    <w:rsid w:val="00664458"/>
    <w:rsid w:val="00664A54"/>
    <w:rsid w:val="00665755"/>
    <w:rsid w:val="0066685B"/>
    <w:rsid w:val="00666EFB"/>
    <w:rsid w:val="00667442"/>
    <w:rsid w:val="00667936"/>
    <w:rsid w:val="006700D2"/>
    <w:rsid w:val="00671004"/>
    <w:rsid w:val="00672646"/>
    <w:rsid w:val="00672B24"/>
    <w:rsid w:val="00672B76"/>
    <w:rsid w:val="00672E3A"/>
    <w:rsid w:val="0067388B"/>
    <w:rsid w:val="00674E42"/>
    <w:rsid w:val="006756A9"/>
    <w:rsid w:val="00675865"/>
    <w:rsid w:val="00676ABB"/>
    <w:rsid w:val="00680BBF"/>
    <w:rsid w:val="00681089"/>
    <w:rsid w:val="006813F8"/>
    <w:rsid w:val="00682112"/>
    <w:rsid w:val="00682BA6"/>
    <w:rsid w:val="00683475"/>
    <w:rsid w:val="006834DA"/>
    <w:rsid w:val="00684567"/>
    <w:rsid w:val="006846C7"/>
    <w:rsid w:val="00685667"/>
    <w:rsid w:val="006860DE"/>
    <w:rsid w:val="00686572"/>
    <w:rsid w:val="00686957"/>
    <w:rsid w:val="006872BA"/>
    <w:rsid w:val="00687DA3"/>
    <w:rsid w:val="00687EAD"/>
    <w:rsid w:val="006906CD"/>
    <w:rsid w:val="00690795"/>
    <w:rsid w:val="00691067"/>
    <w:rsid w:val="00691648"/>
    <w:rsid w:val="006917D7"/>
    <w:rsid w:val="00692165"/>
    <w:rsid w:val="0069434C"/>
    <w:rsid w:val="00694840"/>
    <w:rsid w:val="00694A49"/>
    <w:rsid w:val="00694F44"/>
    <w:rsid w:val="00695F3D"/>
    <w:rsid w:val="00696692"/>
    <w:rsid w:val="00696F51"/>
    <w:rsid w:val="006979A5"/>
    <w:rsid w:val="006A00B7"/>
    <w:rsid w:val="006A0EF0"/>
    <w:rsid w:val="006A4889"/>
    <w:rsid w:val="006A4F05"/>
    <w:rsid w:val="006A6063"/>
    <w:rsid w:val="006A6304"/>
    <w:rsid w:val="006A68B9"/>
    <w:rsid w:val="006A6B99"/>
    <w:rsid w:val="006A7E5F"/>
    <w:rsid w:val="006B049F"/>
    <w:rsid w:val="006B04ED"/>
    <w:rsid w:val="006B1350"/>
    <w:rsid w:val="006B1686"/>
    <w:rsid w:val="006B1B05"/>
    <w:rsid w:val="006B261B"/>
    <w:rsid w:val="006B2C90"/>
    <w:rsid w:val="006B35E6"/>
    <w:rsid w:val="006B465A"/>
    <w:rsid w:val="006B6DD0"/>
    <w:rsid w:val="006B7BE2"/>
    <w:rsid w:val="006C0399"/>
    <w:rsid w:val="006C0FE7"/>
    <w:rsid w:val="006C15ED"/>
    <w:rsid w:val="006C19EE"/>
    <w:rsid w:val="006C1C56"/>
    <w:rsid w:val="006C296C"/>
    <w:rsid w:val="006C2A8E"/>
    <w:rsid w:val="006C2D10"/>
    <w:rsid w:val="006C30A6"/>
    <w:rsid w:val="006C3255"/>
    <w:rsid w:val="006C370F"/>
    <w:rsid w:val="006C3F26"/>
    <w:rsid w:val="006C4000"/>
    <w:rsid w:val="006C4673"/>
    <w:rsid w:val="006C4E15"/>
    <w:rsid w:val="006C5694"/>
    <w:rsid w:val="006C5890"/>
    <w:rsid w:val="006C7A09"/>
    <w:rsid w:val="006D042F"/>
    <w:rsid w:val="006D0961"/>
    <w:rsid w:val="006D0D17"/>
    <w:rsid w:val="006D0F0A"/>
    <w:rsid w:val="006D10D0"/>
    <w:rsid w:val="006D18B1"/>
    <w:rsid w:val="006D19BA"/>
    <w:rsid w:val="006D300E"/>
    <w:rsid w:val="006D3256"/>
    <w:rsid w:val="006D361F"/>
    <w:rsid w:val="006D3C7D"/>
    <w:rsid w:val="006D4659"/>
    <w:rsid w:val="006D55CD"/>
    <w:rsid w:val="006D5D5F"/>
    <w:rsid w:val="006D68FB"/>
    <w:rsid w:val="006D711B"/>
    <w:rsid w:val="006D7510"/>
    <w:rsid w:val="006E2868"/>
    <w:rsid w:val="006E2A0E"/>
    <w:rsid w:val="006E302A"/>
    <w:rsid w:val="006E3232"/>
    <w:rsid w:val="006E3234"/>
    <w:rsid w:val="006E3A36"/>
    <w:rsid w:val="006E4FD2"/>
    <w:rsid w:val="006E55BE"/>
    <w:rsid w:val="006E58C8"/>
    <w:rsid w:val="006E5BC9"/>
    <w:rsid w:val="006E6167"/>
    <w:rsid w:val="006E7A34"/>
    <w:rsid w:val="006F1978"/>
    <w:rsid w:val="006F215C"/>
    <w:rsid w:val="006F306C"/>
    <w:rsid w:val="006F3948"/>
    <w:rsid w:val="006F439C"/>
    <w:rsid w:val="006F4869"/>
    <w:rsid w:val="006F63A5"/>
    <w:rsid w:val="006F6FB4"/>
    <w:rsid w:val="006F72A3"/>
    <w:rsid w:val="00700726"/>
    <w:rsid w:val="00700A22"/>
    <w:rsid w:val="00701035"/>
    <w:rsid w:val="00701351"/>
    <w:rsid w:val="0070142B"/>
    <w:rsid w:val="00701B3E"/>
    <w:rsid w:val="00701F6F"/>
    <w:rsid w:val="0070276E"/>
    <w:rsid w:val="00702F8F"/>
    <w:rsid w:val="00704431"/>
    <w:rsid w:val="00704C8C"/>
    <w:rsid w:val="007055C7"/>
    <w:rsid w:val="00705DCA"/>
    <w:rsid w:val="0070679A"/>
    <w:rsid w:val="0070729E"/>
    <w:rsid w:val="007079FC"/>
    <w:rsid w:val="00711A36"/>
    <w:rsid w:val="00711DFC"/>
    <w:rsid w:val="007129D4"/>
    <w:rsid w:val="00714C26"/>
    <w:rsid w:val="00714D01"/>
    <w:rsid w:val="0071529C"/>
    <w:rsid w:val="00715F9C"/>
    <w:rsid w:val="007170DA"/>
    <w:rsid w:val="007172AD"/>
    <w:rsid w:val="00717581"/>
    <w:rsid w:val="00720370"/>
    <w:rsid w:val="00720801"/>
    <w:rsid w:val="00720823"/>
    <w:rsid w:val="00721757"/>
    <w:rsid w:val="00722B1B"/>
    <w:rsid w:val="00723287"/>
    <w:rsid w:val="00723DD7"/>
    <w:rsid w:val="0072416F"/>
    <w:rsid w:val="0072701C"/>
    <w:rsid w:val="00727C94"/>
    <w:rsid w:val="00727FA7"/>
    <w:rsid w:val="007300B0"/>
    <w:rsid w:val="007300FC"/>
    <w:rsid w:val="00730DA3"/>
    <w:rsid w:val="00731B0A"/>
    <w:rsid w:val="00731B35"/>
    <w:rsid w:val="00731EAE"/>
    <w:rsid w:val="00733073"/>
    <w:rsid w:val="0073432E"/>
    <w:rsid w:val="00734560"/>
    <w:rsid w:val="00734E7C"/>
    <w:rsid w:val="00735033"/>
    <w:rsid w:val="0073517C"/>
    <w:rsid w:val="00735328"/>
    <w:rsid w:val="00736238"/>
    <w:rsid w:val="0073685B"/>
    <w:rsid w:val="00740475"/>
    <w:rsid w:val="00740BFC"/>
    <w:rsid w:val="00741467"/>
    <w:rsid w:val="007417A8"/>
    <w:rsid w:val="00741C72"/>
    <w:rsid w:val="0074481C"/>
    <w:rsid w:val="007449BF"/>
    <w:rsid w:val="00744EFD"/>
    <w:rsid w:val="00746BC0"/>
    <w:rsid w:val="00747800"/>
    <w:rsid w:val="007510B4"/>
    <w:rsid w:val="007514FD"/>
    <w:rsid w:val="00751700"/>
    <w:rsid w:val="00752142"/>
    <w:rsid w:val="007523F9"/>
    <w:rsid w:val="0075357E"/>
    <w:rsid w:val="00754297"/>
    <w:rsid w:val="007556D9"/>
    <w:rsid w:val="0075621D"/>
    <w:rsid w:val="007573E8"/>
    <w:rsid w:val="00760C4E"/>
    <w:rsid w:val="00760F9E"/>
    <w:rsid w:val="007610E6"/>
    <w:rsid w:val="0076141B"/>
    <w:rsid w:val="007627BE"/>
    <w:rsid w:val="00762D0B"/>
    <w:rsid w:val="00764F03"/>
    <w:rsid w:val="00765B1A"/>
    <w:rsid w:val="00766692"/>
    <w:rsid w:val="0076679C"/>
    <w:rsid w:val="00770172"/>
    <w:rsid w:val="007705F9"/>
    <w:rsid w:val="0077092D"/>
    <w:rsid w:val="00770AAE"/>
    <w:rsid w:val="00770EB8"/>
    <w:rsid w:val="00771E18"/>
    <w:rsid w:val="00773601"/>
    <w:rsid w:val="0077467B"/>
    <w:rsid w:val="00774A88"/>
    <w:rsid w:val="0077588B"/>
    <w:rsid w:val="00777335"/>
    <w:rsid w:val="00777B74"/>
    <w:rsid w:val="00777F69"/>
    <w:rsid w:val="007802F1"/>
    <w:rsid w:val="00780C06"/>
    <w:rsid w:val="0078200A"/>
    <w:rsid w:val="007823A1"/>
    <w:rsid w:val="00782737"/>
    <w:rsid w:val="00782748"/>
    <w:rsid w:val="007843F2"/>
    <w:rsid w:val="00784F41"/>
    <w:rsid w:val="00785A9F"/>
    <w:rsid w:val="00785ED6"/>
    <w:rsid w:val="00786809"/>
    <w:rsid w:val="0079113C"/>
    <w:rsid w:val="0079115D"/>
    <w:rsid w:val="00791338"/>
    <w:rsid w:val="007916C0"/>
    <w:rsid w:val="00791C57"/>
    <w:rsid w:val="00791FA1"/>
    <w:rsid w:val="007925DF"/>
    <w:rsid w:val="00792E93"/>
    <w:rsid w:val="00792F81"/>
    <w:rsid w:val="0079558F"/>
    <w:rsid w:val="00795E54"/>
    <w:rsid w:val="00796C9D"/>
    <w:rsid w:val="00797BC5"/>
    <w:rsid w:val="007A065B"/>
    <w:rsid w:val="007A07F1"/>
    <w:rsid w:val="007A08AA"/>
    <w:rsid w:val="007A0A12"/>
    <w:rsid w:val="007A132D"/>
    <w:rsid w:val="007A1345"/>
    <w:rsid w:val="007A2DDB"/>
    <w:rsid w:val="007A2FC4"/>
    <w:rsid w:val="007A3B69"/>
    <w:rsid w:val="007A4B35"/>
    <w:rsid w:val="007A5128"/>
    <w:rsid w:val="007A51D2"/>
    <w:rsid w:val="007A6B65"/>
    <w:rsid w:val="007A70BA"/>
    <w:rsid w:val="007B03CC"/>
    <w:rsid w:val="007B0D68"/>
    <w:rsid w:val="007B1566"/>
    <w:rsid w:val="007B1F6A"/>
    <w:rsid w:val="007B2209"/>
    <w:rsid w:val="007B24CF"/>
    <w:rsid w:val="007B251D"/>
    <w:rsid w:val="007B3F24"/>
    <w:rsid w:val="007B4F58"/>
    <w:rsid w:val="007B4F67"/>
    <w:rsid w:val="007B50AE"/>
    <w:rsid w:val="007B528D"/>
    <w:rsid w:val="007B587A"/>
    <w:rsid w:val="007B63CA"/>
    <w:rsid w:val="007B69A0"/>
    <w:rsid w:val="007B6DEA"/>
    <w:rsid w:val="007B77D1"/>
    <w:rsid w:val="007B7D69"/>
    <w:rsid w:val="007C0061"/>
    <w:rsid w:val="007C03DA"/>
    <w:rsid w:val="007C07C7"/>
    <w:rsid w:val="007C1CD9"/>
    <w:rsid w:val="007C29F2"/>
    <w:rsid w:val="007C322E"/>
    <w:rsid w:val="007C32EF"/>
    <w:rsid w:val="007C3344"/>
    <w:rsid w:val="007C361D"/>
    <w:rsid w:val="007C40F9"/>
    <w:rsid w:val="007C424C"/>
    <w:rsid w:val="007C4259"/>
    <w:rsid w:val="007C467B"/>
    <w:rsid w:val="007C4B84"/>
    <w:rsid w:val="007C67CD"/>
    <w:rsid w:val="007C6BF0"/>
    <w:rsid w:val="007C6C5F"/>
    <w:rsid w:val="007C70FF"/>
    <w:rsid w:val="007C7C25"/>
    <w:rsid w:val="007D004F"/>
    <w:rsid w:val="007D0167"/>
    <w:rsid w:val="007D0510"/>
    <w:rsid w:val="007D0B38"/>
    <w:rsid w:val="007D23D8"/>
    <w:rsid w:val="007D2B4C"/>
    <w:rsid w:val="007D2B88"/>
    <w:rsid w:val="007D2BBC"/>
    <w:rsid w:val="007D3195"/>
    <w:rsid w:val="007D397C"/>
    <w:rsid w:val="007D3F2C"/>
    <w:rsid w:val="007D4532"/>
    <w:rsid w:val="007D490A"/>
    <w:rsid w:val="007D4D2C"/>
    <w:rsid w:val="007D4FB4"/>
    <w:rsid w:val="007D5440"/>
    <w:rsid w:val="007D5A59"/>
    <w:rsid w:val="007D5D83"/>
    <w:rsid w:val="007D651A"/>
    <w:rsid w:val="007D6771"/>
    <w:rsid w:val="007D69D8"/>
    <w:rsid w:val="007D69EB"/>
    <w:rsid w:val="007D6CF9"/>
    <w:rsid w:val="007D70F4"/>
    <w:rsid w:val="007D7889"/>
    <w:rsid w:val="007E06E2"/>
    <w:rsid w:val="007E09A4"/>
    <w:rsid w:val="007E128F"/>
    <w:rsid w:val="007E1D0C"/>
    <w:rsid w:val="007E20BE"/>
    <w:rsid w:val="007E41DF"/>
    <w:rsid w:val="007E73AF"/>
    <w:rsid w:val="007E7677"/>
    <w:rsid w:val="007E7D95"/>
    <w:rsid w:val="007F0A7B"/>
    <w:rsid w:val="007F1017"/>
    <w:rsid w:val="007F13AC"/>
    <w:rsid w:val="007F1F8F"/>
    <w:rsid w:val="007F2CBC"/>
    <w:rsid w:val="007F2E0C"/>
    <w:rsid w:val="007F47E3"/>
    <w:rsid w:val="007F4A3F"/>
    <w:rsid w:val="007F4A61"/>
    <w:rsid w:val="007F5255"/>
    <w:rsid w:val="007F55AE"/>
    <w:rsid w:val="007F56CC"/>
    <w:rsid w:val="007F5922"/>
    <w:rsid w:val="007F5F85"/>
    <w:rsid w:val="007F61C2"/>
    <w:rsid w:val="007F6E4D"/>
    <w:rsid w:val="007F77A2"/>
    <w:rsid w:val="008007BE"/>
    <w:rsid w:val="00802713"/>
    <w:rsid w:val="00802D59"/>
    <w:rsid w:val="00805142"/>
    <w:rsid w:val="00805FCE"/>
    <w:rsid w:val="00806726"/>
    <w:rsid w:val="00806E77"/>
    <w:rsid w:val="00807A8B"/>
    <w:rsid w:val="0081116A"/>
    <w:rsid w:val="008111F9"/>
    <w:rsid w:val="00811383"/>
    <w:rsid w:val="00811456"/>
    <w:rsid w:val="00812149"/>
    <w:rsid w:val="00812CAC"/>
    <w:rsid w:val="00813588"/>
    <w:rsid w:val="00813980"/>
    <w:rsid w:val="00814279"/>
    <w:rsid w:val="0081494D"/>
    <w:rsid w:val="00815034"/>
    <w:rsid w:val="008158F4"/>
    <w:rsid w:val="00816361"/>
    <w:rsid w:val="008166EF"/>
    <w:rsid w:val="00816FEF"/>
    <w:rsid w:val="008172D3"/>
    <w:rsid w:val="0081799A"/>
    <w:rsid w:val="00817A00"/>
    <w:rsid w:val="008202F4"/>
    <w:rsid w:val="00820A8C"/>
    <w:rsid w:val="00820F8F"/>
    <w:rsid w:val="0082147C"/>
    <w:rsid w:val="008215AB"/>
    <w:rsid w:val="008215FB"/>
    <w:rsid w:val="00821DD1"/>
    <w:rsid w:val="0082211B"/>
    <w:rsid w:val="0082237E"/>
    <w:rsid w:val="00822417"/>
    <w:rsid w:val="0082260D"/>
    <w:rsid w:val="00822703"/>
    <w:rsid w:val="008229E8"/>
    <w:rsid w:val="00822F02"/>
    <w:rsid w:val="00823174"/>
    <w:rsid w:val="008231EF"/>
    <w:rsid w:val="008232A6"/>
    <w:rsid w:val="008237CF"/>
    <w:rsid w:val="00823EAB"/>
    <w:rsid w:val="00824289"/>
    <w:rsid w:val="00824619"/>
    <w:rsid w:val="008249C3"/>
    <w:rsid w:val="00825751"/>
    <w:rsid w:val="0082636B"/>
    <w:rsid w:val="008264EB"/>
    <w:rsid w:val="00826ADB"/>
    <w:rsid w:val="0083162B"/>
    <w:rsid w:val="008325F3"/>
    <w:rsid w:val="00833B05"/>
    <w:rsid w:val="00834357"/>
    <w:rsid w:val="008346E1"/>
    <w:rsid w:val="00834C4B"/>
    <w:rsid w:val="00835960"/>
    <w:rsid w:val="00835A3E"/>
    <w:rsid w:val="008362B4"/>
    <w:rsid w:val="008371B9"/>
    <w:rsid w:val="00837DEA"/>
    <w:rsid w:val="00840CA2"/>
    <w:rsid w:val="00841028"/>
    <w:rsid w:val="008427BD"/>
    <w:rsid w:val="00842A74"/>
    <w:rsid w:val="00843726"/>
    <w:rsid w:val="0084374F"/>
    <w:rsid w:val="00843C9D"/>
    <w:rsid w:val="00844A22"/>
    <w:rsid w:val="008461BE"/>
    <w:rsid w:val="0084662A"/>
    <w:rsid w:val="008468F5"/>
    <w:rsid w:val="00847703"/>
    <w:rsid w:val="008477DF"/>
    <w:rsid w:val="00847BFD"/>
    <w:rsid w:val="00847DF5"/>
    <w:rsid w:val="008502C7"/>
    <w:rsid w:val="00850546"/>
    <w:rsid w:val="00850592"/>
    <w:rsid w:val="00852696"/>
    <w:rsid w:val="00852BA1"/>
    <w:rsid w:val="00852E86"/>
    <w:rsid w:val="0085309D"/>
    <w:rsid w:val="00853FA8"/>
    <w:rsid w:val="0085466C"/>
    <w:rsid w:val="00856897"/>
    <w:rsid w:val="00856E9A"/>
    <w:rsid w:val="00857A54"/>
    <w:rsid w:val="0086074D"/>
    <w:rsid w:val="0086075D"/>
    <w:rsid w:val="00860958"/>
    <w:rsid w:val="00860ACC"/>
    <w:rsid w:val="00860DF2"/>
    <w:rsid w:val="008612F7"/>
    <w:rsid w:val="0086130D"/>
    <w:rsid w:val="00861ABE"/>
    <w:rsid w:val="00862502"/>
    <w:rsid w:val="0086273E"/>
    <w:rsid w:val="00862C68"/>
    <w:rsid w:val="00862CC1"/>
    <w:rsid w:val="00863233"/>
    <w:rsid w:val="00863D85"/>
    <w:rsid w:val="00864391"/>
    <w:rsid w:val="00864590"/>
    <w:rsid w:val="008650E6"/>
    <w:rsid w:val="008660D4"/>
    <w:rsid w:val="00866780"/>
    <w:rsid w:val="00866A27"/>
    <w:rsid w:val="00866FFF"/>
    <w:rsid w:val="00867CCD"/>
    <w:rsid w:val="008704B4"/>
    <w:rsid w:val="00871FA9"/>
    <w:rsid w:val="0087284B"/>
    <w:rsid w:val="008728E9"/>
    <w:rsid w:val="008735C8"/>
    <w:rsid w:val="00873925"/>
    <w:rsid w:val="00875363"/>
    <w:rsid w:val="00875581"/>
    <w:rsid w:val="00875D1D"/>
    <w:rsid w:val="00877AAB"/>
    <w:rsid w:val="008801EE"/>
    <w:rsid w:val="00880248"/>
    <w:rsid w:val="0088119E"/>
    <w:rsid w:val="0088195B"/>
    <w:rsid w:val="00881EFB"/>
    <w:rsid w:val="00882874"/>
    <w:rsid w:val="00882AFF"/>
    <w:rsid w:val="00882E3C"/>
    <w:rsid w:val="008832AE"/>
    <w:rsid w:val="00883787"/>
    <w:rsid w:val="00884B92"/>
    <w:rsid w:val="008854F3"/>
    <w:rsid w:val="008855E4"/>
    <w:rsid w:val="00886CD2"/>
    <w:rsid w:val="008900AF"/>
    <w:rsid w:val="008917B5"/>
    <w:rsid w:val="00891BED"/>
    <w:rsid w:val="00891E6F"/>
    <w:rsid w:val="008922B5"/>
    <w:rsid w:val="00892541"/>
    <w:rsid w:val="008925ED"/>
    <w:rsid w:val="0089270C"/>
    <w:rsid w:val="0089275D"/>
    <w:rsid w:val="00892A36"/>
    <w:rsid w:val="00893239"/>
    <w:rsid w:val="008938ED"/>
    <w:rsid w:val="00894489"/>
    <w:rsid w:val="00894992"/>
    <w:rsid w:val="0089557A"/>
    <w:rsid w:val="0089579A"/>
    <w:rsid w:val="008963A5"/>
    <w:rsid w:val="00896D5D"/>
    <w:rsid w:val="008A20A9"/>
    <w:rsid w:val="008A3363"/>
    <w:rsid w:val="008A3371"/>
    <w:rsid w:val="008A39D7"/>
    <w:rsid w:val="008A3C3E"/>
    <w:rsid w:val="008A4F68"/>
    <w:rsid w:val="008A500A"/>
    <w:rsid w:val="008A79DE"/>
    <w:rsid w:val="008B0F85"/>
    <w:rsid w:val="008B15C1"/>
    <w:rsid w:val="008B1757"/>
    <w:rsid w:val="008B3642"/>
    <w:rsid w:val="008B4603"/>
    <w:rsid w:val="008B54F7"/>
    <w:rsid w:val="008B5C0D"/>
    <w:rsid w:val="008B62E0"/>
    <w:rsid w:val="008B6AD6"/>
    <w:rsid w:val="008B6E54"/>
    <w:rsid w:val="008B7992"/>
    <w:rsid w:val="008B7A0B"/>
    <w:rsid w:val="008B7D7E"/>
    <w:rsid w:val="008C101F"/>
    <w:rsid w:val="008C2568"/>
    <w:rsid w:val="008C360D"/>
    <w:rsid w:val="008C4704"/>
    <w:rsid w:val="008C497E"/>
    <w:rsid w:val="008C5610"/>
    <w:rsid w:val="008C5739"/>
    <w:rsid w:val="008C591A"/>
    <w:rsid w:val="008C6509"/>
    <w:rsid w:val="008C700F"/>
    <w:rsid w:val="008C7620"/>
    <w:rsid w:val="008C7E74"/>
    <w:rsid w:val="008C7ECB"/>
    <w:rsid w:val="008D022F"/>
    <w:rsid w:val="008D02DC"/>
    <w:rsid w:val="008D0879"/>
    <w:rsid w:val="008D0B24"/>
    <w:rsid w:val="008D0B8F"/>
    <w:rsid w:val="008D170F"/>
    <w:rsid w:val="008D3056"/>
    <w:rsid w:val="008D3267"/>
    <w:rsid w:val="008D3461"/>
    <w:rsid w:val="008D3B86"/>
    <w:rsid w:val="008D3E82"/>
    <w:rsid w:val="008D3F29"/>
    <w:rsid w:val="008D4755"/>
    <w:rsid w:val="008D4C3D"/>
    <w:rsid w:val="008D5713"/>
    <w:rsid w:val="008D5AB1"/>
    <w:rsid w:val="008D5C87"/>
    <w:rsid w:val="008D743C"/>
    <w:rsid w:val="008D7A4F"/>
    <w:rsid w:val="008E0644"/>
    <w:rsid w:val="008E089A"/>
    <w:rsid w:val="008E0D3C"/>
    <w:rsid w:val="008E1B9E"/>
    <w:rsid w:val="008E21A2"/>
    <w:rsid w:val="008E37E9"/>
    <w:rsid w:val="008E396E"/>
    <w:rsid w:val="008E43AD"/>
    <w:rsid w:val="008E55AB"/>
    <w:rsid w:val="008F043A"/>
    <w:rsid w:val="008F120A"/>
    <w:rsid w:val="008F27E0"/>
    <w:rsid w:val="008F35E4"/>
    <w:rsid w:val="008F48EB"/>
    <w:rsid w:val="008F4DE5"/>
    <w:rsid w:val="008F4F0B"/>
    <w:rsid w:val="008F54B8"/>
    <w:rsid w:val="008F566E"/>
    <w:rsid w:val="008F5F0B"/>
    <w:rsid w:val="0090050C"/>
    <w:rsid w:val="00900889"/>
    <w:rsid w:val="00901A72"/>
    <w:rsid w:val="00901ADC"/>
    <w:rsid w:val="00902B12"/>
    <w:rsid w:val="00903B2D"/>
    <w:rsid w:val="00903FC3"/>
    <w:rsid w:val="009046C4"/>
    <w:rsid w:val="009062A5"/>
    <w:rsid w:val="00907594"/>
    <w:rsid w:val="009075FC"/>
    <w:rsid w:val="00907932"/>
    <w:rsid w:val="00910053"/>
    <w:rsid w:val="0091030A"/>
    <w:rsid w:val="0091041E"/>
    <w:rsid w:val="00910E6A"/>
    <w:rsid w:val="00910FA7"/>
    <w:rsid w:val="0091114D"/>
    <w:rsid w:val="00911272"/>
    <w:rsid w:val="00912446"/>
    <w:rsid w:val="00912672"/>
    <w:rsid w:val="009129E9"/>
    <w:rsid w:val="009135D6"/>
    <w:rsid w:val="009139D4"/>
    <w:rsid w:val="0091496B"/>
    <w:rsid w:val="00914C77"/>
    <w:rsid w:val="00915E8A"/>
    <w:rsid w:val="00916D6B"/>
    <w:rsid w:val="00916F0A"/>
    <w:rsid w:val="0091763B"/>
    <w:rsid w:val="0092010C"/>
    <w:rsid w:val="00921ACB"/>
    <w:rsid w:val="00922D66"/>
    <w:rsid w:val="0092369B"/>
    <w:rsid w:val="00924C1B"/>
    <w:rsid w:val="00924F4D"/>
    <w:rsid w:val="00930109"/>
    <w:rsid w:val="00931060"/>
    <w:rsid w:val="00931685"/>
    <w:rsid w:val="00932814"/>
    <w:rsid w:val="00933287"/>
    <w:rsid w:val="00933544"/>
    <w:rsid w:val="0093383B"/>
    <w:rsid w:val="00933A91"/>
    <w:rsid w:val="00934988"/>
    <w:rsid w:val="00934D63"/>
    <w:rsid w:val="00935E1A"/>
    <w:rsid w:val="00936505"/>
    <w:rsid w:val="00936773"/>
    <w:rsid w:val="00936A8E"/>
    <w:rsid w:val="00937089"/>
    <w:rsid w:val="009372AA"/>
    <w:rsid w:val="00937C86"/>
    <w:rsid w:val="00937EEC"/>
    <w:rsid w:val="009401F2"/>
    <w:rsid w:val="00941C5C"/>
    <w:rsid w:val="009420AC"/>
    <w:rsid w:val="0094252F"/>
    <w:rsid w:val="009426CB"/>
    <w:rsid w:val="00942D3D"/>
    <w:rsid w:val="00944E19"/>
    <w:rsid w:val="00944F8A"/>
    <w:rsid w:val="00946528"/>
    <w:rsid w:val="00950FFD"/>
    <w:rsid w:val="009510A2"/>
    <w:rsid w:val="0095121C"/>
    <w:rsid w:val="00952720"/>
    <w:rsid w:val="00953257"/>
    <w:rsid w:val="00953477"/>
    <w:rsid w:val="0095474C"/>
    <w:rsid w:val="00955983"/>
    <w:rsid w:val="00956581"/>
    <w:rsid w:val="00957002"/>
    <w:rsid w:val="00957E36"/>
    <w:rsid w:val="009603A6"/>
    <w:rsid w:val="00961089"/>
    <w:rsid w:val="00961513"/>
    <w:rsid w:val="009617FB"/>
    <w:rsid w:val="00961B6D"/>
    <w:rsid w:val="00961E56"/>
    <w:rsid w:val="009624F3"/>
    <w:rsid w:val="00962CB9"/>
    <w:rsid w:val="009634B5"/>
    <w:rsid w:val="00964312"/>
    <w:rsid w:val="009649DD"/>
    <w:rsid w:val="009659EC"/>
    <w:rsid w:val="00965B8A"/>
    <w:rsid w:val="009661FF"/>
    <w:rsid w:val="00966496"/>
    <w:rsid w:val="00966666"/>
    <w:rsid w:val="00966E11"/>
    <w:rsid w:val="0097071F"/>
    <w:rsid w:val="009717AC"/>
    <w:rsid w:val="00972244"/>
    <w:rsid w:val="00972299"/>
    <w:rsid w:val="009728EB"/>
    <w:rsid w:val="00972EF5"/>
    <w:rsid w:val="00973EB3"/>
    <w:rsid w:val="00974E3C"/>
    <w:rsid w:val="0097511C"/>
    <w:rsid w:val="009751C1"/>
    <w:rsid w:val="00976AFF"/>
    <w:rsid w:val="00976FC1"/>
    <w:rsid w:val="0098018A"/>
    <w:rsid w:val="009811F1"/>
    <w:rsid w:val="00981380"/>
    <w:rsid w:val="009813B5"/>
    <w:rsid w:val="00981E45"/>
    <w:rsid w:val="00982285"/>
    <w:rsid w:val="0098311A"/>
    <w:rsid w:val="00983E57"/>
    <w:rsid w:val="00983EB8"/>
    <w:rsid w:val="00984191"/>
    <w:rsid w:val="00984906"/>
    <w:rsid w:val="0098578A"/>
    <w:rsid w:val="00985DE2"/>
    <w:rsid w:val="00986454"/>
    <w:rsid w:val="00986651"/>
    <w:rsid w:val="0098675D"/>
    <w:rsid w:val="0098681B"/>
    <w:rsid w:val="00986C04"/>
    <w:rsid w:val="00987240"/>
    <w:rsid w:val="00987642"/>
    <w:rsid w:val="00990A4E"/>
    <w:rsid w:val="00990CCB"/>
    <w:rsid w:val="00991664"/>
    <w:rsid w:val="00991719"/>
    <w:rsid w:val="00991956"/>
    <w:rsid w:val="00992586"/>
    <w:rsid w:val="009926E0"/>
    <w:rsid w:val="00992A6E"/>
    <w:rsid w:val="0099378F"/>
    <w:rsid w:val="00993C9C"/>
    <w:rsid w:val="009940E1"/>
    <w:rsid w:val="0099451E"/>
    <w:rsid w:val="00995940"/>
    <w:rsid w:val="00996B1A"/>
    <w:rsid w:val="009970A0"/>
    <w:rsid w:val="00997608"/>
    <w:rsid w:val="00997FD6"/>
    <w:rsid w:val="009A0BFE"/>
    <w:rsid w:val="009A0C36"/>
    <w:rsid w:val="009A13F8"/>
    <w:rsid w:val="009A1D47"/>
    <w:rsid w:val="009A2DCC"/>
    <w:rsid w:val="009A31D4"/>
    <w:rsid w:val="009A3B09"/>
    <w:rsid w:val="009A5ABC"/>
    <w:rsid w:val="009A73F7"/>
    <w:rsid w:val="009A7E56"/>
    <w:rsid w:val="009A7F10"/>
    <w:rsid w:val="009B015F"/>
    <w:rsid w:val="009B0267"/>
    <w:rsid w:val="009B06C2"/>
    <w:rsid w:val="009B0C51"/>
    <w:rsid w:val="009B0F50"/>
    <w:rsid w:val="009B188D"/>
    <w:rsid w:val="009B1C47"/>
    <w:rsid w:val="009B2AC1"/>
    <w:rsid w:val="009B2C86"/>
    <w:rsid w:val="009B3E26"/>
    <w:rsid w:val="009B4A8F"/>
    <w:rsid w:val="009B551F"/>
    <w:rsid w:val="009B5A1E"/>
    <w:rsid w:val="009B6408"/>
    <w:rsid w:val="009B7EB4"/>
    <w:rsid w:val="009C00B5"/>
    <w:rsid w:val="009C1E13"/>
    <w:rsid w:val="009C2336"/>
    <w:rsid w:val="009C34C3"/>
    <w:rsid w:val="009C3706"/>
    <w:rsid w:val="009C3A3A"/>
    <w:rsid w:val="009C510F"/>
    <w:rsid w:val="009C5C57"/>
    <w:rsid w:val="009C5D4F"/>
    <w:rsid w:val="009C6CEA"/>
    <w:rsid w:val="009C7B85"/>
    <w:rsid w:val="009D0254"/>
    <w:rsid w:val="009D0BBF"/>
    <w:rsid w:val="009D0DFE"/>
    <w:rsid w:val="009D1053"/>
    <w:rsid w:val="009D1214"/>
    <w:rsid w:val="009D19E2"/>
    <w:rsid w:val="009D1A64"/>
    <w:rsid w:val="009D2E2A"/>
    <w:rsid w:val="009D3B96"/>
    <w:rsid w:val="009D50C4"/>
    <w:rsid w:val="009D51F9"/>
    <w:rsid w:val="009D56CA"/>
    <w:rsid w:val="009D5AAF"/>
    <w:rsid w:val="009D5B91"/>
    <w:rsid w:val="009D657C"/>
    <w:rsid w:val="009D69A0"/>
    <w:rsid w:val="009D792E"/>
    <w:rsid w:val="009D7AF8"/>
    <w:rsid w:val="009D7DCA"/>
    <w:rsid w:val="009E0DFE"/>
    <w:rsid w:val="009E1339"/>
    <w:rsid w:val="009E31F6"/>
    <w:rsid w:val="009E33CE"/>
    <w:rsid w:val="009E33F6"/>
    <w:rsid w:val="009E4C07"/>
    <w:rsid w:val="009E5854"/>
    <w:rsid w:val="009F0F3D"/>
    <w:rsid w:val="009F1902"/>
    <w:rsid w:val="009F38D1"/>
    <w:rsid w:val="009F44B5"/>
    <w:rsid w:val="009F5354"/>
    <w:rsid w:val="009F5B78"/>
    <w:rsid w:val="009F6043"/>
    <w:rsid w:val="009F6A8E"/>
    <w:rsid w:val="009F6B36"/>
    <w:rsid w:val="009F6C18"/>
    <w:rsid w:val="00A00368"/>
    <w:rsid w:val="00A00CD3"/>
    <w:rsid w:val="00A01184"/>
    <w:rsid w:val="00A030F8"/>
    <w:rsid w:val="00A037C2"/>
    <w:rsid w:val="00A03D43"/>
    <w:rsid w:val="00A04380"/>
    <w:rsid w:val="00A04615"/>
    <w:rsid w:val="00A04948"/>
    <w:rsid w:val="00A05472"/>
    <w:rsid w:val="00A0561E"/>
    <w:rsid w:val="00A05C32"/>
    <w:rsid w:val="00A05EE5"/>
    <w:rsid w:val="00A0653F"/>
    <w:rsid w:val="00A06A2F"/>
    <w:rsid w:val="00A072F1"/>
    <w:rsid w:val="00A075E2"/>
    <w:rsid w:val="00A07773"/>
    <w:rsid w:val="00A07C10"/>
    <w:rsid w:val="00A07D1F"/>
    <w:rsid w:val="00A11636"/>
    <w:rsid w:val="00A11CD0"/>
    <w:rsid w:val="00A12415"/>
    <w:rsid w:val="00A1242F"/>
    <w:rsid w:val="00A126F0"/>
    <w:rsid w:val="00A12B78"/>
    <w:rsid w:val="00A13851"/>
    <w:rsid w:val="00A13948"/>
    <w:rsid w:val="00A139B7"/>
    <w:rsid w:val="00A13E49"/>
    <w:rsid w:val="00A14E7C"/>
    <w:rsid w:val="00A14F7A"/>
    <w:rsid w:val="00A15226"/>
    <w:rsid w:val="00A1555B"/>
    <w:rsid w:val="00A155C5"/>
    <w:rsid w:val="00A16511"/>
    <w:rsid w:val="00A166FD"/>
    <w:rsid w:val="00A16AD8"/>
    <w:rsid w:val="00A17635"/>
    <w:rsid w:val="00A204AC"/>
    <w:rsid w:val="00A2054F"/>
    <w:rsid w:val="00A21001"/>
    <w:rsid w:val="00A21BAA"/>
    <w:rsid w:val="00A21C95"/>
    <w:rsid w:val="00A21CF3"/>
    <w:rsid w:val="00A22707"/>
    <w:rsid w:val="00A22CC9"/>
    <w:rsid w:val="00A23552"/>
    <w:rsid w:val="00A24813"/>
    <w:rsid w:val="00A26C8D"/>
    <w:rsid w:val="00A27AEC"/>
    <w:rsid w:val="00A313EB"/>
    <w:rsid w:val="00A3189A"/>
    <w:rsid w:val="00A31A2D"/>
    <w:rsid w:val="00A31AE1"/>
    <w:rsid w:val="00A320DB"/>
    <w:rsid w:val="00A327BF"/>
    <w:rsid w:val="00A3362F"/>
    <w:rsid w:val="00A342B9"/>
    <w:rsid w:val="00A34BD3"/>
    <w:rsid w:val="00A35D16"/>
    <w:rsid w:val="00A35E29"/>
    <w:rsid w:val="00A36EB0"/>
    <w:rsid w:val="00A378AE"/>
    <w:rsid w:val="00A37BCD"/>
    <w:rsid w:val="00A4092D"/>
    <w:rsid w:val="00A41180"/>
    <w:rsid w:val="00A41689"/>
    <w:rsid w:val="00A419A6"/>
    <w:rsid w:val="00A42592"/>
    <w:rsid w:val="00A42B16"/>
    <w:rsid w:val="00A4395B"/>
    <w:rsid w:val="00A43C59"/>
    <w:rsid w:val="00A43CEF"/>
    <w:rsid w:val="00A45301"/>
    <w:rsid w:val="00A4568A"/>
    <w:rsid w:val="00A45721"/>
    <w:rsid w:val="00A45E47"/>
    <w:rsid w:val="00A462B1"/>
    <w:rsid w:val="00A467A0"/>
    <w:rsid w:val="00A50ECD"/>
    <w:rsid w:val="00A518F3"/>
    <w:rsid w:val="00A51910"/>
    <w:rsid w:val="00A52729"/>
    <w:rsid w:val="00A53258"/>
    <w:rsid w:val="00A53490"/>
    <w:rsid w:val="00A53675"/>
    <w:rsid w:val="00A53741"/>
    <w:rsid w:val="00A53863"/>
    <w:rsid w:val="00A53CAA"/>
    <w:rsid w:val="00A53DAA"/>
    <w:rsid w:val="00A55437"/>
    <w:rsid w:val="00A55915"/>
    <w:rsid w:val="00A560F0"/>
    <w:rsid w:val="00A564D7"/>
    <w:rsid w:val="00A56B6A"/>
    <w:rsid w:val="00A5766E"/>
    <w:rsid w:val="00A5788B"/>
    <w:rsid w:val="00A578DC"/>
    <w:rsid w:val="00A57C50"/>
    <w:rsid w:val="00A61EAA"/>
    <w:rsid w:val="00A6234C"/>
    <w:rsid w:val="00A62CCD"/>
    <w:rsid w:val="00A640E2"/>
    <w:rsid w:val="00A64B5C"/>
    <w:rsid w:val="00A64D65"/>
    <w:rsid w:val="00A654C8"/>
    <w:rsid w:val="00A6558A"/>
    <w:rsid w:val="00A65EC0"/>
    <w:rsid w:val="00A662A0"/>
    <w:rsid w:val="00A6687F"/>
    <w:rsid w:val="00A6725B"/>
    <w:rsid w:val="00A70605"/>
    <w:rsid w:val="00A727FE"/>
    <w:rsid w:val="00A72CA3"/>
    <w:rsid w:val="00A73134"/>
    <w:rsid w:val="00A73160"/>
    <w:rsid w:val="00A736E3"/>
    <w:rsid w:val="00A740D8"/>
    <w:rsid w:val="00A7540E"/>
    <w:rsid w:val="00A758CB"/>
    <w:rsid w:val="00A75FAE"/>
    <w:rsid w:val="00A76001"/>
    <w:rsid w:val="00A76788"/>
    <w:rsid w:val="00A76AD9"/>
    <w:rsid w:val="00A772A7"/>
    <w:rsid w:val="00A7747B"/>
    <w:rsid w:val="00A775CA"/>
    <w:rsid w:val="00A7775C"/>
    <w:rsid w:val="00A777B2"/>
    <w:rsid w:val="00A7792D"/>
    <w:rsid w:val="00A77A6B"/>
    <w:rsid w:val="00A77F4D"/>
    <w:rsid w:val="00A80D60"/>
    <w:rsid w:val="00A81D1A"/>
    <w:rsid w:val="00A82086"/>
    <w:rsid w:val="00A825D4"/>
    <w:rsid w:val="00A828F6"/>
    <w:rsid w:val="00A829BE"/>
    <w:rsid w:val="00A82B73"/>
    <w:rsid w:val="00A82BF5"/>
    <w:rsid w:val="00A846E2"/>
    <w:rsid w:val="00A85BFA"/>
    <w:rsid w:val="00A86E8B"/>
    <w:rsid w:val="00A86F90"/>
    <w:rsid w:val="00A87164"/>
    <w:rsid w:val="00A87455"/>
    <w:rsid w:val="00A87A3A"/>
    <w:rsid w:val="00A900F9"/>
    <w:rsid w:val="00A9062A"/>
    <w:rsid w:val="00A910A3"/>
    <w:rsid w:val="00A9158E"/>
    <w:rsid w:val="00A924C8"/>
    <w:rsid w:val="00A93072"/>
    <w:rsid w:val="00A938BD"/>
    <w:rsid w:val="00A93953"/>
    <w:rsid w:val="00A93A70"/>
    <w:rsid w:val="00A93E6E"/>
    <w:rsid w:val="00A941CA"/>
    <w:rsid w:val="00A9459D"/>
    <w:rsid w:val="00A94EE6"/>
    <w:rsid w:val="00A95867"/>
    <w:rsid w:val="00A959D8"/>
    <w:rsid w:val="00A95CAE"/>
    <w:rsid w:val="00A97888"/>
    <w:rsid w:val="00A97D53"/>
    <w:rsid w:val="00AA0613"/>
    <w:rsid w:val="00AA077D"/>
    <w:rsid w:val="00AA113D"/>
    <w:rsid w:val="00AA218B"/>
    <w:rsid w:val="00AA3DE5"/>
    <w:rsid w:val="00AA4F67"/>
    <w:rsid w:val="00AA6788"/>
    <w:rsid w:val="00AA6BD5"/>
    <w:rsid w:val="00AA6BD8"/>
    <w:rsid w:val="00AA6C7D"/>
    <w:rsid w:val="00AA7FD6"/>
    <w:rsid w:val="00AB00CB"/>
    <w:rsid w:val="00AB042A"/>
    <w:rsid w:val="00AB0CAB"/>
    <w:rsid w:val="00AB1164"/>
    <w:rsid w:val="00AB1310"/>
    <w:rsid w:val="00AB19EF"/>
    <w:rsid w:val="00AB1A63"/>
    <w:rsid w:val="00AB1A87"/>
    <w:rsid w:val="00AB1F4E"/>
    <w:rsid w:val="00AB2A28"/>
    <w:rsid w:val="00AB2A30"/>
    <w:rsid w:val="00AB2D34"/>
    <w:rsid w:val="00AB3430"/>
    <w:rsid w:val="00AB37B9"/>
    <w:rsid w:val="00AB4786"/>
    <w:rsid w:val="00AB4972"/>
    <w:rsid w:val="00AB49D4"/>
    <w:rsid w:val="00AB4AD1"/>
    <w:rsid w:val="00AB4DA6"/>
    <w:rsid w:val="00AB581A"/>
    <w:rsid w:val="00AB58ED"/>
    <w:rsid w:val="00AB5E07"/>
    <w:rsid w:val="00AB79BB"/>
    <w:rsid w:val="00AB7CFA"/>
    <w:rsid w:val="00AC1FAF"/>
    <w:rsid w:val="00AC3C3E"/>
    <w:rsid w:val="00AC4361"/>
    <w:rsid w:val="00AC4F99"/>
    <w:rsid w:val="00AC5B48"/>
    <w:rsid w:val="00AC5C61"/>
    <w:rsid w:val="00AC6713"/>
    <w:rsid w:val="00AC74C2"/>
    <w:rsid w:val="00AD1450"/>
    <w:rsid w:val="00AD1A1C"/>
    <w:rsid w:val="00AD1FDF"/>
    <w:rsid w:val="00AD25D1"/>
    <w:rsid w:val="00AD2892"/>
    <w:rsid w:val="00AD29DE"/>
    <w:rsid w:val="00AD34E5"/>
    <w:rsid w:val="00AD3799"/>
    <w:rsid w:val="00AD46CC"/>
    <w:rsid w:val="00AD6502"/>
    <w:rsid w:val="00AD693C"/>
    <w:rsid w:val="00AD6E8A"/>
    <w:rsid w:val="00AD75FE"/>
    <w:rsid w:val="00AD7975"/>
    <w:rsid w:val="00AD7EF8"/>
    <w:rsid w:val="00AE0695"/>
    <w:rsid w:val="00AE17FE"/>
    <w:rsid w:val="00AE1A61"/>
    <w:rsid w:val="00AE269C"/>
    <w:rsid w:val="00AE3E7E"/>
    <w:rsid w:val="00AE4EB8"/>
    <w:rsid w:val="00AE5318"/>
    <w:rsid w:val="00AE5E56"/>
    <w:rsid w:val="00AE6322"/>
    <w:rsid w:val="00AE7205"/>
    <w:rsid w:val="00AF07ED"/>
    <w:rsid w:val="00AF0E02"/>
    <w:rsid w:val="00AF1315"/>
    <w:rsid w:val="00AF19BF"/>
    <w:rsid w:val="00AF1BCC"/>
    <w:rsid w:val="00AF1D85"/>
    <w:rsid w:val="00AF224F"/>
    <w:rsid w:val="00AF263C"/>
    <w:rsid w:val="00AF2DC3"/>
    <w:rsid w:val="00AF32FA"/>
    <w:rsid w:val="00AF3E0A"/>
    <w:rsid w:val="00AF4BF2"/>
    <w:rsid w:val="00AF51AC"/>
    <w:rsid w:val="00AF5F1A"/>
    <w:rsid w:val="00AF77A4"/>
    <w:rsid w:val="00B00C44"/>
    <w:rsid w:val="00B013D3"/>
    <w:rsid w:val="00B015EF"/>
    <w:rsid w:val="00B01D3A"/>
    <w:rsid w:val="00B0272C"/>
    <w:rsid w:val="00B033E5"/>
    <w:rsid w:val="00B03960"/>
    <w:rsid w:val="00B03A63"/>
    <w:rsid w:val="00B05DD7"/>
    <w:rsid w:val="00B0608C"/>
    <w:rsid w:val="00B13D9E"/>
    <w:rsid w:val="00B1440C"/>
    <w:rsid w:val="00B14D4C"/>
    <w:rsid w:val="00B14ECB"/>
    <w:rsid w:val="00B14F8C"/>
    <w:rsid w:val="00B16D4A"/>
    <w:rsid w:val="00B178E7"/>
    <w:rsid w:val="00B201A4"/>
    <w:rsid w:val="00B201D1"/>
    <w:rsid w:val="00B205DE"/>
    <w:rsid w:val="00B2073D"/>
    <w:rsid w:val="00B2079C"/>
    <w:rsid w:val="00B209CD"/>
    <w:rsid w:val="00B213A6"/>
    <w:rsid w:val="00B219BE"/>
    <w:rsid w:val="00B22165"/>
    <w:rsid w:val="00B2222E"/>
    <w:rsid w:val="00B23460"/>
    <w:rsid w:val="00B235B0"/>
    <w:rsid w:val="00B23FBC"/>
    <w:rsid w:val="00B24DF6"/>
    <w:rsid w:val="00B2501A"/>
    <w:rsid w:val="00B251C2"/>
    <w:rsid w:val="00B25E46"/>
    <w:rsid w:val="00B26C2D"/>
    <w:rsid w:val="00B27893"/>
    <w:rsid w:val="00B3160D"/>
    <w:rsid w:val="00B317F8"/>
    <w:rsid w:val="00B34FE2"/>
    <w:rsid w:val="00B35166"/>
    <w:rsid w:val="00B35192"/>
    <w:rsid w:val="00B356E5"/>
    <w:rsid w:val="00B357D8"/>
    <w:rsid w:val="00B35B0B"/>
    <w:rsid w:val="00B35D65"/>
    <w:rsid w:val="00B360F4"/>
    <w:rsid w:val="00B365BE"/>
    <w:rsid w:val="00B36A00"/>
    <w:rsid w:val="00B37955"/>
    <w:rsid w:val="00B37BFC"/>
    <w:rsid w:val="00B37F5E"/>
    <w:rsid w:val="00B40358"/>
    <w:rsid w:val="00B41614"/>
    <w:rsid w:val="00B4182D"/>
    <w:rsid w:val="00B42851"/>
    <w:rsid w:val="00B42F80"/>
    <w:rsid w:val="00B435CB"/>
    <w:rsid w:val="00B455D5"/>
    <w:rsid w:val="00B457DD"/>
    <w:rsid w:val="00B45B6E"/>
    <w:rsid w:val="00B466EE"/>
    <w:rsid w:val="00B47788"/>
    <w:rsid w:val="00B505C8"/>
    <w:rsid w:val="00B50628"/>
    <w:rsid w:val="00B50DB8"/>
    <w:rsid w:val="00B5124C"/>
    <w:rsid w:val="00B52A5D"/>
    <w:rsid w:val="00B52B08"/>
    <w:rsid w:val="00B53654"/>
    <w:rsid w:val="00B53905"/>
    <w:rsid w:val="00B539D7"/>
    <w:rsid w:val="00B5487A"/>
    <w:rsid w:val="00B54B5B"/>
    <w:rsid w:val="00B5562E"/>
    <w:rsid w:val="00B55D65"/>
    <w:rsid w:val="00B56591"/>
    <w:rsid w:val="00B57000"/>
    <w:rsid w:val="00B5753A"/>
    <w:rsid w:val="00B602EE"/>
    <w:rsid w:val="00B60939"/>
    <w:rsid w:val="00B60AFD"/>
    <w:rsid w:val="00B62598"/>
    <w:rsid w:val="00B62715"/>
    <w:rsid w:val="00B63219"/>
    <w:rsid w:val="00B640B5"/>
    <w:rsid w:val="00B64D08"/>
    <w:rsid w:val="00B65611"/>
    <w:rsid w:val="00B66919"/>
    <w:rsid w:val="00B67F20"/>
    <w:rsid w:val="00B70E8E"/>
    <w:rsid w:val="00B70FDE"/>
    <w:rsid w:val="00B71E05"/>
    <w:rsid w:val="00B72BB4"/>
    <w:rsid w:val="00B732BD"/>
    <w:rsid w:val="00B7401C"/>
    <w:rsid w:val="00B74811"/>
    <w:rsid w:val="00B757F9"/>
    <w:rsid w:val="00B76C92"/>
    <w:rsid w:val="00B76F83"/>
    <w:rsid w:val="00B77EEF"/>
    <w:rsid w:val="00B811DC"/>
    <w:rsid w:val="00B8139F"/>
    <w:rsid w:val="00B813BB"/>
    <w:rsid w:val="00B81626"/>
    <w:rsid w:val="00B8182E"/>
    <w:rsid w:val="00B818A4"/>
    <w:rsid w:val="00B823E4"/>
    <w:rsid w:val="00B8270A"/>
    <w:rsid w:val="00B82EA9"/>
    <w:rsid w:val="00B83BCC"/>
    <w:rsid w:val="00B83BF3"/>
    <w:rsid w:val="00B84117"/>
    <w:rsid w:val="00B84D42"/>
    <w:rsid w:val="00B8507F"/>
    <w:rsid w:val="00B858F0"/>
    <w:rsid w:val="00B85AA2"/>
    <w:rsid w:val="00B8642A"/>
    <w:rsid w:val="00B8649C"/>
    <w:rsid w:val="00B8695D"/>
    <w:rsid w:val="00B87699"/>
    <w:rsid w:val="00B87F0A"/>
    <w:rsid w:val="00B90821"/>
    <w:rsid w:val="00B90FE6"/>
    <w:rsid w:val="00B92191"/>
    <w:rsid w:val="00B9262B"/>
    <w:rsid w:val="00B92D0B"/>
    <w:rsid w:val="00B93173"/>
    <w:rsid w:val="00B9331A"/>
    <w:rsid w:val="00B93D9C"/>
    <w:rsid w:val="00B94945"/>
    <w:rsid w:val="00B94DD6"/>
    <w:rsid w:val="00B9526C"/>
    <w:rsid w:val="00B95353"/>
    <w:rsid w:val="00B95C4C"/>
    <w:rsid w:val="00B96B74"/>
    <w:rsid w:val="00B96C06"/>
    <w:rsid w:val="00B96C53"/>
    <w:rsid w:val="00BA0753"/>
    <w:rsid w:val="00BA2CAD"/>
    <w:rsid w:val="00BA2E55"/>
    <w:rsid w:val="00BA322D"/>
    <w:rsid w:val="00BA4002"/>
    <w:rsid w:val="00BA5DBA"/>
    <w:rsid w:val="00BA63FA"/>
    <w:rsid w:val="00BA6A2D"/>
    <w:rsid w:val="00BA7010"/>
    <w:rsid w:val="00BA7863"/>
    <w:rsid w:val="00BB00B3"/>
    <w:rsid w:val="00BB0BDD"/>
    <w:rsid w:val="00BB176C"/>
    <w:rsid w:val="00BB1FDC"/>
    <w:rsid w:val="00BB2444"/>
    <w:rsid w:val="00BB29A3"/>
    <w:rsid w:val="00BB2A73"/>
    <w:rsid w:val="00BB341E"/>
    <w:rsid w:val="00BB3A45"/>
    <w:rsid w:val="00BB3B69"/>
    <w:rsid w:val="00BB3BD9"/>
    <w:rsid w:val="00BB4ACC"/>
    <w:rsid w:val="00BB521B"/>
    <w:rsid w:val="00BB622C"/>
    <w:rsid w:val="00BB703E"/>
    <w:rsid w:val="00BB732D"/>
    <w:rsid w:val="00BB7405"/>
    <w:rsid w:val="00BB7882"/>
    <w:rsid w:val="00BC0BF2"/>
    <w:rsid w:val="00BC169A"/>
    <w:rsid w:val="00BC2023"/>
    <w:rsid w:val="00BC23D3"/>
    <w:rsid w:val="00BC34D2"/>
    <w:rsid w:val="00BC3631"/>
    <w:rsid w:val="00BC3EBA"/>
    <w:rsid w:val="00BC4680"/>
    <w:rsid w:val="00BC4B90"/>
    <w:rsid w:val="00BC52B5"/>
    <w:rsid w:val="00BC5416"/>
    <w:rsid w:val="00BC591F"/>
    <w:rsid w:val="00BC5982"/>
    <w:rsid w:val="00BC6CDB"/>
    <w:rsid w:val="00BC723C"/>
    <w:rsid w:val="00BC7689"/>
    <w:rsid w:val="00BC7884"/>
    <w:rsid w:val="00BC7D6D"/>
    <w:rsid w:val="00BD1859"/>
    <w:rsid w:val="00BD19DC"/>
    <w:rsid w:val="00BD2108"/>
    <w:rsid w:val="00BD218E"/>
    <w:rsid w:val="00BD337C"/>
    <w:rsid w:val="00BD3A23"/>
    <w:rsid w:val="00BD508A"/>
    <w:rsid w:val="00BD6348"/>
    <w:rsid w:val="00BD68A3"/>
    <w:rsid w:val="00BD6938"/>
    <w:rsid w:val="00BD6CF3"/>
    <w:rsid w:val="00BD7E08"/>
    <w:rsid w:val="00BE0ECA"/>
    <w:rsid w:val="00BE2180"/>
    <w:rsid w:val="00BE21F2"/>
    <w:rsid w:val="00BE2C22"/>
    <w:rsid w:val="00BE3CDD"/>
    <w:rsid w:val="00BE3D50"/>
    <w:rsid w:val="00BE4275"/>
    <w:rsid w:val="00BE51C9"/>
    <w:rsid w:val="00BE630F"/>
    <w:rsid w:val="00BE6FD1"/>
    <w:rsid w:val="00BE79E4"/>
    <w:rsid w:val="00BF06AE"/>
    <w:rsid w:val="00BF0F95"/>
    <w:rsid w:val="00BF1809"/>
    <w:rsid w:val="00BF18E7"/>
    <w:rsid w:val="00BF2433"/>
    <w:rsid w:val="00BF324F"/>
    <w:rsid w:val="00BF409A"/>
    <w:rsid w:val="00BF4B12"/>
    <w:rsid w:val="00BF545C"/>
    <w:rsid w:val="00BF54BF"/>
    <w:rsid w:val="00BF554B"/>
    <w:rsid w:val="00BF615D"/>
    <w:rsid w:val="00BF61C9"/>
    <w:rsid w:val="00BF6C94"/>
    <w:rsid w:val="00BF7FB1"/>
    <w:rsid w:val="00C00424"/>
    <w:rsid w:val="00C00C42"/>
    <w:rsid w:val="00C0142D"/>
    <w:rsid w:val="00C0221F"/>
    <w:rsid w:val="00C028EF"/>
    <w:rsid w:val="00C030D5"/>
    <w:rsid w:val="00C03913"/>
    <w:rsid w:val="00C0440F"/>
    <w:rsid w:val="00C05BC5"/>
    <w:rsid w:val="00C05ED5"/>
    <w:rsid w:val="00C064EC"/>
    <w:rsid w:val="00C0712F"/>
    <w:rsid w:val="00C10734"/>
    <w:rsid w:val="00C107B0"/>
    <w:rsid w:val="00C10E43"/>
    <w:rsid w:val="00C1179F"/>
    <w:rsid w:val="00C119E5"/>
    <w:rsid w:val="00C12155"/>
    <w:rsid w:val="00C12425"/>
    <w:rsid w:val="00C12C14"/>
    <w:rsid w:val="00C135E2"/>
    <w:rsid w:val="00C14150"/>
    <w:rsid w:val="00C14CAD"/>
    <w:rsid w:val="00C151D4"/>
    <w:rsid w:val="00C157A9"/>
    <w:rsid w:val="00C15F04"/>
    <w:rsid w:val="00C16F76"/>
    <w:rsid w:val="00C1746B"/>
    <w:rsid w:val="00C179B3"/>
    <w:rsid w:val="00C17C2B"/>
    <w:rsid w:val="00C17E3F"/>
    <w:rsid w:val="00C200AA"/>
    <w:rsid w:val="00C20453"/>
    <w:rsid w:val="00C20D7A"/>
    <w:rsid w:val="00C21F2D"/>
    <w:rsid w:val="00C2200E"/>
    <w:rsid w:val="00C22744"/>
    <w:rsid w:val="00C230C7"/>
    <w:rsid w:val="00C237ED"/>
    <w:rsid w:val="00C24632"/>
    <w:rsid w:val="00C25418"/>
    <w:rsid w:val="00C25BB7"/>
    <w:rsid w:val="00C25C24"/>
    <w:rsid w:val="00C25D9C"/>
    <w:rsid w:val="00C27729"/>
    <w:rsid w:val="00C2778B"/>
    <w:rsid w:val="00C27C23"/>
    <w:rsid w:val="00C30C7F"/>
    <w:rsid w:val="00C31649"/>
    <w:rsid w:val="00C317CE"/>
    <w:rsid w:val="00C3434C"/>
    <w:rsid w:val="00C34CC6"/>
    <w:rsid w:val="00C354C5"/>
    <w:rsid w:val="00C35E6A"/>
    <w:rsid w:val="00C36726"/>
    <w:rsid w:val="00C3681F"/>
    <w:rsid w:val="00C36A0E"/>
    <w:rsid w:val="00C37181"/>
    <w:rsid w:val="00C372D4"/>
    <w:rsid w:val="00C40385"/>
    <w:rsid w:val="00C40993"/>
    <w:rsid w:val="00C41768"/>
    <w:rsid w:val="00C4317A"/>
    <w:rsid w:val="00C4339E"/>
    <w:rsid w:val="00C44FA6"/>
    <w:rsid w:val="00C45086"/>
    <w:rsid w:val="00C451D9"/>
    <w:rsid w:val="00C46914"/>
    <w:rsid w:val="00C475AA"/>
    <w:rsid w:val="00C47E07"/>
    <w:rsid w:val="00C5075B"/>
    <w:rsid w:val="00C522AC"/>
    <w:rsid w:val="00C53BD0"/>
    <w:rsid w:val="00C53C0A"/>
    <w:rsid w:val="00C53C98"/>
    <w:rsid w:val="00C54651"/>
    <w:rsid w:val="00C54AE2"/>
    <w:rsid w:val="00C55617"/>
    <w:rsid w:val="00C5592E"/>
    <w:rsid w:val="00C56D67"/>
    <w:rsid w:val="00C56FCF"/>
    <w:rsid w:val="00C575DC"/>
    <w:rsid w:val="00C57B6C"/>
    <w:rsid w:val="00C61625"/>
    <w:rsid w:val="00C625A4"/>
    <w:rsid w:val="00C62626"/>
    <w:rsid w:val="00C628A6"/>
    <w:rsid w:val="00C64344"/>
    <w:rsid w:val="00C64B34"/>
    <w:rsid w:val="00C65108"/>
    <w:rsid w:val="00C65576"/>
    <w:rsid w:val="00C659F6"/>
    <w:rsid w:val="00C66165"/>
    <w:rsid w:val="00C6728A"/>
    <w:rsid w:val="00C67565"/>
    <w:rsid w:val="00C677A2"/>
    <w:rsid w:val="00C700DE"/>
    <w:rsid w:val="00C70446"/>
    <w:rsid w:val="00C7060A"/>
    <w:rsid w:val="00C70CA4"/>
    <w:rsid w:val="00C70F22"/>
    <w:rsid w:val="00C7151A"/>
    <w:rsid w:val="00C7174E"/>
    <w:rsid w:val="00C717E3"/>
    <w:rsid w:val="00C71CDB"/>
    <w:rsid w:val="00C71F60"/>
    <w:rsid w:val="00C7217B"/>
    <w:rsid w:val="00C72241"/>
    <w:rsid w:val="00C73641"/>
    <w:rsid w:val="00C750C8"/>
    <w:rsid w:val="00C7557C"/>
    <w:rsid w:val="00C7560F"/>
    <w:rsid w:val="00C7633B"/>
    <w:rsid w:val="00C77A29"/>
    <w:rsid w:val="00C8049C"/>
    <w:rsid w:val="00C80999"/>
    <w:rsid w:val="00C80A0E"/>
    <w:rsid w:val="00C8111A"/>
    <w:rsid w:val="00C81453"/>
    <w:rsid w:val="00C8213F"/>
    <w:rsid w:val="00C82B10"/>
    <w:rsid w:val="00C83622"/>
    <w:rsid w:val="00C85154"/>
    <w:rsid w:val="00C8797A"/>
    <w:rsid w:val="00C87CC4"/>
    <w:rsid w:val="00C900B8"/>
    <w:rsid w:val="00C90216"/>
    <w:rsid w:val="00C90C71"/>
    <w:rsid w:val="00C917A8"/>
    <w:rsid w:val="00C91FD1"/>
    <w:rsid w:val="00C924FD"/>
    <w:rsid w:val="00C9267C"/>
    <w:rsid w:val="00C931CF"/>
    <w:rsid w:val="00C938CF"/>
    <w:rsid w:val="00C94053"/>
    <w:rsid w:val="00C9481F"/>
    <w:rsid w:val="00C94DB1"/>
    <w:rsid w:val="00C9624D"/>
    <w:rsid w:val="00C964A2"/>
    <w:rsid w:val="00C9684D"/>
    <w:rsid w:val="00C969DA"/>
    <w:rsid w:val="00C96B42"/>
    <w:rsid w:val="00C9717F"/>
    <w:rsid w:val="00CA06B0"/>
    <w:rsid w:val="00CA1F9D"/>
    <w:rsid w:val="00CA20C2"/>
    <w:rsid w:val="00CA2A4C"/>
    <w:rsid w:val="00CA2C77"/>
    <w:rsid w:val="00CA3AFD"/>
    <w:rsid w:val="00CA444F"/>
    <w:rsid w:val="00CA5245"/>
    <w:rsid w:val="00CA5863"/>
    <w:rsid w:val="00CA5DCF"/>
    <w:rsid w:val="00CA61E7"/>
    <w:rsid w:val="00CA6E07"/>
    <w:rsid w:val="00CA6FD6"/>
    <w:rsid w:val="00CA71F4"/>
    <w:rsid w:val="00CA7A9F"/>
    <w:rsid w:val="00CA7B09"/>
    <w:rsid w:val="00CB08CF"/>
    <w:rsid w:val="00CB12A5"/>
    <w:rsid w:val="00CB1CAC"/>
    <w:rsid w:val="00CB25B2"/>
    <w:rsid w:val="00CB2F2A"/>
    <w:rsid w:val="00CB3018"/>
    <w:rsid w:val="00CB3174"/>
    <w:rsid w:val="00CB3203"/>
    <w:rsid w:val="00CB37F0"/>
    <w:rsid w:val="00CB41D7"/>
    <w:rsid w:val="00CB58FA"/>
    <w:rsid w:val="00CB5B1A"/>
    <w:rsid w:val="00CB5CDC"/>
    <w:rsid w:val="00CB6B22"/>
    <w:rsid w:val="00CB6D5B"/>
    <w:rsid w:val="00CB7F5F"/>
    <w:rsid w:val="00CC0632"/>
    <w:rsid w:val="00CC16FA"/>
    <w:rsid w:val="00CC1B39"/>
    <w:rsid w:val="00CC21FE"/>
    <w:rsid w:val="00CC35EA"/>
    <w:rsid w:val="00CC3848"/>
    <w:rsid w:val="00CC3BC5"/>
    <w:rsid w:val="00CC3BEE"/>
    <w:rsid w:val="00CC4150"/>
    <w:rsid w:val="00CC4856"/>
    <w:rsid w:val="00CC5D4E"/>
    <w:rsid w:val="00CC6F01"/>
    <w:rsid w:val="00CC7A2C"/>
    <w:rsid w:val="00CD014E"/>
    <w:rsid w:val="00CD1464"/>
    <w:rsid w:val="00CD1ADB"/>
    <w:rsid w:val="00CD1C89"/>
    <w:rsid w:val="00CD2EA9"/>
    <w:rsid w:val="00CD3AFC"/>
    <w:rsid w:val="00CD3F77"/>
    <w:rsid w:val="00CD45FF"/>
    <w:rsid w:val="00CD6617"/>
    <w:rsid w:val="00CD6ADC"/>
    <w:rsid w:val="00CD6CD7"/>
    <w:rsid w:val="00CD7193"/>
    <w:rsid w:val="00CD7331"/>
    <w:rsid w:val="00CE28AF"/>
    <w:rsid w:val="00CE2AE4"/>
    <w:rsid w:val="00CE38C8"/>
    <w:rsid w:val="00CE3B60"/>
    <w:rsid w:val="00CE416A"/>
    <w:rsid w:val="00CE5491"/>
    <w:rsid w:val="00CE5CBC"/>
    <w:rsid w:val="00CE6274"/>
    <w:rsid w:val="00CE77B6"/>
    <w:rsid w:val="00CE7FCB"/>
    <w:rsid w:val="00CF21EB"/>
    <w:rsid w:val="00CF2B8D"/>
    <w:rsid w:val="00CF2BA4"/>
    <w:rsid w:val="00CF2BEC"/>
    <w:rsid w:val="00CF3690"/>
    <w:rsid w:val="00CF3E3D"/>
    <w:rsid w:val="00CF44C8"/>
    <w:rsid w:val="00CF456B"/>
    <w:rsid w:val="00CF4748"/>
    <w:rsid w:val="00CF48DF"/>
    <w:rsid w:val="00CF5A22"/>
    <w:rsid w:val="00CF5ED8"/>
    <w:rsid w:val="00CF62A1"/>
    <w:rsid w:val="00CF79FE"/>
    <w:rsid w:val="00CF7C85"/>
    <w:rsid w:val="00CF7FB9"/>
    <w:rsid w:val="00D015C2"/>
    <w:rsid w:val="00D0183F"/>
    <w:rsid w:val="00D0262E"/>
    <w:rsid w:val="00D05E3D"/>
    <w:rsid w:val="00D06139"/>
    <w:rsid w:val="00D07EA5"/>
    <w:rsid w:val="00D102A7"/>
    <w:rsid w:val="00D108EF"/>
    <w:rsid w:val="00D110BD"/>
    <w:rsid w:val="00D11636"/>
    <w:rsid w:val="00D116C3"/>
    <w:rsid w:val="00D11B3E"/>
    <w:rsid w:val="00D12584"/>
    <w:rsid w:val="00D13675"/>
    <w:rsid w:val="00D141E1"/>
    <w:rsid w:val="00D14E10"/>
    <w:rsid w:val="00D15314"/>
    <w:rsid w:val="00D16585"/>
    <w:rsid w:val="00D17D6C"/>
    <w:rsid w:val="00D17D84"/>
    <w:rsid w:val="00D204C7"/>
    <w:rsid w:val="00D2155B"/>
    <w:rsid w:val="00D22083"/>
    <w:rsid w:val="00D231CF"/>
    <w:rsid w:val="00D2355A"/>
    <w:rsid w:val="00D235AD"/>
    <w:rsid w:val="00D237E0"/>
    <w:rsid w:val="00D23D11"/>
    <w:rsid w:val="00D244B6"/>
    <w:rsid w:val="00D25311"/>
    <w:rsid w:val="00D261F1"/>
    <w:rsid w:val="00D26961"/>
    <w:rsid w:val="00D27093"/>
    <w:rsid w:val="00D2754D"/>
    <w:rsid w:val="00D27B27"/>
    <w:rsid w:val="00D317B3"/>
    <w:rsid w:val="00D31C82"/>
    <w:rsid w:val="00D33097"/>
    <w:rsid w:val="00D33BE9"/>
    <w:rsid w:val="00D33CEB"/>
    <w:rsid w:val="00D33F93"/>
    <w:rsid w:val="00D345AD"/>
    <w:rsid w:val="00D34EDE"/>
    <w:rsid w:val="00D357FF"/>
    <w:rsid w:val="00D36015"/>
    <w:rsid w:val="00D36539"/>
    <w:rsid w:val="00D419E5"/>
    <w:rsid w:val="00D41EC7"/>
    <w:rsid w:val="00D420D0"/>
    <w:rsid w:val="00D424C7"/>
    <w:rsid w:val="00D43B2A"/>
    <w:rsid w:val="00D43D83"/>
    <w:rsid w:val="00D44372"/>
    <w:rsid w:val="00D4504B"/>
    <w:rsid w:val="00D45C53"/>
    <w:rsid w:val="00D463C8"/>
    <w:rsid w:val="00D473E1"/>
    <w:rsid w:val="00D47575"/>
    <w:rsid w:val="00D507C6"/>
    <w:rsid w:val="00D51C12"/>
    <w:rsid w:val="00D5243B"/>
    <w:rsid w:val="00D529BA"/>
    <w:rsid w:val="00D533EC"/>
    <w:rsid w:val="00D53D8C"/>
    <w:rsid w:val="00D53ED1"/>
    <w:rsid w:val="00D56A95"/>
    <w:rsid w:val="00D56DDA"/>
    <w:rsid w:val="00D57DF7"/>
    <w:rsid w:val="00D62648"/>
    <w:rsid w:val="00D62E4B"/>
    <w:rsid w:val="00D633F4"/>
    <w:rsid w:val="00D649DC"/>
    <w:rsid w:val="00D64C17"/>
    <w:rsid w:val="00D64C64"/>
    <w:rsid w:val="00D650D1"/>
    <w:rsid w:val="00D6578B"/>
    <w:rsid w:val="00D6704B"/>
    <w:rsid w:val="00D67D9D"/>
    <w:rsid w:val="00D7054C"/>
    <w:rsid w:val="00D70F16"/>
    <w:rsid w:val="00D71BEB"/>
    <w:rsid w:val="00D72F57"/>
    <w:rsid w:val="00D74993"/>
    <w:rsid w:val="00D750B7"/>
    <w:rsid w:val="00D76A44"/>
    <w:rsid w:val="00D76C6C"/>
    <w:rsid w:val="00D802D4"/>
    <w:rsid w:val="00D8145A"/>
    <w:rsid w:val="00D815EF"/>
    <w:rsid w:val="00D81F26"/>
    <w:rsid w:val="00D83338"/>
    <w:rsid w:val="00D837D0"/>
    <w:rsid w:val="00D86231"/>
    <w:rsid w:val="00D86363"/>
    <w:rsid w:val="00D86BB8"/>
    <w:rsid w:val="00D86DB1"/>
    <w:rsid w:val="00D877A2"/>
    <w:rsid w:val="00D902A9"/>
    <w:rsid w:val="00D9034E"/>
    <w:rsid w:val="00D90B06"/>
    <w:rsid w:val="00D91573"/>
    <w:rsid w:val="00D91923"/>
    <w:rsid w:val="00D9193E"/>
    <w:rsid w:val="00D922CB"/>
    <w:rsid w:val="00D93753"/>
    <w:rsid w:val="00D93ACF"/>
    <w:rsid w:val="00D944E2"/>
    <w:rsid w:val="00D94580"/>
    <w:rsid w:val="00D958D8"/>
    <w:rsid w:val="00D95E43"/>
    <w:rsid w:val="00D96D74"/>
    <w:rsid w:val="00DA000B"/>
    <w:rsid w:val="00DA03E0"/>
    <w:rsid w:val="00DA0A8D"/>
    <w:rsid w:val="00DA3167"/>
    <w:rsid w:val="00DA344B"/>
    <w:rsid w:val="00DA36E0"/>
    <w:rsid w:val="00DA4A13"/>
    <w:rsid w:val="00DA4DC3"/>
    <w:rsid w:val="00DA7297"/>
    <w:rsid w:val="00DA77A5"/>
    <w:rsid w:val="00DB0490"/>
    <w:rsid w:val="00DB0DC0"/>
    <w:rsid w:val="00DB22E3"/>
    <w:rsid w:val="00DB2C42"/>
    <w:rsid w:val="00DB361E"/>
    <w:rsid w:val="00DB3A1F"/>
    <w:rsid w:val="00DB3CFF"/>
    <w:rsid w:val="00DB3DBF"/>
    <w:rsid w:val="00DB3EC9"/>
    <w:rsid w:val="00DB465D"/>
    <w:rsid w:val="00DB484F"/>
    <w:rsid w:val="00DB6633"/>
    <w:rsid w:val="00DB7762"/>
    <w:rsid w:val="00DB7936"/>
    <w:rsid w:val="00DB7C77"/>
    <w:rsid w:val="00DC04F6"/>
    <w:rsid w:val="00DC0690"/>
    <w:rsid w:val="00DC0CCE"/>
    <w:rsid w:val="00DC1D65"/>
    <w:rsid w:val="00DC3495"/>
    <w:rsid w:val="00DC3BC8"/>
    <w:rsid w:val="00DC3C57"/>
    <w:rsid w:val="00DC4EBD"/>
    <w:rsid w:val="00DC5501"/>
    <w:rsid w:val="00DC7154"/>
    <w:rsid w:val="00DC7D02"/>
    <w:rsid w:val="00DC7E8A"/>
    <w:rsid w:val="00DD0DF6"/>
    <w:rsid w:val="00DD0F78"/>
    <w:rsid w:val="00DD273C"/>
    <w:rsid w:val="00DD385B"/>
    <w:rsid w:val="00DD3F28"/>
    <w:rsid w:val="00DD4537"/>
    <w:rsid w:val="00DD4A37"/>
    <w:rsid w:val="00DD4E15"/>
    <w:rsid w:val="00DD5304"/>
    <w:rsid w:val="00DD57E6"/>
    <w:rsid w:val="00DD593A"/>
    <w:rsid w:val="00DD59D8"/>
    <w:rsid w:val="00DD6242"/>
    <w:rsid w:val="00DD7A1D"/>
    <w:rsid w:val="00DE0DD5"/>
    <w:rsid w:val="00DE10F8"/>
    <w:rsid w:val="00DE16AF"/>
    <w:rsid w:val="00DE1959"/>
    <w:rsid w:val="00DE2273"/>
    <w:rsid w:val="00DE2304"/>
    <w:rsid w:val="00DE284D"/>
    <w:rsid w:val="00DE2A00"/>
    <w:rsid w:val="00DE3138"/>
    <w:rsid w:val="00DE37F8"/>
    <w:rsid w:val="00DE4DE2"/>
    <w:rsid w:val="00DE4EDC"/>
    <w:rsid w:val="00DE4FCB"/>
    <w:rsid w:val="00DE516B"/>
    <w:rsid w:val="00DE58CE"/>
    <w:rsid w:val="00DE5A88"/>
    <w:rsid w:val="00DE5D07"/>
    <w:rsid w:val="00DE6A09"/>
    <w:rsid w:val="00DE71C8"/>
    <w:rsid w:val="00DE72A7"/>
    <w:rsid w:val="00DE7832"/>
    <w:rsid w:val="00DE7D51"/>
    <w:rsid w:val="00DF119F"/>
    <w:rsid w:val="00DF18FC"/>
    <w:rsid w:val="00DF2319"/>
    <w:rsid w:val="00DF2B89"/>
    <w:rsid w:val="00DF40A1"/>
    <w:rsid w:val="00DF4AB1"/>
    <w:rsid w:val="00DF4B3D"/>
    <w:rsid w:val="00DF5D2B"/>
    <w:rsid w:val="00DF5F43"/>
    <w:rsid w:val="00DF65C3"/>
    <w:rsid w:val="00DF6BB1"/>
    <w:rsid w:val="00E009E5"/>
    <w:rsid w:val="00E00E8E"/>
    <w:rsid w:val="00E029DC"/>
    <w:rsid w:val="00E0397D"/>
    <w:rsid w:val="00E0399F"/>
    <w:rsid w:val="00E039FC"/>
    <w:rsid w:val="00E04125"/>
    <w:rsid w:val="00E0416E"/>
    <w:rsid w:val="00E04660"/>
    <w:rsid w:val="00E05630"/>
    <w:rsid w:val="00E06DBB"/>
    <w:rsid w:val="00E06FD9"/>
    <w:rsid w:val="00E079D7"/>
    <w:rsid w:val="00E10149"/>
    <w:rsid w:val="00E11340"/>
    <w:rsid w:val="00E115A3"/>
    <w:rsid w:val="00E12294"/>
    <w:rsid w:val="00E122A1"/>
    <w:rsid w:val="00E1263B"/>
    <w:rsid w:val="00E12A78"/>
    <w:rsid w:val="00E12FA8"/>
    <w:rsid w:val="00E13A96"/>
    <w:rsid w:val="00E13C0D"/>
    <w:rsid w:val="00E14594"/>
    <w:rsid w:val="00E1549C"/>
    <w:rsid w:val="00E1632E"/>
    <w:rsid w:val="00E16372"/>
    <w:rsid w:val="00E168B6"/>
    <w:rsid w:val="00E170BE"/>
    <w:rsid w:val="00E171FE"/>
    <w:rsid w:val="00E17E7B"/>
    <w:rsid w:val="00E20CF6"/>
    <w:rsid w:val="00E20E46"/>
    <w:rsid w:val="00E20E4D"/>
    <w:rsid w:val="00E20ED6"/>
    <w:rsid w:val="00E21358"/>
    <w:rsid w:val="00E21F73"/>
    <w:rsid w:val="00E221FA"/>
    <w:rsid w:val="00E2249B"/>
    <w:rsid w:val="00E22A0D"/>
    <w:rsid w:val="00E22B02"/>
    <w:rsid w:val="00E22C69"/>
    <w:rsid w:val="00E22C74"/>
    <w:rsid w:val="00E22E76"/>
    <w:rsid w:val="00E23134"/>
    <w:rsid w:val="00E231A8"/>
    <w:rsid w:val="00E23436"/>
    <w:rsid w:val="00E23D46"/>
    <w:rsid w:val="00E24035"/>
    <w:rsid w:val="00E244F6"/>
    <w:rsid w:val="00E25246"/>
    <w:rsid w:val="00E26410"/>
    <w:rsid w:val="00E276E6"/>
    <w:rsid w:val="00E2771E"/>
    <w:rsid w:val="00E27CCA"/>
    <w:rsid w:val="00E30374"/>
    <w:rsid w:val="00E31114"/>
    <w:rsid w:val="00E311EF"/>
    <w:rsid w:val="00E31967"/>
    <w:rsid w:val="00E31DE6"/>
    <w:rsid w:val="00E32180"/>
    <w:rsid w:val="00E32253"/>
    <w:rsid w:val="00E32DE2"/>
    <w:rsid w:val="00E33D67"/>
    <w:rsid w:val="00E34948"/>
    <w:rsid w:val="00E34B3E"/>
    <w:rsid w:val="00E3630A"/>
    <w:rsid w:val="00E367A4"/>
    <w:rsid w:val="00E37569"/>
    <w:rsid w:val="00E401B2"/>
    <w:rsid w:val="00E402C7"/>
    <w:rsid w:val="00E412AA"/>
    <w:rsid w:val="00E41E30"/>
    <w:rsid w:val="00E41FDB"/>
    <w:rsid w:val="00E4213B"/>
    <w:rsid w:val="00E4213D"/>
    <w:rsid w:val="00E42983"/>
    <w:rsid w:val="00E42F73"/>
    <w:rsid w:val="00E43506"/>
    <w:rsid w:val="00E43D70"/>
    <w:rsid w:val="00E44443"/>
    <w:rsid w:val="00E45A4F"/>
    <w:rsid w:val="00E45CA0"/>
    <w:rsid w:val="00E45DD2"/>
    <w:rsid w:val="00E45EC3"/>
    <w:rsid w:val="00E466F3"/>
    <w:rsid w:val="00E46954"/>
    <w:rsid w:val="00E46A5B"/>
    <w:rsid w:val="00E46D3C"/>
    <w:rsid w:val="00E4724E"/>
    <w:rsid w:val="00E479BA"/>
    <w:rsid w:val="00E47B2C"/>
    <w:rsid w:val="00E50EFF"/>
    <w:rsid w:val="00E512C5"/>
    <w:rsid w:val="00E51560"/>
    <w:rsid w:val="00E51970"/>
    <w:rsid w:val="00E51BAE"/>
    <w:rsid w:val="00E51BD7"/>
    <w:rsid w:val="00E51EAC"/>
    <w:rsid w:val="00E52CEF"/>
    <w:rsid w:val="00E531C2"/>
    <w:rsid w:val="00E53DC5"/>
    <w:rsid w:val="00E53FC8"/>
    <w:rsid w:val="00E542EA"/>
    <w:rsid w:val="00E54347"/>
    <w:rsid w:val="00E55424"/>
    <w:rsid w:val="00E55915"/>
    <w:rsid w:val="00E55BB5"/>
    <w:rsid w:val="00E55C4F"/>
    <w:rsid w:val="00E562A7"/>
    <w:rsid w:val="00E5663F"/>
    <w:rsid w:val="00E5670D"/>
    <w:rsid w:val="00E56B5A"/>
    <w:rsid w:val="00E57099"/>
    <w:rsid w:val="00E57A65"/>
    <w:rsid w:val="00E60017"/>
    <w:rsid w:val="00E6009C"/>
    <w:rsid w:val="00E6169B"/>
    <w:rsid w:val="00E628EA"/>
    <w:rsid w:val="00E63181"/>
    <w:rsid w:val="00E641E9"/>
    <w:rsid w:val="00E655B5"/>
    <w:rsid w:val="00E6570E"/>
    <w:rsid w:val="00E65E79"/>
    <w:rsid w:val="00E65F0F"/>
    <w:rsid w:val="00E6614F"/>
    <w:rsid w:val="00E66B9D"/>
    <w:rsid w:val="00E66BA2"/>
    <w:rsid w:val="00E67416"/>
    <w:rsid w:val="00E7001E"/>
    <w:rsid w:val="00E702D8"/>
    <w:rsid w:val="00E70619"/>
    <w:rsid w:val="00E7160C"/>
    <w:rsid w:val="00E7183E"/>
    <w:rsid w:val="00E718B6"/>
    <w:rsid w:val="00E723BA"/>
    <w:rsid w:val="00E73498"/>
    <w:rsid w:val="00E73581"/>
    <w:rsid w:val="00E73900"/>
    <w:rsid w:val="00E73A9A"/>
    <w:rsid w:val="00E74253"/>
    <w:rsid w:val="00E74FE8"/>
    <w:rsid w:val="00E75CE7"/>
    <w:rsid w:val="00E77820"/>
    <w:rsid w:val="00E80333"/>
    <w:rsid w:val="00E80F5F"/>
    <w:rsid w:val="00E818F7"/>
    <w:rsid w:val="00E81DFC"/>
    <w:rsid w:val="00E833F7"/>
    <w:rsid w:val="00E83BDF"/>
    <w:rsid w:val="00E8404D"/>
    <w:rsid w:val="00E84873"/>
    <w:rsid w:val="00E8582E"/>
    <w:rsid w:val="00E86B45"/>
    <w:rsid w:val="00E87A1D"/>
    <w:rsid w:val="00E87A68"/>
    <w:rsid w:val="00E9094A"/>
    <w:rsid w:val="00E90E29"/>
    <w:rsid w:val="00E90EAA"/>
    <w:rsid w:val="00E90F69"/>
    <w:rsid w:val="00E91D35"/>
    <w:rsid w:val="00E926A5"/>
    <w:rsid w:val="00E92F4F"/>
    <w:rsid w:val="00E9439E"/>
    <w:rsid w:val="00E94BB4"/>
    <w:rsid w:val="00E95C55"/>
    <w:rsid w:val="00E95E75"/>
    <w:rsid w:val="00E97DE7"/>
    <w:rsid w:val="00E97EEE"/>
    <w:rsid w:val="00EA0ED7"/>
    <w:rsid w:val="00EA17C3"/>
    <w:rsid w:val="00EA2CAA"/>
    <w:rsid w:val="00EA3864"/>
    <w:rsid w:val="00EA3954"/>
    <w:rsid w:val="00EA3D93"/>
    <w:rsid w:val="00EA3FDC"/>
    <w:rsid w:val="00EA6AE4"/>
    <w:rsid w:val="00EA7F1C"/>
    <w:rsid w:val="00EB0258"/>
    <w:rsid w:val="00EB03BD"/>
    <w:rsid w:val="00EB087E"/>
    <w:rsid w:val="00EB0DCB"/>
    <w:rsid w:val="00EB15B6"/>
    <w:rsid w:val="00EB186F"/>
    <w:rsid w:val="00EB375F"/>
    <w:rsid w:val="00EB3D06"/>
    <w:rsid w:val="00EB4394"/>
    <w:rsid w:val="00EB4916"/>
    <w:rsid w:val="00EB5291"/>
    <w:rsid w:val="00EB57C3"/>
    <w:rsid w:val="00EB5D5E"/>
    <w:rsid w:val="00EB625E"/>
    <w:rsid w:val="00EB63E9"/>
    <w:rsid w:val="00EB7393"/>
    <w:rsid w:val="00EC00C9"/>
    <w:rsid w:val="00EC069A"/>
    <w:rsid w:val="00EC0DD9"/>
    <w:rsid w:val="00EC15AA"/>
    <w:rsid w:val="00EC1669"/>
    <w:rsid w:val="00EC17AA"/>
    <w:rsid w:val="00EC1F75"/>
    <w:rsid w:val="00EC2649"/>
    <w:rsid w:val="00EC27F7"/>
    <w:rsid w:val="00EC3170"/>
    <w:rsid w:val="00EC31ED"/>
    <w:rsid w:val="00EC4598"/>
    <w:rsid w:val="00EC5836"/>
    <w:rsid w:val="00EC6035"/>
    <w:rsid w:val="00EC688C"/>
    <w:rsid w:val="00EC7532"/>
    <w:rsid w:val="00ED0982"/>
    <w:rsid w:val="00ED1419"/>
    <w:rsid w:val="00ED1635"/>
    <w:rsid w:val="00ED2306"/>
    <w:rsid w:val="00ED2A3C"/>
    <w:rsid w:val="00ED2B32"/>
    <w:rsid w:val="00ED3E8D"/>
    <w:rsid w:val="00ED4FA0"/>
    <w:rsid w:val="00ED57EA"/>
    <w:rsid w:val="00ED5BD4"/>
    <w:rsid w:val="00ED5E28"/>
    <w:rsid w:val="00ED5F3B"/>
    <w:rsid w:val="00ED7147"/>
    <w:rsid w:val="00ED7BB4"/>
    <w:rsid w:val="00EE0610"/>
    <w:rsid w:val="00EE06D7"/>
    <w:rsid w:val="00EE07D3"/>
    <w:rsid w:val="00EE0894"/>
    <w:rsid w:val="00EE0C80"/>
    <w:rsid w:val="00EE15FB"/>
    <w:rsid w:val="00EE1996"/>
    <w:rsid w:val="00EE1C01"/>
    <w:rsid w:val="00EE1DF0"/>
    <w:rsid w:val="00EE22AF"/>
    <w:rsid w:val="00EE36D8"/>
    <w:rsid w:val="00EE3BD0"/>
    <w:rsid w:val="00EE3BD4"/>
    <w:rsid w:val="00EE3F02"/>
    <w:rsid w:val="00EE4097"/>
    <w:rsid w:val="00EE4249"/>
    <w:rsid w:val="00EE5413"/>
    <w:rsid w:val="00EE54CD"/>
    <w:rsid w:val="00EE6C77"/>
    <w:rsid w:val="00EE7F6A"/>
    <w:rsid w:val="00EF0171"/>
    <w:rsid w:val="00EF043F"/>
    <w:rsid w:val="00EF1957"/>
    <w:rsid w:val="00EF1AB9"/>
    <w:rsid w:val="00EF1B25"/>
    <w:rsid w:val="00EF1CFD"/>
    <w:rsid w:val="00EF1DA0"/>
    <w:rsid w:val="00EF20F0"/>
    <w:rsid w:val="00EF25DA"/>
    <w:rsid w:val="00EF2750"/>
    <w:rsid w:val="00EF28B2"/>
    <w:rsid w:val="00EF2ADF"/>
    <w:rsid w:val="00EF316E"/>
    <w:rsid w:val="00EF4045"/>
    <w:rsid w:val="00EF45F6"/>
    <w:rsid w:val="00EF4747"/>
    <w:rsid w:val="00EF4BF8"/>
    <w:rsid w:val="00EF4C9B"/>
    <w:rsid w:val="00EF51C8"/>
    <w:rsid w:val="00EF721F"/>
    <w:rsid w:val="00F003F2"/>
    <w:rsid w:val="00F009CB"/>
    <w:rsid w:val="00F009EF"/>
    <w:rsid w:val="00F00F84"/>
    <w:rsid w:val="00F01959"/>
    <w:rsid w:val="00F02253"/>
    <w:rsid w:val="00F03C2E"/>
    <w:rsid w:val="00F03FD9"/>
    <w:rsid w:val="00F04A66"/>
    <w:rsid w:val="00F04B4B"/>
    <w:rsid w:val="00F0516C"/>
    <w:rsid w:val="00F067A2"/>
    <w:rsid w:val="00F075EF"/>
    <w:rsid w:val="00F07B9E"/>
    <w:rsid w:val="00F07EB4"/>
    <w:rsid w:val="00F1051A"/>
    <w:rsid w:val="00F10A89"/>
    <w:rsid w:val="00F1116F"/>
    <w:rsid w:val="00F112C4"/>
    <w:rsid w:val="00F11354"/>
    <w:rsid w:val="00F1263A"/>
    <w:rsid w:val="00F12FBC"/>
    <w:rsid w:val="00F148CD"/>
    <w:rsid w:val="00F14F3A"/>
    <w:rsid w:val="00F1563A"/>
    <w:rsid w:val="00F15B77"/>
    <w:rsid w:val="00F177BE"/>
    <w:rsid w:val="00F17866"/>
    <w:rsid w:val="00F17C4B"/>
    <w:rsid w:val="00F20819"/>
    <w:rsid w:val="00F21720"/>
    <w:rsid w:val="00F21D09"/>
    <w:rsid w:val="00F2284C"/>
    <w:rsid w:val="00F24072"/>
    <w:rsid w:val="00F24837"/>
    <w:rsid w:val="00F2484E"/>
    <w:rsid w:val="00F24C9B"/>
    <w:rsid w:val="00F2575F"/>
    <w:rsid w:val="00F263D1"/>
    <w:rsid w:val="00F27565"/>
    <w:rsid w:val="00F27C7E"/>
    <w:rsid w:val="00F27FF3"/>
    <w:rsid w:val="00F310D4"/>
    <w:rsid w:val="00F31D5A"/>
    <w:rsid w:val="00F32BB4"/>
    <w:rsid w:val="00F331BE"/>
    <w:rsid w:val="00F33287"/>
    <w:rsid w:val="00F33975"/>
    <w:rsid w:val="00F33AB0"/>
    <w:rsid w:val="00F33CA5"/>
    <w:rsid w:val="00F33DE9"/>
    <w:rsid w:val="00F3422C"/>
    <w:rsid w:val="00F34926"/>
    <w:rsid w:val="00F35E6D"/>
    <w:rsid w:val="00F3619A"/>
    <w:rsid w:val="00F36687"/>
    <w:rsid w:val="00F40AAA"/>
    <w:rsid w:val="00F40BA7"/>
    <w:rsid w:val="00F40F9D"/>
    <w:rsid w:val="00F41ACD"/>
    <w:rsid w:val="00F4397E"/>
    <w:rsid w:val="00F4415F"/>
    <w:rsid w:val="00F448B9"/>
    <w:rsid w:val="00F44BBC"/>
    <w:rsid w:val="00F458C6"/>
    <w:rsid w:val="00F45AFE"/>
    <w:rsid w:val="00F45E34"/>
    <w:rsid w:val="00F46CB6"/>
    <w:rsid w:val="00F4756D"/>
    <w:rsid w:val="00F47DE8"/>
    <w:rsid w:val="00F47FED"/>
    <w:rsid w:val="00F50A54"/>
    <w:rsid w:val="00F50CDB"/>
    <w:rsid w:val="00F52D1A"/>
    <w:rsid w:val="00F53418"/>
    <w:rsid w:val="00F542C1"/>
    <w:rsid w:val="00F55E73"/>
    <w:rsid w:val="00F55EDA"/>
    <w:rsid w:val="00F56A1E"/>
    <w:rsid w:val="00F56A97"/>
    <w:rsid w:val="00F56C80"/>
    <w:rsid w:val="00F57132"/>
    <w:rsid w:val="00F5715E"/>
    <w:rsid w:val="00F5778E"/>
    <w:rsid w:val="00F577A8"/>
    <w:rsid w:val="00F60092"/>
    <w:rsid w:val="00F60FBC"/>
    <w:rsid w:val="00F613AF"/>
    <w:rsid w:val="00F614E6"/>
    <w:rsid w:val="00F61C03"/>
    <w:rsid w:val="00F61C18"/>
    <w:rsid w:val="00F61DBB"/>
    <w:rsid w:val="00F629DD"/>
    <w:rsid w:val="00F62AF2"/>
    <w:rsid w:val="00F62B21"/>
    <w:rsid w:val="00F647D2"/>
    <w:rsid w:val="00F64B76"/>
    <w:rsid w:val="00F64EFB"/>
    <w:rsid w:val="00F65D3F"/>
    <w:rsid w:val="00F65F32"/>
    <w:rsid w:val="00F65F4B"/>
    <w:rsid w:val="00F66C67"/>
    <w:rsid w:val="00F67001"/>
    <w:rsid w:val="00F678D0"/>
    <w:rsid w:val="00F67A69"/>
    <w:rsid w:val="00F70490"/>
    <w:rsid w:val="00F70BFF"/>
    <w:rsid w:val="00F70C9D"/>
    <w:rsid w:val="00F7258F"/>
    <w:rsid w:val="00F72938"/>
    <w:rsid w:val="00F72DB7"/>
    <w:rsid w:val="00F72E1F"/>
    <w:rsid w:val="00F734AD"/>
    <w:rsid w:val="00F73A0E"/>
    <w:rsid w:val="00F74CD9"/>
    <w:rsid w:val="00F74EBC"/>
    <w:rsid w:val="00F74F2C"/>
    <w:rsid w:val="00F7588B"/>
    <w:rsid w:val="00F76D36"/>
    <w:rsid w:val="00F76FFE"/>
    <w:rsid w:val="00F77246"/>
    <w:rsid w:val="00F801F9"/>
    <w:rsid w:val="00F80A7B"/>
    <w:rsid w:val="00F80E5D"/>
    <w:rsid w:val="00F80EFE"/>
    <w:rsid w:val="00F81E78"/>
    <w:rsid w:val="00F831F1"/>
    <w:rsid w:val="00F839D7"/>
    <w:rsid w:val="00F84488"/>
    <w:rsid w:val="00F84EC8"/>
    <w:rsid w:val="00F851CE"/>
    <w:rsid w:val="00F85541"/>
    <w:rsid w:val="00F9051F"/>
    <w:rsid w:val="00F90B8E"/>
    <w:rsid w:val="00F90C31"/>
    <w:rsid w:val="00F91219"/>
    <w:rsid w:val="00F912BF"/>
    <w:rsid w:val="00F92444"/>
    <w:rsid w:val="00F92570"/>
    <w:rsid w:val="00F92CD6"/>
    <w:rsid w:val="00F9393E"/>
    <w:rsid w:val="00F93B66"/>
    <w:rsid w:val="00F941F7"/>
    <w:rsid w:val="00F94302"/>
    <w:rsid w:val="00F954D6"/>
    <w:rsid w:val="00F95B37"/>
    <w:rsid w:val="00F961EB"/>
    <w:rsid w:val="00F966B5"/>
    <w:rsid w:val="00F96AA1"/>
    <w:rsid w:val="00F96FD0"/>
    <w:rsid w:val="00F9777B"/>
    <w:rsid w:val="00F97A78"/>
    <w:rsid w:val="00F97E53"/>
    <w:rsid w:val="00FA0408"/>
    <w:rsid w:val="00FA0B20"/>
    <w:rsid w:val="00FA24E7"/>
    <w:rsid w:val="00FA2648"/>
    <w:rsid w:val="00FA2D74"/>
    <w:rsid w:val="00FA35F6"/>
    <w:rsid w:val="00FA437B"/>
    <w:rsid w:val="00FA5EE6"/>
    <w:rsid w:val="00FA687D"/>
    <w:rsid w:val="00FA7956"/>
    <w:rsid w:val="00FA7D8B"/>
    <w:rsid w:val="00FB1399"/>
    <w:rsid w:val="00FB203E"/>
    <w:rsid w:val="00FB21E5"/>
    <w:rsid w:val="00FB2714"/>
    <w:rsid w:val="00FB2FCB"/>
    <w:rsid w:val="00FB30C0"/>
    <w:rsid w:val="00FB42F1"/>
    <w:rsid w:val="00FB4C49"/>
    <w:rsid w:val="00FB59B1"/>
    <w:rsid w:val="00FB6286"/>
    <w:rsid w:val="00FB6817"/>
    <w:rsid w:val="00FB6E58"/>
    <w:rsid w:val="00FB72E4"/>
    <w:rsid w:val="00FB78F4"/>
    <w:rsid w:val="00FB7C55"/>
    <w:rsid w:val="00FC0546"/>
    <w:rsid w:val="00FC1074"/>
    <w:rsid w:val="00FC111B"/>
    <w:rsid w:val="00FC1884"/>
    <w:rsid w:val="00FC1925"/>
    <w:rsid w:val="00FC1B85"/>
    <w:rsid w:val="00FC1C23"/>
    <w:rsid w:val="00FC371D"/>
    <w:rsid w:val="00FC4644"/>
    <w:rsid w:val="00FC489B"/>
    <w:rsid w:val="00FC4E6D"/>
    <w:rsid w:val="00FC5F0B"/>
    <w:rsid w:val="00FC72D7"/>
    <w:rsid w:val="00FD2100"/>
    <w:rsid w:val="00FD2EDC"/>
    <w:rsid w:val="00FD436C"/>
    <w:rsid w:val="00FD446D"/>
    <w:rsid w:val="00FD4F2C"/>
    <w:rsid w:val="00FD5678"/>
    <w:rsid w:val="00FD6394"/>
    <w:rsid w:val="00FD7046"/>
    <w:rsid w:val="00FD7EBD"/>
    <w:rsid w:val="00FE0D9C"/>
    <w:rsid w:val="00FE0E2E"/>
    <w:rsid w:val="00FE0E6C"/>
    <w:rsid w:val="00FE1CDC"/>
    <w:rsid w:val="00FE2715"/>
    <w:rsid w:val="00FE2930"/>
    <w:rsid w:val="00FE2AA1"/>
    <w:rsid w:val="00FE2C2F"/>
    <w:rsid w:val="00FE329B"/>
    <w:rsid w:val="00FE33A2"/>
    <w:rsid w:val="00FE3FBE"/>
    <w:rsid w:val="00FE4BE2"/>
    <w:rsid w:val="00FE6817"/>
    <w:rsid w:val="00FE70C3"/>
    <w:rsid w:val="00FF0915"/>
    <w:rsid w:val="00FF115D"/>
    <w:rsid w:val="00FF27D1"/>
    <w:rsid w:val="00FF2AD9"/>
    <w:rsid w:val="00FF2E71"/>
    <w:rsid w:val="00FF317E"/>
    <w:rsid w:val="00FF359F"/>
    <w:rsid w:val="00FF3DCF"/>
    <w:rsid w:val="00FF454D"/>
    <w:rsid w:val="00FF4598"/>
    <w:rsid w:val="00FF492C"/>
    <w:rsid w:val="00FF4A21"/>
    <w:rsid w:val="00FF5AA3"/>
    <w:rsid w:val="00FF5AD8"/>
    <w:rsid w:val="00FF68E7"/>
    <w:rsid w:val="00FF6B1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2C34"/>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PBAC ES Paragraph,Styl moj,Akapit z listą11,Table Legend,ES Paragraph,PBAC normal points,Bullet List"/>
    <w:next w:val="ListBullet"/>
    <w:link w:val="ListParagraphChar"/>
    <w:uiPriority w:val="34"/>
    <w:qFormat/>
    <w:rsid w:val="00340A3F"/>
    <w:pPr>
      <w:numPr>
        <w:numId w:val="3"/>
      </w:numPr>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PBAC ES Paragraph Char,Styl moj Char"/>
    <w:basedOn w:val="DefaultParagraphFont"/>
    <w:link w:val="ListParagraph"/>
    <w:uiPriority w:val="34"/>
    <w:qFormat/>
    <w:locked/>
    <w:rsid w:val="00340A3F"/>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E67AC"/>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Comment Text Char Char Char,Comment Text Char Char"/>
    <w:basedOn w:val="Normal"/>
    <w:link w:val="CommentTextChar"/>
    <w:uiPriority w:val="99"/>
    <w:qFormat/>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67388B"/>
    <w:pPr>
      <w:keepNext/>
      <w:spacing w:before="20" w:after="20"/>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4"/>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67388B"/>
    <w:pPr>
      <w:keepNext/>
      <w:spacing w:before="20" w:after="20"/>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67388B"/>
    <w:rPr>
      <w:rFonts w:ascii="Arial Narrow" w:eastAsiaTheme="majorEastAsia" w:hAnsi="Arial Narrow" w:cstheme="majorBidi"/>
      <w:b/>
      <w:bCs/>
      <w:szCs w:val="24"/>
    </w:rPr>
  </w:style>
  <w:style w:type="paragraph" w:customStyle="1" w:styleId="3-BodyText">
    <w:name w:val="3-Body Text"/>
    <w:basedOn w:val="ListParagraph"/>
    <w:link w:val="3-BodyTextChar"/>
    <w:qFormat/>
    <w:rsid w:val="00DE4EDC"/>
    <w:pPr>
      <w:numPr>
        <w:ilvl w:val="1"/>
        <w:numId w:val="4"/>
      </w:numPr>
      <w:spacing w:after="120"/>
    </w:pPr>
  </w:style>
  <w:style w:type="character" w:customStyle="1" w:styleId="3-BodyTextChar">
    <w:name w:val="3-Body Text Char"/>
    <w:basedOn w:val="ListParagraphChar"/>
    <w:link w:val="3-BodyText"/>
    <w:rsid w:val="00DE4EDC"/>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67388B"/>
    <w:pPr>
      <w:spacing w:before="20"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67388B"/>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7B587A"/>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7B587A"/>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D36539"/>
    <w:pPr>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D36539"/>
    <w:rPr>
      <w:rFonts w:asciiTheme="minorHAnsi" w:eastAsiaTheme="majorEastAsia" w:hAnsiTheme="minorHAnsi" w:cstheme="majorBidi"/>
      <w:b/>
      <w:color w:val="000000" w:themeColor="text1"/>
      <w:sz w:val="24"/>
      <w:szCs w:val="24"/>
    </w:rPr>
  </w:style>
  <w:style w:type="paragraph" w:styleId="ListBullet">
    <w:name w:val="List Bullet"/>
    <w:basedOn w:val="Normal"/>
    <w:uiPriority w:val="99"/>
    <w:unhideWhenUsed/>
    <w:rsid w:val="00EE1996"/>
    <w:pPr>
      <w:contextualSpacing/>
    </w:pPr>
  </w:style>
  <w:style w:type="character" w:customStyle="1" w:styleId="TableTextChar0">
    <w:name w:val="Table Text Char"/>
    <w:basedOn w:val="DefaultParagraphFont"/>
    <w:link w:val="TableText0"/>
    <w:rsid w:val="0067388B"/>
    <w:rPr>
      <w:rFonts w:ascii="Arial Narrow" w:eastAsiaTheme="majorEastAsia" w:hAnsi="Arial Narrow" w:cstheme="majorBidi"/>
      <w:bCs/>
      <w:szCs w:val="24"/>
    </w:rPr>
  </w:style>
  <w:style w:type="character" w:customStyle="1" w:styleId="UnresolvedMention1">
    <w:name w:val="Unresolved Mention1"/>
    <w:basedOn w:val="DefaultParagraphFont"/>
    <w:uiPriority w:val="99"/>
    <w:semiHidden/>
    <w:unhideWhenUsed/>
    <w:rsid w:val="00226E2E"/>
    <w:rPr>
      <w:color w:val="605E5C"/>
      <w:shd w:val="clear" w:color="auto" w:fill="E1DFDD"/>
    </w:rPr>
  </w:style>
  <w:style w:type="paragraph" w:customStyle="1" w:styleId="ListBulletlvl3">
    <w:name w:val="List Bullet lvl 3"/>
    <w:basedOn w:val="ListBullet"/>
    <w:qFormat/>
    <w:rsid w:val="00CA06B0"/>
    <w:pPr>
      <w:spacing w:after="120" w:line="276" w:lineRule="auto"/>
      <w:ind w:left="2160" w:hanging="360"/>
      <w:contextualSpacing w:val="0"/>
      <w:jc w:val="left"/>
    </w:pPr>
    <w:rPr>
      <w:rFonts w:eastAsiaTheme="minorHAnsi" w:cstheme="minorBidi"/>
      <w:szCs w:val="22"/>
      <w:lang w:eastAsia="en-US"/>
    </w:rPr>
  </w:style>
  <w:style w:type="paragraph" w:customStyle="1" w:styleId="ListBulletlvl4">
    <w:name w:val="List Bullet lvl 4"/>
    <w:basedOn w:val="ListBullet"/>
    <w:qFormat/>
    <w:rsid w:val="00CA06B0"/>
    <w:pPr>
      <w:spacing w:after="120" w:line="276" w:lineRule="auto"/>
      <w:ind w:left="2880" w:hanging="360"/>
      <w:contextualSpacing w:val="0"/>
      <w:jc w:val="left"/>
    </w:pPr>
    <w:rPr>
      <w:rFonts w:eastAsiaTheme="minorHAnsi" w:cstheme="minorBidi"/>
      <w:szCs w:val="22"/>
      <w:lang w:eastAsia="en-US"/>
    </w:rPr>
  </w:style>
  <w:style w:type="paragraph" w:customStyle="1" w:styleId="ListBulletlvl5">
    <w:name w:val="List Bullet lvl 5"/>
    <w:basedOn w:val="ListBullet"/>
    <w:qFormat/>
    <w:rsid w:val="00CA06B0"/>
    <w:pPr>
      <w:spacing w:after="120" w:line="276" w:lineRule="auto"/>
      <w:ind w:left="3600" w:hanging="360"/>
      <w:contextualSpacing w:val="0"/>
      <w:jc w:val="left"/>
    </w:pPr>
    <w:rPr>
      <w:rFonts w:eastAsiaTheme="minorHAnsi" w:cstheme="minorBidi"/>
      <w:szCs w:val="22"/>
      <w:lang w:eastAsia="en-US"/>
    </w:rPr>
  </w:style>
  <w:style w:type="paragraph" w:customStyle="1" w:styleId="ListBulletlvl6">
    <w:name w:val="List Bullet lvl 6"/>
    <w:basedOn w:val="ListBullet"/>
    <w:qFormat/>
    <w:rsid w:val="00CA06B0"/>
    <w:pPr>
      <w:spacing w:after="120" w:line="276" w:lineRule="auto"/>
      <w:ind w:left="4320" w:hanging="360"/>
      <w:contextualSpacing w:val="0"/>
      <w:jc w:val="left"/>
    </w:pPr>
    <w:rPr>
      <w:rFonts w:eastAsiaTheme="minorHAnsi" w:cstheme="minorBidi"/>
      <w:szCs w:val="22"/>
      <w:lang w:eastAsia="en-US"/>
    </w:rPr>
  </w:style>
  <w:style w:type="paragraph" w:customStyle="1" w:styleId="ListBulletlvl7">
    <w:name w:val="List Bullet lvl 7"/>
    <w:basedOn w:val="ListBullet"/>
    <w:qFormat/>
    <w:rsid w:val="00CA06B0"/>
    <w:pPr>
      <w:spacing w:after="120" w:line="276" w:lineRule="auto"/>
      <w:ind w:left="5040" w:hanging="360"/>
      <w:contextualSpacing w:val="0"/>
      <w:jc w:val="left"/>
    </w:pPr>
    <w:rPr>
      <w:rFonts w:eastAsiaTheme="minorHAnsi" w:cstheme="minorBidi"/>
      <w:szCs w:val="22"/>
      <w:lang w:eastAsia="en-US"/>
    </w:rPr>
  </w:style>
  <w:style w:type="paragraph" w:customStyle="1" w:styleId="ListBulletlvl8">
    <w:name w:val="List Bullet lvl 8"/>
    <w:basedOn w:val="ListBullet"/>
    <w:qFormat/>
    <w:rsid w:val="00CA06B0"/>
    <w:pPr>
      <w:spacing w:after="120" w:line="276" w:lineRule="auto"/>
      <w:ind w:left="5760" w:hanging="360"/>
      <w:contextualSpacing w:val="0"/>
      <w:jc w:val="left"/>
    </w:pPr>
    <w:rPr>
      <w:rFonts w:eastAsiaTheme="minorHAnsi" w:cstheme="minorBidi"/>
      <w:szCs w:val="22"/>
      <w:lang w:eastAsia="en-US"/>
    </w:rPr>
  </w:style>
  <w:style w:type="paragraph" w:customStyle="1" w:styleId="ListBulletlvl9">
    <w:name w:val="List Bullet lvl 9"/>
    <w:basedOn w:val="ListBullet"/>
    <w:qFormat/>
    <w:rsid w:val="00CA06B0"/>
    <w:pPr>
      <w:spacing w:after="120" w:line="276" w:lineRule="auto"/>
      <w:ind w:left="6480" w:hanging="360"/>
      <w:contextualSpacing w:val="0"/>
      <w:jc w:val="left"/>
    </w:pPr>
    <w:rPr>
      <w:rFonts w:eastAsiaTheme="minorHAnsi" w:cstheme="minorBidi"/>
      <w:szCs w:val="22"/>
      <w:lang w:eastAsia="en-US"/>
    </w:rPr>
  </w:style>
  <w:style w:type="paragraph" w:styleId="FootnoteText">
    <w:name w:val="footnote text"/>
    <w:basedOn w:val="Normal"/>
    <w:link w:val="FootnoteTextChar"/>
    <w:semiHidden/>
    <w:unhideWhenUsed/>
    <w:rsid w:val="008D5AB1"/>
    <w:rPr>
      <w:sz w:val="20"/>
      <w:szCs w:val="20"/>
    </w:rPr>
  </w:style>
  <w:style w:type="character" w:customStyle="1" w:styleId="FootnoteTextChar">
    <w:name w:val="Footnote Text Char"/>
    <w:basedOn w:val="DefaultParagraphFont"/>
    <w:link w:val="FootnoteText"/>
    <w:semiHidden/>
    <w:rsid w:val="008D5AB1"/>
    <w:rPr>
      <w:rFonts w:ascii="Calibri" w:hAnsi="Calibri" w:cs="Arial"/>
    </w:rPr>
  </w:style>
  <w:style w:type="character" w:styleId="FootnoteReference">
    <w:name w:val="footnote reference"/>
    <w:basedOn w:val="DefaultParagraphFont"/>
    <w:semiHidden/>
    <w:unhideWhenUsed/>
    <w:rsid w:val="008D5AB1"/>
    <w:rPr>
      <w:vertAlign w:val="superscript"/>
    </w:rPr>
  </w:style>
  <w:style w:type="paragraph" w:customStyle="1" w:styleId="6-Subsectionparaheading">
    <w:name w:val="6-Subsection para. heading"/>
    <w:basedOn w:val="5-SubsectionSubheading"/>
    <w:next w:val="Normal"/>
    <w:link w:val="6-SubsectionparaheadingChar"/>
    <w:qFormat/>
    <w:rsid w:val="0032124B"/>
    <w:pPr>
      <w:outlineLvl w:val="3"/>
    </w:pPr>
    <w:rPr>
      <w:b w:val="0"/>
      <w:u w:val="single"/>
    </w:rPr>
  </w:style>
  <w:style w:type="character" w:customStyle="1" w:styleId="6-SubsectionparaheadingChar">
    <w:name w:val="6-Subsection para. heading Char"/>
    <w:basedOn w:val="5-SubsectionSubheadingChar"/>
    <w:link w:val="6-Subsectionparaheading"/>
    <w:rsid w:val="0032124B"/>
    <w:rPr>
      <w:rFonts w:asciiTheme="minorHAnsi" w:eastAsiaTheme="majorEastAsia" w:hAnsiTheme="minorHAnsi" w:cstheme="majorBidi"/>
      <w:b w:val="0"/>
      <w:color w:val="000000" w:themeColor="text1"/>
      <w:sz w:val="24"/>
      <w:szCs w:val="24"/>
      <w:u w:val="single"/>
    </w:rPr>
  </w:style>
  <w:style w:type="paragraph" w:customStyle="1" w:styleId="7-Subsectionsubpara">
    <w:name w:val="7-Subsection subpara."/>
    <w:basedOn w:val="6-Subsectionparaheading"/>
    <w:next w:val="Normal"/>
    <w:link w:val="7-SubsectionsubparaChar"/>
    <w:qFormat/>
    <w:rsid w:val="00F2484E"/>
    <w:rPr>
      <w:i/>
      <w:u w:val="none"/>
    </w:rPr>
  </w:style>
  <w:style w:type="character" w:customStyle="1" w:styleId="7-SubsectionsubparaChar">
    <w:name w:val="7-Subsection subpara. Char"/>
    <w:basedOn w:val="6-SubsectionparaheadingChar"/>
    <w:link w:val="7-Subsectionsubpara"/>
    <w:rsid w:val="00F2484E"/>
    <w:rPr>
      <w:rFonts w:asciiTheme="minorHAnsi" w:eastAsiaTheme="majorEastAsia" w:hAnsiTheme="minorHAnsi" w:cstheme="majorBidi"/>
      <w:b w:val="0"/>
      <w:i/>
      <w:color w:val="000000" w:themeColor="text1"/>
      <w:sz w:val="24"/>
      <w:szCs w:val="24"/>
      <w:u w:val="single"/>
    </w:rPr>
  </w:style>
  <w:style w:type="table" w:customStyle="1" w:styleId="ASDTable1">
    <w:name w:val="ASD Table1"/>
    <w:basedOn w:val="TableNormal"/>
    <w:next w:val="TableGrid"/>
    <w:uiPriority w:val="39"/>
    <w:rsid w:val="00937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SubsectionHeading">
    <w:name w:val="3-Subsection Heading"/>
    <w:basedOn w:val="Heading2"/>
    <w:next w:val="Normal"/>
    <w:link w:val="3-SubsectionHeadingChar"/>
    <w:qFormat/>
    <w:rsid w:val="00E74253"/>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E74253"/>
    <w:rPr>
      <w:rFonts w:asciiTheme="minorHAnsi" w:eastAsiaTheme="majorEastAsia" w:hAnsiTheme="minorHAnsi" w:cstheme="majorBidi"/>
      <w:b/>
      <w:i/>
      <w:snapToGrid/>
      <w:spacing w:val="5"/>
      <w:kern w:val="28"/>
      <w:sz w:val="28"/>
      <w:szCs w:val="36"/>
      <w:lang w:eastAsia="en-US"/>
    </w:rPr>
  </w:style>
  <w:style w:type="paragraph" w:customStyle="1" w:styleId="3Bodytext">
    <w:name w:val="3. Body text"/>
    <w:basedOn w:val="ListParagraph"/>
    <w:link w:val="3BodytextChar"/>
    <w:qFormat/>
    <w:rsid w:val="00973EB3"/>
    <w:pPr>
      <w:numPr>
        <w:numId w:val="0"/>
      </w:numPr>
      <w:spacing w:after="120"/>
      <w:ind w:left="720" w:hanging="720"/>
      <w:jc w:val="left"/>
    </w:pPr>
    <w:rPr>
      <w:rFonts w:eastAsiaTheme="minorHAnsi" w:cstheme="minorBidi"/>
      <w:snapToGrid/>
      <w:szCs w:val="22"/>
    </w:rPr>
  </w:style>
  <w:style w:type="character" w:customStyle="1" w:styleId="3BodytextChar">
    <w:name w:val="3. Body text Char"/>
    <w:basedOn w:val="DefaultParagraphFont"/>
    <w:link w:val="3Bodytext"/>
    <w:rsid w:val="00973EB3"/>
    <w:rPr>
      <w:rFonts w:asciiTheme="minorHAnsi" w:eastAsiaTheme="minorHAnsi" w:hAnsiTheme="minorHAnsi"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497815562">
      <w:bodyDiv w:val="1"/>
      <w:marLeft w:val="0"/>
      <w:marRight w:val="0"/>
      <w:marTop w:val="0"/>
      <w:marBottom w:val="0"/>
      <w:divBdr>
        <w:top w:val="none" w:sz="0" w:space="0" w:color="auto"/>
        <w:left w:val="none" w:sz="0" w:space="0" w:color="auto"/>
        <w:bottom w:val="none" w:sz="0" w:space="0" w:color="auto"/>
        <w:right w:val="none" w:sz="0" w:space="0" w:color="auto"/>
      </w:divBdr>
    </w:div>
    <w:div w:id="575864953">
      <w:bodyDiv w:val="1"/>
      <w:marLeft w:val="0"/>
      <w:marRight w:val="0"/>
      <w:marTop w:val="0"/>
      <w:marBottom w:val="0"/>
      <w:divBdr>
        <w:top w:val="none" w:sz="0" w:space="0" w:color="auto"/>
        <w:left w:val="none" w:sz="0" w:space="0" w:color="auto"/>
        <w:bottom w:val="none" w:sz="0" w:space="0" w:color="auto"/>
        <w:right w:val="none" w:sz="0" w:space="0" w:color="auto"/>
      </w:divBdr>
    </w:div>
    <w:div w:id="747309012">
      <w:bodyDiv w:val="1"/>
      <w:marLeft w:val="0"/>
      <w:marRight w:val="0"/>
      <w:marTop w:val="0"/>
      <w:marBottom w:val="0"/>
      <w:divBdr>
        <w:top w:val="none" w:sz="0" w:space="0" w:color="auto"/>
        <w:left w:val="none" w:sz="0" w:space="0" w:color="auto"/>
        <w:bottom w:val="none" w:sz="0" w:space="0" w:color="auto"/>
        <w:right w:val="none" w:sz="0" w:space="0" w:color="auto"/>
      </w:divBdr>
    </w:div>
    <w:div w:id="788671400">
      <w:bodyDiv w:val="1"/>
      <w:marLeft w:val="0"/>
      <w:marRight w:val="0"/>
      <w:marTop w:val="0"/>
      <w:marBottom w:val="0"/>
      <w:divBdr>
        <w:top w:val="none" w:sz="0" w:space="0" w:color="auto"/>
        <w:left w:val="none" w:sz="0" w:space="0" w:color="auto"/>
        <w:bottom w:val="none" w:sz="0" w:space="0" w:color="auto"/>
        <w:right w:val="none" w:sz="0" w:space="0" w:color="auto"/>
      </w:divBdr>
    </w:div>
    <w:div w:id="1053625849">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848901">
      <w:bodyDiv w:val="1"/>
      <w:marLeft w:val="0"/>
      <w:marRight w:val="0"/>
      <w:marTop w:val="0"/>
      <w:marBottom w:val="0"/>
      <w:divBdr>
        <w:top w:val="none" w:sz="0" w:space="0" w:color="auto"/>
        <w:left w:val="none" w:sz="0" w:space="0" w:color="auto"/>
        <w:bottom w:val="none" w:sz="0" w:space="0" w:color="auto"/>
        <w:right w:val="none" w:sz="0" w:space="0" w:color="auto"/>
      </w:divBdr>
    </w:div>
    <w:div w:id="1581400522">
      <w:bodyDiv w:val="1"/>
      <w:marLeft w:val="0"/>
      <w:marRight w:val="0"/>
      <w:marTop w:val="0"/>
      <w:marBottom w:val="0"/>
      <w:divBdr>
        <w:top w:val="none" w:sz="0" w:space="0" w:color="auto"/>
        <w:left w:val="none" w:sz="0" w:space="0" w:color="auto"/>
        <w:bottom w:val="none" w:sz="0" w:space="0" w:color="auto"/>
        <w:right w:val="none" w:sz="0" w:space="0" w:color="auto"/>
      </w:divBdr>
    </w:div>
    <w:div w:id="1588805574">
      <w:bodyDiv w:val="1"/>
      <w:marLeft w:val="0"/>
      <w:marRight w:val="0"/>
      <w:marTop w:val="0"/>
      <w:marBottom w:val="0"/>
      <w:divBdr>
        <w:top w:val="none" w:sz="0" w:space="0" w:color="auto"/>
        <w:left w:val="none" w:sz="0" w:space="0" w:color="auto"/>
        <w:bottom w:val="none" w:sz="0" w:space="0" w:color="auto"/>
        <w:right w:val="none" w:sz="0" w:space="0" w:color="auto"/>
      </w:divBdr>
    </w:div>
    <w:div w:id="1682008857">
      <w:bodyDiv w:val="1"/>
      <w:marLeft w:val="0"/>
      <w:marRight w:val="0"/>
      <w:marTop w:val="0"/>
      <w:marBottom w:val="0"/>
      <w:divBdr>
        <w:top w:val="none" w:sz="0" w:space="0" w:color="auto"/>
        <w:left w:val="none" w:sz="0" w:space="0" w:color="auto"/>
        <w:bottom w:val="none" w:sz="0" w:space="0" w:color="auto"/>
        <w:right w:val="none" w:sz="0" w:space="0" w:color="auto"/>
      </w:divBdr>
      <w:divsChild>
        <w:div w:id="1134249691">
          <w:marLeft w:val="0"/>
          <w:marRight w:val="0"/>
          <w:marTop w:val="0"/>
          <w:marBottom w:val="0"/>
          <w:divBdr>
            <w:top w:val="none" w:sz="0" w:space="0" w:color="auto"/>
            <w:left w:val="none" w:sz="0" w:space="0" w:color="auto"/>
            <w:bottom w:val="none" w:sz="0" w:space="0" w:color="auto"/>
            <w:right w:val="none" w:sz="0" w:space="0" w:color="auto"/>
          </w:divBdr>
          <w:divsChild>
            <w:div w:id="134501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239436">
      <w:bodyDiv w:val="1"/>
      <w:marLeft w:val="0"/>
      <w:marRight w:val="0"/>
      <w:marTop w:val="0"/>
      <w:marBottom w:val="0"/>
      <w:divBdr>
        <w:top w:val="none" w:sz="0" w:space="0" w:color="auto"/>
        <w:left w:val="none" w:sz="0" w:space="0" w:color="auto"/>
        <w:bottom w:val="none" w:sz="0" w:space="0" w:color="auto"/>
        <w:right w:val="none" w:sz="0" w:space="0" w:color="auto"/>
      </w:divBdr>
    </w:div>
    <w:div w:id="1768117527">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8012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ema.europa.eu/documents/product-information/ibrance-epar-product-information_en.pdf" TargetMode="External"/><Relationship Id="rId1" Type="http://schemas.openxmlformats.org/officeDocument/2006/relationships/hyperlink" Target="https://www.fda.gov/drugs/resources-information-approved-drugs/palbociclib-ibr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066BD-D021-41F7-9679-B9DC1D3A6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12965</Words>
  <Characters>74749</Characters>
  <Application>Microsoft Office Word</Application>
  <DocSecurity>0</DocSecurity>
  <Lines>622</Lines>
  <Paragraphs>175</Paragraphs>
  <ScaleCrop>false</ScaleCrop>
  <Company/>
  <LinksUpToDate>false</LinksUpToDate>
  <CharactersWithSpaces>87539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2022-06-24T06:38:00Z</dcterms:created>
  <dcterms:modified xsi:type="dcterms:W3CDTF">2022-06-24T06:45:00Z</dcterms:modified>
</cp:coreProperties>
</file>