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E697" w14:textId="2DAA2E75" w:rsidR="00D63E98" w:rsidRDefault="00233BA3">
      <w:pPr>
        <w:pStyle w:val="1-MainHeading"/>
        <w:spacing w:before="0" w:after="0"/>
      </w:pPr>
      <w:bookmarkStart w:id="0" w:name="_Toc93498344"/>
      <w:bookmarkStart w:id="1" w:name="_Toc22897637"/>
      <w:bookmarkStart w:id="2" w:name="_Toc93498346"/>
      <w:r>
        <w:t>5.10</w:t>
      </w:r>
      <w:r>
        <w:tab/>
        <w:t>PALIPERIDONE PALMITATE,</w:t>
      </w:r>
      <w:r>
        <w:br/>
        <w:t xml:space="preserve">I.M. injection (modified release) </w:t>
      </w:r>
      <w:r w:rsidR="00D765EA">
        <w:t>700 </w:t>
      </w:r>
      <w:r>
        <w:t>mg (as palmitate) in pre-filled syringe,</w:t>
      </w:r>
      <w:bookmarkStart w:id="3" w:name="_Toc93498345"/>
      <w:bookmarkEnd w:id="0"/>
      <w:r>
        <w:br/>
        <w:t>I.M. injection (modified release) 1000</w:t>
      </w:r>
      <w:r w:rsidR="00D765EA">
        <w:t> </w:t>
      </w:r>
      <w:r>
        <w:t>mg (as palmitate) in pre-filled syringe,</w:t>
      </w:r>
      <w:r>
        <w:cr/>
        <w:t xml:space="preserve">Invega </w:t>
      </w:r>
      <w:proofErr w:type="spellStart"/>
      <w:r>
        <w:t>Hafyera</w:t>
      </w:r>
      <w:proofErr w:type="spellEnd"/>
      <w:r>
        <w:t>®,</w:t>
      </w:r>
      <w:r>
        <w:br/>
        <w:t>Janssen-</w:t>
      </w:r>
      <w:proofErr w:type="spellStart"/>
      <w:r>
        <w:t>Cilag</w:t>
      </w:r>
      <w:proofErr w:type="spellEnd"/>
      <w:r>
        <w:t xml:space="preserve"> Pty Ltd.</w:t>
      </w:r>
      <w:bookmarkEnd w:id="3"/>
    </w:p>
    <w:p w14:paraId="519214AF" w14:textId="77777777" w:rsidR="00D63E98" w:rsidRDefault="00233BA3">
      <w:pPr>
        <w:pStyle w:val="2-SectionHeading"/>
      </w:pPr>
      <w:bookmarkStart w:id="4" w:name="_Toc93498347"/>
      <w:bookmarkEnd w:id="1"/>
      <w:bookmarkEnd w:id="2"/>
      <w:r>
        <w:t>Purpose of submission</w:t>
      </w:r>
      <w:bookmarkEnd w:id="4"/>
    </w:p>
    <w:p w14:paraId="6C3051A4" w14:textId="77777777" w:rsidR="00D63E98" w:rsidRDefault="00233BA3">
      <w:pPr>
        <w:pStyle w:val="3-BodyText"/>
      </w:pPr>
      <w:r>
        <w:t>The Category 2 submission requested an Authority Required (Streamlined) listing for paliperidone palmitate 6 monthly long-acting injection (PP6M) for the maintenance treatment of schizophrenia in adult patients who have been adequately treated with the 1-month paliperidone palmitate injectable product (PP1M) for at least four months or the 3-month paliperidone palmitate injectable product (PP3M) for at least one 3-month injection cycle.</w:t>
      </w:r>
    </w:p>
    <w:p w14:paraId="14B8F924" w14:textId="77777777" w:rsidR="00D63E98" w:rsidRDefault="00233BA3">
      <w:pPr>
        <w:pStyle w:val="3-BodyText"/>
      </w:pPr>
      <w:r>
        <w:t xml:space="preserve">Listing was requested </w:t>
      </w:r>
      <w:proofErr w:type="gramStart"/>
      <w:r>
        <w:t>on the basis of</w:t>
      </w:r>
      <w:proofErr w:type="gramEnd"/>
      <w:r>
        <w:t xml:space="preserve"> a cost-minimisation analysis versus PP3M, with PP1M as a secondary comparator.</w:t>
      </w:r>
    </w:p>
    <w:p w14:paraId="173A9799" w14:textId="1DE069D9" w:rsidR="00D63E98" w:rsidRDefault="00233BA3">
      <w:pPr>
        <w:pStyle w:val="Caption"/>
      </w:pPr>
      <w:r>
        <w:t xml:space="preserve">Table </w:t>
      </w:r>
      <w:fldSimple w:instr=" SEQ Table \* ARABIC ">
        <w:r w:rsidR="001149A2">
          <w:rPr>
            <w:noProof/>
          </w:rPr>
          <w:t>1</w:t>
        </w:r>
      </w:fldSimple>
      <w:r>
        <w:t>: Key components of the clinical issue addressed by the submission (as stated in the submission)</w:t>
      </w:r>
    </w:p>
    <w:tbl>
      <w:tblPr>
        <w:tblStyle w:val="Summarybox5"/>
        <w:tblW w:w="5000" w:type="pct"/>
        <w:tblLook w:val="04A0" w:firstRow="1" w:lastRow="0" w:firstColumn="1" w:lastColumn="0" w:noHBand="0" w:noVBand="1"/>
        <w:tblCaption w:val="Table 1: Key components of the clinical issue addressed by the submission (as stated in the submission)"/>
        <w:tblDescription w:val="Table 1: Key components of the clinical issue addressed by the submission (as stated in the submission)"/>
      </w:tblPr>
      <w:tblGrid>
        <w:gridCol w:w="1863"/>
        <w:gridCol w:w="7154"/>
      </w:tblGrid>
      <w:tr w:rsidR="00D63E98" w14:paraId="16E4EA8C" w14:textId="77777777">
        <w:tc>
          <w:tcPr>
            <w:tcW w:w="1033" w:type="pct"/>
            <w:shd w:val="clear" w:color="auto" w:fill="auto"/>
          </w:tcPr>
          <w:p w14:paraId="3DD680EE" w14:textId="77777777" w:rsidR="00D63E98" w:rsidRDefault="00233BA3">
            <w:pPr>
              <w:pStyle w:val="In-tableHeading"/>
              <w:rPr>
                <w:sz w:val="20"/>
                <w:szCs w:val="20"/>
              </w:rPr>
            </w:pPr>
            <w:r>
              <w:rPr>
                <w:sz w:val="20"/>
                <w:szCs w:val="20"/>
              </w:rPr>
              <w:t>Component</w:t>
            </w:r>
          </w:p>
        </w:tc>
        <w:tc>
          <w:tcPr>
            <w:tcW w:w="3967" w:type="pct"/>
            <w:shd w:val="clear" w:color="auto" w:fill="auto"/>
          </w:tcPr>
          <w:p w14:paraId="691CF4B6" w14:textId="77777777" w:rsidR="00D63E98" w:rsidRDefault="00233BA3">
            <w:pPr>
              <w:pStyle w:val="In-tableHeading"/>
              <w:rPr>
                <w:sz w:val="20"/>
                <w:szCs w:val="20"/>
              </w:rPr>
            </w:pPr>
            <w:r>
              <w:rPr>
                <w:sz w:val="20"/>
                <w:szCs w:val="20"/>
              </w:rPr>
              <w:t>Description</w:t>
            </w:r>
          </w:p>
        </w:tc>
      </w:tr>
      <w:tr w:rsidR="00D63E98" w14:paraId="2330CFD0" w14:textId="77777777">
        <w:tc>
          <w:tcPr>
            <w:tcW w:w="1033" w:type="pct"/>
          </w:tcPr>
          <w:p w14:paraId="6706BD12" w14:textId="77777777" w:rsidR="00D63E98" w:rsidRDefault="00233BA3">
            <w:pPr>
              <w:pStyle w:val="TableText0"/>
              <w:rPr>
                <w:sz w:val="20"/>
                <w:szCs w:val="20"/>
                <w:lang w:val="en-AU"/>
              </w:rPr>
            </w:pPr>
            <w:r>
              <w:rPr>
                <w:sz w:val="20"/>
                <w:szCs w:val="20"/>
                <w:lang w:val="en-AU"/>
              </w:rPr>
              <w:t>Population</w:t>
            </w:r>
          </w:p>
        </w:tc>
        <w:tc>
          <w:tcPr>
            <w:tcW w:w="3967" w:type="pct"/>
          </w:tcPr>
          <w:p w14:paraId="08904EEF" w14:textId="77777777" w:rsidR="00D63E98" w:rsidRDefault="00233BA3">
            <w:pPr>
              <w:pStyle w:val="TableText0"/>
              <w:rPr>
                <w:sz w:val="20"/>
                <w:szCs w:val="20"/>
                <w:lang w:val="en-AU"/>
              </w:rPr>
            </w:pPr>
            <w:r>
              <w:rPr>
                <w:sz w:val="20"/>
                <w:szCs w:val="20"/>
                <w:lang w:val="en-AU"/>
              </w:rPr>
              <w:t>Adult patients with schizophrenia who have been adequately treated with PP1M for at least four months or PP3M following at least one 3-month injection cycle.</w:t>
            </w:r>
          </w:p>
        </w:tc>
      </w:tr>
      <w:tr w:rsidR="00D63E98" w14:paraId="6C68CAB7" w14:textId="77777777">
        <w:tc>
          <w:tcPr>
            <w:tcW w:w="1033" w:type="pct"/>
          </w:tcPr>
          <w:p w14:paraId="22A11FC1" w14:textId="77777777" w:rsidR="00D63E98" w:rsidRDefault="00233BA3">
            <w:pPr>
              <w:pStyle w:val="TableText0"/>
              <w:rPr>
                <w:sz w:val="20"/>
                <w:szCs w:val="20"/>
                <w:lang w:val="en-AU"/>
              </w:rPr>
            </w:pPr>
            <w:r>
              <w:rPr>
                <w:sz w:val="20"/>
                <w:szCs w:val="20"/>
                <w:lang w:val="en-AU"/>
              </w:rPr>
              <w:t>Intervention</w:t>
            </w:r>
          </w:p>
        </w:tc>
        <w:tc>
          <w:tcPr>
            <w:tcW w:w="3967" w:type="pct"/>
          </w:tcPr>
          <w:p w14:paraId="1A4BE3A4" w14:textId="7EB01130" w:rsidR="00D63E98" w:rsidRDefault="00233BA3">
            <w:pPr>
              <w:pStyle w:val="TableText0"/>
              <w:rPr>
                <w:sz w:val="20"/>
                <w:szCs w:val="20"/>
                <w:lang w:val="en-AU"/>
              </w:rPr>
            </w:pPr>
            <w:r>
              <w:rPr>
                <w:sz w:val="20"/>
                <w:szCs w:val="20"/>
                <w:lang w:val="en-AU"/>
              </w:rPr>
              <w:t>PP6M (INVEGA HAFYERA</w:t>
            </w:r>
            <w:r>
              <w:rPr>
                <w:sz w:val="20"/>
                <w:szCs w:val="20"/>
                <w:vertAlign w:val="superscript"/>
                <w:lang w:val="en-AU"/>
              </w:rPr>
              <w:t>®</w:t>
            </w:r>
            <w:r>
              <w:rPr>
                <w:sz w:val="20"/>
                <w:szCs w:val="20"/>
                <w:lang w:val="en-AU"/>
              </w:rPr>
              <w:t>) is a gluteal intramuscular injection in dose strengths of 700</w:t>
            </w:r>
            <w:r w:rsidR="00D765EA">
              <w:t> </w:t>
            </w:r>
            <w:r>
              <w:rPr>
                <w:sz w:val="20"/>
                <w:szCs w:val="20"/>
                <w:lang w:val="en-AU"/>
              </w:rPr>
              <w:t>mg or 1000</w:t>
            </w:r>
            <w:r w:rsidR="00D765EA">
              <w:t> </w:t>
            </w:r>
            <w:r>
              <w:rPr>
                <w:sz w:val="20"/>
                <w:szCs w:val="20"/>
                <w:lang w:val="en-AU"/>
              </w:rPr>
              <w:t xml:space="preserve">mg paliperidone administered once every 6 months. </w:t>
            </w:r>
          </w:p>
        </w:tc>
      </w:tr>
      <w:tr w:rsidR="00D63E98" w14:paraId="2D83B161" w14:textId="77777777">
        <w:tc>
          <w:tcPr>
            <w:tcW w:w="1033" w:type="pct"/>
          </w:tcPr>
          <w:p w14:paraId="0B35BAE8" w14:textId="77777777" w:rsidR="00D63E98" w:rsidRDefault="00233BA3">
            <w:pPr>
              <w:pStyle w:val="TableText0"/>
              <w:rPr>
                <w:sz w:val="20"/>
                <w:szCs w:val="20"/>
                <w:lang w:val="en-AU"/>
              </w:rPr>
            </w:pPr>
            <w:r>
              <w:rPr>
                <w:sz w:val="20"/>
                <w:szCs w:val="20"/>
                <w:lang w:val="en-AU"/>
              </w:rPr>
              <w:t>Comparator</w:t>
            </w:r>
          </w:p>
        </w:tc>
        <w:tc>
          <w:tcPr>
            <w:tcW w:w="3967" w:type="pct"/>
          </w:tcPr>
          <w:p w14:paraId="27500377" w14:textId="77777777" w:rsidR="00D63E98" w:rsidRDefault="00233BA3">
            <w:pPr>
              <w:pStyle w:val="TableText0"/>
              <w:rPr>
                <w:sz w:val="20"/>
                <w:szCs w:val="20"/>
                <w:lang w:val="en-AU"/>
              </w:rPr>
            </w:pPr>
            <w:r>
              <w:rPr>
                <w:sz w:val="20"/>
                <w:szCs w:val="20"/>
                <w:lang w:val="en-AU"/>
              </w:rPr>
              <w:t>Primary comparator: PP3M</w:t>
            </w:r>
          </w:p>
          <w:p w14:paraId="43A1B403" w14:textId="77777777" w:rsidR="00D63E98" w:rsidRDefault="00233BA3">
            <w:pPr>
              <w:pStyle w:val="TableText0"/>
              <w:rPr>
                <w:sz w:val="20"/>
                <w:szCs w:val="20"/>
                <w:lang w:val="en-AU"/>
              </w:rPr>
            </w:pPr>
            <w:r>
              <w:rPr>
                <w:sz w:val="20"/>
                <w:szCs w:val="20"/>
                <w:lang w:val="en-AU"/>
              </w:rPr>
              <w:t>Secondary comparator: PP1M</w:t>
            </w:r>
          </w:p>
        </w:tc>
      </w:tr>
      <w:tr w:rsidR="00D63E98" w14:paraId="3A59D3BD" w14:textId="77777777">
        <w:tc>
          <w:tcPr>
            <w:tcW w:w="1033" w:type="pct"/>
          </w:tcPr>
          <w:p w14:paraId="3038AB5C" w14:textId="77777777" w:rsidR="00D63E98" w:rsidRDefault="00233BA3">
            <w:pPr>
              <w:pStyle w:val="TableText0"/>
              <w:rPr>
                <w:sz w:val="20"/>
                <w:szCs w:val="20"/>
                <w:lang w:val="en-AU"/>
              </w:rPr>
            </w:pPr>
            <w:r>
              <w:rPr>
                <w:sz w:val="20"/>
                <w:szCs w:val="20"/>
                <w:lang w:val="en-AU"/>
              </w:rPr>
              <w:t>Outcomes</w:t>
            </w:r>
          </w:p>
        </w:tc>
        <w:tc>
          <w:tcPr>
            <w:tcW w:w="3967" w:type="pct"/>
          </w:tcPr>
          <w:p w14:paraId="0912A917" w14:textId="77777777" w:rsidR="00D63E98" w:rsidRDefault="00233BA3">
            <w:pPr>
              <w:pStyle w:val="TableText0"/>
              <w:rPr>
                <w:sz w:val="20"/>
                <w:szCs w:val="20"/>
                <w:lang w:val="en-AU"/>
              </w:rPr>
            </w:pPr>
            <w:r>
              <w:rPr>
                <w:sz w:val="20"/>
                <w:szCs w:val="20"/>
                <w:lang w:val="en-AU"/>
              </w:rPr>
              <w:t>Primary endpoints: Proportion of patients who have not relapsed at the end of the 12-month DB Phase; Time to relapse during 12-month DB Phase</w:t>
            </w:r>
          </w:p>
          <w:p w14:paraId="2BED8177" w14:textId="77777777" w:rsidR="00D63E98" w:rsidRDefault="00233BA3">
            <w:pPr>
              <w:pStyle w:val="TableText0"/>
              <w:rPr>
                <w:sz w:val="20"/>
                <w:szCs w:val="20"/>
                <w:lang w:val="en-AU"/>
              </w:rPr>
            </w:pPr>
            <w:r>
              <w:rPr>
                <w:sz w:val="20"/>
                <w:szCs w:val="20"/>
                <w:lang w:val="en-AU"/>
              </w:rPr>
              <w:t>Secondary endpoints: Change from baseline of DB Phase during 12 months in:</w:t>
            </w:r>
          </w:p>
          <w:p w14:paraId="518C8F37" w14:textId="77777777" w:rsidR="00D63E98" w:rsidRDefault="00233BA3">
            <w:pPr>
              <w:pStyle w:val="TableText0"/>
              <w:rPr>
                <w:sz w:val="20"/>
                <w:szCs w:val="20"/>
                <w:lang w:val="en-AU"/>
              </w:rPr>
            </w:pPr>
            <w:r>
              <w:rPr>
                <w:sz w:val="20"/>
                <w:szCs w:val="20"/>
                <w:lang w:val="en-AU"/>
              </w:rPr>
              <w:t>PANSS total score</w:t>
            </w:r>
          </w:p>
          <w:p w14:paraId="185F1AC8" w14:textId="77777777" w:rsidR="00D63E98" w:rsidRDefault="00233BA3">
            <w:pPr>
              <w:pStyle w:val="TableText0"/>
              <w:rPr>
                <w:sz w:val="20"/>
                <w:szCs w:val="20"/>
                <w:lang w:val="en-AU"/>
              </w:rPr>
            </w:pPr>
            <w:r>
              <w:rPr>
                <w:sz w:val="20"/>
                <w:szCs w:val="20"/>
                <w:lang w:val="en-AU"/>
              </w:rPr>
              <w:t>PANSS subscale/factor scores</w:t>
            </w:r>
          </w:p>
          <w:p w14:paraId="1393306B" w14:textId="77777777" w:rsidR="00D63E98" w:rsidRDefault="00233BA3">
            <w:pPr>
              <w:pStyle w:val="TableText0"/>
              <w:rPr>
                <w:sz w:val="20"/>
                <w:szCs w:val="20"/>
                <w:lang w:val="en-AU"/>
              </w:rPr>
            </w:pPr>
            <w:r>
              <w:rPr>
                <w:sz w:val="20"/>
                <w:szCs w:val="20"/>
                <w:lang w:val="en-AU"/>
              </w:rPr>
              <w:t>CGI-S</w:t>
            </w:r>
          </w:p>
          <w:p w14:paraId="10B53079" w14:textId="77777777" w:rsidR="00D63E98" w:rsidRDefault="00233BA3">
            <w:pPr>
              <w:pStyle w:val="TableText0"/>
              <w:rPr>
                <w:sz w:val="20"/>
                <w:szCs w:val="20"/>
                <w:lang w:val="en-AU"/>
              </w:rPr>
            </w:pPr>
            <w:r>
              <w:rPr>
                <w:sz w:val="20"/>
                <w:szCs w:val="20"/>
                <w:lang w:val="en-AU"/>
              </w:rPr>
              <w:t>PSP</w:t>
            </w:r>
          </w:p>
          <w:p w14:paraId="12113CE5" w14:textId="77777777" w:rsidR="00D63E98" w:rsidRDefault="00233BA3">
            <w:pPr>
              <w:pStyle w:val="TableText0"/>
              <w:rPr>
                <w:sz w:val="20"/>
                <w:szCs w:val="20"/>
                <w:lang w:val="en-AU"/>
              </w:rPr>
            </w:pPr>
            <w:r>
              <w:rPr>
                <w:sz w:val="20"/>
                <w:szCs w:val="20"/>
                <w:lang w:val="en-AU"/>
              </w:rPr>
              <w:t>Safety evaluations</w:t>
            </w:r>
          </w:p>
        </w:tc>
      </w:tr>
      <w:tr w:rsidR="00D63E98" w14:paraId="2D1DBF41" w14:textId="77777777">
        <w:tc>
          <w:tcPr>
            <w:tcW w:w="1033" w:type="pct"/>
          </w:tcPr>
          <w:p w14:paraId="231CDC7E" w14:textId="77777777" w:rsidR="00D63E98" w:rsidRDefault="00233BA3">
            <w:pPr>
              <w:pStyle w:val="TableText0"/>
              <w:rPr>
                <w:sz w:val="20"/>
                <w:szCs w:val="20"/>
                <w:lang w:val="en-AU"/>
              </w:rPr>
            </w:pPr>
            <w:r>
              <w:rPr>
                <w:sz w:val="20"/>
                <w:szCs w:val="20"/>
                <w:lang w:val="en-AU"/>
              </w:rPr>
              <w:t>Clinical claim</w:t>
            </w:r>
          </w:p>
        </w:tc>
        <w:tc>
          <w:tcPr>
            <w:tcW w:w="3967" w:type="pct"/>
          </w:tcPr>
          <w:p w14:paraId="254397A8" w14:textId="77777777" w:rsidR="00D63E98" w:rsidRDefault="00233BA3">
            <w:pPr>
              <w:pStyle w:val="TableText0"/>
              <w:rPr>
                <w:sz w:val="20"/>
                <w:szCs w:val="20"/>
                <w:lang w:val="en-AU"/>
              </w:rPr>
            </w:pPr>
            <w:r>
              <w:rPr>
                <w:sz w:val="20"/>
                <w:szCs w:val="20"/>
                <w:lang w:val="en-AU"/>
              </w:rPr>
              <w:t>PP6M as a maintenance treatment is non-inferior in efficacy and safety compared to PP3M in adult patients with schizophrenia who have been adequately treated and stabilised with PP1M for at least four months, or PP3M following at least one 3-month injection cycle.</w:t>
            </w:r>
          </w:p>
        </w:tc>
      </w:tr>
    </w:tbl>
    <w:p w14:paraId="693EF56E" w14:textId="77777777" w:rsidR="00D63E98" w:rsidRDefault="00233BA3">
      <w:pPr>
        <w:pStyle w:val="TableFigureFooter"/>
      </w:pPr>
      <w:r>
        <w:t>Source: Table 1.1, p16 of the submission. Abbreviations: DB = double blind; PANSS = Positive and Negative Symptom Scale for Schizophrenia; CGI-S = Clinical Global Impression-Severity; PP6M = Paliperidone palmitate 6-monthly; PP3M = Paliperidone palmitate 3-monthly; PP1M = Paliperidone palmitate 1-monthly; PSP = Personal and Social Performance</w:t>
      </w:r>
    </w:p>
    <w:p w14:paraId="2F5A6E7B" w14:textId="77777777" w:rsidR="00D63E98" w:rsidRDefault="00233BA3">
      <w:pPr>
        <w:pStyle w:val="2-SectionHeading"/>
      </w:pPr>
      <w:bookmarkStart w:id="5" w:name="_Toc93498348"/>
      <w:r>
        <w:lastRenderedPageBreak/>
        <w:t>Background</w:t>
      </w:r>
      <w:bookmarkEnd w:id="5"/>
    </w:p>
    <w:p w14:paraId="3B4D1F47" w14:textId="77777777" w:rsidR="00D63E98" w:rsidRDefault="00233BA3">
      <w:pPr>
        <w:pStyle w:val="4-SubsectionHeading"/>
      </w:pPr>
      <w:bookmarkStart w:id="6" w:name="_Toc22897638"/>
      <w:bookmarkStart w:id="7" w:name="_Toc93498349"/>
      <w:r>
        <w:t>Registration status</w:t>
      </w:r>
      <w:bookmarkEnd w:id="6"/>
      <w:bookmarkEnd w:id="7"/>
    </w:p>
    <w:p w14:paraId="18B5C248" w14:textId="77777777" w:rsidR="00D63E98" w:rsidRDefault="00233BA3">
      <w:pPr>
        <w:pStyle w:val="3-BodyText"/>
        <w:rPr>
          <w:iCs/>
        </w:rPr>
      </w:pPr>
      <w:r>
        <w:rPr>
          <w:iCs/>
        </w:rPr>
        <w:t>PP6M was registered on the Australian Register of Therapeutic Goods (ARTG) on 10 February 2022.</w:t>
      </w:r>
    </w:p>
    <w:p w14:paraId="0FEB15AE" w14:textId="77777777" w:rsidR="00D63E98" w:rsidRDefault="00233BA3">
      <w:pPr>
        <w:pStyle w:val="3-BodyText"/>
      </w:pPr>
      <w:r>
        <w:t>The ARTG registered indication in the product information (PI) was ‘for the maintenance treatment of schizophrenia in adult patients who have been adequately treated with the 1-month paliperidone palmitate (PP) injectable product for at least four months or the 3-month PP injectable product following at least one 3-month injection cycle.’</w:t>
      </w:r>
    </w:p>
    <w:p w14:paraId="48AB7FAA" w14:textId="77777777" w:rsidR="00D63E98" w:rsidRDefault="00233BA3">
      <w:pPr>
        <w:pStyle w:val="4-SubsectionHeading"/>
      </w:pPr>
      <w:bookmarkStart w:id="8" w:name="_Toc22897639"/>
      <w:bookmarkStart w:id="9" w:name="_Toc93498350"/>
      <w:r>
        <w:t>Previous PBAC consideration</w:t>
      </w:r>
      <w:bookmarkEnd w:id="8"/>
      <w:bookmarkEnd w:id="9"/>
    </w:p>
    <w:p w14:paraId="764D7339" w14:textId="77777777" w:rsidR="00D63E98" w:rsidRDefault="00233BA3">
      <w:pPr>
        <w:pStyle w:val="3-BodyText"/>
      </w:pPr>
      <w:r>
        <w:t>This is the first submission to the PBAC for PP6M. The PBAC recommended PP1M for the maintenance treatment of schizophrenia in adults at its November 2010 meeting, which was PBS-listed on 1 December 2011. At its November 2016 meeting, the PBAC recommended PP3M for the maintenance treatment of schizophrenia in patients who have been adequately treated with PP1M for at least four months, which was PBS-listed on 1 April 2017. The PBAC has previously accepted non-inferiority between PP3M and PP1M (paragraphs 7.2 and 7.3, page 10; PP3M Public Summary Document (PSD) November 2016).</w:t>
      </w:r>
    </w:p>
    <w:p w14:paraId="144A4314" w14:textId="77777777" w:rsidR="00D63E98" w:rsidRDefault="00233BA3">
      <w:pPr>
        <w:pStyle w:val="2-SectionHeading"/>
      </w:pPr>
      <w:bookmarkStart w:id="10" w:name="_Toc93498351"/>
      <w:r>
        <w:t>Requested listing</w:t>
      </w:r>
      <w:bookmarkEnd w:id="10"/>
    </w:p>
    <w:p w14:paraId="7FFC02FF" w14:textId="77777777" w:rsidR="00D63E98" w:rsidRDefault="00233BA3">
      <w:pPr>
        <w:pStyle w:val="3-BodyText"/>
        <w:rPr>
          <w:iCs/>
        </w:rPr>
      </w:pPr>
      <w:r>
        <w:rPr>
          <w:iCs/>
        </w:rPr>
        <w:t>The submission requested the following restriction for PP6M.</w:t>
      </w:r>
    </w:p>
    <w:tbl>
      <w:tblPr>
        <w:tblW w:w="4977" w:type="pct"/>
        <w:tblInd w:w="28" w:type="dxa"/>
        <w:tblCellMar>
          <w:left w:w="28" w:type="dxa"/>
          <w:right w:w="28" w:type="dxa"/>
        </w:tblCellMar>
        <w:tblLook w:val="0000" w:firstRow="0" w:lastRow="0" w:firstColumn="0" w:lastColumn="0" w:noHBand="0" w:noVBand="0"/>
      </w:tblPr>
      <w:tblGrid>
        <w:gridCol w:w="2209"/>
        <w:gridCol w:w="1087"/>
        <w:gridCol w:w="1048"/>
        <w:gridCol w:w="803"/>
        <w:gridCol w:w="1475"/>
        <w:gridCol w:w="909"/>
        <w:gridCol w:w="1454"/>
      </w:tblGrid>
      <w:tr w:rsidR="00D63E98" w14:paraId="10FE3FF1" w14:textId="77777777">
        <w:trPr>
          <w:cantSplit/>
          <w:trHeight w:val="463"/>
        </w:trPr>
        <w:tc>
          <w:tcPr>
            <w:tcW w:w="1834" w:type="pct"/>
            <w:gridSpan w:val="2"/>
            <w:tcBorders>
              <w:top w:val="single" w:sz="4" w:space="0" w:color="auto"/>
              <w:bottom w:val="single" w:sz="4" w:space="0" w:color="auto"/>
            </w:tcBorders>
            <w:vAlign w:val="center"/>
          </w:tcPr>
          <w:p w14:paraId="020BDB57" w14:textId="77777777" w:rsidR="00D63E98" w:rsidRDefault="00233BA3">
            <w:pPr>
              <w:keepNext/>
              <w:jc w:val="left"/>
              <w:rPr>
                <w:rFonts w:ascii="Arial Narrow" w:hAnsi="Arial Narrow"/>
                <w:b/>
                <w:sz w:val="20"/>
              </w:rPr>
            </w:pPr>
            <w:r>
              <w:rPr>
                <w:rFonts w:ascii="Arial Narrow" w:hAnsi="Arial Narrow"/>
                <w:b/>
                <w:sz w:val="20"/>
              </w:rPr>
              <w:t>Name, Restriction,</w:t>
            </w:r>
          </w:p>
          <w:p w14:paraId="1BEA3EE5" w14:textId="77777777" w:rsidR="00D63E98" w:rsidRDefault="00233BA3">
            <w:pPr>
              <w:keepNext/>
              <w:jc w:val="left"/>
              <w:rPr>
                <w:rFonts w:ascii="Arial Narrow" w:hAnsi="Arial Narrow"/>
                <w:b/>
                <w:sz w:val="20"/>
              </w:rPr>
            </w:pPr>
            <w:r>
              <w:rPr>
                <w:rFonts w:ascii="Arial Narrow" w:hAnsi="Arial Narrow"/>
                <w:b/>
                <w:sz w:val="20"/>
              </w:rPr>
              <w:t>Manner of administration and form</w:t>
            </w:r>
          </w:p>
        </w:tc>
        <w:tc>
          <w:tcPr>
            <w:tcW w:w="583" w:type="pct"/>
            <w:tcBorders>
              <w:top w:val="single" w:sz="4" w:space="0" w:color="auto"/>
              <w:bottom w:val="single" w:sz="4" w:space="0" w:color="auto"/>
            </w:tcBorders>
            <w:vAlign w:val="center"/>
          </w:tcPr>
          <w:p w14:paraId="047BAA12" w14:textId="77777777" w:rsidR="00D63E98" w:rsidRDefault="00233BA3">
            <w:pPr>
              <w:keepNext/>
              <w:jc w:val="center"/>
              <w:rPr>
                <w:rFonts w:ascii="Arial Narrow" w:hAnsi="Arial Narrow"/>
                <w:b/>
                <w:sz w:val="20"/>
              </w:rPr>
            </w:pPr>
            <w:r>
              <w:rPr>
                <w:rFonts w:ascii="Arial Narrow" w:hAnsi="Arial Narrow"/>
                <w:b/>
                <w:sz w:val="20"/>
              </w:rPr>
              <w:t>Max.</w:t>
            </w:r>
          </w:p>
          <w:p w14:paraId="1738149C" w14:textId="77777777" w:rsidR="00D63E98" w:rsidRDefault="00233BA3">
            <w:pPr>
              <w:keepNext/>
              <w:jc w:val="center"/>
              <w:rPr>
                <w:rFonts w:ascii="Arial Narrow" w:hAnsi="Arial Narrow"/>
                <w:b/>
                <w:sz w:val="20"/>
              </w:rPr>
            </w:pPr>
            <w:r>
              <w:rPr>
                <w:rFonts w:ascii="Arial Narrow" w:hAnsi="Arial Narrow"/>
                <w:b/>
                <w:sz w:val="20"/>
              </w:rPr>
              <w:t xml:space="preserve">Qty </w:t>
            </w:r>
          </w:p>
        </w:tc>
        <w:tc>
          <w:tcPr>
            <w:tcW w:w="447" w:type="pct"/>
            <w:tcBorders>
              <w:top w:val="single" w:sz="4" w:space="0" w:color="auto"/>
              <w:bottom w:val="single" w:sz="4" w:space="0" w:color="auto"/>
            </w:tcBorders>
            <w:vAlign w:val="center"/>
          </w:tcPr>
          <w:p w14:paraId="5D7B749E" w14:textId="77777777" w:rsidR="00D63E98" w:rsidRDefault="00233BA3">
            <w:pPr>
              <w:keepNext/>
              <w:jc w:val="center"/>
              <w:rPr>
                <w:rFonts w:ascii="Arial Narrow" w:hAnsi="Arial Narrow"/>
                <w:b/>
                <w:sz w:val="20"/>
              </w:rPr>
            </w:pPr>
            <w:proofErr w:type="gramStart"/>
            <w:r>
              <w:rPr>
                <w:rFonts w:ascii="Arial Narrow" w:hAnsi="Arial Narrow" w:cs="Times New Roman"/>
                <w:b/>
                <w:sz w:val="20"/>
              </w:rPr>
              <w:t>№</w:t>
            </w:r>
            <w:r>
              <w:rPr>
                <w:rFonts w:ascii="Arial Narrow" w:hAnsi="Arial Narrow"/>
                <w:b/>
                <w:sz w:val="20"/>
              </w:rPr>
              <w:t>.of</w:t>
            </w:r>
            <w:proofErr w:type="gramEnd"/>
          </w:p>
          <w:p w14:paraId="6435CA55" w14:textId="77777777" w:rsidR="00D63E98" w:rsidRDefault="00233BA3">
            <w:pPr>
              <w:keepNext/>
              <w:jc w:val="center"/>
              <w:rPr>
                <w:rFonts w:ascii="Arial Narrow" w:hAnsi="Arial Narrow"/>
                <w:b/>
                <w:sz w:val="20"/>
              </w:rPr>
            </w:pPr>
            <w:proofErr w:type="spellStart"/>
            <w:r>
              <w:rPr>
                <w:rFonts w:ascii="Arial Narrow" w:hAnsi="Arial Narrow"/>
                <w:b/>
                <w:sz w:val="20"/>
              </w:rPr>
              <w:t>Rpts</w:t>
            </w:r>
            <w:proofErr w:type="spellEnd"/>
          </w:p>
        </w:tc>
        <w:tc>
          <w:tcPr>
            <w:tcW w:w="821" w:type="pct"/>
            <w:tcBorders>
              <w:top w:val="single" w:sz="4" w:space="0" w:color="auto"/>
              <w:bottom w:val="single" w:sz="4" w:space="0" w:color="auto"/>
            </w:tcBorders>
            <w:vAlign w:val="center"/>
          </w:tcPr>
          <w:p w14:paraId="7E9FFF29" w14:textId="77777777" w:rsidR="00D63E98" w:rsidRDefault="00233BA3">
            <w:pPr>
              <w:keepNext/>
              <w:jc w:val="center"/>
              <w:rPr>
                <w:rFonts w:ascii="Arial Narrow" w:hAnsi="Arial Narrow"/>
                <w:b/>
                <w:sz w:val="20"/>
              </w:rPr>
            </w:pPr>
            <w:r>
              <w:rPr>
                <w:rFonts w:ascii="Arial Narrow" w:hAnsi="Arial Narrow"/>
                <w:b/>
                <w:sz w:val="20"/>
              </w:rPr>
              <w:t xml:space="preserve">Dispensed Price for Max. Qty </w:t>
            </w:r>
          </w:p>
        </w:tc>
        <w:tc>
          <w:tcPr>
            <w:tcW w:w="1315" w:type="pct"/>
            <w:gridSpan w:val="2"/>
            <w:tcBorders>
              <w:top w:val="single" w:sz="4" w:space="0" w:color="auto"/>
              <w:bottom w:val="single" w:sz="4" w:space="0" w:color="auto"/>
            </w:tcBorders>
            <w:vAlign w:val="center"/>
          </w:tcPr>
          <w:p w14:paraId="5B0CB164" w14:textId="77777777" w:rsidR="00D63E98" w:rsidRDefault="00233BA3">
            <w:pPr>
              <w:keepNext/>
              <w:jc w:val="center"/>
              <w:rPr>
                <w:rFonts w:ascii="Arial Narrow" w:hAnsi="Arial Narrow"/>
                <w:b/>
                <w:sz w:val="20"/>
                <w:lang w:val="fr-FR"/>
              </w:rPr>
            </w:pPr>
            <w:r>
              <w:rPr>
                <w:rFonts w:ascii="Arial Narrow" w:hAnsi="Arial Narrow"/>
                <w:b/>
                <w:sz w:val="20"/>
              </w:rPr>
              <w:t>Proprietary Name and Manufacturer</w:t>
            </w:r>
          </w:p>
        </w:tc>
      </w:tr>
      <w:tr w:rsidR="00D63E98" w14:paraId="50DF6365" w14:textId="77777777">
        <w:trPr>
          <w:cantSplit/>
          <w:trHeight w:val="567"/>
        </w:trPr>
        <w:tc>
          <w:tcPr>
            <w:tcW w:w="1834" w:type="pct"/>
            <w:gridSpan w:val="2"/>
            <w:vAlign w:val="center"/>
          </w:tcPr>
          <w:p w14:paraId="04E7C8A3" w14:textId="77777777" w:rsidR="00D63E98" w:rsidRDefault="00233BA3">
            <w:pPr>
              <w:keepNext/>
              <w:jc w:val="left"/>
              <w:rPr>
                <w:rFonts w:ascii="Arial Narrow" w:hAnsi="Arial Narrow"/>
                <w:smallCaps/>
                <w:sz w:val="20"/>
              </w:rPr>
            </w:pPr>
            <w:r>
              <w:rPr>
                <w:rFonts w:ascii="Arial Narrow" w:hAnsi="Arial Narrow"/>
                <w:smallCaps/>
                <w:sz w:val="20"/>
              </w:rPr>
              <w:t>PALIPERIDONE PALMITATE</w:t>
            </w:r>
          </w:p>
          <w:p w14:paraId="4B08BEA6" w14:textId="77777777" w:rsidR="00D63E98" w:rsidRDefault="00233BA3">
            <w:pPr>
              <w:keepNext/>
              <w:jc w:val="left"/>
              <w:rPr>
                <w:rFonts w:ascii="Arial Narrow" w:hAnsi="Arial Narrow"/>
                <w:sz w:val="20"/>
              </w:rPr>
            </w:pPr>
            <w:r>
              <w:rPr>
                <w:rFonts w:ascii="Arial Narrow" w:hAnsi="Arial Narrow"/>
                <w:sz w:val="20"/>
              </w:rPr>
              <w:t>700 mg/3.5 mL modified release injection, 3.5 mL syringe</w:t>
            </w:r>
          </w:p>
          <w:p w14:paraId="2986D14E" w14:textId="77777777" w:rsidR="00D63E98" w:rsidRDefault="00233BA3">
            <w:pPr>
              <w:keepNext/>
              <w:jc w:val="left"/>
              <w:rPr>
                <w:rFonts w:ascii="Arial Narrow" w:hAnsi="Arial Narrow"/>
                <w:sz w:val="20"/>
              </w:rPr>
            </w:pPr>
            <w:r>
              <w:rPr>
                <w:rFonts w:ascii="Arial Narrow" w:hAnsi="Arial Narrow"/>
                <w:sz w:val="20"/>
              </w:rPr>
              <w:t>1 g/5 mL modified release injection, 5 mL syringe</w:t>
            </w:r>
          </w:p>
        </w:tc>
        <w:tc>
          <w:tcPr>
            <w:tcW w:w="583" w:type="pct"/>
            <w:vAlign w:val="center"/>
          </w:tcPr>
          <w:p w14:paraId="34185F80" w14:textId="77777777" w:rsidR="00D63E98" w:rsidRDefault="00233BA3">
            <w:pPr>
              <w:keepNext/>
              <w:jc w:val="center"/>
              <w:rPr>
                <w:rFonts w:ascii="Arial Narrow" w:hAnsi="Arial Narrow"/>
                <w:sz w:val="20"/>
              </w:rPr>
            </w:pPr>
            <w:r>
              <w:rPr>
                <w:rFonts w:ascii="Arial Narrow" w:hAnsi="Arial Narrow"/>
                <w:sz w:val="20"/>
              </w:rPr>
              <w:t>1</w:t>
            </w:r>
          </w:p>
        </w:tc>
        <w:tc>
          <w:tcPr>
            <w:tcW w:w="447" w:type="pct"/>
            <w:vAlign w:val="center"/>
          </w:tcPr>
          <w:p w14:paraId="261473E3" w14:textId="77777777" w:rsidR="00D63E98" w:rsidRDefault="00233BA3">
            <w:pPr>
              <w:keepNext/>
              <w:jc w:val="center"/>
              <w:rPr>
                <w:rFonts w:ascii="Arial Narrow" w:hAnsi="Arial Narrow"/>
                <w:sz w:val="20"/>
              </w:rPr>
            </w:pPr>
            <w:r>
              <w:rPr>
                <w:rFonts w:ascii="Arial Narrow" w:hAnsi="Arial Narrow"/>
                <w:sz w:val="20"/>
              </w:rPr>
              <w:t>0</w:t>
            </w:r>
          </w:p>
        </w:tc>
        <w:tc>
          <w:tcPr>
            <w:tcW w:w="821" w:type="pct"/>
            <w:vAlign w:val="center"/>
          </w:tcPr>
          <w:p w14:paraId="79AEA2C1" w14:textId="77777777" w:rsidR="00D63E98" w:rsidRDefault="00233BA3">
            <w:pPr>
              <w:keepNext/>
              <w:jc w:val="center"/>
              <w:rPr>
                <w:rFonts w:ascii="Arial Narrow" w:hAnsi="Arial Narrow"/>
                <w:sz w:val="20"/>
              </w:rPr>
            </w:pPr>
            <w:r>
              <w:rPr>
                <w:rFonts w:ascii="Arial Narrow" w:hAnsi="Arial Narrow"/>
                <w:sz w:val="20"/>
              </w:rPr>
              <w:t>$2147.34</w:t>
            </w:r>
          </w:p>
        </w:tc>
        <w:tc>
          <w:tcPr>
            <w:tcW w:w="506" w:type="pct"/>
            <w:vAlign w:val="center"/>
          </w:tcPr>
          <w:p w14:paraId="3BA6B768" w14:textId="77777777" w:rsidR="00D63E98" w:rsidRDefault="00233BA3">
            <w:pPr>
              <w:pStyle w:val="TableText0"/>
              <w:rPr>
                <w:bCs w:val="0"/>
                <w:szCs w:val="20"/>
                <w:vertAlign w:val="superscript"/>
              </w:rPr>
            </w:pPr>
            <w:r>
              <w:rPr>
                <w:szCs w:val="20"/>
              </w:rPr>
              <w:t>INVEGA HAFYERA</w:t>
            </w:r>
            <w:r>
              <w:rPr>
                <w:szCs w:val="20"/>
                <w:vertAlign w:val="superscript"/>
              </w:rPr>
              <w:t>®</w:t>
            </w:r>
          </w:p>
          <w:p w14:paraId="05D6DCD6" w14:textId="77777777" w:rsidR="00D63E98" w:rsidRDefault="00D63E98">
            <w:pPr>
              <w:keepNext/>
              <w:rPr>
                <w:rFonts w:ascii="Arial Narrow" w:hAnsi="Arial Narrow"/>
                <w:sz w:val="20"/>
              </w:rPr>
            </w:pPr>
          </w:p>
        </w:tc>
        <w:tc>
          <w:tcPr>
            <w:tcW w:w="809" w:type="pct"/>
            <w:vAlign w:val="center"/>
          </w:tcPr>
          <w:p w14:paraId="1EE2BF3B" w14:textId="77777777" w:rsidR="00D63E98" w:rsidRDefault="00233BA3">
            <w:pPr>
              <w:pStyle w:val="TableText0"/>
              <w:rPr>
                <w:bCs w:val="0"/>
                <w:szCs w:val="20"/>
              </w:rPr>
            </w:pPr>
            <w:r>
              <w:rPr>
                <w:szCs w:val="20"/>
              </w:rPr>
              <w:t>Janssen-</w:t>
            </w:r>
            <w:proofErr w:type="spellStart"/>
            <w:r>
              <w:rPr>
                <w:szCs w:val="20"/>
              </w:rPr>
              <w:t>Cilag</w:t>
            </w:r>
            <w:proofErr w:type="spellEnd"/>
            <w:r>
              <w:rPr>
                <w:szCs w:val="20"/>
              </w:rPr>
              <w:t xml:space="preserve"> Australia Pty Ltd</w:t>
            </w:r>
          </w:p>
          <w:p w14:paraId="7BCF0AD4" w14:textId="77777777" w:rsidR="00D63E98" w:rsidRDefault="00D63E98">
            <w:pPr>
              <w:keepNext/>
              <w:jc w:val="center"/>
              <w:rPr>
                <w:rFonts w:ascii="Arial Narrow" w:hAnsi="Arial Narrow"/>
                <w:sz w:val="20"/>
              </w:rPr>
            </w:pPr>
          </w:p>
        </w:tc>
      </w:tr>
      <w:tr w:rsidR="00D63E98" w14:paraId="7E220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24F5079D" w14:textId="77777777" w:rsidR="00D63E98" w:rsidRDefault="00233BA3">
            <w:pPr>
              <w:pStyle w:val="TableText0"/>
            </w:pPr>
            <w:r>
              <w:t>Category/Program:</w:t>
            </w:r>
          </w:p>
        </w:tc>
        <w:tc>
          <w:tcPr>
            <w:tcW w:w="3771" w:type="pct"/>
            <w:gridSpan w:val="6"/>
            <w:tcBorders>
              <w:top w:val="single" w:sz="4" w:space="0" w:color="auto"/>
              <w:left w:val="single" w:sz="4" w:space="0" w:color="auto"/>
              <w:bottom w:val="single" w:sz="4" w:space="0" w:color="auto"/>
              <w:right w:val="single" w:sz="4" w:space="0" w:color="auto"/>
            </w:tcBorders>
          </w:tcPr>
          <w:p w14:paraId="6731D76B" w14:textId="77777777" w:rsidR="00D63E98" w:rsidRDefault="00233BA3">
            <w:pPr>
              <w:pStyle w:val="TableText0"/>
            </w:pPr>
            <w:r>
              <w:t>General Schedule</w:t>
            </w:r>
          </w:p>
        </w:tc>
      </w:tr>
      <w:tr w:rsidR="00D63E98" w14:paraId="50775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7A343398" w14:textId="77777777" w:rsidR="00D63E98" w:rsidRDefault="00233BA3">
            <w:pPr>
              <w:pStyle w:val="TableText0"/>
            </w:pPr>
            <w:r>
              <w:t>PBS indication:</w:t>
            </w:r>
          </w:p>
        </w:tc>
        <w:tc>
          <w:tcPr>
            <w:tcW w:w="3771" w:type="pct"/>
            <w:gridSpan w:val="6"/>
            <w:tcBorders>
              <w:top w:val="single" w:sz="4" w:space="0" w:color="auto"/>
              <w:left w:val="single" w:sz="4" w:space="0" w:color="auto"/>
              <w:bottom w:val="single" w:sz="4" w:space="0" w:color="auto"/>
              <w:right w:val="single" w:sz="4" w:space="0" w:color="auto"/>
            </w:tcBorders>
          </w:tcPr>
          <w:p w14:paraId="3FAC4F9F" w14:textId="77777777" w:rsidR="00D63E98" w:rsidRDefault="00233BA3">
            <w:pPr>
              <w:pStyle w:val="TableText0"/>
            </w:pPr>
            <w:r>
              <w:t>Schizophrenia</w:t>
            </w:r>
          </w:p>
        </w:tc>
      </w:tr>
      <w:tr w:rsidR="00D63E98" w14:paraId="00678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0D0159CC" w14:textId="77777777" w:rsidR="00D63E98" w:rsidRDefault="00233BA3">
            <w:pPr>
              <w:pStyle w:val="TableText0"/>
            </w:pPr>
            <w:r>
              <w:t>Treatment phase:</w:t>
            </w:r>
          </w:p>
        </w:tc>
        <w:tc>
          <w:tcPr>
            <w:tcW w:w="3771" w:type="pct"/>
            <w:gridSpan w:val="6"/>
            <w:tcBorders>
              <w:top w:val="single" w:sz="4" w:space="0" w:color="auto"/>
              <w:left w:val="single" w:sz="4" w:space="0" w:color="auto"/>
              <w:bottom w:val="single" w:sz="4" w:space="0" w:color="auto"/>
              <w:right w:val="single" w:sz="4" w:space="0" w:color="auto"/>
            </w:tcBorders>
          </w:tcPr>
          <w:p w14:paraId="07DE90D9" w14:textId="77777777" w:rsidR="00D63E98" w:rsidRDefault="00233BA3">
            <w:pPr>
              <w:pStyle w:val="TableText0"/>
            </w:pPr>
            <w:r>
              <w:t>Initial and continuing</w:t>
            </w:r>
          </w:p>
        </w:tc>
      </w:tr>
      <w:tr w:rsidR="00D63E98" w14:paraId="6D558D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1FE4E4DD" w14:textId="77777777" w:rsidR="00D63E98" w:rsidRDefault="00233BA3">
            <w:pPr>
              <w:pStyle w:val="TableText0"/>
            </w:pPr>
            <w:r>
              <w:t>Restriction:</w:t>
            </w:r>
          </w:p>
        </w:tc>
        <w:tc>
          <w:tcPr>
            <w:tcW w:w="3771" w:type="pct"/>
            <w:gridSpan w:val="6"/>
            <w:tcBorders>
              <w:top w:val="single" w:sz="4" w:space="0" w:color="auto"/>
              <w:left w:val="single" w:sz="4" w:space="0" w:color="auto"/>
              <w:bottom w:val="single" w:sz="4" w:space="0" w:color="auto"/>
              <w:right w:val="single" w:sz="4" w:space="0" w:color="auto"/>
            </w:tcBorders>
          </w:tcPr>
          <w:p w14:paraId="2B2CB62C" w14:textId="77777777" w:rsidR="00D63E98" w:rsidRDefault="00233BA3">
            <w:pPr>
              <w:pStyle w:val="TableText0"/>
            </w:pPr>
            <w:r>
              <w:t xml:space="preserve">Authority Required – Streamlined </w:t>
            </w:r>
          </w:p>
        </w:tc>
      </w:tr>
      <w:tr w:rsidR="00D63E98" w14:paraId="439F3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06252735" w14:textId="77777777" w:rsidR="00D63E98" w:rsidRDefault="00233BA3">
            <w:pPr>
              <w:pStyle w:val="TableText0"/>
            </w:pPr>
            <w:r>
              <w:t>Clinical criteria:</w:t>
            </w:r>
          </w:p>
        </w:tc>
        <w:tc>
          <w:tcPr>
            <w:tcW w:w="3771" w:type="pct"/>
            <w:gridSpan w:val="6"/>
            <w:tcBorders>
              <w:top w:val="single" w:sz="4" w:space="0" w:color="auto"/>
              <w:left w:val="single" w:sz="4" w:space="0" w:color="auto"/>
              <w:bottom w:val="single" w:sz="4" w:space="0" w:color="auto"/>
              <w:right w:val="single" w:sz="4" w:space="0" w:color="auto"/>
            </w:tcBorders>
          </w:tcPr>
          <w:p w14:paraId="5A5DD7D2" w14:textId="77777777" w:rsidR="00D63E98" w:rsidRDefault="00233BA3">
            <w:pPr>
              <w:pStyle w:val="TableText0"/>
            </w:pPr>
            <w:r>
              <w:t>Patient must have previously received and be stabilised on PBS-subsidised paliperidone three-monthly injection for at least one injection cycle or</w:t>
            </w:r>
          </w:p>
          <w:p w14:paraId="5D2D7CA3" w14:textId="77777777" w:rsidR="00D63E98" w:rsidRDefault="00D63E98">
            <w:pPr>
              <w:pStyle w:val="TableText0"/>
            </w:pPr>
          </w:p>
          <w:p w14:paraId="351361E4" w14:textId="77777777" w:rsidR="00D63E98" w:rsidRDefault="00233BA3">
            <w:pPr>
              <w:pStyle w:val="TableText0"/>
            </w:pPr>
            <w:r>
              <w:t>Patient must have previously received and be stabilised on PBS-subsidised paliperidone once-monthly injection for at least 4 consecutive months</w:t>
            </w:r>
          </w:p>
        </w:tc>
      </w:tr>
      <w:tr w:rsidR="00D63E98" w14:paraId="31D9E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4E39FF37" w14:textId="77777777" w:rsidR="00D63E98" w:rsidRDefault="00233BA3">
            <w:pPr>
              <w:pStyle w:val="TableText0"/>
            </w:pPr>
            <w:r>
              <w:t>Prescriber criteria:</w:t>
            </w:r>
          </w:p>
        </w:tc>
        <w:tc>
          <w:tcPr>
            <w:tcW w:w="3771" w:type="pct"/>
            <w:gridSpan w:val="6"/>
            <w:tcBorders>
              <w:top w:val="single" w:sz="4" w:space="0" w:color="auto"/>
              <w:left w:val="single" w:sz="4" w:space="0" w:color="auto"/>
              <w:bottom w:val="single" w:sz="4" w:space="0" w:color="auto"/>
              <w:right w:val="single" w:sz="4" w:space="0" w:color="auto"/>
            </w:tcBorders>
          </w:tcPr>
          <w:p w14:paraId="2200D306" w14:textId="77777777" w:rsidR="00D63E98" w:rsidRDefault="00233BA3">
            <w:pPr>
              <w:pStyle w:val="TableText0"/>
            </w:pPr>
            <w:r>
              <w:t>Medical Practitioners</w:t>
            </w:r>
          </w:p>
          <w:p w14:paraId="14AC5231" w14:textId="77777777" w:rsidR="00D63E98" w:rsidRDefault="00233BA3">
            <w:pPr>
              <w:pStyle w:val="TableText0"/>
            </w:pPr>
            <w: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0E842333" w14:textId="77777777" w:rsidR="00D63E98" w:rsidRDefault="00233BA3">
      <w:pPr>
        <w:pStyle w:val="TableFigureFooter"/>
      </w:pPr>
      <w:r>
        <w:t>Source: Table 1.8, pp35-36 of the submission.</w:t>
      </w:r>
    </w:p>
    <w:p w14:paraId="7E470E53" w14:textId="77777777" w:rsidR="00D63E98" w:rsidRDefault="00233BA3">
      <w:pPr>
        <w:pStyle w:val="3-BodyText"/>
      </w:pPr>
      <w:r>
        <w:t>The requested restriction was consistent with the ARTG registered indication.</w:t>
      </w:r>
    </w:p>
    <w:p w14:paraId="06FD8C34" w14:textId="77777777" w:rsidR="00D63E98" w:rsidRDefault="00233BA3">
      <w:pPr>
        <w:pStyle w:val="3-BodyText"/>
      </w:pPr>
      <w:r>
        <w:t>The submission proposed clinical criteria to transition patients from PP3M or PP1M to PP6M. The PBAC considered these criteria would be reasonable since treatment with PP6M was demonstrated in the clinical evidence to be non-inferior in effectiveness and safety to PP3M and PP1M.</w:t>
      </w:r>
      <w:r>
        <w:rPr>
          <w:color w:val="000000"/>
        </w:rPr>
        <w:t xml:space="preserve"> </w:t>
      </w:r>
    </w:p>
    <w:p w14:paraId="47F858B8" w14:textId="77777777" w:rsidR="00D63E98" w:rsidRDefault="00233BA3">
      <w:pPr>
        <w:pStyle w:val="3-BodyText"/>
      </w:pPr>
      <w:r>
        <w:t>The requested restriction was considered simple in terms of the time required for finalisation, given that it is based on the current restriction for paliperidone.</w:t>
      </w:r>
    </w:p>
    <w:p w14:paraId="1D705CAB" w14:textId="77777777" w:rsidR="00D63E98" w:rsidRDefault="00233BA3">
      <w:pPr>
        <w:pStyle w:val="3-BodyText"/>
        <w:numPr>
          <w:ilvl w:val="0"/>
          <w:numId w:val="0"/>
        </w:numPr>
        <w:ind w:left="720"/>
      </w:pPr>
      <w:r>
        <w:rPr>
          <w:i/>
        </w:rPr>
        <w:t>For more detail on PBAC’s view, see section 7 PBAC outcome.</w:t>
      </w:r>
    </w:p>
    <w:p w14:paraId="7A9FCD15" w14:textId="77777777" w:rsidR="00D63E98" w:rsidRDefault="00233BA3">
      <w:pPr>
        <w:pStyle w:val="2-SectionHeading"/>
      </w:pPr>
      <w:bookmarkStart w:id="11" w:name="_Toc93498352"/>
      <w:r>
        <w:t>Population and disease</w:t>
      </w:r>
      <w:bookmarkEnd w:id="11"/>
    </w:p>
    <w:p w14:paraId="5F8B8AF9" w14:textId="77777777" w:rsidR="00D63E98" w:rsidRDefault="00233BA3">
      <w:pPr>
        <w:pStyle w:val="3-BodyText"/>
      </w:pPr>
      <w:r>
        <w:t xml:space="preserve">Schizophrenia is a severe, chronic, relapsing psychiatric illness characterised by disturbances in speech, perception, cognition, </w:t>
      </w:r>
      <w:proofErr w:type="gramStart"/>
      <w:r>
        <w:t>volition</w:t>
      </w:r>
      <w:proofErr w:type="gramEnd"/>
      <w:r>
        <w:t xml:space="preserve"> and emotion.</w:t>
      </w:r>
    </w:p>
    <w:p w14:paraId="075F657A" w14:textId="77777777" w:rsidR="00D63E98" w:rsidRDefault="00233BA3">
      <w:pPr>
        <w:pStyle w:val="3-BodyText"/>
      </w:pPr>
      <w:r>
        <w:t>The submission proposed that the clinical management algorithm for patients with schizophrenia following the PBS listing of PP6M will remain largely unchanged apart from the availability of PP6M as an additional maintenance treatment option for schizophrenia patients who have been adequately treated with PP3M for at least one 3-month injection cycle or PP1M for at least 4 months. For patients adequately treated with PP3M, a decision would be made by the treating clinician in consultation with the patient and/or their carer whether to switch to PP6M or remain on PP3M. The proposed treatment algorithm is shown below.</w:t>
      </w:r>
    </w:p>
    <w:p w14:paraId="71C4A5D3" w14:textId="77777777" w:rsidR="00D63E98" w:rsidRDefault="00233BA3">
      <w:pPr>
        <w:pStyle w:val="3-BodyText"/>
      </w:pPr>
      <w:r>
        <w:t>Paliperidone palmitate (PP) is an atypical neuroleptic antipsychotic; paliperidone is 9-hydroxyrisperidone. The 6-month formulation dissolves slowly after intramuscular injection and the plasma concentrations are predicted to reach maximum on Day 33 and 35 for the 700 mg and 1000 mg doses respectively. This results in therapeutic concentrations being sustained over a period of 6 months.</w:t>
      </w:r>
    </w:p>
    <w:p w14:paraId="201A8BD0" w14:textId="6DDB8229" w:rsidR="00D63E98" w:rsidRDefault="00233BA3">
      <w:pPr>
        <w:pStyle w:val="Caption"/>
      </w:pPr>
      <w:r>
        <w:t xml:space="preserve">Figure </w:t>
      </w:r>
      <w:fldSimple w:instr=" SEQ Figure \* ARABIC ">
        <w:r w:rsidR="001149A2">
          <w:rPr>
            <w:noProof/>
          </w:rPr>
          <w:t>1</w:t>
        </w:r>
      </w:fldSimple>
      <w:r>
        <w:t>: Proposed clinical management algorithm</w:t>
      </w:r>
    </w:p>
    <w:p w14:paraId="35725D4A" w14:textId="77777777" w:rsidR="00D63E98" w:rsidRDefault="00233BA3">
      <w:pPr>
        <w:pStyle w:val="TableFigureHeading"/>
      </w:pPr>
      <w:r>
        <w:rPr>
          <w:noProof/>
        </w:rPr>
        <mc:AlternateContent>
          <mc:Choice Requires="wpg">
            <w:drawing>
              <wp:inline distT="0" distB="0" distL="0" distR="0" wp14:anchorId="7112A753" wp14:editId="73AA0B2B">
                <wp:extent cx="4921250" cy="5779770"/>
                <wp:effectExtent l="0" t="0" r="12700" b="11430"/>
                <wp:docPr id="147" name="Group 147" descr="Figure 1: Proposed clinical management algorithm"/>
                <wp:cNvGraphicFramePr/>
                <a:graphic xmlns:a="http://schemas.openxmlformats.org/drawingml/2006/main">
                  <a:graphicData uri="http://schemas.microsoft.com/office/word/2010/wordprocessingGroup">
                    <wpg:wgp>
                      <wpg:cNvGrpSpPr/>
                      <wpg:grpSpPr>
                        <a:xfrm>
                          <a:off x="0" y="0"/>
                          <a:ext cx="4921250" cy="5779770"/>
                          <a:chOff x="0" y="0"/>
                          <a:chExt cx="4921250" cy="5779770"/>
                        </a:xfrm>
                      </wpg:grpSpPr>
                      <wpg:grpSp>
                        <wpg:cNvPr id="148" name="Group 148"/>
                        <wpg:cNvGrpSpPr/>
                        <wpg:grpSpPr>
                          <a:xfrm>
                            <a:off x="77638" y="2734574"/>
                            <a:ext cx="3873260" cy="2872558"/>
                            <a:chOff x="0" y="0"/>
                            <a:chExt cx="3873260" cy="2872558"/>
                          </a:xfrm>
                        </wpg:grpSpPr>
                        <wps:wsp>
                          <wps:cNvPr id="149" name="Text Box 149"/>
                          <wps:cNvSpPr txBox="1"/>
                          <wps:spPr>
                            <a:xfrm>
                              <a:off x="0" y="2311879"/>
                              <a:ext cx="2247160" cy="560679"/>
                            </a:xfrm>
                            <a:prstGeom prst="rect">
                              <a:avLst/>
                            </a:prstGeom>
                            <a:solidFill>
                              <a:schemeClr val="bg1">
                                <a:lumMod val="95000"/>
                              </a:schemeClr>
                            </a:solidFill>
                            <a:ln w="6350">
                              <a:noFill/>
                            </a:ln>
                          </wps:spPr>
                          <wps:txbx>
                            <w:txbxContent>
                              <w:p w14:paraId="4397AD49" w14:textId="77777777" w:rsidR="001149A2" w:rsidRDefault="001149A2">
                                <w:pPr>
                                  <w:rPr>
                                    <w:rFonts w:ascii="Arial Narrow" w:hAnsi="Arial Narrow"/>
                                    <w:i/>
                                    <w:iCs/>
                                    <w:sz w:val="16"/>
                                    <w:szCs w:val="16"/>
                                    <w:lang w:val="en-US"/>
                                  </w:rPr>
                                </w:pPr>
                                <w:r>
                                  <w:rPr>
                                    <w:rFonts w:ascii="Arial Narrow" w:hAnsi="Arial Narrow"/>
                                    <w:i/>
                                    <w:iCs/>
                                    <w:sz w:val="16"/>
                                    <w:szCs w:val="16"/>
                                    <w:lang w:val="en-US"/>
                                  </w:rPr>
                                  <w:t xml:space="preserve">*** For patients who have never taken oral paliperidone or oral or injectable risperidone, it is </w:t>
                                </w:r>
                                <w:r>
                                  <w:rPr>
                                    <w:rFonts w:ascii="Arial Narrow" w:hAnsi="Arial Narrow"/>
                                    <w:sz w:val="16"/>
                                    <w:szCs w:val="16"/>
                                    <w:lang w:val="en-US"/>
                                  </w:rPr>
                                  <w:t>recommended</w:t>
                                </w:r>
                                <w:r>
                                  <w:rPr>
                                    <w:rFonts w:ascii="Arial Narrow" w:hAnsi="Arial Narrow"/>
                                    <w:i/>
                                    <w:iCs/>
                                    <w:sz w:val="16"/>
                                    <w:szCs w:val="16"/>
                                    <w:lang w:val="en-US"/>
                                  </w:rPr>
                                  <w:t xml:space="preserve"> to establish tolerability with oral paliperidone or oral</w:t>
                                </w:r>
                                <w:r>
                                  <w:rPr>
                                    <w:rFonts w:ascii="Arial Narrow" w:hAnsi="Arial Narrow"/>
                                    <w:i/>
                                    <w:iCs/>
                                    <w:sz w:val="16"/>
                                    <w:szCs w:val="18"/>
                                    <w:lang w:val="en-US"/>
                                  </w:rPr>
                                  <w:t xml:space="preserve"> risperidone prior to initiating</w:t>
                                </w:r>
                                <w:r>
                                  <w:rPr>
                                    <w:rFonts w:ascii="Arial Narrow" w:hAnsi="Arial Narrow"/>
                                    <w:i/>
                                    <w:iCs/>
                                    <w:sz w:val="16"/>
                                    <w:szCs w:val="16"/>
                                    <w:lang w:val="en-US"/>
                                  </w:rPr>
                                  <w:t xml:space="preserve"> </w:t>
                                </w:r>
                                <w:r>
                                  <w:rPr>
                                    <w:rFonts w:ascii="Arial Narrow" w:hAnsi="Arial Narrow"/>
                                    <w:i/>
                                    <w:iCs/>
                                    <w:sz w:val="16"/>
                                    <w:szCs w:val="18"/>
                                    <w:lang w:val="en-US"/>
                                  </w:rPr>
                                  <w:t>treatment with PP1M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3416060" y="0"/>
                              <a:ext cx="457200" cy="172516"/>
                            </a:xfrm>
                            <a:prstGeom prst="rect">
                              <a:avLst/>
                            </a:prstGeom>
                            <a:noFill/>
                            <a:ln w="6350">
                              <a:noFill/>
                            </a:ln>
                          </wps:spPr>
                          <wps:txbx>
                            <w:txbxContent>
                              <w:p w14:paraId="1C5F5D04" w14:textId="77777777" w:rsidR="001149A2" w:rsidRDefault="001149A2">
                                <w:pPr>
                                  <w:jc w:val="center"/>
                                  <w:rPr>
                                    <w:rFonts w:ascii="Arial Narrow" w:hAnsi="Arial Narrow"/>
                                    <w:i/>
                                    <w:iCs/>
                                    <w:lang w:val="en-US"/>
                                  </w:rPr>
                                </w:pPr>
                                <w:r>
                                  <w:rPr>
                                    <w:rFonts w:ascii="Arial Narrow" w:hAnsi="Arial Narrow"/>
                                    <w:i/>
                                    <w:i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6" name="Group 156"/>
                        <wpg:cNvGrpSpPr/>
                        <wpg:grpSpPr>
                          <a:xfrm>
                            <a:off x="0" y="0"/>
                            <a:ext cx="4921250" cy="5779770"/>
                            <a:chOff x="0" y="0"/>
                            <a:chExt cx="4921717" cy="5779770"/>
                          </a:xfrm>
                        </wpg:grpSpPr>
                        <wps:wsp>
                          <wps:cNvPr id="157" name="Straight Arrow Connector 157"/>
                          <wps:cNvCnPr/>
                          <wps:spPr>
                            <a:xfrm rot="16200000">
                              <a:off x="3726252" y="2534369"/>
                              <a:ext cx="1" cy="711389"/>
                            </a:xfrm>
                            <a:prstGeom prst="straightConnector1">
                              <a:avLst/>
                            </a:prstGeom>
                            <a:ln w="12700">
                              <a:solidFill>
                                <a:schemeClr val="tx1"/>
                              </a:solidFill>
                              <a:prstDash val="solid"/>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8" name="Straight Arrow Connector 158"/>
                          <wps:cNvCnPr/>
                          <wps:spPr>
                            <a:xfrm rot="16200000">
                              <a:off x="3665867" y="3371131"/>
                              <a:ext cx="1" cy="711389"/>
                            </a:xfrm>
                            <a:prstGeom prst="straightConnector1">
                              <a:avLst/>
                            </a:prstGeom>
                            <a:ln w="12700">
                              <a:solidFill>
                                <a:schemeClr val="tx1"/>
                              </a:solidFill>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rot="16200000" flipH="1">
                              <a:off x="3467998" y="3819885"/>
                              <a:ext cx="420770" cy="744759"/>
                            </a:xfrm>
                            <a:prstGeom prst="straightConnector1">
                              <a:avLst/>
                            </a:prstGeom>
                            <a:ln w="12700">
                              <a:solidFill>
                                <a:schemeClr val="tx1"/>
                              </a:solidFill>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60" name="Group 160"/>
                          <wpg:cNvGrpSpPr/>
                          <wpg:grpSpPr>
                            <a:xfrm>
                              <a:off x="0" y="0"/>
                              <a:ext cx="4921717" cy="5779770"/>
                              <a:chOff x="0" y="0"/>
                              <a:chExt cx="4922102" cy="5779770"/>
                            </a:xfrm>
                          </wpg:grpSpPr>
                          <wpg:grpSp>
                            <wpg:cNvPr id="161" name="Group 161"/>
                            <wpg:cNvGrpSpPr/>
                            <wpg:grpSpPr>
                              <a:xfrm flipH="1">
                                <a:off x="759124" y="1430547"/>
                                <a:ext cx="1521562" cy="1585595"/>
                                <a:chOff x="0" y="0"/>
                                <a:chExt cx="1129712" cy="1586065"/>
                              </a:xfrm>
                            </wpg:grpSpPr>
                            <wps:wsp>
                              <wps:cNvPr id="162" name="Straight Arrow Connector 162"/>
                              <wps:cNvCnPr/>
                              <wps:spPr>
                                <a:xfrm rot="16200000">
                                  <a:off x="959535" y="1415491"/>
                                  <a:ext cx="1977" cy="338376"/>
                                </a:xfrm>
                                <a:prstGeom prst="straightConnector1">
                                  <a:avLst/>
                                </a:prstGeom>
                                <a:ln w="9525">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V="1">
                                  <a:off x="1124127" y="0"/>
                                  <a:ext cx="0" cy="1586065"/>
                                </a:xfrm>
                                <a:prstGeom prst="straightConnector1">
                                  <a:avLst/>
                                </a:prstGeom>
                                <a:ln w="9525">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wps:spPr>
                                <a:xfrm rot="5400000">
                                  <a:off x="564514" y="-559613"/>
                                  <a:ext cx="2" cy="1129030"/>
                                </a:xfrm>
                                <a:prstGeom prst="straightConnector1">
                                  <a:avLst/>
                                </a:prstGeom>
                                <a:ln w="12700">
                                  <a:solidFill>
                                    <a:schemeClr val="tx1"/>
                                  </a:solidFill>
                                  <a:prstDash val="solid"/>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g:grpSp>
                            <wpg:cNvPr id="169" name="Group 169"/>
                            <wpg:cNvGrpSpPr/>
                            <wpg:grpSpPr>
                              <a:xfrm>
                                <a:off x="0" y="0"/>
                                <a:ext cx="4922102" cy="5779770"/>
                                <a:chOff x="0" y="0"/>
                                <a:chExt cx="4922102" cy="5779770"/>
                              </a:xfrm>
                            </wpg:grpSpPr>
                            <wps:wsp>
                              <wps:cNvPr id="170" name="Text Box 170"/>
                              <wps:cNvSpPr txBox="1"/>
                              <wps:spPr>
                                <a:xfrm>
                                  <a:off x="4074566" y="4381804"/>
                                  <a:ext cx="842793" cy="270343"/>
                                </a:xfrm>
                                <a:prstGeom prst="rect">
                                  <a:avLst/>
                                </a:prstGeom>
                                <a:solidFill>
                                  <a:schemeClr val="accent6">
                                    <a:lumMod val="75000"/>
                                  </a:schemeClr>
                                </a:solidFill>
                                <a:ln w="6350">
                                  <a:solidFill>
                                    <a:prstClr val="black"/>
                                  </a:solidFill>
                                </a:ln>
                              </wps:spPr>
                              <wps:txbx>
                                <w:txbxContent>
                                  <w:p w14:paraId="7C965D72" w14:textId="77777777" w:rsidR="001149A2" w:rsidRDefault="001149A2">
                                    <w:pPr>
                                      <w:jc w:val="center"/>
                                      <w:rPr>
                                        <w:rFonts w:ascii="Arial Narrow" w:hAnsi="Arial Narrow"/>
                                        <w:color w:val="FFFFFF" w:themeColor="background1"/>
                                        <w:lang w:val="en-US"/>
                                      </w:rPr>
                                    </w:pPr>
                                    <w:r>
                                      <w:rPr>
                                        <w:rFonts w:ascii="Arial Narrow" w:hAnsi="Arial Narrow"/>
                                        <w:b/>
                                        <w:bCs/>
                                        <w:lang w:val="en-US"/>
                                      </w:rPr>
                                      <w:t>PP6M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2" name="Group 172"/>
                              <wpg:cNvGrpSpPr/>
                              <wpg:grpSpPr>
                                <a:xfrm>
                                  <a:off x="0" y="0"/>
                                  <a:ext cx="4922102" cy="5779770"/>
                                  <a:chOff x="0" y="0"/>
                                  <a:chExt cx="4922102" cy="5779770"/>
                                </a:xfrm>
                              </wpg:grpSpPr>
                              <wps:wsp>
                                <wps:cNvPr id="173" name="Straight Arrow Connector 173"/>
                                <wps:cNvCnPr/>
                                <wps:spPr>
                                  <a:xfrm>
                                    <a:off x="4477244" y="3978234"/>
                                    <a:ext cx="0" cy="278127"/>
                                  </a:xfrm>
                                  <a:prstGeom prst="straightConnector1">
                                    <a:avLst/>
                                  </a:prstGeom>
                                  <a:ln w="19050">
                                    <a:solidFill>
                                      <a:schemeClr val="tx1"/>
                                    </a:solidFill>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74" name="Straight Arrow Connector 174"/>
                                <wps:cNvCnPr/>
                                <wps:spPr>
                                  <a:xfrm rot="16200000">
                                    <a:off x="3862449" y="2888673"/>
                                    <a:ext cx="1" cy="323357"/>
                                  </a:xfrm>
                                  <a:prstGeom prst="straightConnector1">
                                    <a:avLst/>
                                  </a:prstGeom>
                                  <a:ln w="12700">
                                    <a:solidFill>
                                      <a:schemeClr val="tx1"/>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wps:spPr>
                                  <a:xfrm rot="16200000" flipH="1">
                                    <a:off x="3866345" y="4375996"/>
                                    <a:ext cx="1" cy="324363"/>
                                  </a:xfrm>
                                  <a:prstGeom prst="straightConnector1">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6" name="Straight Arrow Connector 176"/>
                                <wps:cNvCnPr/>
                                <wps:spPr>
                                  <a:xfrm>
                                    <a:off x="3699163" y="3051958"/>
                                    <a:ext cx="1678" cy="1489138"/>
                                  </a:xfrm>
                                  <a:prstGeom prst="straightConnector1">
                                    <a:avLst/>
                                  </a:prstGeom>
                                  <a:ln w="9525">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g:cNvPr id="177" name="Group 177"/>
                                <wpg:cNvGrpSpPr/>
                                <wpg:grpSpPr>
                                  <a:xfrm>
                                    <a:off x="0" y="0"/>
                                    <a:ext cx="4922102" cy="5779770"/>
                                    <a:chOff x="0" y="0"/>
                                    <a:chExt cx="4922364" cy="5779996"/>
                                  </a:xfrm>
                                </wpg:grpSpPr>
                                <wps:wsp>
                                  <wps:cNvPr id="178" name="Straight Arrow Connector 178"/>
                                  <wps:cNvCnPr/>
                                  <wps:spPr>
                                    <a:xfrm>
                                      <a:off x="3425046" y="362309"/>
                                      <a:ext cx="0" cy="443865"/>
                                    </a:xfrm>
                                    <a:prstGeom prst="straightConnector1">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9" name="Straight Arrow Connector 179"/>
                                  <wps:cNvCnPr/>
                                  <wps:spPr>
                                    <a:xfrm rot="5400000">
                                      <a:off x="1830939" y="481623"/>
                                      <a:ext cx="638188" cy="436821"/>
                                    </a:xfrm>
                                    <a:prstGeom prst="straightConnector1">
                                      <a:avLst/>
                                    </a:prstGeom>
                                    <a:ln w="12700">
                                      <a:solidFill>
                                        <a:schemeClr val="tx1"/>
                                      </a:solidFill>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g:cNvPr id="181" name="Group 181"/>
                                  <wpg:cNvGrpSpPr/>
                                  <wpg:grpSpPr>
                                    <a:xfrm>
                                      <a:off x="0" y="0"/>
                                      <a:ext cx="4922364" cy="5779996"/>
                                      <a:chOff x="0" y="0"/>
                                      <a:chExt cx="4922364" cy="5779996"/>
                                    </a:xfrm>
                                  </wpg:grpSpPr>
                                  <wpg:grpSp>
                                    <wpg:cNvPr id="182" name="Group 182"/>
                                    <wpg:cNvGrpSpPr/>
                                    <wpg:grpSpPr>
                                      <a:xfrm>
                                        <a:off x="0" y="0"/>
                                        <a:ext cx="4922364" cy="5779996"/>
                                        <a:chOff x="0" y="0"/>
                                        <a:chExt cx="4922364" cy="5779996"/>
                                      </a:xfrm>
                                    </wpg:grpSpPr>
                                    <wpg:grpSp>
                                      <wpg:cNvPr id="183" name="Group 183"/>
                                      <wpg:cNvGrpSpPr/>
                                      <wpg:grpSpPr>
                                        <a:xfrm>
                                          <a:off x="7315" y="848487"/>
                                          <a:ext cx="4915049" cy="4931509"/>
                                          <a:chOff x="-231731" y="292532"/>
                                          <a:chExt cx="4915049" cy="4931509"/>
                                        </a:xfrm>
                                      </wpg:grpSpPr>
                                      <wps:wsp>
                                        <wps:cNvPr id="184" name="Straight Arrow Connector 184"/>
                                        <wps:cNvCnPr/>
                                        <wps:spPr>
                                          <a:xfrm rot="16200000">
                                            <a:off x="3488900" y="2103758"/>
                                            <a:ext cx="1" cy="605790"/>
                                          </a:xfrm>
                                          <a:prstGeom prst="straightConnector1">
                                            <a:avLst/>
                                          </a:prstGeom>
                                          <a:ln w="9525">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85" name="Group 185"/>
                                        <wpg:cNvGrpSpPr/>
                                        <wpg:grpSpPr>
                                          <a:xfrm>
                                            <a:off x="-231731" y="292532"/>
                                            <a:ext cx="4915049" cy="4931509"/>
                                            <a:chOff x="-231731" y="292532"/>
                                            <a:chExt cx="4915049" cy="4931509"/>
                                          </a:xfrm>
                                        </wpg:grpSpPr>
                                        <wps:wsp>
                                          <wps:cNvPr id="186" name="Straight Arrow Connector 186"/>
                                          <wps:cNvCnPr/>
                                          <wps:spPr>
                                            <a:xfrm>
                                              <a:off x="2189229" y="3420823"/>
                                              <a:ext cx="0" cy="1228822"/>
                                            </a:xfrm>
                                            <a:prstGeom prst="straightConnector1">
                                              <a:avLst/>
                                            </a:prstGeom>
                                            <a:ln w="9525">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wps:spPr>
                                            <a:xfrm>
                                              <a:off x="4265807" y="4241687"/>
                                              <a:ext cx="0" cy="395288"/>
                                            </a:xfrm>
                                            <a:prstGeom prst="straightConnector1">
                                              <a:avLst/>
                                            </a:prstGeom>
                                            <a:ln w="9525">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88" name="Group 188"/>
                                          <wpg:cNvGrpSpPr/>
                                          <wpg:grpSpPr>
                                            <a:xfrm>
                                              <a:off x="-231731" y="292532"/>
                                              <a:ext cx="4915049" cy="4931509"/>
                                              <a:chOff x="-231731" y="292532"/>
                                              <a:chExt cx="4915049" cy="4931509"/>
                                            </a:xfrm>
                                          </wpg:grpSpPr>
                                          <wps:wsp>
                                            <wps:cNvPr id="189" name="Straight Arrow Connector 189"/>
                                            <wps:cNvCnPr/>
                                            <wps:spPr>
                                              <a:xfrm rot="5400000">
                                                <a:off x="3224407" y="3606687"/>
                                                <a:ext cx="1" cy="2079549"/>
                                              </a:xfrm>
                                              <a:prstGeom prst="straightConnector1">
                                                <a:avLst/>
                                              </a:prstGeom>
                                              <a:ln w="9525">
                                                <a:solidFill>
                                                  <a:schemeClr val="tx1"/>
                                                </a:solidFill>
                                                <a:prstDash val="sys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g:cNvPr id="190" name="Group 190"/>
                                            <wpg:cNvGrpSpPr/>
                                            <wpg:grpSpPr>
                                              <a:xfrm>
                                                <a:off x="-231731" y="292532"/>
                                                <a:ext cx="4915049" cy="4931509"/>
                                                <a:chOff x="-231731" y="292532"/>
                                                <a:chExt cx="4915049" cy="4931509"/>
                                              </a:xfrm>
                                            </wpg:grpSpPr>
                                            <wpg:grpSp>
                                              <wpg:cNvPr id="191" name="Group 191"/>
                                              <wpg:cNvGrpSpPr/>
                                              <wpg:grpSpPr>
                                                <a:xfrm>
                                                  <a:off x="-231731" y="292532"/>
                                                  <a:ext cx="4915049" cy="4568902"/>
                                                  <a:chOff x="-231731" y="292532"/>
                                                  <a:chExt cx="4915049" cy="4568902"/>
                                                </a:xfrm>
                                              </wpg:grpSpPr>
                                              <wpg:grpSp>
                                                <wpg:cNvPr id="192" name="Group 192"/>
                                                <wpg:cNvGrpSpPr/>
                                                <wpg:grpSpPr>
                                                  <a:xfrm>
                                                    <a:off x="-231731" y="292532"/>
                                                    <a:ext cx="4915049" cy="3028251"/>
                                                    <a:chOff x="-231731" y="292532"/>
                                                    <a:chExt cx="4915049" cy="3028251"/>
                                                  </a:xfrm>
                                                </wpg:grpSpPr>
                                                <wpg:grpSp>
                                                  <wpg:cNvPr id="193" name="Group 193"/>
                                                  <wpg:cNvGrpSpPr/>
                                                  <wpg:grpSpPr>
                                                    <a:xfrm>
                                                      <a:off x="-231731" y="292532"/>
                                                      <a:ext cx="4915049" cy="3028251"/>
                                                      <a:chOff x="-231731" y="292532"/>
                                                      <a:chExt cx="4915049" cy="3028251"/>
                                                    </a:xfrm>
                                                  </wpg:grpSpPr>
                                                  <wps:wsp>
                                                    <wps:cNvPr id="194" name="Text Box 194"/>
                                                    <wps:cNvSpPr txBox="1"/>
                                                    <wps:spPr>
                                                      <a:xfrm>
                                                        <a:off x="2150669" y="299923"/>
                                                        <a:ext cx="2035534" cy="421419"/>
                                                      </a:xfrm>
                                                      <a:prstGeom prst="rect">
                                                        <a:avLst/>
                                                      </a:prstGeom>
                                                      <a:solidFill>
                                                        <a:schemeClr val="accent1">
                                                          <a:lumMod val="20000"/>
                                                          <a:lumOff val="80000"/>
                                                        </a:schemeClr>
                                                      </a:solidFill>
                                                      <a:ln w="6350">
                                                        <a:solidFill>
                                                          <a:prstClr val="black"/>
                                                        </a:solidFill>
                                                      </a:ln>
                                                    </wps:spPr>
                                                    <wps:txbx>
                                                      <w:txbxContent>
                                                        <w:p w14:paraId="22025B14" w14:textId="77777777" w:rsidR="001149A2" w:rsidRDefault="001149A2">
                                                          <w:pPr>
                                                            <w:jc w:val="center"/>
                                                            <w:rPr>
                                                              <w:rFonts w:ascii="Arial Narrow" w:hAnsi="Arial Narrow"/>
                                                              <w:b/>
                                                              <w:bCs/>
                                                              <w:lang w:val="en-US"/>
                                                            </w:rPr>
                                                          </w:pPr>
                                                          <w:r>
                                                            <w:rPr>
                                                              <w:rFonts w:ascii="Arial Narrow" w:hAnsi="Arial Narrow"/>
                                                              <w:b/>
                                                              <w:bCs/>
                                                              <w:lang w:val="en-US"/>
                                                            </w:rPr>
                                                            <w:t>Oral antipsychotic treatment</w:t>
                                                          </w:r>
                                                        </w:p>
                                                        <w:p w14:paraId="4F6CD526" w14:textId="77777777" w:rsidR="001149A2" w:rsidRDefault="001149A2">
                                                          <w:pPr>
                                                            <w:jc w:val="center"/>
                                                            <w:rPr>
                                                              <w:rFonts w:ascii="Arial Narrow" w:hAnsi="Arial Narrow"/>
                                                              <w:sz w:val="18"/>
                                                              <w:szCs w:val="20"/>
                                                              <w:lang w:val="en-US"/>
                                                            </w:rPr>
                                                          </w:pPr>
                                                          <w:r>
                                                            <w:rPr>
                                                              <w:rFonts w:ascii="Arial Narrow" w:hAnsi="Arial Narrow"/>
                                                              <w:sz w:val="18"/>
                                                              <w:szCs w:val="20"/>
                                                              <w:lang w:val="en-US"/>
                                                            </w:rPr>
                                                            <w:t>(“start low, go slow”)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Straight Arrow Connector 195"/>
                                                    <wps:cNvCnPr/>
                                                    <wps:spPr>
                                                      <a:xfrm>
                                                        <a:off x="3189427" y="1141171"/>
                                                        <a:ext cx="0" cy="763739"/>
                                                      </a:xfrm>
                                                      <a:prstGeom prst="straightConnector1">
                                                        <a:avLst/>
                                                      </a:prstGeom>
                                                      <a:ln w="19050">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96" name="Text Box 196"/>
                                                    <wps:cNvSpPr txBox="1"/>
                                                    <wps:spPr>
                                                      <a:xfrm>
                                                        <a:off x="2150669" y="716889"/>
                                                        <a:ext cx="2035175" cy="421005"/>
                                                      </a:xfrm>
                                                      <a:prstGeom prst="rect">
                                                        <a:avLst/>
                                                      </a:prstGeom>
                                                      <a:solidFill>
                                                        <a:schemeClr val="bg1"/>
                                                      </a:solidFill>
                                                      <a:ln w="6350">
                                                        <a:solidFill>
                                                          <a:prstClr val="black"/>
                                                        </a:solidFill>
                                                      </a:ln>
                                                    </wps:spPr>
                                                    <wps:txbx>
                                                      <w:txbxContent>
                                                        <w:p w14:paraId="514112BC" w14:textId="77777777" w:rsidR="001149A2" w:rsidRDefault="001149A2">
                                                          <w:pPr>
                                                            <w:jc w:val="center"/>
                                                            <w:rPr>
                                                              <w:rFonts w:ascii="Arial Narrow" w:hAnsi="Arial Narrow"/>
                                                              <w:sz w:val="18"/>
                                                              <w:szCs w:val="20"/>
                                                              <w:lang w:val="en-US"/>
                                                            </w:rPr>
                                                          </w:pPr>
                                                          <w:r>
                                                            <w:rPr>
                                                              <w:rFonts w:ascii="Arial Narrow" w:hAnsi="Arial Narrow"/>
                                                              <w:sz w:val="18"/>
                                                              <w:szCs w:val="20"/>
                                                              <w:lang w:val="en-US"/>
                                                            </w:rPr>
                                                            <w:t>Includes second-generation and first-generation antipsychotics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3317" y="1257850"/>
                                                        <a:ext cx="1086017" cy="437777"/>
                                                      </a:xfrm>
                                                      <a:prstGeom prst="rect">
                                                        <a:avLst/>
                                                      </a:prstGeom>
                                                      <a:noFill/>
                                                      <a:ln w="6350">
                                                        <a:noFill/>
                                                      </a:ln>
                                                    </wps:spPr>
                                                    <wps:txbx>
                                                      <w:txbxContent>
                                                        <w:p w14:paraId="558BD162" w14:textId="77777777" w:rsidR="001149A2" w:rsidRDefault="001149A2">
                                                          <w:pPr>
                                                            <w:jc w:val="center"/>
                                                            <w:rPr>
                                                              <w:rFonts w:ascii="Arial Narrow" w:hAnsi="Arial Narrow"/>
                                                              <w:i/>
                                                              <w:iCs/>
                                                              <w:lang w:val="en-US"/>
                                                            </w:rPr>
                                                          </w:pPr>
                                                          <w:r>
                                                            <w:rPr>
                                                              <w:rFonts w:ascii="Arial Narrow" w:hAnsi="Arial Narrow"/>
                                                              <w:i/>
                                                              <w:iCs/>
                                                              <w:lang w:val="en-US"/>
                                                            </w:rPr>
                                                            <w:t>Decision to prescribe LAI*</w:t>
                                                          </w:r>
                                                        </w:p>
                                                        <w:p w14:paraId="6FEC8AAB" w14:textId="77777777" w:rsidR="001149A2" w:rsidRDefault="001149A2">
                                                          <w:pPr>
                                                            <w:jc w:val="center"/>
                                                            <w:rPr>
                                                              <w:rFonts w:ascii="Arial Narrow" w:hAnsi="Arial Narrow"/>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8" name="Group 198"/>
                                                    <wpg:cNvGrpSpPr/>
                                                    <wpg:grpSpPr>
                                                      <a:xfrm>
                                                        <a:off x="2136191" y="1891904"/>
                                                        <a:ext cx="2085340" cy="283261"/>
                                                        <a:chOff x="0" y="-4440"/>
                                                        <a:chExt cx="2085962" cy="283322"/>
                                                      </a:xfrm>
                                                    </wpg:grpSpPr>
                                                    <wps:wsp>
                                                      <wps:cNvPr id="199" name="Straight Arrow Connector 199"/>
                                                      <wps:cNvCnPr/>
                                                      <wps:spPr>
                                                        <a:xfrm rot="5400000">
                                                          <a:off x="1045762" y="-1029694"/>
                                                          <a:ext cx="1" cy="2080399"/>
                                                        </a:xfrm>
                                                        <a:prstGeom prst="straightConnector1">
                                                          <a:avLst/>
                                                        </a:prstGeom>
                                                        <a:ln w="19050">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a:off x="0" y="-4440"/>
                                                          <a:ext cx="0" cy="278296"/>
                                                        </a:xfrm>
                                                        <a:prstGeom prst="straightConnector1">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a:off x="2083242" y="586"/>
                                                          <a:ext cx="0" cy="278296"/>
                                                        </a:xfrm>
                                                        <a:prstGeom prst="straightConnector1">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202" name="Text Box 202"/>
                                                    <wps:cNvSpPr txBox="1"/>
                                                    <wps:spPr>
                                                      <a:xfrm>
                                                        <a:off x="3840480" y="2311603"/>
                                                        <a:ext cx="842838" cy="270345"/>
                                                      </a:xfrm>
                                                      <a:prstGeom prst="rect">
                                                        <a:avLst/>
                                                      </a:prstGeom>
                                                      <a:solidFill>
                                                        <a:schemeClr val="accent6">
                                                          <a:lumMod val="40000"/>
                                                          <a:lumOff val="60000"/>
                                                        </a:schemeClr>
                                                      </a:solidFill>
                                                      <a:ln w="6350">
                                                        <a:solidFill>
                                                          <a:prstClr val="black"/>
                                                        </a:solidFill>
                                                      </a:ln>
                                                    </wps:spPr>
                                                    <wps:txbx>
                                                      <w:txbxContent>
                                                        <w:p w14:paraId="2B81A714" w14:textId="77777777" w:rsidR="001149A2" w:rsidRDefault="001149A2">
                                                          <w:pPr>
                                                            <w:jc w:val="center"/>
                                                            <w:rPr>
                                                              <w:rFonts w:ascii="Arial Narrow" w:hAnsi="Arial Narrow"/>
                                                              <w:lang w:val="en-US"/>
                                                            </w:rPr>
                                                          </w:pPr>
                                                          <w:r>
                                                            <w:rPr>
                                                              <w:rFonts w:ascii="Arial Narrow" w:hAnsi="Arial Narrow"/>
                                                              <w:b/>
                                                              <w:bCs/>
                                                              <w:lang w:val="en-US"/>
                                                            </w:rPr>
                                                            <w:t>PP1M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1338681" y="2311603"/>
                                                        <a:ext cx="1693214" cy="270345"/>
                                                      </a:xfrm>
                                                      <a:prstGeom prst="rect">
                                                        <a:avLst/>
                                                      </a:prstGeom>
                                                      <a:solidFill>
                                                        <a:schemeClr val="accent6">
                                                          <a:lumMod val="20000"/>
                                                          <a:lumOff val="80000"/>
                                                        </a:schemeClr>
                                                      </a:solidFill>
                                                      <a:ln w="6350">
                                                        <a:solidFill>
                                                          <a:prstClr val="black"/>
                                                        </a:solidFill>
                                                      </a:ln>
                                                    </wps:spPr>
                                                    <wps:txbx>
                                                      <w:txbxContent>
                                                        <w:p w14:paraId="404B9D95" w14:textId="77777777" w:rsidR="001149A2" w:rsidRDefault="001149A2">
                                                          <w:pPr>
                                                            <w:jc w:val="center"/>
                                                            <w:rPr>
                                                              <w:rFonts w:ascii="Arial Narrow" w:hAnsi="Arial Narrow"/>
                                                              <w:lang w:val="en-US"/>
                                                            </w:rPr>
                                                          </w:pPr>
                                                          <w:r>
                                                            <w:rPr>
                                                              <w:rFonts w:ascii="Arial Narrow" w:hAnsi="Arial Narrow"/>
                                                              <w:b/>
                                                              <w:bCs/>
                                                              <w:lang w:val="en-US"/>
                                                            </w:rPr>
                                                            <w:t>Other antipsychotic LAIs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a:off x="3840480" y="3050438"/>
                                                        <a:ext cx="842838" cy="270345"/>
                                                      </a:xfrm>
                                                      <a:prstGeom prst="rect">
                                                        <a:avLst/>
                                                      </a:prstGeom>
                                                      <a:solidFill>
                                                        <a:schemeClr val="accent6">
                                                          <a:lumMod val="40000"/>
                                                          <a:lumOff val="60000"/>
                                                        </a:schemeClr>
                                                      </a:solidFill>
                                                      <a:ln w="6350">
                                                        <a:solidFill>
                                                          <a:prstClr val="black"/>
                                                        </a:solidFill>
                                                      </a:ln>
                                                    </wps:spPr>
                                                    <wps:txbx>
                                                      <w:txbxContent>
                                                        <w:p w14:paraId="1EBE12FD" w14:textId="77777777" w:rsidR="001149A2" w:rsidRDefault="001149A2">
                                                          <w:pPr>
                                                            <w:jc w:val="center"/>
                                                            <w:rPr>
                                                              <w:rFonts w:ascii="Arial Narrow" w:hAnsi="Arial Narrow"/>
                                                              <w:lang w:val="en-US"/>
                                                            </w:rPr>
                                                          </w:pPr>
                                                          <w:r>
                                                            <w:rPr>
                                                              <w:rFonts w:ascii="Arial Narrow" w:hAnsi="Arial Narrow"/>
                                                              <w:b/>
                                                              <w:bCs/>
                                                              <w:lang w:val="en-US"/>
                                                            </w:rPr>
                                                            <w:t>PP3M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231731" y="292532"/>
                                                        <a:ext cx="1814170" cy="460858"/>
                                                      </a:xfrm>
                                                      <a:prstGeom prst="rect">
                                                        <a:avLst/>
                                                      </a:prstGeom>
                                                      <a:solidFill>
                                                        <a:schemeClr val="bg1"/>
                                                      </a:solidFill>
                                                      <a:ln w="6350">
                                                        <a:solidFill>
                                                          <a:prstClr val="black"/>
                                                        </a:solidFill>
                                                        <a:prstDash val="dash"/>
                                                      </a:ln>
                                                    </wps:spPr>
                                                    <wps:txbx>
                                                      <w:txbxContent>
                                                        <w:p w14:paraId="63F3F6E7" w14:textId="77777777" w:rsidR="001149A2" w:rsidRDefault="001149A2">
                                                          <w:pPr>
                                                            <w:rPr>
                                                              <w:rFonts w:ascii="Arial Narrow" w:hAnsi="Arial Narrow"/>
                                                              <w:sz w:val="16"/>
                                                              <w:szCs w:val="18"/>
                                                              <w:lang w:val="en-US"/>
                                                            </w:rPr>
                                                          </w:pPr>
                                                          <w:r>
                                                            <w:rPr>
                                                              <w:rFonts w:ascii="Arial Narrow" w:hAnsi="Arial Narrow"/>
                                                              <w:sz w:val="16"/>
                                                              <w:szCs w:val="18"/>
                                                              <w:lang w:val="en-US"/>
                                                            </w:rPr>
                                                            <w:t>LAI antipsychotics may be administered as first-line treatment within a shared-decision making framework</w:t>
                                                          </w:r>
                                                        </w:p>
                                                        <w:p w14:paraId="2153EA4A" w14:textId="77777777" w:rsidR="001149A2" w:rsidRDefault="001149A2">
                                                          <w:pPr>
                                                            <w:rPr>
                                                              <w:rFonts w:ascii="Arial Narrow" w:hAnsi="Arial Narrow"/>
                                                              <w:sz w:val="16"/>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Straight Arrow Connector 206"/>
                                                    <wps:cNvCnPr/>
                                                    <wps:spPr>
                                                      <a:xfrm>
                                                        <a:off x="4221023" y="2677363"/>
                                                        <a:ext cx="0" cy="278129"/>
                                                      </a:xfrm>
                                                      <a:prstGeom prst="straightConnector1">
                                                        <a:avLst/>
                                                      </a:prstGeom>
                                                      <a:ln w="12700">
                                                        <a:solidFill>
                                                          <a:schemeClr val="tx1"/>
                                                        </a:solidFill>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207" name="Text Box 207"/>
                                                  <wps:cNvSpPr txBox="1"/>
                                                  <wps:spPr>
                                                    <a:xfrm>
                                                      <a:off x="1338682" y="2581979"/>
                                                      <a:ext cx="1692961" cy="738436"/>
                                                    </a:xfrm>
                                                    <a:prstGeom prst="rect">
                                                      <a:avLst/>
                                                    </a:prstGeom>
                                                    <a:solidFill>
                                                      <a:schemeClr val="bg1"/>
                                                    </a:solidFill>
                                                    <a:ln w="6350">
                                                      <a:solidFill>
                                                        <a:prstClr val="black"/>
                                                      </a:solidFill>
                                                    </a:ln>
                                                  </wps:spPr>
                                                  <wps:txbx>
                                                    <w:txbxContent>
                                                      <w:p w14:paraId="3292F23D" w14:textId="77777777" w:rsidR="001149A2" w:rsidRDefault="001149A2">
                                                        <w:pPr>
                                                          <w:jc w:val="center"/>
                                                          <w:rPr>
                                                            <w:rFonts w:ascii="Arial Narrow" w:hAnsi="Arial Narrow"/>
                                                            <w:sz w:val="18"/>
                                                            <w:szCs w:val="20"/>
                                                            <w:lang w:val="en-US"/>
                                                          </w:rPr>
                                                        </w:pPr>
                                                        <w:r>
                                                          <w:rPr>
                                                            <w:rFonts w:ascii="Arial Narrow" w:hAnsi="Arial Narrow"/>
                                                            <w:sz w:val="18"/>
                                                            <w:szCs w:val="20"/>
                                                            <w:lang w:val="en-US"/>
                                                          </w:rPr>
                                                          <w:t>Includes PBS-listed LAIs: apriprazole (Abilify Maintena</w:t>
                                                        </w:r>
                                                        <w:r>
                                                          <w:rPr>
                                                            <w:rFonts w:ascii="Arial Narrow" w:hAnsi="Arial Narrow"/>
                                                            <w:sz w:val="18"/>
                                                            <w:szCs w:val="20"/>
                                                            <w:vertAlign w:val="superscript"/>
                                                            <w:lang w:val="en-US"/>
                                                          </w:rPr>
                                                          <w:t>®</w:t>
                                                        </w:r>
                                                        <w:r>
                                                          <w:rPr>
                                                            <w:rFonts w:ascii="Arial Narrow" w:hAnsi="Arial Narrow"/>
                                                            <w:sz w:val="18"/>
                                                            <w:szCs w:val="20"/>
                                                            <w:lang w:val="en-US"/>
                                                          </w:rPr>
                                                          <w:t>), olanzapine (Zyprexa Relprevv</w:t>
                                                        </w:r>
                                                        <w:r>
                                                          <w:rPr>
                                                            <w:rFonts w:ascii="Arial Narrow" w:hAnsi="Arial Narrow"/>
                                                            <w:sz w:val="18"/>
                                                            <w:szCs w:val="20"/>
                                                            <w:vertAlign w:val="superscript"/>
                                                            <w:lang w:val="en-US"/>
                                                          </w:rPr>
                                                          <w:t>®</w:t>
                                                        </w:r>
                                                        <w:r>
                                                          <w:rPr>
                                                            <w:rFonts w:ascii="Arial Narrow" w:hAnsi="Arial Narrow"/>
                                                            <w:sz w:val="18"/>
                                                            <w:szCs w:val="20"/>
                                                            <w:lang w:val="en-US"/>
                                                          </w:rPr>
                                                          <w:t>, and risperidone (Risperdal Consta</w:t>
                                                        </w:r>
                                                        <w:r>
                                                          <w:rPr>
                                                            <w:rFonts w:ascii="Arial Narrow" w:hAnsi="Arial Narrow"/>
                                                            <w:sz w:val="18"/>
                                                            <w:szCs w:val="20"/>
                                                            <w:vertAlign w:val="superscript"/>
                                                            <w:lang w:val="en-US"/>
                                                          </w:rPr>
                                                          <w:t>®</w:t>
                                                        </w:r>
                                                        <w:r>
                                                          <w:rPr>
                                                            <w:rFonts w:ascii="Arial Narrow" w:hAnsi="Arial Narrow"/>
                                                            <w:sz w:val="18"/>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 name="Straight Arrow Connector 208"/>
                                                <wps:cNvCnPr/>
                                                <wps:spPr>
                                                  <a:xfrm>
                                                    <a:off x="3188729" y="2406654"/>
                                                    <a:ext cx="0" cy="2454780"/>
                                                  </a:xfrm>
                                                  <a:prstGeom prst="straightConnector1">
                                                    <a:avLst/>
                                                  </a:prstGeom>
                                                  <a:ln w="9525">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09" name="Text Box 209"/>
                                                <wps:cNvSpPr txBox="1"/>
                                                <wps:spPr>
                                                  <a:xfrm>
                                                    <a:off x="2418186" y="4185376"/>
                                                    <a:ext cx="1423283" cy="373670"/>
                                                  </a:xfrm>
                                                  <a:prstGeom prst="rect">
                                                    <a:avLst/>
                                                  </a:prstGeom>
                                                  <a:solidFill>
                                                    <a:schemeClr val="bg1"/>
                                                  </a:solidFill>
                                                  <a:ln w="6350">
                                                    <a:noFill/>
                                                  </a:ln>
                                                </wps:spPr>
                                                <wps:txbx>
                                                  <w:txbxContent>
                                                    <w:p w14:paraId="722D632F" w14:textId="77777777" w:rsidR="001149A2" w:rsidRDefault="001149A2">
                                                      <w:pPr>
                                                        <w:jc w:val="center"/>
                                                        <w:rPr>
                                                          <w:rFonts w:ascii="Arial Narrow" w:hAnsi="Arial Narrow"/>
                                                          <w:i/>
                                                          <w:iCs/>
                                                          <w:sz w:val="20"/>
                                                          <w:lang w:val="en-US"/>
                                                        </w:rPr>
                                                      </w:pPr>
                                                      <w:r>
                                                        <w:rPr>
                                                          <w:rFonts w:ascii="Arial Narrow" w:hAnsi="Arial Narrow"/>
                                                          <w:i/>
                                                          <w:iCs/>
                                                          <w:sz w:val="20"/>
                                                          <w:lang w:val="en-US"/>
                                                        </w:rPr>
                                                        <w:t>Treatment-resistant schizophrenia**</w:t>
                                                      </w:r>
                                                    </w:p>
                                                    <w:p w14:paraId="5242EDF8" w14:textId="77777777" w:rsidR="001149A2" w:rsidRDefault="001149A2">
                                                      <w:pPr>
                                                        <w:jc w:val="center"/>
                                                        <w:rPr>
                                                          <w:rFonts w:ascii="Arial Narrow" w:hAnsi="Arial Narrow"/>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0" name="Text Box 210"/>
                                              <wps:cNvSpPr txBox="1"/>
                                              <wps:spPr>
                                                <a:xfrm>
                                                  <a:off x="2712527" y="4953726"/>
                                                  <a:ext cx="842838" cy="270315"/>
                                                </a:xfrm>
                                                <a:prstGeom prst="rect">
                                                  <a:avLst/>
                                                </a:prstGeom>
                                                <a:solidFill>
                                                  <a:schemeClr val="bg1">
                                                    <a:lumMod val="85000"/>
                                                  </a:schemeClr>
                                                </a:solidFill>
                                                <a:ln w="6350">
                                                  <a:solidFill>
                                                    <a:prstClr val="black"/>
                                                  </a:solidFill>
                                                </a:ln>
                                              </wps:spPr>
                                              <wps:txbx>
                                                <w:txbxContent>
                                                  <w:p w14:paraId="3E8EA940" w14:textId="77777777" w:rsidR="001149A2" w:rsidRDefault="001149A2">
                                                    <w:pPr>
                                                      <w:jc w:val="center"/>
                                                      <w:rPr>
                                                        <w:rFonts w:ascii="Arial Narrow" w:hAnsi="Arial Narrow"/>
                                                        <w:lang w:val="en-US"/>
                                                      </w:rPr>
                                                    </w:pPr>
                                                    <w:r>
                                                      <w:rPr>
                                                        <w:rFonts w:ascii="Arial Narrow" w:hAnsi="Arial Narrow"/>
                                                        <w:b/>
                                                        <w:bCs/>
                                                        <w:lang w:val="en-US"/>
                                                      </w:rPr>
                                                      <w:t>Clozapine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211" name="Text Box 211"/>
                                      <wps:cNvSpPr txBox="1"/>
                                      <wps:spPr>
                                        <a:xfrm>
                                          <a:off x="2384754" y="0"/>
                                          <a:ext cx="2180659" cy="480079"/>
                                        </a:xfrm>
                                        <a:prstGeom prst="rect">
                                          <a:avLst/>
                                        </a:prstGeom>
                                        <a:solidFill>
                                          <a:schemeClr val="bg2">
                                            <a:lumMod val="90000"/>
                                          </a:schemeClr>
                                        </a:solidFill>
                                        <a:ln w="6350">
                                          <a:noFill/>
                                        </a:ln>
                                      </wps:spPr>
                                      <wps:txbx>
                                        <w:txbxContent>
                                          <w:p w14:paraId="4F157E68" w14:textId="77777777" w:rsidR="001149A2" w:rsidRDefault="001149A2">
                                            <w:pPr>
                                              <w:jc w:val="center"/>
                                              <w:rPr>
                                                <w:rFonts w:ascii="Arial Narrow" w:hAnsi="Arial Narrow"/>
                                                <w:b/>
                                                <w:bCs/>
                                                <w:lang w:val="en-US"/>
                                              </w:rPr>
                                            </w:pPr>
                                            <w:r>
                                              <w:rPr>
                                                <w:rFonts w:ascii="Arial Narrow" w:hAnsi="Arial Narrow"/>
                                                <w:b/>
                                                <w:bCs/>
                                                <w:lang w:val="en-US"/>
                                              </w:rPr>
                                              <w:t>First episode non-affective psychosis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Straight Arrow Connector 212"/>
                                      <wps:cNvCnPr/>
                                      <wps:spPr>
                                        <a:xfrm rot="5400000">
                                          <a:off x="2102472" y="-95695"/>
                                          <a:ext cx="0" cy="443928"/>
                                        </a:xfrm>
                                        <a:prstGeom prst="straightConnector1">
                                          <a:avLst/>
                                        </a:prstGeom>
                                        <a:ln w="12700">
                                          <a:solidFill>
                                            <a:schemeClr val="tx1"/>
                                          </a:solidFill>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3" name="Text Box 213"/>
                                      <wps:cNvSpPr txBox="1"/>
                                      <wps:spPr>
                                        <a:xfrm>
                                          <a:off x="0" y="14630"/>
                                          <a:ext cx="1814170" cy="577901"/>
                                        </a:xfrm>
                                        <a:prstGeom prst="rect">
                                          <a:avLst/>
                                        </a:prstGeom>
                                        <a:solidFill>
                                          <a:schemeClr val="bg1"/>
                                        </a:solidFill>
                                        <a:ln w="6350">
                                          <a:solidFill>
                                            <a:prstClr val="black"/>
                                          </a:solidFill>
                                          <a:prstDash val="dash"/>
                                        </a:ln>
                                      </wps:spPr>
                                      <wps:txbx>
                                        <w:txbxContent>
                                          <w:p w14:paraId="24BC3EBB" w14:textId="77777777" w:rsidR="001149A2" w:rsidRDefault="001149A2">
                                            <w:pPr>
                                              <w:rPr>
                                                <w:rFonts w:ascii="Arial Narrow" w:hAnsi="Arial Narrow"/>
                                                <w:sz w:val="16"/>
                                                <w:szCs w:val="18"/>
                                                <w:lang w:val="en-US"/>
                                              </w:rPr>
                                            </w:pPr>
                                            <w:r>
                                              <w:rPr>
                                                <w:rFonts w:ascii="Arial Narrow" w:hAnsi="Arial Narrow"/>
                                                <w:sz w:val="16"/>
                                                <w:szCs w:val="18"/>
                                                <w:lang w:val="en-US"/>
                                              </w:rPr>
                                              <w:t>An antipsychotic drug-free assessment phase in which benzodiazepines are used may be trialed following a psychiatric and physical assessment.</w:t>
                                            </w:r>
                                          </w:p>
                                          <w:p w14:paraId="64BF5F1A" w14:textId="77777777" w:rsidR="001149A2" w:rsidRDefault="001149A2">
                                            <w:pPr>
                                              <w:rPr>
                                                <w:rFonts w:ascii="Arial Narrow" w:hAnsi="Arial Narrow"/>
                                                <w:sz w:val="16"/>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7315" y="1614414"/>
                                          <a:ext cx="1813971" cy="856018"/>
                                        </a:xfrm>
                                        <a:prstGeom prst="rect">
                                          <a:avLst/>
                                        </a:prstGeom>
                                        <a:solidFill>
                                          <a:srgbClr val="F3F9ED"/>
                                        </a:solidFill>
                                        <a:ln w="6350">
                                          <a:noFill/>
                                          <a:prstDash val="dash"/>
                                        </a:ln>
                                      </wps:spPr>
                                      <wps:txbx>
                                        <w:txbxContent>
                                          <w:p w14:paraId="347DD311" w14:textId="77777777" w:rsidR="001149A2" w:rsidRDefault="001149A2">
                                            <w:pPr>
                                              <w:rPr>
                                                <w:rFonts w:ascii="Arial Narrow" w:hAnsi="Arial Narrow"/>
                                                <w:sz w:val="16"/>
                                                <w:szCs w:val="18"/>
                                                <w:lang w:val="en-US"/>
                                              </w:rPr>
                                            </w:pPr>
                                            <w:r>
                                              <w:rPr>
                                                <w:rFonts w:ascii="Arial Narrow" w:hAnsi="Arial Narrow"/>
                                                <w:sz w:val="16"/>
                                                <w:szCs w:val="18"/>
                                                <w:lang w:val="en-US"/>
                                              </w:rPr>
                                              <w:t>*Decision to prescribe LAIs is made by the clinician if:</w:t>
                                            </w:r>
                                          </w:p>
                                          <w:p w14:paraId="5A17066B" w14:textId="77777777" w:rsidR="001149A2" w:rsidRDefault="001149A2">
                                            <w:pPr>
                                              <w:pStyle w:val="ListParagraph"/>
                                              <w:numPr>
                                                <w:ilvl w:val="0"/>
                                                <w:numId w:val="11"/>
                                              </w:numPr>
                                              <w:spacing w:after="0"/>
                                              <w:ind w:left="142" w:hanging="142"/>
                                              <w:contextualSpacing/>
                                              <w:rPr>
                                                <w:rFonts w:ascii="Arial Narrow" w:hAnsi="Arial Narrow"/>
                                                <w:sz w:val="16"/>
                                                <w:szCs w:val="18"/>
                                                <w:lang w:val="en-US"/>
                                              </w:rPr>
                                            </w:pPr>
                                            <w:r>
                                              <w:rPr>
                                                <w:rFonts w:ascii="Arial Narrow" w:hAnsi="Arial Narrow"/>
                                                <w:sz w:val="16"/>
                                                <w:szCs w:val="18"/>
                                                <w:lang w:val="en-US"/>
                                              </w:rPr>
                                              <w:t>The individual patient has a preference for LAIs</w:t>
                                            </w:r>
                                          </w:p>
                                          <w:p w14:paraId="405E2F82" w14:textId="77777777" w:rsidR="001149A2" w:rsidRDefault="001149A2">
                                            <w:pPr>
                                              <w:pStyle w:val="ListParagraph"/>
                                              <w:numPr>
                                                <w:ilvl w:val="0"/>
                                                <w:numId w:val="11"/>
                                              </w:numPr>
                                              <w:spacing w:after="0"/>
                                              <w:ind w:left="142" w:hanging="142"/>
                                              <w:contextualSpacing/>
                                              <w:rPr>
                                                <w:rFonts w:ascii="Arial Narrow" w:hAnsi="Arial Narrow"/>
                                                <w:sz w:val="16"/>
                                                <w:szCs w:val="18"/>
                                                <w:lang w:val="en-US"/>
                                              </w:rPr>
                                            </w:pPr>
                                            <w:r>
                                              <w:rPr>
                                                <w:rFonts w:ascii="Arial Narrow" w:hAnsi="Arial Narrow"/>
                                                <w:sz w:val="16"/>
                                                <w:szCs w:val="18"/>
                                                <w:lang w:val="en-US"/>
                                              </w:rPr>
                                              <w:t>Adherence has been poor or uncertain</w:t>
                                            </w:r>
                                          </w:p>
                                          <w:p w14:paraId="785152A2" w14:textId="77777777" w:rsidR="001149A2" w:rsidRDefault="001149A2">
                                            <w:pPr>
                                              <w:pStyle w:val="ListParagraph"/>
                                              <w:numPr>
                                                <w:ilvl w:val="0"/>
                                                <w:numId w:val="11"/>
                                              </w:numPr>
                                              <w:spacing w:after="0"/>
                                              <w:ind w:left="142" w:hanging="142"/>
                                              <w:contextualSpacing/>
                                              <w:rPr>
                                                <w:rFonts w:ascii="Arial Narrow" w:hAnsi="Arial Narrow"/>
                                                <w:sz w:val="16"/>
                                                <w:szCs w:val="18"/>
                                                <w:lang w:val="en-US"/>
                                              </w:rPr>
                                            </w:pPr>
                                            <w:r>
                                              <w:rPr>
                                                <w:rFonts w:ascii="Arial Narrow" w:hAnsi="Arial Narrow"/>
                                                <w:sz w:val="16"/>
                                                <w:szCs w:val="18"/>
                                                <w:lang w:val="en-US"/>
                                              </w:rPr>
                                              <w:t>Poor response to oral antipsychotics</w:t>
                                            </w:r>
                                          </w:p>
                                          <w:p w14:paraId="62DC0AD5" w14:textId="77777777" w:rsidR="001149A2" w:rsidRDefault="001149A2">
                                            <w:pPr>
                                              <w:jc w:val="center"/>
                                              <w:rPr>
                                                <w:rFonts w:ascii="Arial Narrow" w:hAnsi="Arial Narrow"/>
                                                <w:sz w:val="16"/>
                                                <w:szCs w:val="18"/>
                                                <w:lang w:val="en-US"/>
                                              </w:rPr>
                                            </w:pPr>
                                          </w:p>
                                          <w:p w14:paraId="2E98827E" w14:textId="77777777" w:rsidR="001149A2" w:rsidRDefault="001149A2">
                                            <w:pPr>
                                              <w:jc w:val="center"/>
                                              <w:rPr>
                                                <w:rFonts w:ascii="Arial Narrow" w:hAnsi="Arial Narrow"/>
                                                <w:sz w:val="16"/>
                                                <w:szCs w:val="18"/>
                                                <w:lang w:val="en-US"/>
                                              </w:rPr>
                                            </w:pPr>
                                          </w:p>
                                          <w:p w14:paraId="2BD2F1F1" w14:textId="77777777" w:rsidR="001149A2" w:rsidRDefault="001149A2">
                                            <w:pPr>
                                              <w:jc w:val="center"/>
                                              <w:rPr>
                                                <w:rFonts w:ascii="Arial Narrow" w:hAnsi="Arial Narrow"/>
                                                <w:sz w:val="16"/>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5" name="Text Box 215"/>
                                    <wps:cNvSpPr txBox="1"/>
                                    <wps:spPr>
                                      <a:xfrm>
                                        <a:off x="58522" y="3979469"/>
                                        <a:ext cx="1821880" cy="921715"/>
                                      </a:xfrm>
                                      <a:prstGeom prst="rect">
                                        <a:avLst/>
                                      </a:prstGeom>
                                      <a:solidFill>
                                        <a:srgbClr val="F7F7F7"/>
                                      </a:solidFill>
                                      <a:ln w="6350">
                                        <a:noFill/>
                                        <a:prstDash val="dash"/>
                                      </a:ln>
                                    </wps:spPr>
                                    <wps:txbx>
                                      <w:txbxContent>
                                        <w:p w14:paraId="33750981" w14:textId="77777777" w:rsidR="001149A2" w:rsidRDefault="001149A2">
                                          <w:pPr>
                                            <w:rPr>
                                              <w:rFonts w:ascii="Arial Narrow" w:hAnsi="Arial Narrow"/>
                                              <w:sz w:val="16"/>
                                              <w:szCs w:val="18"/>
                                              <w:lang w:val="en-US"/>
                                            </w:rPr>
                                          </w:pPr>
                                          <w:r>
                                            <w:rPr>
                                              <w:rFonts w:ascii="Arial Narrow" w:hAnsi="Arial Narrow"/>
                                              <w:sz w:val="16"/>
                                              <w:szCs w:val="18"/>
                                              <w:lang w:val="en-US"/>
                                            </w:rPr>
                                            <w:t>** Treatment-resistant schizophrenia usually defined as continued positive symptoms after trials of at least two different antipsychotics at moderate doses (usually at least 300 mg chlorpromazine equivalents per day) for a reasonable period (usually at least 6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wgp>
                  </a:graphicData>
                </a:graphic>
              </wp:inline>
            </w:drawing>
          </mc:Choice>
          <mc:Fallback>
            <w:pict>
              <v:group w14:anchorId="7112A753" id="Group 147" o:spid="_x0000_s1026" alt="Figure 1: Proposed clinical management algorithm" style="width:387.5pt;height:455.1pt;mso-position-horizontal-relative:char;mso-position-vertical-relative:line" coordsize="49212,5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1TOA8AAOuOAAAOAAAAZHJzL2Uyb0RvYy54bWzsXWtzm0gW/b5V+x8ofU9MN29VnClvEme3&#10;KjuT2mR3PmOEHjUSsIBje3/9nn7QICSEQDLWOEyqPBLi1c19nHvu7cu7Xx43a+1HmGarOLqekLf6&#10;RAujIJ6tosX15N/fb9+4Ey3L/Wjmr+MovJ48hdnkl/d//cu7h2Qa0ngZr2dhquEkUTZ9SK4nyzxP&#10;pldXWbAMN372Nk7CCD/O43Tj5/iaLq5mqf+As2/WV1TX7auHOJ0laRyEWYatH8WPk/f8/PN5GOS/&#10;zedZmGvr6wnuLed/U/73jv29ev/Ony5SP1muAnkbfo+72PirCBdVp/ro5752n652TrVZBWmcxfP8&#10;bRBvruL5fBWEfAwYDdFro/mcxvcJH8ti+rBI1DRhamvz1Pu0wa8/vqbaaoZnZzoTLfI3eEj8uhrf&#10;MAuzANN1u1rcp6FGptrXNE7iLJxpwXoVrQJ/rW38yF+EmzDKNX+9iNNVvtyweX1IFlOc/nOafEu+&#10;pnLDQnxjU/U4Tzfs/5gE7ZE/kSf1RMLHXAuw0fQooRYeXIDfLMfxHEc+s2CJB7tzXLD81HLkVXHh&#10;K3Z/6nbUF3XfalogwdvT4vYYnePYBk6EUVDHMC3HFJJXjNNwHYPacpzUdahl8av407ZxNh3ZOE7o&#10;WVaKUnaaKH1b+knIJTRjz1rNmVfM2Xc2wr/Fj5AmT0wb35FJhJY/4gcIXrE9w8ZGwaAGIa7Dz+FP&#10;i2mj1HRIMW2WrdtiBzV2f5qkWf45jDca+3A9SWEQuJ76P75kOWQSuxa7sEtn8Xo1u12t1/wLM0Lh&#10;h3Wq/fBhPu4WhB+6vt/8M56JbZ6l61wgcR5us9ju/KxbZ1pH2sP1xDYgyezEUcwuIa6+jrD7Q5JN&#10;xejZp/zx7pGrSza9i2dPmKk0FoYrS4LbFQbyxc/yr34KSwWRgfXNf8Of+TrGRWL5aaIt4/R/+7az&#10;/fHU8etEe4Dlu55k/73303Cirf8RQR48YprMVPIvEFWKL2n1l7vqL9H95kOM2SGw80nAP7L983Xx&#10;cZ7Gm99hpG/YVfGTHwW49vUkLz5+yIU9hpEPwpsbvhOMY+LnX6JvScBOzSaNPabvj7/7aSKfZQ4p&#10;+DUuJNCf1h6p2FdM9819Hs9X/HmzCRazKucd2sB0fgi1YIZMmJJSLbBNPmvoTxe1MExIPpP9PVaT&#10;PTT8wowmgS0hNrtGf61Q8upPu0uycC7FIEeBHkagS+8mHBp3dDu+zbILgZQuHxu4NL6053YIwEjN&#10;5yv5LcfG/MVAqqvA0bc89VeLZa7dpGn8oH2IowhOJU41YjmFlEOVP0QS8xSWXeAOYcqJDf1knoOZ&#10;J4l/DIfa1KICI1iGadg1ZwcLy2bEIcRw+U9qQkofJk1jJu9R3ZwwoTULyfwiuwGh04Q68oa2XJfy&#10;asLh5Y/cXTN3V3WVzDh/9LOl2In/xObCny5Df/Ypmmn5UwJg6bMpg9e5nmzCGfxNiJiBfeK75v5q&#10;fdSuuPger5nlT+tQDOdf4RxWh0MLtqE2BD8IgFWLYawj7M32msMlqwPFkzl4oNyfHRryQKPLweoI&#10;fuU4ytXBm1UUp1wualcvZ34u9i9wgxh36deYqZdKMZh2KIx8QDskbOb4r7t22Lbl2lBCaIBhMB3g&#10;D7CEgj+XdkQIpvfr0agcXJkuSTlUMHRAOarB0XHKoc3Xq+TvBTounIiJEMgTgabhEs91LWFci4jJ&#10;pDoLoYUnMU3Hev2eZNSV7Ti2ryORbMkOiGQxyBZBgg1nBJH7oGA7LQLiiBIdaOpYENk4OjiW7dFJ&#10;vqIdIu/VUGgcoSb3Y8Q0dAusG0c/hYISixLLljdOLNeyPKnCbUwQIdRzSHkkokN+pIKJL4Gb2UjE&#10;9DUbP+zD5aUfMvAwQYYlJ5RYplcHBuAMhRgYhms4LaFwH+TsWdQSiK0KiRvhWx/g3GzD/Ok2bm7e&#10;c0QGl4YMGJ5tVY5jgkoGBf5TgwIwByZiOq4YkjMvbExBDQFR123EWULJUSGKAHSMI9PZvsxWwdqy&#10;OLWSN7CPiCOxz5HewjJ3SBbLNi0ivO8beFabGNvet/CecKW6URD7RaKqSBRcOMnS7AHqvuIAHXOi&#10;s5j90YNfKQ/qyK2UBw7Gq5RYSuDh/fwqKLwaeJRxXjt4ZMRQS2Z0L8B9Bmg8RGqExaTCFZapEZHq&#10;lSaiS2rE1B3TssFtgywyEQa7ei3d6prU8QyBCkF7gmxlZkAB5R0neEraUNCNNgeI1dSh0yt1uAMe&#10;y/Tk2g/+kMOo7LVfkVmKkSdmFPQeEzPDJGaaCw0cFSrJZAw2cE83GosaTHCgum24Gfu0woSKjQUV&#10;5lBTIAPDc1xq1EyGxMzUcRmoPmgt+sSQxNNlcUBFd3dSFyV1s7XXBSZZSpfcIcFSHnT5AEBmWFRN&#10;FgonTqnJagDEqBNql3QuqVJFjuOOK4JvuDbkHjgFvpK6LnIsNUgsEysGNQyR4Gx2k70Ef4C04yUg&#10;4jHruFXY2algsUk5wPq1ugFOgXZSjr20LdTERt2ehJQgcT1OJO7kHw2KxH0LmuylJufzD5egDaWl&#10;H93DMZXATRqg6ne+NValCMb7sAZU/YHteQQSzBPtukW8ohC1IA+J7YCl4aVlpuuhFuX8YOgU/nAb&#10;Cx0v68177o+gji43+QlEvSl3xhIvwkAXEY0ks186ojFs4KoiMyhNuYI1JbUzXHkZU6lWV3YE8VlV&#10;ZBOF86YgQQybGjqnnkqHJQMaEwRJLU+4Q3+MDmvyE2jxIDSfIkQPOKyja2H2EPzEhaAbIpwxXQK5&#10;Z+6plHqswiCu9F9Aai4teOoLJfmfMlZWKcbQ17WNND/WJ5TUSbfyySbf5tbrQrDhjGzdPg91HLW/&#10;78hG39Y4ujoX6Z6Vi9x3j0OOTvGHEpe4kizshEscg4h40DXxr1bGgzIUeF/YIYYyTA+7Fv5XlfG8&#10;wZImnEMwLx61DD7FbBo+qTVs+0/S+DiHMOHuEZQU9mklXw9Uwpuu67H1K4ySIrrh7IQgYlpt3XK8&#10;Z0jSnhJ+1Arhz2G+ny0y+ckoqUZbp2ikwhpIzqiTNWjS5iJsfsUG4QgSwpXrig6V+FViF0pc1G8K&#10;FGegZBnpmG0YJ4MXQkFZU243lU08S/QymoBxLUzb6vwGTg5IoDWUF2jhaE7OpFj8ootSPhNVfXYd&#10;bUh1MCC2CG7OnpwcteFVakOjQ1RkVOEQJfM0OsTtbiNNFuAIkkOs4DxsAQRC3kNyGOh7gBonwdGj&#10;hHfHHsicLdb6eCiIHw0CXw9ZNlgYuXvR7uBQ6SICq23uXkRaHZu6XCYqbjJ8WDpSG3MfTqfbmC0b&#10;sa6K/GVPm6ZTNFED5UkUDK5nMRrHXGd6vD5MT9MN741+DJ26aEohEH1fOqRyku5jrvM/qAXtzt1d&#10;5piHoIA8RQGVxbrYVlI+XYp1sdwNHkzEetTzvHqoR3XDQjsEyaRRYpIWh3Z6se5unx/erkEILGp4&#10;mZbylkAub+Ig8LZa78ULibfq82pNU7Z+Y4TRiTW8UniLvjZjtyDke9i0/sm7BWHdZ2sgKdaGHoaR&#10;FV7FAK+C0ncOHAk0iTjSChd2WgaSaFbmIIl29kDyjFWuzaxofZVL855wHKc0Ehlzwm/PUcaHSjop&#10;5xVvUuUL+3oTtIZDIkFY7ULAmTchDjSL52WQXdC310jvsIeneBPWMU46h+rK4Gd2B8oRj0s6hlrS&#10;MQjoUrxiRU2qi4O7qYlnIPsoHAG1HFe0oSvrJIiOtcFFEy7TcPDfYXfQpien95BTlbyjXA8l141B&#10;Y50hRMsZjv47MYSUGDZhMTfyvAAmAAfcdJVCiMQPkL/EJNRFh9R60IjfcPAbk3WsxA1Uk+fsYK9o&#10;pIGDQZptSXA9QB5Eh49gBj3usQ5DukZmkOho2MkGzWYF/U88W8Rl5ZwqatDVDXEpFT7v+L4/Td3f&#10;CPH6FzgNIPe8GWlLeSvbh5uQI1PEO5pfILzCXGANn1ij8Qrke6zgO6GCbxABV8xxY10r+rt3EnD4&#10;LywmEqYcjVqEexuFvNIne0zjFGmcEssM1PGTstZqwqKraIRtKy14l2jEcE3ddIVFZ33ebb1W7oN+&#10;DS4WGvGgnfdreMagvalfA28mI7SwSgHbF0EBK7pkjI2Gio0GcSsqUVXRMkX3d2wYT9D/zmZl66ys&#10;dp+WEdszkF95WTW76EyLoltGNXtVarabz6SCi5BheF9nhv6eOtbXbWO30Zntz7uonkSSSxrzma/q&#10;7ScUmZZdyKhI3Y7OrK34grhIbxaNrk0bXCCXqmYuoI2/3kraq1y/KAN4pjyP4OPK1yrM5ErAFvVR&#10;/OHopF6Vk1Jp0gMUg4oDmt9AUikHMHmPbNHrgdqOIzuXlGRxyaWhISbzYs3604srPqX3z/Zq2AMM&#10;Wb0e4MCu+zVr5BlekGfYzXqiqrknzyAiIEGpUQuvR6i/Tw4REEhjmSJxQEsYXKGapf4CvcZ+GVbg&#10;iiiafXQPw7iHFyDnVHr2gKtQKPsoV4HKMbyVUlZpmijYtGq52sJVmHijAai8s/uKC1uD9HxO5Cdb&#10;lTsIjabS7hUaTcHkjpEH1t+hhYjoq4OPlnylRAmaiEkN0NWCRkMdpS36GL+kE1HFN23OQaWoRufw&#10;Wp0DAMBOGF6Cgq7KgBfOWLKg2MR7WPAOw8NkF1pmHHQNpwIqFt1Uu2yjsE0UFkDyVdQ+eIU+3soj&#10;M2OjXg2vV1UA1vSZEb3P/l5sSlSZQOmIsE3KRlfdQ3ziAIaxfI6sfivKA9A/AS92gdfjVc5YpfK8&#10;78WmO83t0b6lh9od7aZUCmxUp2HUaSD1UEUFzXFLaUqb45bG8kj2xgyT9dln5ZGeZRevViv0RgYx&#10;6Ino0Ra+eHC+i61oKrng7BydhZ4viBmXxpxjaQwKpPdgNWX8OvoLCDfEnpi2eLFRJWCp5kosBz21&#10;uEt6yYBlK9tyzBLJnrkSVDuMwCzx8y/R68o1siqWenla+aw7Ko5q9EdsYpriNFvagxeGSM7YtbBq&#10;psVzdAtx0sWdWh58a9x6nz7KAGpLRWpLyhSQ6qsWKi07AqxhAFY1LhkIbO1Jx4vovEfRC95Ti+U1&#10;zL9AFzwTy/lhVqs6goiEFXiyeMSjWHZ8VhpgS0ecW/wbQkdUrvUV60iQpxPNj4JlnH7IUxZnavM4&#10;DcKbG/45iDeDOo+qlpz8+WGRcCJokfrJchV89HO/+h2fH5JpSONlvJ6F6fv/AwAA//8DAFBLAwQU&#10;AAYACAAAACEAnW3i2dwAAAAFAQAADwAAAGRycy9kb3ducmV2LnhtbEyPQUvDQBCF74L/YRnBm92k&#10;UmtjNqUU9VSEtoL0Nk2mSWh2NmS3SfrvHb3o5cHjDe99ky5H26ieOl87NhBPIlDEuStqLg187t8e&#10;nkH5gFxg45gMXMnDMru9STEp3MBb6nehVFLCPkEDVQhtorXPK7LoJ64lluzkOotBbFfqosNBym2j&#10;p1H0pC3WLAsVtrSuKD/vLtbA+4DD6jF+7Tfn0/p62M8+vjYxGXN/N65eQAUaw98x/OALOmTCdHQX&#10;LrxqDMgj4Vclm89nYo8GFnE0BZ2l+j999g0AAP//AwBQSwECLQAUAAYACAAAACEAtoM4kv4AAADh&#10;AQAAEwAAAAAAAAAAAAAAAAAAAAAAW0NvbnRlbnRfVHlwZXNdLnhtbFBLAQItABQABgAIAAAAIQA4&#10;/SH/1gAAAJQBAAALAAAAAAAAAAAAAAAAAC8BAABfcmVscy8ucmVsc1BLAQItABQABgAIAAAAIQAR&#10;yk1TOA8AAOuOAAAOAAAAAAAAAAAAAAAAAC4CAABkcnMvZTJvRG9jLnhtbFBLAQItABQABgAIAAAA&#10;IQCdbeLZ3AAAAAUBAAAPAAAAAAAAAAAAAAAAAJIRAABkcnMvZG93bnJldi54bWxQSwUGAAAAAAQA&#10;BADzAAAAmxIAAAAA&#10;">
                <v:group id="Group 148" o:spid="_x0000_s1027" style="position:absolute;left:776;top:27345;width:38732;height:28726" coordsize="38732,2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type id="_x0000_t202" coordsize="21600,21600" o:spt="202" path="m,l,21600r21600,l21600,xe">
                    <v:stroke joinstyle="miter"/>
                    <v:path gradientshapeok="t" o:connecttype="rect"/>
                  </v:shapetype>
                  <v:shape id="Text Box 149" o:spid="_x0000_s1028" type="#_x0000_t202" style="position:absolute;top:23118;width:22471;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YNwQAAANwAAAAPAAAAZHJzL2Rvd25yZXYueG1sRE9Ni8Iw&#10;EL0v+B/CCN7WVBHRahQRlPW2VhG8jc3YFJtJabJa99cbYWFv83ifM1+2thJ3anzpWMGgn4Agzp0u&#10;uVBwPGw+JyB8QNZYOSYFT/KwXHQ+5phq9+A93bNQiBjCPkUFJoQ6ldLnhiz6vquJI3d1jcUQYVNI&#10;3eAjhttKDpNkLC2WHBsM1rQ2lN+yH6ug/k7MhLa3UJ3c7zC7rHbnzfqsVK/brmYgArXhX/zn/tJx&#10;/mgK72fiBXLxAgAA//8DAFBLAQItABQABgAIAAAAIQDb4fbL7gAAAIUBAAATAAAAAAAAAAAAAAAA&#10;AAAAAABbQ29udGVudF9UeXBlc10ueG1sUEsBAi0AFAAGAAgAAAAhAFr0LFu/AAAAFQEAAAsAAAAA&#10;AAAAAAAAAAAAHwEAAF9yZWxzLy5yZWxzUEsBAi0AFAAGAAgAAAAhAKQsJg3BAAAA3AAAAA8AAAAA&#10;AAAAAAAAAAAABwIAAGRycy9kb3ducmV2LnhtbFBLBQYAAAAAAwADALcAAAD1AgAAAAA=&#10;" fillcolor="#f2f2f2 [3052]" stroked="f" strokeweight=".5pt">
                    <v:textbox>
                      <w:txbxContent>
                        <w:p w14:paraId="4397AD49" w14:textId="77777777" w:rsidR="001149A2" w:rsidRDefault="001149A2">
                          <w:pPr>
                            <w:rPr>
                              <w:rFonts w:ascii="Arial Narrow" w:hAnsi="Arial Narrow"/>
                              <w:i/>
                              <w:iCs/>
                              <w:sz w:val="16"/>
                              <w:szCs w:val="16"/>
                              <w:lang w:val="en-US"/>
                            </w:rPr>
                          </w:pPr>
                          <w:r>
                            <w:rPr>
                              <w:rFonts w:ascii="Arial Narrow" w:hAnsi="Arial Narrow"/>
                              <w:i/>
                              <w:iCs/>
                              <w:sz w:val="16"/>
                              <w:szCs w:val="16"/>
                              <w:lang w:val="en-US"/>
                            </w:rPr>
                            <w:t xml:space="preserve">*** For patients who have never taken oral paliperidone or oral or injectable risperidone, it is </w:t>
                          </w:r>
                          <w:r>
                            <w:rPr>
                              <w:rFonts w:ascii="Arial Narrow" w:hAnsi="Arial Narrow"/>
                              <w:sz w:val="16"/>
                              <w:szCs w:val="16"/>
                              <w:lang w:val="en-US"/>
                            </w:rPr>
                            <w:t>recommended</w:t>
                          </w:r>
                          <w:r>
                            <w:rPr>
                              <w:rFonts w:ascii="Arial Narrow" w:hAnsi="Arial Narrow"/>
                              <w:i/>
                              <w:iCs/>
                              <w:sz w:val="16"/>
                              <w:szCs w:val="16"/>
                              <w:lang w:val="en-US"/>
                            </w:rPr>
                            <w:t xml:space="preserve"> to establish tolerability with oral paliperidone or oral</w:t>
                          </w:r>
                          <w:r>
                            <w:rPr>
                              <w:rFonts w:ascii="Arial Narrow" w:hAnsi="Arial Narrow"/>
                              <w:i/>
                              <w:iCs/>
                              <w:sz w:val="16"/>
                              <w:szCs w:val="18"/>
                              <w:lang w:val="en-US"/>
                            </w:rPr>
                            <w:t xml:space="preserve"> risperidone prior to initiating</w:t>
                          </w:r>
                          <w:r>
                            <w:rPr>
                              <w:rFonts w:ascii="Arial Narrow" w:hAnsi="Arial Narrow"/>
                              <w:i/>
                              <w:iCs/>
                              <w:sz w:val="16"/>
                              <w:szCs w:val="16"/>
                              <w:lang w:val="en-US"/>
                            </w:rPr>
                            <w:t xml:space="preserve"> </w:t>
                          </w:r>
                          <w:r>
                            <w:rPr>
                              <w:rFonts w:ascii="Arial Narrow" w:hAnsi="Arial Narrow"/>
                              <w:i/>
                              <w:iCs/>
                              <w:sz w:val="16"/>
                              <w:szCs w:val="18"/>
                              <w:lang w:val="en-US"/>
                            </w:rPr>
                            <w:t>treatment with PP1M</w:t>
                          </w:r>
                        </w:p>
                      </w:txbxContent>
                    </v:textbox>
                  </v:shape>
                  <v:shape id="Text Box 150" o:spid="_x0000_s1029" type="#_x0000_t202" style="position:absolute;left:34160;width:4572;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1C5F5D04" w14:textId="77777777" w:rsidR="001149A2" w:rsidRDefault="001149A2">
                          <w:pPr>
                            <w:jc w:val="center"/>
                            <w:rPr>
                              <w:rFonts w:ascii="Arial Narrow" w:hAnsi="Arial Narrow"/>
                              <w:i/>
                              <w:iCs/>
                              <w:lang w:val="en-US"/>
                            </w:rPr>
                          </w:pPr>
                          <w:r>
                            <w:rPr>
                              <w:rFonts w:ascii="Arial Narrow" w:hAnsi="Arial Narrow"/>
                              <w:i/>
                              <w:iCs/>
                              <w:lang w:val="en-US"/>
                            </w:rPr>
                            <w:t>***</w:t>
                          </w:r>
                        </w:p>
                      </w:txbxContent>
                    </v:textbox>
                  </v:shape>
                </v:group>
                <v:group id="Group 156" o:spid="_x0000_s1030" style="position:absolute;width:49212;height:57797" coordsize="49217,5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157" o:spid="_x0000_s1031" type="#_x0000_t32" style="position:absolute;left:37262;top:25343;width:0;height:711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CwwAAANwAAAAPAAAAZHJzL2Rvd25yZXYueG1sRE9La8JA&#10;EL4X+h+WKXirmyg2mrpKWygKPYgPkN6G7DQJZmfD7jaJ/94VCr3Nx/ec5XowjejI+dqygnScgCAu&#10;rK65VHA6fj7PQfiArLGxTAqu5GG9enxYYq5tz3vqDqEUMYR9jgqqENpcSl9UZNCPbUscuR/rDIYI&#10;XSm1wz6Gm0ZOkuRFGqw5NlTY0kdFxeXwaxSYC8svt+v6dPJ+btKMpvX3YqPU6Gl4ewURaAj/4j/3&#10;Vsf5swzuz8QL5OoGAAD//wMAUEsBAi0AFAAGAAgAAAAhANvh9svuAAAAhQEAABMAAAAAAAAAAAAA&#10;AAAAAAAAAFtDb250ZW50X1R5cGVzXS54bWxQSwECLQAUAAYACAAAACEAWvQsW78AAAAVAQAACwAA&#10;AAAAAAAAAAAAAAAfAQAAX3JlbHMvLnJlbHNQSwECLQAUAAYACAAAACEA0Bv1AsMAAADcAAAADwAA&#10;AAAAAAAAAAAAAAAHAgAAZHJzL2Rvd25yZXYueG1sUEsFBgAAAAADAAMAtwAAAPcCAAAAAA==&#10;" strokecolor="black [3213]" strokeweight="1pt">
                    <v:stroke startarrow="open" endarrow="open"/>
                  </v:shape>
                  <v:shape id="Straight Arrow Connector 158" o:spid="_x0000_s1032" type="#_x0000_t32" style="position:absolute;left:36658;top:33711;width:0;height:711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c+xwAAANwAAAAPAAAAZHJzL2Rvd25yZXYueG1sRI9BS8NA&#10;EIXvQv/DMgUvYjcKVonZlGIRaqWisRdvQ3ZMQrOzYXdtU3+9cyh4m+G9ee+bYjG6Xh0oxM6zgZtZ&#10;Boq49rbjxsDu8/n6AVRMyBZ7z2TgRBEW5eSiwNz6I3/QoUqNkhCOORpoUxpyrWPdksM48wOxaN8+&#10;OEyyhkbbgEcJd72+zbK5dtixNLQ40FNL9b76cQZW7+urXVzNf+vt2/1X2PjtyytZYy6n4/IRVKIx&#10;/ZvP12sr+HdCK8/IBLr8AwAA//8DAFBLAQItABQABgAIAAAAIQDb4fbL7gAAAIUBAAATAAAAAAAA&#10;AAAAAAAAAAAAAABbQ29udGVudF9UeXBlc10ueG1sUEsBAi0AFAAGAAgAAAAhAFr0LFu/AAAAFQEA&#10;AAsAAAAAAAAAAAAAAAAAHwEAAF9yZWxzLy5yZWxzUEsBAi0AFAAGAAgAAAAhAMiZpz7HAAAA3AAA&#10;AA8AAAAAAAAAAAAAAAAABwIAAGRycy9kb3ducmV2LnhtbFBLBQYAAAAAAwADALcAAAD7AgAAAAA=&#10;" strokecolor="black [3213]" strokeweight="1pt">
                    <v:stroke startarrow="open"/>
                  </v:shape>
                  <v:shape id="Straight Arrow Connector 159" o:spid="_x0000_s1033" type="#_x0000_t32" style="position:absolute;left:34680;top:38198;width:4208;height:7447;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KwxAAAANwAAAAPAAAAZHJzL2Rvd25yZXYueG1sRE/basJA&#10;EH0X/IdlBN90U2svRldplRbBBzH1A4bsmKRmZ9PsmqR+vSsU+jaHc53FqjOlaKh2hWUFD+MIBHFq&#10;dcGZguPXx+gVhPPIGkvLpOCXHKyW/d4CY21bPlCT+EyEEHYxKsi9r2IpXZqTQTe2FXHgTrY26AOs&#10;M6lrbEO4KeUkip6lwYJDQ44VrXNKz8nFKGjc5pHWL9Ofw3Xz/v25433S7vZKDQfd2xyEp87/i//c&#10;Wx3mP83g/ky4QC5vAAAA//8DAFBLAQItABQABgAIAAAAIQDb4fbL7gAAAIUBAAATAAAAAAAAAAAA&#10;AAAAAAAAAABbQ29udGVudF9UeXBlc10ueG1sUEsBAi0AFAAGAAgAAAAhAFr0LFu/AAAAFQEAAAsA&#10;AAAAAAAAAAAAAAAAHwEAAF9yZWxzLy5yZWxzUEsBAi0AFAAGAAgAAAAhANF1UrDEAAAA3AAAAA8A&#10;AAAAAAAAAAAAAAAABwIAAGRycy9kb3ducmV2LnhtbFBLBQYAAAAAAwADALcAAAD4AgAAAAA=&#10;" strokecolor="black [3213]" strokeweight="1pt">
                    <v:stroke startarrow="open"/>
                  </v:shape>
                  <v:group id="Group 160" o:spid="_x0000_s1034" style="position:absolute;width:49217;height:57797" coordsize="49221,5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61" o:spid="_x0000_s1035" style="position:absolute;left:7591;top:14305;width:15215;height:15856;flip:x" coordsize="11297,1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hfwgAAANwAAAAPAAAAZHJzL2Rvd25yZXYueG1sRE9Na8Mw&#10;DL0P9h+MCrstTksoI41bSmEljF6WbSVHEauJaSyH2Euzf18PBrvp8T5V7Gbbi4lGbxwrWCYpCOLG&#10;acOtgs+P1+cXED4ga+wdk4If8rDbPj4UmGt343eaqtCKGMI+RwVdCEMupW86sugTNxBH7uJGiyHC&#10;sZV6xFsMt71cpelaWjQcGzoc6NBRc62+rYKvvckoO9dvp7QhKrWsj5XJlHpazPsNiEBz+Bf/uUsd&#10;56+X8PtMvEBu7wAAAP//AwBQSwECLQAUAAYACAAAACEA2+H2y+4AAACFAQAAEwAAAAAAAAAAAAAA&#10;AAAAAAAAW0NvbnRlbnRfVHlwZXNdLnhtbFBLAQItABQABgAIAAAAIQBa9CxbvwAAABUBAAALAAAA&#10;AAAAAAAAAAAAAB8BAABfcmVscy8ucmVsc1BLAQItABQABgAIAAAAIQDq8ShfwgAAANwAAAAPAAAA&#10;AAAAAAAAAAAAAAcCAABkcnMvZG93bnJldi54bWxQSwUGAAAAAAMAAwC3AAAA9gIAAAAA&#10;">
                      <v:shape id="Straight Arrow Connector 162" o:spid="_x0000_s1036" type="#_x0000_t32" style="position:absolute;left:9595;top:14154;width:20;height:338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doxAAAANwAAAAPAAAAZHJzL2Rvd25yZXYueG1sRE9LSwMx&#10;EL4L/ocwhd5stj20um1ayqq0IFjs4+Bt2IybpZvJkqS76783guBtPr7nrDaDbURHPtSOFUwnGQji&#10;0umaKwXn0+vDI4gQkTU2jknBNwXYrO/vVphr1/MHdcdYiRTCIUcFJsY2lzKUhiyGiWuJE/flvMWY&#10;oK+k9tincNvIWZbNpcWaU4PBlgpD5fV4swoui92bl89PL/37wbhp8bm4Fp1XajwatksQkYb4L/5z&#10;73WaP5/B7zPpArn+AQAA//8DAFBLAQItABQABgAIAAAAIQDb4fbL7gAAAIUBAAATAAAAAAAAAAAA&#10;AAAAAAAAAABbQ29udGVudF9UeXBlc10ueG1sUEsBAi0AFAAGAAgAAAAhAFr0LFu/AAAAFQEAAAsA&#10;AAAAAAAAAAAAAAAAHwEAAF9yZWxzLy5yZWxzUEsBAi0AFAAGAAgAAAAhAHrsh2jEAAAA3AAAAA8A&#10;AAAAAAAAAAAAAAAABwIAAGRycy9kb3ducmV2LnhtbFBLBQYAAAAAAwADALcAAAD4AgAAAAA=&#10;" strokecolor="black [3213]"/>
                      <v:shape id="Straight Arrow Connector 167" o:spid="_x0000_s1037" type="#_x0000_t32" style="position:absolute;left:11241;width:0;height:158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8ZwQAAANwAAAAPAAAAZHJzL2Rvd25yZXYueG1sRE9Na8JA&#10;EL0X/A/LFLw1m3pIS+oqKoieBG0OPQ7ZaTY1Oxuzq0n+vVsQvM3jfc58OdhG3KjztWMF70kKgrh0&#10;uuZKQfG9ffsE4QOyxsYxKRjJw3IxeZljrl3PR7qdQiViCPscFZgQ2lxKXxqy6BPXEkfu13UWQ4Rd&#10;JXWHfQy3jZylaSYt1hwbDLa0MVSeT1erQF8LmVVHk42HdNes0a1//i6DUtPXYfUFItAQnuKHe6/j&#10;/OwD/p+JF8jFHQAA//8DAFBLAQItABQABgAIAAAAIQDb4fbL7gAAAIUBAAATAAAAAAAAAAAAAAAA&#10;AAAAAABbQ29udGVudF9UeXBlc10ueG1sUEsBAi0AFAAGAAgAAAAhAFr0LFu/AAAAFQEAAAsAAAAA&#10;AAAAAAAAAAAAHwEAAF9yZWxzLy5yZWxzUEsBAi0AFAAGAAgAAAAhAEkPPxnBAAAA3AAAAA8AAAAA&#10;AAAAAAAAAAAABwIAAGRycy9kb3ducmV2LnhtbFBLBQYAAAAAAwADALcAAAD1AgAAAAA=&#10;" strokecolor="black [3213]"/>
                      <v:shape id="Straight Arrow Connector 168" o:spid="_x0000_s1038" type="#_x0000_t32" style="position:absolute;left:5645;top:-5596;width:0;height:112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gexQAAANwAAAAPAAAAZHJzL2Rvd25yZXYueG1sRI9Ba8Mw&#10;DIXvg/0Ho8Fuq9OyhpHWLaWsbIdRWBrYVcRqEhrLme012b+fDoXdJN7Te5/W28n16kohdp4NzGcZ&#10;KOLa244bA9Xp8PQCKiZki71nMvBLEbab+7s1FtaP/EnXMjVKQjgWaKBNaSi0jnVLDuPMD8SinX1w&#10;mGQNjbYBRwl3vV5kWa4ddiwNLQ60b6m+lD/OwHJfLl/91/PbPDT5d/jwlT2OlTGPD9NuBSrRlP7N&#10;t+t3K/i50MozMoHe/AEAAP//AwBQSwECLQAUAAYACAAAACEA2+H2y+4AAACFAQAAEwAAAAAAAAAA&#10;AAAAAAAAAAAAW0NvbnRlbnRfVHlwZXNdLnhtbFBLAQItABQABgAIAAAAIQBa9CxbvwAAABUBAAAL&#10;AAAAAAAAAAAAAAAAAB8BAABfcmVscy8ucmVsc1BLAQItABQABgAIAAAAIQCPNCgexQAAANwAAAAP&#10;AAAAAAAAAAAAAAAAAAcCAABkcnMvZG93bnJldi54bWxQSwUGAAAAAAMAAwC3AAAA+QIAAAAA&#10;" strokecolor="black [3213]" strokeweight="1pt">
                        <v:stroke endarrow="open"/>
                      </v:shape>
                    </v:group>
                    <v:group id="Group 169" o:spid="_x0000_s1039" style="position:absolute;width:49221;height:57797" coordsize="49221,5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Text Box 170" o:spid="_x0000_s1040" type="#_x0000_t202" style="position:absolute;left:40745;top:43818;width:8428;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1SxAAAANwAAAAPAAAAZHJzL2Rvd25yZXYueG1sRI9Ba8Mw&#10;DIXvg/0Ho8EuY3HaQzuyuqUEBr2VtTn0KGItCbPlYLtNtl8/HQa9Sbyn9z5tdrN36kYxDYENLIoS&#10;FHEb7MCdgeb88foGKmVkiy4wGfihBLvt48MGKxsm/qTbKXdKQjhVaKDPeay0Tm1PHlMRRmLRvkL0&#10;mGWNnbYRJwn3Ti/LcqU9DiwNPY5U99R+n67ewHGdnIurupnqX4r1S7PHy3Uy5vlp3r+DyjTnu/n/&#10;+mAFfy348oxMoLd/AAAA//8DAFBLAQItABQABgAIAAAAIQDb4fbL7gAAAIUBAAATAAAAAAAAAAAA&#10;AAAAAAAAAABbQ29udGVudF9UeXBlc10ueG1sUEsBAi0AFAAGAAgAAAAhAFr0LFu/AAAAFQEAAAsA&#10;AAAAAAAAAAAAAAAAHwEAAF9yZWxzLy5yZWxzUEsBAi0AFAAGAAgAAAAhAPrALVLEAAAA3AAAAA8A&#10;AAAAAAAAAAAAAAAABwIAAGRycy9kb3ducmV2LnhtbFBLBQYAAAAAAwADALcAAAD4AgAAAAA=&#10;" fillcolor="#e36c0a [2409]" strokeweight=".5pt">
                        <v:textbox>
                          <w:txbxContent>
                            <w:p w14:paraId="7C965D72" w14:textId="77777777" w:rsidR="001149A2" w:rsidRDefault="001149A2">
                              <w:pPr>
                                <w:jc w:val="center"/>
                                <w:rPr>
                                  <w:rFonts w:ascii="Arial Narrow" w:hAnsi="Arial Narrow"/>
                                  <w:color w:val="FFFFFF" w:themeColor="background1"/>
                                  <w:lang w:val="en-US"/>
                                </w:rPr>
                              </w:pPr>
                              <w:r>
                                <w:rPr>
                                  <w:rFonts w:ascii="Arial Narrow" w:hAnsi="Arial Narrow"/>
                                  <w:b/>
                                  <w:bCs/>
                                  <w:lang w:val="en-US"/>
                                </w:rPr>
                                <w:t>PP6M</w:t>
                              </w:r>
                            </w:p>
                          </w:txbxContent>
                        </v:textbox>
                      </v:shape>
                      <v:group id="Group 172" o:spid="_x0000_s1041" style="position:absolute;width:49221;height:57797" coordsize="49221,5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Straight Arrow Connector 173" o:spid="_x0000_s1042" type="#_x0000_t32" style="position:absolute;left:44772;top:3978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qxgAAANwAAAAPAAAAZHJzL2Rvd25yZXYueG1sRI9Pa8JA&#10;EMXvgt9hmUIvRTex+IfoKhKp9CQYBa9DdkxCs7Mxu8a0n75bKHib4b15vzerTW9q0VHrKssK4nEE&#10;gji3uuJCwfn0MVqAcB5ZY22ZFHyTg816OFhhou2Dj9RlvhAhhF2CCkrvm0RKl5dk0I1tQxy0q20N&#10;+rC2hdQtPkK4qeUkimbSYMWBUGJDaUn5V3Y3gbu/1Olueuom8X77U+W3Q5rGb0q9vvTbJQhPvX+a&#10;/68/dag/f4e/Z8IEcv0LAAD//wMAUEsBAi0AFAAGAAgAAAAhANvh9svuAAAAhQEAABMAAAAAAAAA&#10;AAAAAAAAAAAAAFtDb250ZW50X1R5cGVzXS54bWxQSwECLQAUAAYACAAAACEAWvQsW78AAAAVAQAA&#10;CwAAAAAAAAAAAAAAAAAfAQAAX3JlbHMvLnJlbHNQSwECLQAUAAYACAAAACEAFo4XKsYAAADcAAAA&#10;DwAAAAAAAAAAAAAAAAAHAgAAZHJzL2Rvd25yZXYueG1sUEsFBgAAAAADAAMAtwAAAPoCAAAAAA==&#10;" strokecolor="black [3213]" strokeweight="1.5pt">
                          <v:stroke startarrow="open" endarrow="open"/>
                        </v:shape>
                        <v:shape id="Straight Arrow Connector 174" o:spid="_x0000_s1043" type="#_x0000_t32" style="position:absolute;left:38624;top:28886;width:0;height:323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qzwwAAANwAAAAPAAAAZHJzL2Rvd25yZXYueG1sRE89b8Iw&#10;EN0r8R+sQ+pWHCiUkGJQFYmqa6EDbKf4moTY5zR2IP33dSUktnt6n7feDtaIC3W+dqxgOklAEBdO&#10;11wq+DrsnlIQPiBrNI5JwS952G5GD2vMtLvyJ132oRQxhH2GCqoQ2kxKX1Rk0U9cSxy5b9dZDBF2&#10;pdQdXmO4NXKWJC/SYs2xocKW8oqKZt9bBYvm+Tg351WT78ypn+ZF+v7Tp0o9joe3VxCBhnAX39wf&#10;Os5fzuH/mXiB3PwBAAD//wMAUEsBAi0AFAAGAAgAAAAhANvh9svuAAAAhQEAABMAAAAAAAAAAAAA&#10;AAAAAAAAAFtDb250ZW50X1R5cGVzXS54bWxQSwECLQAUAAYACAAAACEAWvQsW78AAAAVAQAACwAA&#10;AAAAAAAAAAAAAAAfAQAAX3JlbHMvLnJlbHNQSwECLQAUAAYACAAAACEAVM0Ks8MAAADcAAAADwAA&#10;AAAAAAAAAAAAAAAHAgAAZHJzL2Rvd25yZXYueG1sUEsFBgAAAAADAAMAtwAAAPcCAAAAAA==&#10;" strokecolor="black [3213]" strokeweight="1pt">
                          <v:stroke endarrow="open"/>
                        </v:shape>
                        <v:shape id="Straight Arrow Connector 175" o:spid="_x0000_s1044" type="#_x0000_t32" style="position:absolute;left:38663;top:43759;width:0;height:324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lkwwAAANwAAAAPAAAAZHJzL2Rvd25yZXYueG1sRE9NawIx&#10;EL0X+h/CFLzVRKW1bI0igmAppWrtfbqZbhY3k7hJdeuvN0Kht3m8z5nMOteII7Wx9qxh0FcgiEtv&#10;aq407D6W908gYkI22HgmDb8UYTa9vZlgYfyJN3TcpkrkEI4FarAphULKWFpyGPs+EGfu27cOU4Zt&#10;JU2LpxzuGjlU6lE6rDk3WAy0sFTutz9OgzpXX2H0sn57fT+spQqfdrcfWK17d938GUSiLv2L/9wr&#10;k+ePH+D6TL5ATi8AAAD//wMAUEsBAi0AFAAGAAgAAAAhANvh9svuAAAAhQEAABMAAAAAAAAAAAAA&#10;AAAAAAAAAFtDb250ZW50X1R5cGVzXS54bWxQSwECLQAUAAYACAAAACEAWvQsW78AAAAVAQAACwAA&#10;AAAAAAAAAAAAAAAfAQAAX3JlbHMvLnJlbHNQSwECLQAUAAYACAAAACEA/YJ5ZMMAAADcAAAADwAA&#10;AAAAAAAAAAAAAAAHAgAAZHJzL2Rvd25yZXYueG1sUEsFBgAAAAADAAMAtwAAAPcCAAAAAA==&#10;" strokecolor="black [3213]" strokeweight="1.5pt">
                          <v:stroke endarrow="open"/>
                        </v:shape>
                        <v:shape id="Straight Arrow Connector 176" o:spid="_x0000_s1045" type="#_x0000_t32" style="position:absolute;left:36991;top:30519;width:17;height:14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ul7wgAAANwAAAAPAAAAZHJzL2Rvd25yZXYueG1sRE9Ni8Iw&#10;EL0v+B/CCN7WVIWq1SiysCDsadWDx6EZ22ozqU1as/vrNwuCt3m8z1lvg6lFT62rLCuYjBMQxLnV&#10;FRcKTsfP9wUI55E11pZJwQ852G4Gb2vMtH3wN/UHX4gYwi5DBaX3TSaly0sy6Ma2IY7cxbYGfYRt&#10;IXWLjxhuajlNklQarDg2lNjQR0n57dAZBf35Grqv7jLd7UO1vC1T/J3dU6VGw7BbgfAU/Ev8dO91&#10;nD9P4f+ZeIHc/AEAAP//AwBQSwECLQAUAAYACAAAACEA2+H2y+4AAACFAQAAEwAAAAAAAAAAAAAA&#10;AAAAAAAAW0NvbnRlbnRfVHlwZXNdLnhtbFBLAQItABQABgAIAAAAIQBa9CxbvwAAABUBAAALAAAA&#10;AAAAAAAAAAAAAB8BAABfcmVscy8ucmVsc1BLAQItABQABgAIAAAAIQBa4ul7wgAAANwAAAAPAAAA&#10;AAAAAAAAAAAAAAcCAABkcnMvZG93bnJldi54bWxQSwUGAAAAAAMAAwC3AAAA9gIAAAAA&#10;" strokecolor="black [3213]"/>
                        <v:group id="Group 177" o:spid="_x0000_s1046" style="position:absolute;width:49221;height:57797" coordsize="49223,5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Straight Arrow Connector 178" o:spid="_x0000_s1047" type="#_x0000_t32" style="position:absolute;left:34250;top:3623;width:0;height:4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EtxQAAANwAAAAPAAAAZHJzL2Rvd25yZXYueG1sRI/NTgMx&#10;DITvSLxDZCRuNFsOFJamFeqPxAEJddsHsDZusjRxVpvQXd4eH5C42ZrxzOfleopBXWnIXWID81kF&#10;irhNtmNn4HTcPzyDygXZYkhMBn4ow3p1e7PE2qaRD3RtilMSwrlGA76UvtY6t54i5lnqiUU7pyFi&#10;kXVw2g44SngM+rGqnnTEjqXBY08bT+2l+Y4Gvj4XL6fL1s3P7qMKhyaMR78bjbm/m95eQRWayr/5&#10;7/rdCv5CaOUZmUCvfgEAAP//AwBQSwECLQAUAAYACAAAACEA2+H2y+4AAACFAQAAEwAAAAAAAAAA&#10;AAAAAAAAAAAAW0NvbnRlbnRfVHlwZXNdLnhtbFBLAQItABQABgAIAAAAIQBa9CxbvwAAABUBAAAL&#10;AAAAAAAAAAAAAAAAAB8BAABfcmVscy8ucmVsc1BLAQItABQABgAIAAAAIQDOXCEtxQAAANwAAAAP&#10;AAAAAAAAAAAAAAAAAAcCAABkcnMvZG93bnJldi54bWxQSwUGAAAAAAMAAwC3AAAA+QIAAAAA&#10;" strokecolor="black [3213]" strokeweight="1.5pt">
                            <v:stroke endarrow="open"/>
                          </v:shape>
                          <v:shape id="Straight Arrow Connector 179" o:spid="_x0000_s1048" type="#_x0000_t32" style="position:absolute;left:18309;top:4816;width:6382;height:436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nBxAAAANwAAAAPAAAAZHJzL2Rvd25yZXYueG1sRE9NawIx&#10;EL0X+h/CCN5qVgVrt0YpLa1CD+JW8DrdjJvVzWS7SXX11xtB8DaP9zmTWWsrcaDGl44V9HsJCOLc&#10;6ZILBeufz6cxCB+QNVaOScGJPMymjw8TTLU78ooOWShEDGGfogITQp1K6XNDFn3P1cSR27rGYoiw&#10;KaRu8BjDbSUHSTKSFkuODQZrejeU77N/q2BptCPz9/31m33sVuflYOP386FS3U779goiUBvu4pt7&#10;oeP85xe4PhMvkNMLAAAA//8DAFBLAQItABQABgAIAAAAIQDb4fbL7gAAAIUBAAATAAAAAAAAAAAA&#10;AAAAAAAAAABbQ29udGVudF9UeXBlc10ueG1sUEsBAi0AFAAGAAgAAAAhAFr0LFu/AAAAFQEAAAsA&#10;AAAAAAAAAAAAAAAAHwEAAF9yZWxzLy5yZWxzUEsBAi0AFAAGAAgAAAAhAKiwqcHEAAAA3AAAAA8A&#10;AAAAAAAAAAAAAAAABwIAAGRycy9kb3ducmV2LnhtbFBLBQYAAAAAAwADALcAAAD4AgAAAAA=&#10;" strokecolor="black [3213]" strokeweight="1pt">
                            <v:stroke dashstyle="3 1" endarrow="open"/>
                          </v:shape>
                          <v:group id="Group 181" o:spid="_x0000_s1049" style="position:absolute;width:49223;height:57799" coordsize="49223,5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2" o:spid="_x0000_s1050" style="position:absolute;width:49223;height:57799" coordsize="49223,5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183" o:spid="_x0000_s1051" style="position:absolute;left:73;top:8484;width:49150;height:49315" coordorigin="-2317,2925" coordsize="49150,4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4" o:spid="_x0000_s1052" type="#_x0000_t32" style="position:absolute;left:34889;top:21037;width:0;height:605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bPxAAAANwAAAAPAAAAZHJzL2Rvd25yZXYueG1sRE9La8JA&#10;EL4X/A/LFHopurEW0egqoohCTz4u3sbsmKTJzobsatL+elcQvM3H95zpvDWluFHtcssK+r0IBHFi&#10;dc6pguNh3R2BcB5ZY2mZFPyRg/ms8zbFWNuGd3Tb+1SEEHYxKsi8r2IpXZKRQdezFXHgLrY26AOs&#10;U6lrbEK4KeVXFA2lwZxDQ4YVLTNKiv3VKGijc3H63w02v2n581lsx815NV4o9fHeLiYgPLX+JX66&#10;tzrMH33D45lwgZzdAQAA//8DAFBLAQItABQABgAIAAAAIQDb4fbL7gAAAIUBAAATAAAAAAAAAAAA&#10;AAAAAAAAAABbQ29udGVudF9UeXBlc10ueG1sUEsBAi0AFAAGAAgAAAAhAFr0LFu/AAAAFQEAAAsA&#10;AAAAAAAAAAAAAAAAHwEAAF9yZWxzLy5yZWxzUEsBAi0AFAAGAAgAAAAhACrx9s/EAAAA3AAAAA8A&#10;AAAAAAAAAAAAAAAABwIAAGRycy9kb3ducmV2LnhtbFBLBQYAAAAAAwADALcAAAD4AgAAAAA=&#10;" strokecolor="black [3213]">
                                  <v:stroke dashstyle="3 1"/>
                                </v:shape>
                                <v:group id="Group 185" o:spid="_x0000_s1053" style="position:absolute;left:-2317;top:2925;width:49150;height:49315" coordorigin="-2317,2925" coordsize="49150,4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86" o:spid="_x0000_s1054" type="#_x0000_t32" style="position:absolute;left:21892;top:34208;width:0;height:12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gpwgAAANwAAAAPAAAAZHJzL2Rvd25yZXYueG1sRE9Na8JA&#10;EL0L/odlhF5EN/UQJLqKiAVBSqwK9ThmxySYnQ3ZNUn/fVco9DaP9znLdW8q0VLjSssK3qcRCOLM&#10;6pJzBZfzx2QOwnlkjZVlUvBDDtar4WCJibYdf1F78rkIIewSVFB4XydSuqwgg25qa+LA3W1j0AfY&#10;5FI32IVwU8lZFMXSYMmhocCatgVlj9PTKPi8HdP4+j1OpT10l5TqO593rVJvo36zAOGp9//iP/de&#10;h/nzGF7PhAvk6hcAAP//AwBQSwECLQAUAAYACAAAACEA2+H2y+4AAACFAQAAEwAAAAAAAAAAAAAA&#10;AAAAAAAAW0NvbnRlbnRfVHlwZXNdLnhtbFBLAQItABQABgAIAAAAIQBa9CxbvwAAABUBAAALAAAA&#10;AAAAAAAAAAAAAB8BAABfcmVscy8ucmVsc1BLAQItABQABgAIAAAAIQDeyEgpwgAAANwAAAAPAAAA&#10;AAAAAAAAAAAAAAcCAABkcnMvZG93bnJldi54bWxQSwUGAAAAAAMAAwC3AAAA9gIAAAAA&#10;" strokecolor="black [3213]">
                                    <v:stroke dashstyle="3 1"/>
                                  </v:shape>
                                  <v:shape id="Straight Arrow Connector 187" o:spid="_x0000_s1055" type="#_x0000_t32" style="position:absolute;left:42658;top:42416;width:0;height:3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2ywwAAANwAAAAPAAAAZHJzL2Rvd25yZXYueG1sRE9La8JA&#10;EL4X+h+WKXgpumkPVqIbEbFQEEl9gB7H7OSB2dmQXZP033cLBW/z8T1nsRxMLTpqXWVZwdskAkGc&#10;WV1xoeB0/BzPQDiPrLG2TAp+yMEyeX5aYKxtz3vqDr4QIYRdjApK75tYSpeVZNBNbEMcuNy2Bn2A&#10;bSF1i30IN7V8j6KpNFhxaCixoXVJ2e1wNwp21+90ejm/ptJu+1NKTc7HTafU6GVYzUF4GvxD/O/+&#10;0mH+7AP+ngkXyOQXAAD//wMAUEsBAi0AFAAGAAgAAAAhANvh9svuAAAAhQEAABMAAAAAAAAAAAAA&#10;AAAAAAAAAFtDb250ZW50X1R5cGVzXS54bWxQSwECLQAUAAYACAAAACEAWvQsW78AAAAVAQAACwAA&#10;AAAAAAAAAAAAAAAfAQAAX3JlbHMvLnJlbHNQSwECLQAUAAYACAAAACEAsYTtssMAAADcAAAADwAA&#10;AAAAAAAAAAAAAAAHAgAAZHJzL2Rvd25yZXYueG1sUEsFBgAAAAADAAMAtwAAAPcCAAAAAA==&#10;" strokecolor="black [3213]">
                                    <v:stroke dashstyle="3 1"/>
                                  </v:shape>
                                  <v:group id="Group 188" o:spid="_x0000_s1056" style="position:absolute;left:-2317;top:2925;width:49150;height:49315" coordorigin="-2317,2925" coordsize="49150,4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Straight Arrow Connector 189" o:spid="_x0000_s1057" type="#_x0000_t32" style="position:absolute;left:32244;top:36066;width:0;height:2079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E9exAAAANwAAAAPAAAAZHJzL2Rvd25yZXYueG1sRE9La8JA&#10;EL4L/Q/LFLxI3SgomrqKxge99NAoirchO02C2dmQXTX+e7cg9DYf33Nmi9ZU4kaNKy0rGPQjEMSZ&#10;1SXnCg777ccEhPPIGivLpOBBDhbzt84MY23v/EO31OcihLCLUUHhfR1L6bKCDLq+rYkD92sbgz7A&#10;Jpe6wXsIN5UcRtFYGiw5NBRYU1JQdkmvRsFx9Nil++Q61Zv192CXnFa9/Nwq1X1vl58gPLX+X/xy&#10;f+kwfzKFv2fCBXL+BAAA//8DAFBLAQItABQABgAIAAAAIQDb4fbL7gAAAIUBAAATAAAAAAAAAAAA&#10;AAAAAAAAAABbQ29udGVudF9UeXBlc10ueG1sUEsBAi0AFAAGAAgAAAAhAFr0LFu/AAAAFQEAAAsA&#10;AAAAAAAAAAAAAAAAHwEAAF9yZWxzLy5yZWxzUEsBAi0AFAAGAAgAAAAhAGysT17EAAAA3AAAAA8A&#10;AAAAAAAAAAAAAAAABwIAAGRycy9kb3ducmV2LnhtbFBLBQYAAAAAAwADALcAAAD4AgAAAAA=&#10;" strokecolor="black [3213]">
                                      <v:stroke dashstyle="3 1"/>
                                    </v:shape>
                                    <v:group id="Group 190" o:spid="_x0000_s1058" style="position:absolute;left:-2317;top:2925;width:49150;height:49315" coordorigin="-2317,2925" coordsize="49150,4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91" o:spid="_x0000_s1059" style="position:absolute;left:-2317;top:2925;width:49150;height:45689" coordorigin="-2317,2925" coordsize="49150,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192" o:spid="_x0000_s1060" style="position:absolute;left:-2317;top:2925;width:49150;height:30282" coordorigin="-2317,2925" coordsize="49150,3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93" o:spid="_x0000_s1061" style="position:absolute;left:-2317;top:2925;width:49150;height:30282" coordorigin="-2317,2925" coordsize="49150,3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194" o:spid="_x0000_s1062" type="#_x0000_t202" style="position:absolute;left:21506;top:2999;width:20356;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VowQAAANwAAAAPAAAAZHJzL2Rvd25yZXYueG1sRE9Li8Iw&#10;EL4v+B/CCN7W1Aei1SgqLix4si7sdWjGtthMShJr3V+/EQRv8/E9Z7XpTC1acr6yrGA0TEAQ51ZX&#10;XCj4OX99zkH4gKyxtkwKHuRhs+59rDDV9s4narNQiBjCPkUFZQhNKqXPSzLoh7YhjtzFOoMhQldI&#10;7fAew00tx0kykwYrjg0lNrQvKb9mN6PgmMm/w/loZ01t5r9udJq0uz0rNeh32yWIQF14i1/ubx3n&#10;L6bwfCZeINf/AAAA//8DAFBLAQItABQABgAIAAAAIQDb4fbL7gAAAIUBAAATAAAAAAAAAAAAAAAA&#10;AAAAAABbQ29udGVudF9UeXBlc10ueG1sUEsBAi0AFAAGAAgAAAAhAFr0LFu/AAAAFQEAAAsAAAAA&#10;AAAAAAAAAAAAHwEAAF9yZWxzLy5yZWxzUEsBAi0AFAAGAAgAAAAhALQN9WjBAAAA3AAAAA8AAAAA&#10;AAAAAAAAAAAABwIAAGRycy9kb3ducmV2LnhtbFBLBQYAAAAAAwADALcAAAD1AgAAAAA=&#10;" fillcolor="#dbe5f1 [660]" strokeweight=".5pt">
                                              <v:textbox>
                                                <w:txbxContent>
                                                  <w:p w14:paraId="22025B14" w14:textId="77777777" w:rsidR="001149A2" w:rsidRDefault="001149A2">
                                                    <w:pPr>
                                                      <w:jc w:val="center"/>
                                                      <w:rPr>
                                                        <w:rFonts w:ascii="Arial Narrow" w:hAnsi="Arial Narrow"/>
                                                        <w:b/>
                                                        <w:bCs/>
                                                        <w:lang w:val="en-US"/>
                                                      </w:rPr>
                                                    </w:pPr>
                                                    <w:r>
                                                      <w:rPr>
                                                        <w:rFonts w:ascii="Arial Narrow" w:hAnsi="Arial Narrow"/>
                                                        <w:b/>
                                                        <w:bCs/>
                                                        <w:lang w:val="en-US"/>
                                                      </w:rPr>
                                                      <w:t>Oral antipsychotic treatment</w:t>
                                                    </w:r>
                                                  </w:p>
                                                  <w:p w14:paraId="4F6CD526" w14:textId="77777777" w:rsidR="001149A2" w:rsidRDefault="001149A2">
                                                    <w:pPr>
                                                      <w:jc w:val="center"/>
                                                      <w:rPr>
                                                        <w:rFonts w:ascii="Arial Narrow" w:hAnsi="Arial Narrow"/>
                                                        <w:sz w:val="18"/>
                                                        <w:szCs w:val="20"/>
                                                        <w:lang w:val="en-US"/>
                                                      </w:rPr>
                                                    </w:pPr>
                                                    <w:r>
                                                      <w:rPr>
                                                        <w:rFonts w:ascii="Arial Narrow" w:hAnsi="Arial Narrow"/>
                                                        <w:sz w:val="18"/>
                                                        <w:szCs w:val="20"/>
                                                        <w:lang w:val="en-US"/>
                                                      </w:rPr>
                                                      <w:t>(“start low, go slow”)</w:t>
                                                    </w:r>
                                                  </w:p>
                                                </w:txbxContent>
                                              </v:textbox>
                                            </v:shape>
                                            <v:shape id="Straight Arrow Connector 195" o:spid="_x0000_s1063" type="#_x0000_t32" style="position:absolute;left:31894;top:11411;width:0;height:7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uDIvAAAANwAAAAPAAAAZHJzL2Rvd25yZXYueG1sRE9LCsIw&#10;EN0L3iGM4M6mCopWo4gouPWHuBuasS02k9JEW29vBMHdPN53FqvWlOJFtSssKxhGMQji1OqCMwXn&#10;024wBeE8ssbSMil4k4PVsttZYKJtwwd6HX0mQgi7BBXk3leJlC7NyaCLbEUcuLutDfoA60zqGpsQ&#10;bko5iuOJNFhwaMixok1O6eP4NApOk2zrrodzg5fG7vXN3nBEY6X6vXY9B+Gp9X/xz73XYf5sDN9n&#10;wgVy+QEAAP//AwBQSwECLQAUAAYACAAAACEA2+H2y+4AAACFAQAAEwAAAAAAAAAAAAAAAAAAAAAA&#10;W0NvbnRlbnRfVHlwZXNdLnhtbFBLAQItABQABgAIAAAAIQBa9CxbvwAAABUBAAALAAAAAAAAAAAA&#10;AAAAAB8BAABfcmVscy8ucmVsc1BLAQItABQABgAIAAAAIQDI5uDIvAAAANwAAAAPAAAAAAAAAAAA&#10;AAAAAAcCAABkcnMvZG93bnJldi54bWxQSwUGAAAAAAMAAwC3AAAA8AIAAAAA&#10;" strokecolor="black [3213]" strokeweight="1.5pt"/>
                                            <v:shape id="Text Box 196" o:spid="_x0000_s1064" type="#_x0000_t202" style="position:absolute;left:21506;top:7168;width:20352;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bwQAAANwAAAAPAAAAZHJzL2Rvd25yZXYueG1sRE9NawIx&#10;EL0X/A9hBG81UUTsahQRC+KhtFY9D5txs+xmsmzSdf33plDobR7vc1ab3tWiozaUnjVMxgoEce5N&#10;yYWG8/f76wJEiMgGa8+k4UEBNuvBywoz4+/8Rd0pFiKFcMhQg42xyaQMuSWHYewb4sTdfOswJtgW&#10;0rR4T+GullOl5tJhyanBYkM7S3l1+nEaZtXeXy+L4rg7BNvNPpS60Wel9WjYb5cgIvXxX/znPpg0&#10;/20Ov8+kC+T6CQAA//8DAFBLAQItABQABgAIAAAAIQDb4fbL7gAAAIUBAAATAAAAAAAAAAAAAAAA&#10;AAAAAABbQ29udGVudF9UeXBlc10ueG1sUEsBAi0AFAAGAAgAAAAhAFr0LFu/AAAAFQEAAAsAAAAA&#10;AAAAAAAAAAAAHwEAAF9yZWxzLy5yZWxzUEsBAi0AFAAGAAgAAAAhAHcob5vBAAAA3AAAAA8AAAAA&#10;AAAAAAAAAAAABwIAAGRycy9kb3ducmV2LnhtbFBLBQYAAAAAAwADALcAAAD1AgAAAAA=&#10;" fillcolor="white [3212]" strokeweight=".5pt">
                                              <v:textbox>
                                                <w:txbxContent>
                                                  <w:p w14:paraId="514112BC" w14:textId="77777777" w:rsidR="001149A2" w:rsidRDefault="001149A2">
                                                    <w:pPr>
                                                      <w:jc w:val="center"/>
                                                      <w:rPr>
                                                        <w:rFonts w:ascii="Arial Narrow" w:hAnsi="Arial Narrow"/>
                                                        <w:sz w:val="18"/>
                                                        <w:szCs w:val="20"/>
                                                        <w:lang w:val="en-US"/>
                                                      </w:rPr>
                                                    </w:pPr>
                                                    <w:r>
                                                      <w:rPr>
                                                        <w:rFonts w:ascii="Arial Narrow" w:hAnsi="Arial Narrow"/>
                                                        <w:sz w:val="18"/>
                                                        <w:szCs w:val="20"/>
                                                        <w:lang w:val="en-US"/>
                                                      </w:rPr>
                                                      <w:t>Includes second-generation and first-generation antipsychotics</w:t>
                                                    </w:r>
                                                  </w:p>
                                                </w:txbxContent>
                                              </v:textbox>
                                            </v:shape>
                                            <v:shape id="Text Box 197" o:spid="_x0000_s1065" type="#_x0000_t202" style="position:absolute;left:21933;top:12578;width:10860;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558BD162" w14:textId="77777777" w:rsidR="001149A2" w:rsidRDefault="001149A2">
                                                    <w:pPr>
                                                      <w:jc w:val="center"/>
                                                      <w:rPr>
                                                        <w:rFonts w:ascii="Arial Narrow" w:hAnsi="Arial Narrow"/>
                                                        <w:i/>
                                                        <w:iCs/>
                                                        <w:lang w:val="en-US"/>
                                                      </w:rPr>
                                                    </w:pPr>
                                                    <w:r>
                                                      <w:rPr>
                                                        <w:rFonts w:ascii="Arial Narrow" w:hAnsi="Arial Narrow"/>
                                                        <w:i/>
                                                        <w:iCs/>
                                                        <w:lang w:val="en-US"/>
                                                      </w:rPr>
                                                      <w:t>Decision to prescribe LAI*</w:t>
                                                    </w:r>
                                                  </w:p>
                                                  <w:p w14:paraId="6FEC8AAB" w14:textId="77777777" w:rsidR="001149A2" w:rsidRDefault="001149A2">
                                                    <w:pPr>
                                                      <w:jc w:val="center"/>
                                                      <w:rPr>
                                                        <w:rFonts w:ascii="Arial Narrow" w:hAnsi="Arial Narrow"/>
                                                        <w:i/>
                                                        <w:iCs/>
                                                        <w:lang w:val="en-US"/>
                                                      </w:rPr>
                                                    </w:pPr>
                                                  </w:p>
                                                </w:txbxContent>
                                              </v:textbox>
                                            </v:shape>
                                            <v:group id="Group 198" o:spid="_x0000_s1066" style="position:absolute;left:21361;top:18919;width:20854;height:2832" coordorigin=",-44" coordsize="20859,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Straight Arrow Connector 199" o:spid="_x0000_s1067" type="#_x0000_t32" style="position:absolute;left:10457;top:-10297;width:0;height:2080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NbxAAAANwAAAAPAAAAZHJzL2Rvd25yZXYueG1sRE9Na8JA&#10;EL0L/Q/LFHopurFQaaIbSQWLPdZW9Dhmp0lIdjZk15j6612h4G0e73MWy8E0oqfOVZYVTCcRCOLc&#10;6ooLBT/f6/EbCOeRNTaWScEfOVimD6MFJtqe+Yv6rS9ECGGXoILS+zaR0uUlGXQT2xIH7td2Bn2A&#10;XSF1h+cQbhr5EkUzabDi0FBiS6uS8np7MgoOfX183r1mp894f5mtP971Jrt4pZ4eh2wOwtPg7+J/&#10;90aH+XEMt2fCBTK9AgAA//8DAFBLAQItABQABgAIAAAAIQDb4fbL7gAAAIUBAAATAAAAAAAAAAAA&#10;AAAAAAAAAABbQ29udGVudF9UeXBlc10ueG1sUEsBAi0AFAAGAAgAAAAhAFr0LFu/AAAAFQEAAAsA&#10;AAAAAAAAAAAAAAAAHwEAAF9yZWxzLy5yZWxzUEsBAi0AFAAGAAgAAAAhACiDE1vEAAAA3AAAAA8A&#10;AAAAAAAAAAAAAAAABwIAAGRycy9kb3ducmV2LnhtbFBLBQYAAAAAAwADALcAAAD4AgAAAAA=&#10;" strokecolor="black [3213]" strokeweight="1.5pt"/>
                                              <v:shape id="Straight Arrow Connector 200" o:spid="_x0000_s1068" type="#_x0000_t32" style="position:absolute;top:-44;width:0;height:27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8qxAAAANwAAAAPAAAAZHJzL2Rvd25yZXYueG1sRI/dagIx&#10;FITvhb5DOAXvNGsvrN0apfgDXhSKqw9w2ByTrcnJsknd9e2bQsHLYWa+YZbrwTtxoy42gRXMpgUI&#10;4jroho2C82k/WYCICVmjC0wK7hRhvXoaLbHUoecj3apkRIZwLFGBTaktpYy1JY9xGlri7F1C5zFl&#10;2RmpO+wz3Dv5UhRz6bHhvGCxpY2l+lr9eAXfX69v5+vWzC7ms3DHyvUnu+uVGj8PH+8gEg3pEf5v&#10;H7SCTIS/M/kIyNUvAAAA//8DAFBLAQItABQABgAIAAAAIQDb4fbL7gAAAIUBAAATAAAAAAAAAAAA&#10;AAAAAAAAAABbQ29udGVudF9UeXBlc10ueG1sUEsBAi0AFAAGAAgAAAAhAFr0LFu/AAAAFQEAAAsA&#10;AAAAAAAAAAAAAAAAHwEAAF9yZWxzLy5yZWxzUEsBAi0AFAAGAAgAAAAhALMJPyrEAAAA3AAAAA8A&#10;AAAAAAAAAAAAAAAABwIAAGRycy9kb3ducmV2LnhtbFBLBQYAAAAAAwADALcAAAD4AgAAAAA=&#10;" strokecolor="black [3213]" strokeweight="1.5pt">
                                                <v:stroke endarrow="open"/>
                                              </v:shape>
                                              <v:shape id="Straight Arrow Connector 201" o:spid="_x0000_s1069" type="#_x0000_t32" style="position:absolute;left:20832;top:5;width:0;height:2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qxxAAAANwAAAAPAAAAZHJzL2Rvd25yZXYueG1sRI9BSwMx&#10;FITvgv8hPMGbTbYHtdumRbQFD4J02x/w2Lwm2yYvyyZ2139vBMHjMDPfMKvNFLy40pC6yBqqmQJB&#10;3EbTsdVwPOwenkGkjGzQRyYN35Rgs769WWFt4sh7ujbZigLhVKMGl3NfS5laRwHTLPbExTvFIWAu&#10;crDSDDgWePByrtSjDNhxWXDY06uj9tJ8BQ3nz6fF8fJmq5P9UH7f+PHgtqPW93fTyxJEpin/h//a&#10;70bDXFXwe6YcAbn+AQAA//8DAFBLAQItABQABgAIAAAAIQDb4fbL7gAAAIUBAAATAAAAAAAAAAAA&#10;AAAAAAAAAABbQ29udGVudF9UeXBlc10ueG1sUEsBAi0AFAAGAAgAAAAhAFr0LFu/AAAAFQEAAAsA&#10;AAAAAAAAAAAAAAAAHwEAAF9yZWxzLy5yZWxzUEsBAi0AFAAGAAgAAAAhANxFmrHEAAAA3AAAAA8A&#10;AAAAAAAAAAAAAAAABwIAAGRycy9kb3ducmV2LnhtbFBLBQYAAAAAAwADALcAAAD4AgAAAAA=&#10;" strokecolor="black [3213]" strokeweight="1.5pt">
                                                <v:stroke endarrow="open"/>
                                              </v:shape>
                                            </v:group>
                                            <v:shape id="Text Box 202" o:spid="_x0000_s1070" type="#_x0000_t202" style="position:absolute;left:38404;top:23116;width:8429;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0sxQAAANwAAAAPAAAAZHJzL2Rvd25yZXYueG1sRI9PawIx&#10;FMTvBb9DeIVeima7oMhqlCJa7UXw38HbY/PcXUxe1iTV7bdvCoUeh5n5DTOdd9aIO/nQOFbwNshA&#10;EJdON1wpOB5W/TGIEJE1Gsek4JsCzGe9pykW2j14R/d9rESCcChQQR1jW0gZyposhoFriZN3cd5i&#10;TNJXUnt8JLg1Ms+ykbTYcFqosaVFTeV1/2UVmJNenMPwdb1emU+/zLc3aj5uSr08d+8TEJG6+B/+&#10;a2+0gjzL4fdMOgJy9gMAAP//AwBQSwECLQAUAAYACAAAACEA2+H2y+4AAACFAQAAEwAAAAAAAAAA&#10;AAAAAAAAAAAAW0NvbnRlbnRfVHlwZXNdLnhtbFBLAQItABQABgAIAAAAIQBa9CxbvwAAABUBAAAL&#10;AAAAAAAAAAAAAAAAAB8BAABfcmVscy8ucmVsc1BLAQItABQABgAIAAAAIQA8Hz0sxQAAANwAAAAP&#10;AAAAAAAAAAAAAAAAAAcCAABkcnMvZG93bnJldi54bWxQSwUGAAAAAAMAAwC3AAAA+QIAAAAA&#10;" fillcolor="#fbd4b4 [1305]" strokeweight=".5pt">
                                              <v:textbox>
                                                <w:txbxContent>
                                                  <w:p w14:paraId="2B81A714" w14:textId="77777777" w:rsidR="001149A2" w:rsidRDefault="001149A2">
                                                    <w:pPr>
                                                      <w:jc w:val="center"/>
                                                      <w:rPr>
                                                        <w:rFonts w:ascii="Arial Narrow" w:hAnsi="Arial Narrow"/>
                                                        <w:lang w:val="en-US"/>
                                                      </w:rPr>
                                                    </w:pPr>
                                                    <w:r>
                                                      <w:rPr>
                                                        <w:rFonts w:ascii="Arial Narrow" w:hAnsi="Arial Narrow"/>
                                                        <w:b/>
                                                        <w:bCs/>
                                                        <w:lang w:val="en-US"/>
                                                      </w:rPr>
                                                      <w:t>PP1M</w:t>
                                                    </w:r>
                                                  </w:p>
                                                </w:txbxContent>
                                              </v:textbox>
                                            </v:shape>
                                            <v:shape id="Text Box 203" o:spid="_x0000_s1071" type="#_x0000_t202" style="position:absolute;left:13386;top:23116;width:16932;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fqxQAAANwAAAAPAAAAZHJzL2Rvd25yZXYueG1sRI9Ra8Iw&#10;FIXfB/sP4Q58kZmooFKNsskKG+zFuh9wba5tsbkpSWbrfr0ZDPZ4OOd8h7PZDbYVV/KhcaxhOlEg&#10;iEtnGq40fB3z5xWIEJENto5Jw40C7LaPDxvMjOv5QNciViJBOGSooY6xy6QMZU0Ww8R1xMk7O28x&#10;JukraTz2CW5bOVNqIS02nBZq7GhfU3kpvq2GfPUzbnBffKj8clr2r4P/fJuetB49DS9rEJGG+B/+&#10;a78bDTM1h98z6QjI7R0AAP//AwBQSwECLQAUAAYACAAAACEA2+H2y+4AAACFAQAAEwAAAAAAAAAA&#10;AAAAAAAAAAAAW0NvbnRlbnRfVHlwZXNdLnhtbFBLAQItABQABgAIAAAAIQBa9CxbvwAAABUBAAAL&#10;AAAAAAAAAAAAAAAAAB8BAABfcmVscy8ucmVsc1BLAQItABQABgAIAAAAIQB5WIfqxQAAANwAAAAP&#10;AAAAAAAAAAAAAAAAAAcCAABkcnMvZG93bnJldi54bWxQSwUGAAAAAAMAAwC3AAAA+QIAAAAA&#10;" fillcolor="#fde9d9 [665]" strokeweight=".5pt">
                                              <v:textbox>
                                                <w:txbxContent>
                                                  <w:p w14:paraId="404B9D95" w14:textId="77777777" w:rsidR="001149A2" w:rsidRDefault="001149A2">
                                                    <w:pPr>
                                                      <w:jc w:val="center"/>
                                                      <w:rPr>
                                                        <w:rFonts w:ascii="Arial Narrow" w:hAnsi="Arial Narrow"/>
                                                        <w:lang w:val="en-US"/>
                                                      </w:rPr>
                                                    </w:pPr>
                                                    <w:r>
                                                      <w:rPr>
                                                        <w:rFonts w:ascii="Arial Narrow" w:hAnsi="Arial Narrow"/>
                                                        <w:b/>
                                                        <w:bCs/>
                                                        <w:lang w:val="en-US"/>
                                                      </w:rPr>
                                                      <w:t>Other antipsychotic LAIs</w:t>
                                                    </w:r>
                                                  </w:p>
                                                </w:txbxContent>
                                              </v:textbox>
                                            </v:shape>
                                            <v:shape id="Text Box 204" o:spid="_x0000_s1072" type="#_x0000_t202" style="position:absolute;left:38404;top:30504;width:8429;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DDxgAAANwAAAAPAAAAZHJzL2Rvd25yZXYueG1sRI9BawIx&#10;FITvhf6H8AQvRbMurZTVKEW01ougtYfeHpvn7mLysiZRt//eFAo9DjPzDTOdd9aIK/nQOFYwGmYg&#10;iEunG64UHD5Xg1cQISJrNI5JwQ8FmM8eH6ZYaHfjHV33sRIJwqFABXWMbSFlKGuyGIauJU7e0XmL&#10;MUlfSe3xluDWyDzLxtJiw2mhxpYWNZWn/cUqMF968R1entbrldn4Zb49U/N+Vqrf694mICJ18T/8&#10;1/7QCvLsGX7PpCMgZ3cAAAD//wMAUEsBAi0AFAAGAAgAAAAhANvh9svuAAAAhQEAABMAAAAAAAAA&#10;AAAAAAAAAAAAAFtDb250ZW50X1R5cGVzXS54bWxQSwECLQAUAAYACAAAACEAWvQsW78AAAAVAQAA&#10;CwAAAAAAAAAAAAAAAAAfAQAAX3JlbHMvLnJlbHNQSwECLQAUAAYACAAAACEA3LoAw8YAAADcAAAA&#10;DwAAAAAAAAAAAAAAAAAHAgAAZHJzL2Rvd25yZXYueG1sUEsFBgAAAAADAAMAtwAAAPoCAAAAAA==&#10;" fillcolor="#fbd4b4 [1305]" strokeweight=".5pt">
                                              <v:textbox>
                                                <w:txbxContent>
                                                  <w:p w14:paraId="1EBE12FD" w14:textId="77777777" w:rsidR="001149A2" w:rsidRDefault="001149A2">
                                                    <w:pPr>
                                                      <w:jc w:val="center"/>
                                                      <w:rPr>
                                                        <w:rFonts w:ascii="Arial Narrow" w:hAnsi="Arial Narrow"/>
                                                        <w:lang w:val="en-US"/>
                                                      </w:rPr>
                                                    </w:pPr>
                                                    <w:r>
                                                      <w:rPr>
                                                        <w:rFonts w:ascii="Arial Narrow" w:hAnsi="Arial Narrow"/>
                                                        <w:b/>
                                                        <w:bCs/>
                                                        <w:lang w:val="en-US"/>
                                                      </w:rPr>
                                                      <w:t>PP3M</w:t>
                                                    </w:r>
                                                  </w:p>
                                                </w:txbxContent>
                                              </v:textbox>
                                            </v:shape>
                                            <v:shape id="Text Box 205" o:spid="_x0000_s1073" type="#_x0000_t202" style="position:absolute;left:-2317;top:2925;width:18141;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xwAAANwAAAAPAAAAZHJzL2Rvd25yZXYueG1sRI9Ba8JA&#10;FITvhf6H5Qm9iG5UWmzqKiJIi3iwUaHH1+wzCc2+DdntGv31bkHocZiZb5jZojO1CNS6yrKC0TAB&#10;QZxbXXGh4LBfD6YgnEfWWFsmBRdysJg/Psww1fbMnxQyX4gIYZeigtL7JpXS5SUZdEPbEEfvZFuD&#10;Psq2kLrFc4SbWo6T5EUarDgulNjQqqT8J/s1Co6Xryast/vvgLvX6zVs3pd9N1Hqqdct30B46vx/&#10;+N7+0ArGyTP8nYlHQM5vAAAA//8DAFBLAQItABQABgAIAAAAIQDb4fbL7gAAAIUBAAATAAAAAAAA&#10;AAAAAAAAAAAAAABbQ29udGVudF9UeXBlc10ueG1sUEsBAi0AFAAGAAgAAAAhAFr0LFu/AAAAFQEA&#10;AAsAAAAAAAAAAAAAAAAAHwEAAF9yZWxzLy5yZWxzUEsBAi0AFAAGAAgAAAAhAG//+TPHAAAA3AAA&#10;AA8AAAAAAAAAAAAAAAAABwIAAGRycy9kb3ducmV2LnhtbFBLBQYAAAAAAwADALcAAAD7AgAAAAA=&#10;" fillcolor="white [3212]" strokeweight=".5pt">
                                              <v:stroke dashstyle="dash"/>
                                              <v:textbox>
                                                <w:txbxContent>
                                                  <w:p w14:paraId="63F3F6E7" w14:textId="77777777" w:rsidR="001149A2" w:rsidRDefault="001149A2">
                                                    <w:pPr>
                                                      <w:rPr>
                                                        <w:rFonts w:ascii="Arial Narrow" w:hAnsi="Arial Narrow"/>
                                                        <w:sz w:val="16"/>
                                                        <w:szCs w:val="18"/>
                                                        <w:lang w:val="en-US"/>
                                                      </w:rPr>
                                                    </w:pPr>
                                                    <w:r>
                                                      <w:rPr>
                                                        <w:rFonts w:ascii="Arial Narrow" w:hAnsi="Arial Narrow"/>
                                                        <w:sz w:val="16"/>
                                                        <w:szCs w:val="18"/>
                                                        <w:lang w:val="en-US"/>
                                                      </w:rPr>
                                                      <w:t>LAI antipsychotics may be administered as first-line treatment within a shared-decision making framework</w:t>
                                                    </w:r>
                                                  </w:p>
                                                  <w:p w14:paraId="2153EA4A" w14:textId="77777777" w:rsidR="001149A2" w:rsidRDefault="001149A2">
                                                    <w:pPr>
                                                      <w:rPr>
                                                        <w:rFonts w:ascii="Arial Narrow" w:hAnsi="Arial Narrow"/>
                                                        <w:sz w:val="16"/>
                                                        <w:szCs w:val="18"/>
                                                        <w:lang w:val="en-US"/>
                                                      </w:rPr>
                                                    </w:pPr>
                                                  </w:p>
                                                </w:txbxContent>
                                              </v:textbox>
                                            </v:shape>
                                            <v:shape id="Straight Arrow Connector 206" o:spid="_x0000_s1074" type="#_x0000_t32" style="position:absolute;left:42210;top:26773;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7lzxAAAANwAAAAPAAAAZHJzL2Rvd25yZXYueG1sRI/NasMw&#10;EITvhbyD2EButZQcnOJaCfmFHnpp0kOPi7W1nVgrYymx8vZVodDjMDPfMOU62k7cafCtYw3zTIEg&#10;rpxpudbweT4+v4DwAdlg55g0PMjDejV5KrEwbuQPup9CLRKEfYEamhD6QkpfNWTRZ64nTt63GyyG&#10;JIdamgHHBLedXCiVS4stp4UGe9o1VF1PN6shLjf+fVtzWB7OXzcVzX57MRetZ9O4eQURKIb/8F/7&#10;zWhYqBx+z6QjIFc/AAAA//8DAFBLAQItABQABgAIAAAAIQDb4fbL7gAAAIUBAAATAAAAAAAAAAAA&#10;AAAAAAAAAABbQ29udGVudF9UeXBlc10ueG1sUEsBAi0AFAAGAAgAAAAhAFr0LFu/AAAAFQEAAAsA&#10;AAAAAAAAAAAAAAAAHwEAAF9yZWxzLy5yZWxzUEsBAi0AFAAGAAgAAAAhAAKLuXPEAAAA3AAAAA8A&#10;AAAAAAAAAAAAAAAABwIAAGRycy9kb3ducmV2LnhtbFBLBQYAAAAAAwADALcAAAD4AgAAAAA=&#10;" strokecolor="black [3213]" strokeweight="1pt">
                                              <v:stroke startarrow="open" endarrow="open"/>
                                            </v:shape>
                                          </v:group>
                                          <v:shape id="Text Box 207" o:spid="_x0000_s1075" type="#_x0000_t202" style="position:absolute;left:13386;top:25819;width:16930;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77xAAAANwAAAAPAAAAZHJzL2Rvd25yZXYueG1sRI9PawIx&#10;FMTvBb9DeIK3mihiZTWKiAXxIK3/zo/Nc7Ps5mXZpOv22zeFQo/DzPyGWW16V4uO2lB61jAZKxDE&#10;uTclFxqul/fXBYgQkQ3WnknDNwXYrAcvK8yMf/IndedYiAThkKEGG2OTSRlySw7D2DfEyXv41mFM&#10;si2kafGZ4K6WU6Xm0mHJacFiQztLeXX+chpm1d7fb4viuDsE281OSj3oo9J6NOy3SxCR+vgf/msf&#10;jIapeoPfM+kIyPUPAAAA//8DAFBLAQItABQABgAIAAAAIQDb4fbL7gAAAIUBAAATAAAAAAAAAAAA&#10;AAAAAAAAAABbQ29udGVudF9UeXBlc10ueG1sUEsBAi0AFAAGAAgAAAAhAFr0LFu/AAAAFQEAAAsA&#10;AAAAAAAAAAAAAAAAHwEAAF9yZWxzLy5yZWxzUEsBAi0AFAAGAAgAAAAhACtLPvvEAAAA3AAAAA8A&#10;AAAAAAAAAAAAAAAABwIAAGRycy9kb3ducmV2LnhtbFBLBQYAAAAAAwADALcAAAD4AgAAAAA=&#10;" fillcolor="white [3212]" strokeweight=".5pt">
                                            <v:textbox>
                                              <w:txbxContent>
                                                <w:p w14:paraId="3292F23D" w14:textId="77777777" w:rsidR="001149A2" w:rsidRDefault="001149A2">
                                                  <w:pPr>
                                                    <w:jc w:val="center"/>
                                                    <w:rPr>
                                                      <w:rFonts w:ascii="Arial Narrow" w:hAnsi="Arial Narrow"/>
                                                      <w:sz w:val="18"/>
                                                      <w:szCs w:val="20"/>
                                                      <w:lang w:val="en-US"/>
                                                    </w:rPr>
                                                  </w:pPr>
                                                  <w:r>
                                                    <w:rPr>
                                                      <w:rFonts w:ascii="Arial Narrow" w:hAnsi="Arial Narrow"/>
                                                      <w:sz w:val="18"/>
                                                      <w:szCs w:val="20"/>
                                                      <w:lang w:val="en-US"/>
                                                    </w:rPr>
                                                    <w:t>Includes PBS-listed LAIs: apriprazole (Abilify Maintena</w:t>
                                                  </w:r>
                                                  <w:r>
                                                    <w:rPr>
                                                      <w:rFonts w:ascii="Arial Narrow" w:hAnsi="Arial Narrow"/>
                                                      <w:sz w:val="18"/>
                                                      <w:szCs w:val="20"/>
                                                      <w:vertAlign w:val="superscript"/>
                                                      <w:lang w:val="en-US"/>
                                                    </w:rPr>
                                                    <w:t>®</w:t>
                                                  </w:r>
                                                  <w:r>
                                                    <w:rPr>
                                                      <w:rFonts w:ascii="Arial Narrow" w:hAnsi="Arial Narrow"/>
                                                      <w:sz w:val="18"/>
                                                      <w:szCs w:val="20"/>
                                                      <w:lang w:val="en-US"/>
                                                    </w:rPr>
                                                    <w:t>), olanzapine (Zyprexa Relprevv</w:t>
                                                  </w:r>
                                                  <w:r>
                                                    <w:rPr>
                                                      <w:rFonts w:ascii="Arial Narrow" w:hAnsi="Arial Narrow"/>
                                                      <w:sz w:val="18"/>
                                                      <w:szCs w:val="20"/>
                                                      <w:vertAlign w:val="superscript"/>
                                                      <w:lang w:val="en-US"/>
                                                    </w:rPr>
                                                    <w:t>®</w:t>
                                                  </w:r>
                                                  <w:r>
                                                    <w:rPr>
                                                      <w:rFonts w:ascii="Arial Narrow" w:hAnsi="Arial Narrow"/>
                                                      <w:sz w:val="18"/>
                                                      <w:szCs w:val="20"/>
                                                      <w:lang w:val="en-US"/>
                                                    </w:rPr>
                                                    <w:t>, and risperidone (Risperdal Consta</w:t>
                                                  </w:r>
                                                  <w:r>
                                                    <w:rPr>
                                                      <w:rFonts w:ascii="Arial Narrow" w:hAnsi="Arial Narrow"/>
                                                      <w:sz w:val="18"/>
                                                      <w:szCs w:val="20"/>
                                                      <w:vertAlign w:val="superscript"/>
                                                      <w:lang w:val="en-US"/>
                                                    </w:rPr>
                                                    <w:t>®</w:t>
                                                  </w:r>
                                                  <w:r>
                                                    <w:rPr>
                                                      <w:rFonts w:ascii="Arial Narrow" w:hAnsi="Arial Narrow"/>
                                                      <w:sz w:val="18"/>
                                                      <w:szCs w:val="20"/>
                                                      <w:lang w:val="en-US"/>
                                                    </w:rPr>
                                                    <w:t>)</w:t>
                                                  </w:r>
                                                </w:p>
                                              </w:txbxContent>
                                            </v:textbox>
                                          </v:shape>
                                        </v:group>
                                        <v:shape id="Straight Arrow Connector 208" o:spid="_x0000_s1076" type="#_x0000_t32" style="position:absolute;left:31887;top:24066;width:0;height:24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9hbwgAAANwAAAAPAAAAZHJzL2Rvd25yZXYueG1sRE/LisIw&#10;FN0L8w/hDrgRTaeKSDWKOPjATX19wKW505ZpbkITtf69WQzM8nDei1VnGvGg1teWFXyNEhDEhdU1&#10;lwpu1+1wBsIHZI2NZVLwIg+r5UdvgZm2Tz7T4xJKEUPYZ6igCsFlUvqiIoN+ZB1x5H5sazBE2JZS&#10;t/iM4aaRaZJMpcGaY0OFjjYVFb+Xu1EwGRS73G1SfH0f3X47nqzzwfikVP+zW89BBOrCv/jPfdAK&#10;0iSujWfiEZDLNwAAAP//AwBQSwECLQAUAAYACAAAACEA2+H2y+4AAACFAQAAEwAAAAAAAAAAAAAA&#10;AAAAAAAAW0NvbnRlbnRfVHlwZXNdLnhtbFBLAQItABQABgAIAAAAIQBa9CxbvwAAABUBAAALAAAA&#10;AAAAAAAAAAAAAB8BAABfcmVscy8ucmVsc1BLAQItABQABgAIAAAAIQDc49hbwgAAANwAAAAPAAAA&#10;AAAAAAAAAAAAAAcCAABkcnMvZG93bnJldi54bWxQSwUGAAAAAAMAAwC3AAAA9gIAAAAA&#10;" strokecolor="black [3213]">
                                          <v:stroke dashstyle="3 1" endarrow="open"/>
                                        </v:shape>
                                        <v:shape id="Text Box 209" o:spid="_x0000_s1077" type="#_x0000_t202" style="position:absolute;left:24181;top:41853;width:14233;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RLxAAAANwAAAAPAAAAZHJzL2Rvd25yZXYueG1sRI/NasJA&#10;FIX3gu8wXKE7nSi0aMxEbKnQXWniwuUlc02imTshM03SPH2nUHB5OD8fJzmMphE9da62rGC9ikAQ&#10;F1bXXCo456flFoTzyBoby6Tghxwc0vkswVjbgb+oz3wpwgi7GBVU3rexlK6oyKBb2ZY4eFfbGfRB&#10;dqXUHQ5h3DRyE0Uv0mDNgVBhS28VFffs2wSuzd/v09HL/FRQ9qqfp9vnZVLqaTEe9yA8jf4R/m9/&#10;aAWbaAd/Z8IRkOkvAAAA//8DAFBLAQItABQABgAIAAAAIQDb4fbL7gAAAIUBAAATAAAAAAAAAAAA&#10;AAAAAAAAAABbQ29udGVudF9UeXBlc10ueG1sUEsBAi0AFAAGAAgAAAAhAFr0LFu/AAAAFQEAAAsA&#10;AAAAAAAAAAAAAAAAHwEAAF9yZWxzLy5yZWxzUEsBAi0AFAAGAAgAAAAhAMPPJEvEAAAA3AAAAA8A&#10;AAAAAAAAAAAAAAAABwIAAGRycy9kb3ducmV2LnhtbFBLBQYAAAAAAwADALcAAAD4AgAAAAA=&#10;" fillcolor="white [3212]" stroked="f" strokeweight=".5pt">
                                          <v:textbox>
                                            <w:txbxContent>
                                              <w:p w14:paraId="722D632F" w14:textId="77777777" w:rsidR="001149A2" w:rsidRDefault="001149A2">
                                                <w:pPr>
                                                  <w:jc w:val="center"/>
                                                  <w:rPr>
                                                    <w:rFonts w:ascii="Arial Narrow" w:hAnsi="Arial Narrow"/>
                                                    <w:i/>
                                                    <w:iCs/>
                                                    <w:sz w:val="20"/>
                                                    <w:lang w:val="en-US"/>
                                                  </w:rPr>
                                                </w:pPr>
                                                <w:r>
                                                  <w:rPr>
                                                    <w:rFonts w:ascii="Arial Narrow" w:hAnsi="Arial Narrow"/>
                                                    <w:i/>
                                                    <w:iCs/>
                                                    <w:sz w:val="20"/>
                                                    <w:lang w:val="en-US"/>
                                                  </w:rPr>
                                                  <w:t>Treatment-resistant schizophrenia**</w:t>
                                                </w:r>
                                              </w:p>
                                              <w:p w14:paraId="5242EDF8" w14:textId="77777777" w:rsidR="001149A2" w:rsidRDefault="001149A2">
                                                <w:pPr>
                                                  <w:jc w:val="center"/>
                                                  <w:rPr>
                                                    <w:rFonts w:ascii="Arial Narrow" w:hAnsi="Arial Narrow"/>
                                                    <w:i/>
                                                    <w:iCs/>
                                                    <w:lang w:val="en-US"/>
                                                  </w:rPr>
                                                </w:pPr>
                                              </w:p>
                                            </w:txbxContent>
                                          </v:textbox>
                                        </v:shape>
                                      </v:group>
                                      <v:shape id="Text Box 210" o:spid="_x0000_s1078" type="#_x0000_t202" style="position:absolute;left:27125;top:49537;width:8428;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xBwAAAANwAAAAPAAAAZHJzL2Rvd25yZXYueG1sRE9Ni8Iw&#10;EL0L+x/CLOxFNK2CSDXKsiAsKIK6sB6HZmyDzaQk0dZ/bw6Cx8f7Xq5724g7+WAcK8jHGQji0mnD&#10;lYK/02Y0BxEissbGMSl4UID16mOwxEK7jg90P8ZKpBAOBSqoY2wLKUNZk8Uwdi1x4i7OW4wJ+kpq&#10;j10Kt42cZNlMWjScGmps6aem8nq8WQWGsqvp/M7+D/f5fDp0W3/eeqW+PvvvBYhIfXyLX+5frWCS&#10;p/npTDoCcvUEAAD//wMAUEsBAi0AFAAGAAgAAAAhANvh9svuAAAAhQEAABMAAAAAAAAAAAAAAAAA&#10;AAAAAFtDb250ZW50X1R5cGVzXS54bWxQSwECLQAUAAYACAAAACEAWvQsW78AAAAVAQAACwAAAAAA&#10;AAAAAAAAAAAfAQAAX3JlbHMvLnJlbHNQSwECLQAUAAYACAAAACEA2OKMQcAAAADcAAAADwAAAAAA&#10;AAAAAAAAAAAHAgAAZHJzL2Rvd25yZXYueG1sUEsFBgAAAAADAAMAtwAAAPQCAAAAAA==&#10;" fillcolor="#d8d8d8 [2732]" strokeweight=".5pt">
                                        <v:textbox>
                                          <w:txbxContent>
                                            <w:p w14:paraId="3E8EA940" w14:textId="77777777" w:rsidR="001149A2" w:rsidRDefault="001149A2">
                                              <w:pPr>
                                                <w:jc w:val="center"/>
                                                <w:rPr>
                                                  <w:rFonts w:ascii="Arial Narrow" w:hAnsi="Arial Narrow"/>
                                                  <w:lang w:val="en-US"/>
                                                </w:rPr>
                                              </w:pPr>
                                              <w:r>
                                                <w:rPr>
                                                  <w:rFonts w:ascii="Arial Narrow" w:hAnsi="Arial Narrow"/>
                                                  <w:b/>
                                                  <w:bCs/>
                                                  <w:lang w:val="en-US"/>
                                                </w:rPr>
                                                <w:t>Clozapine</w:t>
                                              </w:r>
                                            </w:p>
                                          </w:txbxContent>
                                        </v:textbox>
                                      </v:shape>
                                    </v:group>
                                  </v:group>
                                </v:group>
                              </v:group>
                              <v:shape id="Text Box 211" o:spid="_x0000_s1079" type="#_x0000_t202" style="position:absolute;left:23847;width:2180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4IxAAAANwAAAAPAAAAZHJzL2Rvd25yZXYueG1sRI9Ba8JA&#10;FITvQv/D8oRepG6Sg2jqKlJQcuhF7cHjI/uaBLNvw+5T03/fLRQ8DjPzDbPejq5Xdwqx82wgn2eg&#10;iGtvO24MfJ33b0tQUZAt9p7JwA9F2G5eJmssrX/wke4naVSCcCzRQCsylFrHuiWHce4H4uR9++BQ&#10;kgyNtgEfCe56XWTZQjvsOC20ONBHS/X1dHMGdDU7fA63q1zCwl76sZLCrVbGvE7H3TsooVGe4f92&#10;ZQ0UeQ5/Z9IR0JtfAAAA//8DAFBLAQItABQABgAIAAAAIQDb4fbL7gAAAIUBAAATAAAAAAAAAAAA&#10;AAAAAAAAAABbQ29udGVudF9UeXBlc10ueG1sUEsBAi0AFAAGAAgAAAAhAFr0LFu/AAAAFQEAAAsA&#10;AAAAAAAAAAAAAAAAHwEAAF9yZWxzLy5yZWxzUEsBAi0AFAAGAAgAAAAhAOrLXgjEAAAA3AAAAA8A&#10;AAAAAAAAAAAAAAAABwIAAGRycy9kb3ducmV2LnhtbFBLBQYAAAAAAwADALcAAAD4AgAAAAA=&#10;" fillcolor="#ddd8c2 [2894]" stroked="f" strokeweight=".5pt">
                                <v:textbox>
                                  <w:txbxContent>
                                    <w:p w14:paraId="4F157E68" w14:textId="77777777" w:rsidR="001149A2" w:rsidRDefault="001149A2">
                                      <w:pPr>
                                        <w:jc w:val="center"/>
                                        <w:rPr>
                                          <w:rFonts w:ascii="Arial Narrow" w:hAnsi="Arial Narrow"/>
                                          <w:b/>
                                          <w:bCs/>
                                          <w:lang w:val="en-US"/>
                                        </w:rPr>
                                      </w:pPr>
                                      <w:r>
                                        <w:rPr>
                                          <w:rFonts w:ascii="Arial Narrow" w:hAnsi="Arial Narrow"/>
                                          <w:b/>
                                          <w:bCs/>
                                          <w:lang w:val="en-US"/>
                                        </w:rPr>
                                        <w:t>First episode non-affective psychosis</w:t>
                                      </w:r>
                                    </w:p>
                                  </w:txbxContent>
                                </v:textbox>
                              </v:shape>
                              <v:shape id="Straight Arrow Connector 212" o:spid="_x0000_s1080" type="#_x0000_t32" style="position:absolute;left:21025;top:-958;width:0;height:443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r9sxQAAANwAAAAPAAAAZHJzL2Rvd25yZXYueG1sRI9Ba8JA&#10;FITvBf/D8oTemo0pFEldpVS0ggcxFby+Zl+zqdm3MbvV1F/vCkKPw8x8w0xmvW3EiTpfO1YwSlIQ&#10;xKXTNVcKdp+LpzEIH5A1No5JwR95mE0HDxPMtTvzlk5FqESEsM9RgQmhzaX0pSGLPnEtcfS+XWcx&#10;RNlVUnd4jnDbyCxNX6TFmuOCwZbeDZWH4tcq2BjtyBzXy69i/rO9bLK9P3w8K/U47N9eQQTqw3/4&#10;3l5pBdkog9uZeATk9AoAAP//AwBQSwECLQAUAAYACAAAACEA2+H2y+4AAACFAQAAEwAAAAAAAAAA&#10;AAAAAAAAAAAAW0NvbnRlbnRfVHlwZXNdLnhtbFBLAQItABQABgAIAAAAIQBa9CxbvwAAABUBAAAL&#10;AAAAAAAAAAAAAAAAAB8BAABfcmVscy8ucmVsc1BLAQItABQABgAIAAAAIQCg7r9sxQAAANwAAAAP&#10;AAAAAAAAAAAAAAAAAAcCAABkcnMvZG93bnJldi54bWxQSwUGAAAAAAMAAwC3AAAA+QIAAAAA&#10;" strokecolor="black [3213]" strokeweight="1pt">
                                <v:stroke dashstyle="3 1" endarrow="open"/>
                              </v:shape>
                              <v:shape id="Text Box 213" o:spid="_x0000_s1081" type="#_x0000_t202" style="position:absolute;top:146;width:18141;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IBxgAAANwAAAAPAAAAZHJzL2Rvd25yZXYueG1sRI9BawIx&#10;FITvgv8hPMGL1KwKxa5GEUEsxUOrFnp8bp67i5uXZRPj6q83hUKPw8x8w8yXralEoMaVlhWMhgkI&#10;4szqknMFx8PmZQrCeWSNlWVScCcHy0W3M8dU2xt/Udj7XEQIuxQVFN7XqZQuK8igG9qaOHpn2xj0&#10;UTa51A3eItxUcpwkr9JgyXGhwJrWBWWX/dUo+L7/1GGzO5wCfr49HuFjuxq4iVL9XruagfDU+v/w&#10;X/tdKxiPJvB7Jh4BuXgCAAD//wMAUEsBAi0AFAAGAAgAAAAhANvh9svuAAAAhQEAABMAAAAAAAAA&#10;AAAAAAAAAAAAAFtDb250ZW50X1R5cGVzXS54bWxQSwECLQAUAAYACAAAACEAWvQsW78AAAAVAQAA&#10;CwAAAAAAAAAAAAAAAAAfAQAAX3JlbHMvLnJlbHNQSwECLQAUAAYACAAAACEACoNSAcYAAADcAAAA&#10;DwAAAAAAAAAAAAAAAAAHAgAAZHJzL2Rvd25yZXYueG1sUEsFBgAAAAADAAMAtwAAAPoCAAAAAA==&#10;" fillcolor="white [3212]" strokeweight=".5pt">
                                <v:stroke dashstyle="dash"/>
                                <v:textbox>
                                  <w:txbxContent>
                                    <w:p w14:paraId="24BC3EBB" w14:textId="77777777" w:rsidR="001149A2" w:rsidRDefault="001149A2">
                                      <w:pPr>
                                        <w:rPr>
                                          <w:rFonts w:ascii="Arial Narrow" w:hAnsi="Arial Narrow"/>
                                          <w:sz w:val="16"/>
                                          <w:szCs w:val="18"/>
                                          <w:lang w:val="en-US"/>
                                        </w:rPr>
                                      </w:pPr>
                                      <w:r>
                                        <w:rPr>
                                          <w:rFonts w:ascii="Arial Narrow" w:hAnsi="Arial Narrow"/>
                                          <w:sz w:val="16"/>
                                          <w:szCs w:val="18"/>
                                          <w:lang w:val="en-US"/>
                                        </w:rPr>
                                        <w:t>An antipsychotic drug-free assessment phase in which benzodiazepines are used may be trialed following a psychiatric and physical assessment.</w:t>
                                      </w:r>
                                    </w:p>
                                    <w:p w14:paraId="64BF5F1A" w14:textId="77777777" w:rsidR="001149A2" w:rsidRDefault="001149A2">
                                      <w:pPr>
                                        <w:rPr>
                                          <w:rFonts w:ascii="Arial Narrow" w:hAnsi="Arial Narrow"/>
                                          <w:sz w:val="16"/>
                                          <w:szCs w:val="18"/>
                                          <w:lang w:val="en-US"/>
                                        </w:rPr>
                                      </w:pPr>
                                    </w:p>
                                  </w:txbxContent>
                                </v:textbox>
                              </v:shape>
                              <v:shape id="Text Box 214" o:spid="_x0000_s1082" type="#_x0000_t202" style="position:absolute;left:73;top:16144;width:18139;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ZKxQAAANwAAAAPAAAAZHJzL2Rvd25yZXYueG1sRI/NbsIw&#10;EITvSLyDtZV6AydR1aIUgwoCVA498PMAS7yNo8TrKDYkffsaCYnjaGa+0cyXg23EjTpfOVaQThMQ&#10;xIXTFZcKzqftZAbCB2SNjWNS8EcelovxaI65dj0f6HYMpYgQ9jkqMCG0uZS+MGTRT11LHL1f11kM&#10;UXal1B32EW4bmSXJu7RYcVww2NLaUFEfr1ZBvd2v035z+cFqt8tWs49zb5paqdeX4esTRKAhPMOP&#10;9rdWkKVvcD8Tj4Bc/AMAAP//AwBQSwECLQAUAAYACAAAACEA2+H2y+4AAACFAQAAEwAAAAAAAAAA&#10;AAAAAAAAAAAAW0NvbnRlbnRfVHlwZXNdLnhtbFBLAQItABQABgAIAAAAIQBa9CxbvwAAABUBAAAL&#10;AAAAAAAAAAAAAAAAAB8BAABfcmVscy8ucmVsc1BLAQItABQABgAIAAAAIQAPedZKxQAAANwAAAAP&#10;AAAAAAAAAAAAAAAAAAcCAABkcnMvZG93bnJldi54bWxQSwUGAAAAAAMAAwC3AAAA+QIAAAAA&#10;" fillcolor="#f3f9ed" stroked="f" strokeweight=".5pt">
                                <v:stroke dashstyle="dash"/>
                                <v:textbox>
                                  <w:txbxContent>
                                    <w:p w14:paraId="347DD311" w14:textId="77777777" w:rsidR="001149A2" w:rsidRDefault="001149A2">
                                      <w:pPr>
                                        <w:rPr>
                                          <w:rFonts w:ascii="Arial Narrow" w:hAnsi="Arial Narrow"/>
                                          <w:sz w:val="16"/>
                                          <w:szCs w:val="18"/>
                                          <w:lang w:val="en-US"/>
                                        </w:rPr>
                                      </w:pPr>
                                      <w:r>
                                        <w:rPr>
                                          <w:rFonts w:ascii="Arial Narrow" w:hAnsi="Arial Narrow"/>
                                          <w:sz w:val="16"/>
                                          <w:szCs w:val="18"/>
                                          <w:lang w:val="en-US"/>
                                        </w:rPr>
                                        <w:t>*Decision to prescribe LAIs is made by the clinician if:</w:t>
                                      </w:r>
                                    </w:p>
                                    <w:p w14:paraId="5A17066B" w14:textId="77777777" w:rsidR="001149A2" w:rsidRDefault="001149A2">
                                      <w:pPr>
                                        <w:pStyle w:val="ListParagraph"/>
                                        <w:numPr>
                                          <w:ilvl w:val="0"/>
                                          <w:numId w:val="11"/>
                                        </w:numPr>
                                        <w:spacing w:after="0"/>
                                        <w:ind w:left="142" w:hanging="142"/>
                                        <w:contextualSpacing/>
                                        <w:rPr>
                                          <w:rFonts w:ascii="Arial Narrow" w:hAnsi="Arial Narrow"/>
                                          <w:sz w:val="16"/>
                                          <w:szCs w:val="18"/>
                                          <w:lang w:val="en-US"/>
                                        </w:rPr>
                                      </w:pPr>
                                      <w:r>
                                        <w:rPr>
                                          <w:rFonts w:ascii="Arial Narrow" w:hAnsi="Arial Narrow"/>
                                          <w:sz w:val="16"/>
                                          <w:szCs w:val="18"/>
                                          <w:lang w:val="en-US"/>
                                        </w:rPr>
                                        <w:t>The individual patient has a preference for LAIs</w:t>
                                      </w:r>
                                    </w:p>
                                    <w:p w14:paraId="405E2F82" w14:textId="77777777" w:rsidR="001149A2" w:rsidRDefault="001149A2">
                                      <w:pPr>
                                        <w:pStyle w:val="ListParagraph"/>
                                        <w:numPr>
                                          <w:ilvl w:val="0"/>
                                          <w:numId w:val="11"/>
                                        </w:numPr>
                                        <w:spacing w:after="0"/>
                                        <w:ind w:left="142" w:hanging="142"/>
                                        <w:contextualSpacing/>
                                        <w:rPr>
                                          <w:rFonts w:ascii="Arial Narrow" w:hAnsi="Arial Narrow"/>
                                          <w:sz w:val="16"/>
                                          <w:szCs w:val="18"/>
                                          <w:lang w:val="en-US"/>
                                        </w:rPr>
                                      </w:pPr>
                                      <w:r>
                                        <w:rPr>
                                          <w:rFonts w:ascii="Arial Narrow" w:hAnsi="Arial Narrow"/>
                                          <w:sz w:val="16"/>
                                          <w:szCs w:val="18"/>
                                          <w:lang w:val="en-US"/>
                                        </w:rPr>
                                        <w:t>Adherence has been poor or uncertain</w:t>
                                      </w:r>
                                    </w:p>
                                    <w:p w14:paraId="785152A2" w14:textId="77777777" w:rsidR="001149A2" w:rsidRDefault="001149A2">
                                      <w:pPr>
                                        <w:pStyle w:val="ListParagraph"/>
                                        <w:numPr>
                                          <w:ilvl w:val="0"/>
                                          <w:numId w:val="11"/>
                                        </w:numPr>
                                        <w:spacing w:after="0"/>
                                        <w:ind w:left="142" w:hanging="142"/>
                                        <w:contextualSpacing/>
                                        <w:rPr>
                                          <w:rFonts w:ascii="Arial Narrow" w:hAnsi="Arial Narrow"/>
                                          <w:sz w:val="16"/>
                                          <w:szCs w:val="18"/>
                                          <w:lang w:val="en-US"/>
                                        </w:rPr>
                                      </w:pPr>
                                      <w:r>
                                        <w:rPr>
                                          <w:rFonts w:ascii="Arial Narrow" w:hAnsi="Arial Narrow"/>
                                          <w:sz w:val="16"/>
                                          <w:szCs w:val="18"/>
                                          <w:lang w:val="en-US"/>
                                        </w:rPr>
                                        <w:t>Poor response to oral antipsychotics</w:t>
                                      </w:r>
                                    </w:p>
                                    <w:p w14:paraId="62DC0AD5" w14:textId="77777777" w:rsidR="001149A2" w:rsidRDefault="001149A2">
                                      <w:pPr>
                                        <w:jc w:val="center"/>
                                        <w:rPr>
                                          <w:rFonts w:ascii="Arial Narrow" w:hAnsi="Arial Narrow"/>
                                          <w:sz w:val="16"/>
                                          <w:szCs w:val="18"/>
                                          <w:lang w:val="en-US"/>
                                        </w:rPr>
                                      </w:pPr>
                                    </w:p>
                                    <w:p w14:paraId="2E98827E" w14:textId="77777777" w:rsidR="001149A2" w:rsidRDefault="001149A2">
                                      <w:pPr>
                                        <w:jc w:val="center"/>
                                        <w:rPr>
                                          <w:rFonts w:ascii="Arial Narrow" w:hAnsi="Arial Narrow"/>
                                          <w:sz w:val="16"/>
                                          <w:szCs w:val="18"/>
                                          <w:lang w:val="en-US"/>
                                        </w:rPr>
                                      </w:pPr>
                                    </w:p>
                                    <w:p w14:paraId="2BD2F1F1" w14:textId="77777777" w:rsidR="001149A2" w:rsidRDefault="001149A2">
                                      <w:pPr>
                                        <w:jc w:val="center"/>
                                        <w:rPr>
                                          <w:rFonts w:ascii="Arial Narrow" w:hAnsi="Arial Narrow"/>
                                          <w:sz w:val="16"/>
                                          <w:szCs w:val="18"/>
                                          <w:lang w:val="en-US"/>
                                        </w:rPr>
                                      </w:pPr>
                                    </w:p>
                                  </w:txbxContent>
                                </v:textbox>
                              </v:shape>
                            </v:group>
                            <v:shape id="Text Box 215" o:spid="_x0000_s1083" type="#_x0000_t202" style="position:absolute;left:585;top:39794;width:18219;height:9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MvxQAAANwAAAAPAAAAZHJzL2Rvd25yZXYueG1sRI9LawJB&#10;EITvQv7D0II3nXVBMaujiM9cgsRHcm12eh9kp2fZGXX995mA4LGorq+6ZovWVOJGjSstKxgOIhDE&#10;qdUl5wrOp21/AsJ5ZI2VZVLwIAeL+Vtnhom2d/6i29HnIkDYJaig8L5OpHRpQQbdwNbEwctsY9AH&#10;2eRSN3gPcFPJOIrG0mDJoaHAmlYFpb/Hqwlv7LKfOM8u+/XnOx7q67fbbTcTpXrddjkF4an1r+Nn&#10;+kMriIcj+B8TCCDnfwAAAP//AwBQSwECLQAUAAYACAAAACEA2+H2y+4AAACFAQAAEwAAAAAAAAAA&#10;AAAAAAAAAAAAW0NvbnRlbnRfVHlwZXNdLnhtbFBLAQItABQABgAIAAAAIQBa9CxbvwAAABUBAAAL&#10;AAAAAAAAAAAAAAAAAB8BAABfcmVscy8ucmVsc1BLAQItABQABgAIAAAAIQBsDSMvxQAAANwAAAAP&#10;AAAAAAAAAAAAAAAAAAcCAABkcnMvZG93bnJldi54bWxQSwUGAAAAAAMAAwC3AAAA+QIAAAAA&#10;" fillcolor="#f7f7f7" stroked="f" strokeweight=".5pt">
                              <v:stroke dashstyle="dash"/>
                              <v:textbox>
                                <w:txbxContent>
                                  <w:p w14:paraId="33750981" w14:textId="77777777" w:rsidR="001149A2" w:rsidRDefault="001149A2">
                                    <w:pPr>
                                      <w:rPr>
                                        <w:rFonts w:ascii="Arial Narrow" w:hAnsi="Arial Narrow"/>
                                        <w:sz w:val="16"/>
                                        <w:szCs w:val="18"/>
                                        <w:lang w:val="en-US"/>
                                      </w:rPr>
                                    </w:pPr>
                                    <w:r>
                                      <w:rPr>
                                        <w:rFonts w:ascii="Arial Narrow" w:hAnsi="Arial Narrow"/>
                                        <w:sz w:val="16"/>
                                        <w:szCs w:val="18"/>
                                        <w:lang w:val="en-US"/>
                                      </w:rPr>
                                      <w:t>** Treatment-resistant schizophrenia usually defined as continued positive symptoms after trials of at least two different antipsychotics at moderate doses (usually at least 300 mg chlorpromazine equivalents per day) for a reasonable period (usually at least 6 weeks).</w:t>
                                    </w:r>
                                  </w:p>
                                </w:txbxContent>
                              </v:textbox>
                            </v:shape>
                          </v:group>
                        </v:group>
                      </v:group>
                    </v:group>
                  </v:group>
                </v:group>
                <w10:anchorlock/>
              </v:group>
            </w:pict>
          </mc:Fallback>
        </mc:AlternateContent>
      </w:r>
    </w:p>
    <w:p w14:paraId="7F71B898" w14:textId="77777777" w:rsidR="00D63E98" w:rsidRDefault="00233BA3">
      <w:pPr>
        <w:pStyle w:val="TableFigureFooter"/>
      </w:pPr>
      <w:r>
        <w:t>Source: Figure 1.2p 31 of the submission.</w:t>
      </w:r>
    </w:p>
    <w:p w14:paraId="48C3A1D2" w14:textId="77777777" w:rsidR="00D63E98" w:rsidRDefault="00233BA3">
      <w:pPr>
        <w:pStyle w:val="2-SectionHeading"/>
      </w:pPr>
      <w:bookmarkStart w:id="12" w:name="_Toc93498353"/>
      <w:r>
        <w:t>Comparator</w:t>
      </w:r>
      <w:bookmarkEnd w:id="12"/>
    </w:p>
    <w:p w14:paraId="1423BFD9" w14:textId="77777777" w:rsidR="00D63E98" w:rsidRDefault="00233BA3">
      <w:pPr>
        <w:pStyle w:val="3-BodyText"/>
      </w:pPr>
      <w:r>
        <w:t>The submission nominated PP3M as the main comparator. The main argument provided in support of this nomination was that clinicians advised that the patients who were stabilised on PP3M were most likely to use PP6M.</w:t>
      </w:r>
    </w:p>
    <w:p w14:paraId="3A83910B" w14:textId="77777777" w:rsidR="00D63E98" w:rsidRDefault="00233BA3">
      <w:pPr>
        <w:pStyle w:val="3-BodyText"/>
      </w:pPr>
      <w:r>
        <w:t xml:space="preserve">The submission nominated PP1M as a supplementary comparator on the basis that switching from PP1M to PP6M would be consistent with the </w:t>
      </w:r>
      <w:proofErr w:type="gramStart"/>
      <w:r>
        <w:t>PI, but</w:t>
      </w:r>
      <w:proofErr w:type="gramEnd"/>
      <w:r>
        <w:t xml:space="preserve"> was less likely to happen in practice.</w:t>
      </w:r>
    </w:p>
    <w:p w14:paraId="64602916" w14:textId="77777777" w:rsidR="00D63E98" w:rsidRDefault="00233BA3">
      <w:pPr>
        <w:pStyle w:val="3-BodyText"/>
        <w:rPr>
          <w:iCs/>
        </w:rPr>
      </w:pPr>
      <w:r>
        <w:rPr>
          <w:iCs/>
        </w:rPr>
        <w:t>The PBAC considered that these comparators were appropriate. The PBAC considered that while it is unlikely that patents would switch from other antipsychotic long-acting injections (LAIs) to PP6M, these should also be considered as near market comparators.</w:t>
      </w:r>
    </w:p>
    <w:p w14:paraId="581525E1" w14:textId="77777777" w:rsidR="00D63E98" w:rsidRDefault="00233BA3">
      <w:pPr>
        <w:pStyle w:val="3-BodyText"/>
        <w:numPr>
          <w:ilvl w:val="0"/>
          <w:numId w:val="0"/>
        </w:numPr>
        <w:ind w:left="720"/>
      </w:pPr>
      <w:bookmarkStart w:id="13" w:name="_Toc93498354"/>
      <w:bookmarkStart w:id="14" w:name="_Toc22897640"/>
      <w:r>
        <w:rPr>
          <w:i/>
        </w:rPr>
        <w:t>For more detail on PBAC’s view, see section 7 PBAC outcome.</w:t>
      </w:r>
    </w:p>
    <w:p w14:paraId="3E5B105D" w14:textId="77777777" w:rsidR="00D63E98" w:rsidRDefault="00233BA3">
      <w:pPr>
        <w:pStyle w:val="2-SectionHeading"/>
        <w:numPr>
          <w:ilvl w:val="0"/>
          <w:numId w:val="1"/>
        </w:numPr>
      </w:pPr>
      <w:r>
        <w:t>Consideration of the evidence</w:t>
      </w:r>
      <w:bookmarkEnd w:id="13"/>
    </w:p>
    <w:p w14:paraId="468FA1A4" w14:textId="77777777" w:rsidR="00D63E98" w:rsidRDefault="00233BA3">
      <w:pPr>
        <w:pStyle w:val="4-SubsectionHeading"/>
      </w:pPr>
      <w:bookmarkStart w:id="15" w:name="_Toc93498355"/>
      <w:r>
        <w:t>Sponsor hearing</w:t>
      </w:r>
    </w:p>
    <w:p w14:paraId="0F38F2F6" w14:textId="77777777" w:rsidR="00D63E98" w:rsidRDefault="00233BA3">
      <w:pPr>
        <w:pStyle w:val="3-BodyText"/>
        <w:rPr>
          <w:snapToGrid w:val="0"/>
        </w:rPr>
      </w:pPr>
      <w:r>
        <w:rPr>
          <w:snapToGrid w:val="0"/>
        </w:rPr>
        <w:t>There was no hearing for this item.</w:t>
      </w:r>
    </w:p>
    <w:p w14:paraId="16CD8DCD" w14:textId="77777777" w:rsidR="00D63E98" w:rsidRDefault="00233BA3">
      <w:pPr>
        <w:pStyle w:val="4-SubsectionHeading"/>
      </w:pPr>
      <w:r>
        <w:t>Consumer comments</w:t>
      </w:r>
    </w:p>
    <w:p w14:paraId="66C5C16B" w14:textId="77777777" w:rsidR="00D63E98" w:rsidRDefault="00233BA3">
      <w:pPr>
        <w:pStyle w:val="3-BodyText"/>
        <w:rPr>
          <w:snapToGrid w:val="0"/>
        </w:rPr>
      </w:pPr>
      <w:bookmarkStart w:id="16" w:name="_Hlk76382618"/>
      <w:r>
        <w:rPr>
          <w:snapToGrid w:val="0"/>
        </w:rPr>
        <w:t xml:space="preserve">The PBAC noted and welcomed the input from individuals (2) and organisations (1) via the Consumer Comments facility on the PBS website. The comments described how long-acting antipsychotics have resulted in benefits for patients including greater treatment stability, fewer visits to the doctor, and shifting the treatment focus from compliance to the improving of quality of life and pursuing goals such as stable employment. However, some comments described some risks of </w:t>
      </w:r>
      <w:proofErr w:type="gramStart"/>
      <w:r>
        <w:rPr>
          <w:snapToGrid w:val="0"/>
        </w:rPr>
        <w:t>long acting</w:t>
      </w:r>
      <w:proofErr w:type="gramEnd"/>
      <w:r>
        <w:rPr>
          <w:snapToGrid w:val="0"/>
        </w:rPr>
        <w:t xml:space="preserve"> treatment including fewer visits to the doctor which may affect rapport, reduce opportunities for patients to seek support when it is required, and reduce the monitoring of patients’ symptoms. The comments emphasised that the treatment focus with PP6M should be on understanding how to manage symptoms proactively, psychoeducation, and building clinician-patient trust and rapport.</w:t>
      </w:r>
    </w:p>
    <w:p w14:paraId="4B9A1ECE" w14:textId="1593FF6E" w:rsidR="00D63E98" w:rsidRDefault="00233BA3">
      <w:pPr>
        <w:pStyle w:val="3-BodyText"/>
        <w:rPr>
          <w:lang w:eastAsia="en-US"/>
        </w:rPr>
      </w:pPr>
      <w:r>
        <w:rPr>
          <w:snapToGrid w:val="0"/>
        </w:rPr>
        <w:t>The PBAC noted the advice received from the Mental Illness Fellowship of Australia clarifying the likely use of PP6M in clinical practice. The PBAC specifically noted the advice that the use of PP6M may reduce stigma, improve compliance, provide greater convenience, and empower the patient with choice and control.</w:t>
      </w:r>
      <w:bookmarkEnd w:id="16"/>
    </w:p>
    <w:p w14:paraId="729CA51E" w14:textId="77777777" w:rsidR="00D63E98" w:rsidRDefault="00233BA3">
      <w:pPr>
        <w:pStyle w:val="4-SubsectionHeading"/>
      </w:pPr>
      <w:r>
        <w:t>Clinical trials</w:t>
      </w:r>
      <w:bookmarkEnd w:id="14"/>
      <w:bookmarkEnd w:id="15"/>
    </w:p>
    <w:p w14:paraId="7E775965" w14:textId="7CB37216" w:rsidR="00D63E98" w:rsidRDefault="00233BA3">
      <w:pPr>
        <w:pStyle w:val="3-BodyText"/>
        <w:rPr>
          <w:lang w:val="en-US"/>
        </w:rPr>
      </w:pPr>
      <w:r>
        <w:rPr>
          <w:lang w:val="en-US"/>
        </w:rPr>
        <w:t>The submission was based on one head-to-head trial comparing PP6M to PP3M (PSY3015).</w:t>
      </w:r>
    </w:p>
    <w:p w14:paraId="43AD6E4E" w14:textId="77777777" w:rsidR="00D63E98" w:rsidRDefault="00233BA3">
      <w:pPr>
        <w:pStyle w:val="3-BodyText"/>
        <w:rPr>
          <w:lang w:val="en-US"/>
        </w:rPr>
      </w:pPr>
      <w:r>
        <w:rPr>
          <w:lang w:val="en-US"/>
        </w:rPr>
        <w:t>The details of the trial presented in the submission are provided in the table below.</w:t>
      </w:r>
    </w:p>
    <w:p w14:paraId="6F6D6E7D" w14:textId="18161F78" w:rsidR="00D63E98" w:rsidRDefault="00233BA3">
      <w:pPr>
        <w:pStyle w:val="Caption"/>
      </w:pPr>
      <w:r>
        <w:t xml:space="preserve">Table </w:t>
      </w:r>
      <w:fldSimple w:instr=" SEQ Table \* ARABIC ">
        <w:r w:rsidR="001149A2">
          <w:rPr>
            <w:noProof/>
          </w:rPr>
          <w:t>2</w:t>
        </w:r>
      </w:fldSimple>
      <w: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Description w:val="Table 2: Trials and associated reports presented in the submission"/>
      </w:tblPr>
      <w:tblGrid>
        <w:gridCol w:w="1435"/>
        <w:gridCol w:w="5459"/>
        <w:gridCol w:w="2123"/>
      </w:tblGrid>
      <w:tr w:rsidR="00D63E98" w14:paraId="3BB25723" w14:textId="77777777">
        <w:trPr>
          <w:tblHeader/>
        </w:trPr>
        <w:tc>
          <w:tcPr>
            <w:tcW w:w="796" w:type="pct"/>
            <w:tcBorders>
              <w:bottom w:val="single" w:sz="4" w:space="0" w:color="auto"/>
            </w:tcBorders>
            <w:vAlign w:val="center"/>
          </w:tcPr>
          <w:p w14:paraId="5434AE8A" w14:textId="77777777" w:rsidR="00D63E98" w:rsidRDefault="00233BA3">
            <w:pPr>
              <w:pStyle w:val="In-tableHeading"/>
            </w:pPr>
            <w:r>
              <w:t>Trial ID</w:t>
            </w:r>
          </w:p>
        </w:tc>
        <w:tc>
          <w:tcPr>
            <w:tcW w:w="3027" w:type="pct"/>
            <w:tcBorders>
              <w:bottom w:val="single" w:sz="4" w:space="0" w:color="auto"/>
            </w:tcBorders>
            <w:vAlign w:val="center"/>
          </w:tcPr>
          <w:p w14:paraId="0418CB2A" w14:textId="77777777" w:rsidR="00D63E98" w:rsidRDefault="00233BA3">
            <w:pPr>
              <w:pStyle w:val="In-tableHeading"/>
            </w:pPr>
            <w:r>
              <w:t>Protocol title/ Publication title</w:t>
            </w:r>
          </w:p>
        </w:tc>
        <w:tc>
          <w:tcPr>
            <w:tcW w:w="1177" w:type="pct"/>
            <w:tcBorders>
              <w:bottom w:val="single" w:sz="4" w:space="0" w:color="auto"/>
            </w:tcBorders>
            <w:vAlign w:val="center"/>
          </w:tcPr>
          <w:p w14:paraId="4636B45E" w14:textId="77777777" w:rsidR="00D63E98" w:rsidRDefault="00233BA3">
            <w:pPr>
              <w:pStyle w:val="In-tableHeading"/>
            </w:pPr>
            <w:r>
              <w:t>Publication citation</w:t>
            </w:r>
          </w:p>
        </w:tc>
      </w:tr>
      <w:tr w:rsidR="00D63E98" w14:paraId="693900BF" w14:textId="77777777">
        <w:trPr>
          <w:trHeight w:val="262"/>
        </w:trPr>
        <w:tc>
          <w:tcPr>
            <w:tcW w:w="796" w:type="pct"/>
            <w:tcBorders>
              <w:bottom w:val="single" w:sz="4" w:space="0" w:color="auto"/>
            </w:tcBorders>
            <w:vAlign w:val="center"/>
          </w:tcPr>
          <w:p w14:paraId="43C59D27" w14:textId="77777777" w:rsidR="00D63E98" w:rsidRDefault="00233BA3">
            <w:pPr>
              <w:pStyle w:val="TableText0"/>
            </w:pPr>
            <w:r>
              <w:t>PSY3015</w:t>
            </w:r>
          </w:p>
        </w:tc>
        <w:tc>
          <w:tcPr>
            <w:tcW w:w="3027" w:type="pct"/>
            <w:tcBorders>
              <w:bottom w:val="single" w:sz="4" w:space="0" w:color="auto"/>
            </w:tcBorders>
            <w:vAlign w:val="center"/>
          </w:tcPr>
          <w:p w14:paraId="0F2AA6EE" w14:textId="77777777" w:rsidR="00D63E98" w:rsidRDefault="00233BA3">
            <w:pPr>
              <w:pStyle w:val="TableText0"/>
            </w:pPr>
            <w:r>
              <w:t>Janssen. A Double-blind, Randomized, Active-controlled, Parallel-group Study of Paliperidone Palmitate 6 Month Formulation</w:t>
            </w:r>
          </w:p>
        </w:tc>
        <w:tc>
          <w:tcPr>
            <w:tcW w:w="1177" w:type="pct"/>
            <w:tcBorders>
              <w:bottom w:val="single" w:sz="4" w:space="0" w:color="auto"/>
            </w:tcBorders>
            <w:vAlign w:val="center"/>
          </w:tcPr>
          <w:p w14:paraId="7252B00E" w14:textId="77777777" w:rsidR="00D63E98" w:rsidRDefault="00233BA3">
            <w:pPr>
              <w:pStyle w:val="TableText0"/>
            </w:pPr>
            <w:r>
              <w:t>EudraCT Number: 2017-001941-28</w:t>
            </w:r>
          </w:p>
        </w:tc>
      </w:tr>
    </w:tbl>
    <w:p w14:paraId="4ADE7C5F" w14:textId="77777777" w:rsidR="00D63E98" w:rsidRDefault="00233BA3">
      <w:pPr>
        <w:pStyle w:val="TableFigureFooter"/>
        <w:rPr>
          <w:sz w:val="20"/>
        </w:rPr>
      </w:pPr>
      <w:r>
        <w:t>Source: Table 2.4, p42 of the submission.</w:t>
      </w:r>
    </w:p>
    <w:p w14:paraId="5456324F" w14:textId="77777777" w:rsidR="00D63E98" w:rsidRDefault="00233BA3">
      <w:pPr>
        <w:pStyle w:val="3-BodyText"/>
      </w:pPr>
      <w:r>
        <w:t xml:space="preserve">The key features of the randomised trial are summarised in the table below. </w:t>
      </w:r>
    </w:p>
    <w:p w14:paraId="09D4ECD3" w14:textId="1F5997DF" w:rsidR="00D63E98" w:rsidRDefault="00233BA3">
      <w:pPr>
        <w:pStyle w:val="Caption"/>
      </w:pPr>
      <w:r>
        <w:t xml:space="preserve">Table </w:t>
      </w:r>
      <w:fldSimple w:instr=" SEQ Table \* ARABIC ">
        <w:r w:rsidR="001149A2">
          <w:rPr>
            <w:noProof/>
          </w:rPr>
          <w:t>3</w:t>
        </w:r>
      </w:fldSimple>
      <w:r>
        <w:t>: Key features of PSY3015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PSY3015"/>
        <w:tblDescription w:val="Table 3: Key features of PSY3015"/>
      </w:tblPr>
      <w:tblGrid>
        <w:gridCol w:w="1364"/>
        <w:gridCol w:w="891"/>
        <w:gridCol w:w="1497"/>
        <w:gridCol w:w="1188"/>
        <w:gridCol w:w="1639"/>
        <w:gridCol w:w="2438"/>
      </w:tblGrid>
      <w:tr w:rsidR="00D63E98" w14:paraId="41C781F7" w14:textId="77777777">
        <w:trPr>
          <w:cantSplit/>
          <w:tblHeader/>
        </w:trPr>
        <w:tc>
          <w:tcPr>
            <w:tcW w:w="756" w:type="pct"/>
            <w:shd w:val="clear" w:color="auto" w:fill="auto"/>
            <w:vAlign w:val="center"/>
          </w:tcPr>
          <w:p w14:paraId="488E1240" w14:textId="77777777" w:rsidR="00D63E98" w:rsidRDefault="00233BA3">
            <w:pPr>
              <w:pStyle w:val="In-tableHeading"/>
            </w:pPr>
            <w:r>
              <w:t>Trial</w:t>
            </w:r>
          </w:p>
        </w:tc>
        <w:tc>
          <w:tcPr>
            <w:tcW w:w="494" w:type="pct"/>
            <w:shd w:val="clear" w:color="auto" w:fill="auto"/>
            <w:vAlign w:val="center"/>
          </w:tcPr>
          <w:p w14:paraId="0D5EF28D" w14:textId="77777777" w:rsidR="00D63E98" w:rsidRDefault="00233BA3">
            <w:pPr>
              <w:pStyle w:val="In-tableHeading"/>
              <w:jc w:val="center"/>
            </w:pPr>
            <w:r>
              <w:t>N</w:t>
            </w:r>
          </w:p>
        </w:tc>
        <w:tc>
          <w:tcPr>
            <w:tcW w:w="830" w:type="pct"/>
            <w:shd w:val="clear" w:color="auto" w:fill="auto"/>
            <w:vAlign w:val="center"/>
          </w:tcPr>
          <w:p w14:paraId="0E8BC1C6" w14:textId="77777777" w:rsidR="00D63E98" w:rsidRDefault="00233BA3">
            <w:pPr>
              <w:pStyle w:val="In-tableHeading"/>
              <w:jc w:val="center"/>
            </w:pPr>
            <w:r>
              <w:t>Design/ duration</w:t>
            </w:r>
          </w:p>
        </w:tc>
        <w:tc>
          <w:tcPr>
            <w:tcW w:w="659" w:type="pct"/>
            <w:shd w:val="clear" w:color="auto" w:fill="auto"/>
            <w:vAlign w:val="center"/>
          </w:tcPr>
          <w:p w14:paraId="22958566" w14:textId="77777777" w:rsidR="00D63E98" w:rsidRDefault="00233BA3">
            <w:pPr>
              <w:pStyle w:val="In-tableHeading"/>
              <w:jc w:val="center"/>
            </w:pPr>
            <w:r>
              <w:t>Risk of bias</w:t>
            </w:r>
          </w:p>
        </w:tc>
        <w:tc>
          <w:tcPr>
            <w:tcW w:w="909" w:type="pct"/>
            <w:shd w:val="clear" w:color="auto" w:fill="auto"/>
            <w:vAlign w:val="center"/>
          </w:tcPr>
          <w:p w14:paraId="5D2B63EF" w14:textId="77777777" w:rsidR="00D63E98" w:rsidRDefault="00233BA3">
            <w:pPr>
              <w:pStyle w:val="In-tableHeading"/>
              <w:jc w:val="center"/>
            </w:pPr>
            <w:r>
              <w:t>Patient population</w:t>
            </w:r>
          </w:p>
        </w:tc>
        <w:tc>
          <w:tcPr>
            <w:tcW w:w="1352" w:type="pct"/>
            <w:shd w:val="clear" w:color="auto" w:fill="auto"/>
            <w:vAlign w:val="center"/>
          </w:tcPr>
          <w:p w14:paraId="64A5A568" w14:textId="77777777" w:rsidR="00D63E98" w:rsidRDefault="00233BA3">
            <w:pPr>
              <w:pStyle w:val="In-tableHeading"/>
            </w:pPr>
            <w:r>
              <w:t>Outcome(s)</w:t>
            </w:r>
          </w:p>
        </w:tc>
      </w:tr>
      <w:tr w:rsidR="00D63E98" w14:paraId="167C15A4" w14:textId="77777777">
        <w:trPr>
          <w:cantSplit/>
        </w:trPr>
        <w:tc>
          <w:tcPr>
            <w:tcW w:w="756" w:type="pct"/>
            <w:shd w:val="clear" w:color="auto" w:fill="auto"/>
            <w:vAlign w:val="center"/>
          </w:tcPr>
          <w:p w14:paraId="1DD1ABE3" w14:textId="77777777" w:rsidR="00D63E98" w:rsidRDefault="00233BA3">
            <w:pPr>
              <w:pStyle w:val="TableText0"/>
              <w:rPr>
                <w:lang w:val="en-US"/>
              </w:rPr>
            </w:pPr>
            <w:r>
              <w:t>PSY3015</w:t>
            </w:r>
          </w:p>
        </w:tc>
        <w:tc>
          <w:tcPr>
            <w:tcW w:w="494" w:type="pct"/>
            <w:shd w:val="clear" w:color="auto" w:fill="auto"/>
            <w:vAlign w:val="center"/>
          </w:tcPr>
          <w:p w14:paraId="0FBBDE10" w14:textId="77777777" w:rsidR="00D63E98" w:rsidRDefault="00233BA3">
            <w:pPr>
              <w:pStyle w:val="TableText0"/>
              <w:jc w:val="center"/>
              <w:rPr>
                <w:lang w:val="en-US"/>
              </w:rPr>
            </w:pPr>
            <w:r>
              <w:rPr>
                <w:lang w:val="en-US"/>
              </w:rPr>
              <w:t>702</w:t>
            </w:r>
          </w:p>
        </w:tc>
        <w:tc>
          <w:tcPr>
            <w:tcW w:w="830" w:type="pct"/>
            <w:shd w:val="clear" w:color="auto" w:fill="auto"/>
            <w:vAlign w:val="center"/>
          </w:tcPr>
          <w:p w14:paraId="3542C0F0" w14:textId="77777777" w:rsidR="00D63E98" w:rsidRDefault="00233BA3">
            <w:pPr>
              <w:pStyle w:val="TableText0"/>
              <w:jc w:val="center"/>
              <w:rPr>
                <w:lang w:val="en-US"/>
              </w:rPr>
            </w:pPr>
            <w:r>
              <w:rPr>
                <w:lang w:val="en-US"/>
              </w:rPr>
              <w:t>R, DB, MC, 12 months</w:t>
            </w:r>
          </w:p>
        </w:tc>
        <w:tc>
          <w:tcPr>
            <w:tcW w:w="659" w:type="pct"/>
            <w:shd w:val="clear" w:color="auto" w:fill="auto"/>
            <w:vAlign w:val="center"/>
          </w:tcPr>
          <w:p w14:paraId="5CF088B5" w14:textId="77777777" w:rsidR="00D63E98" w:rsidRDefault="00233BA3">
            <w:pPr>
              <w:pStyle w:val="TableText0"/>
              <w:jc w:val="center"/>
              <w:rPr>
                <w:lang w:val="en-US"/>
              </w:rPr>
            </w:pPr>
            <w:r>
              <w:rPr>
                <w:lang w:val="en-US"/>
              </w:rPr>
              <w:t>Low</w:t>
            </w:r>
          </w:p>
        </w:tc>
        <w:tc>
          <w:tcPr>
            <w:tcW w:w="909" w:type="pct"/>
            <w:shd w:val="clear" w:color="auto" w:fill="auto"/>
            <w:vAlign w:val="center"/>
          </w:tcPr>
          <w:p w14:paraId="12B97993" w14:textId="77777777" w:rsidR="00D63E98" w:rsidRDefault="00233BA3">
            <w:pPr>
              <w:pStyle w:val="TableText0"/>
              <w:jc w:val="center"/>
              <w:rPr>
                <w:lang w:val="en-US"/>
              </w:rPr>
            </w:pPr>
            <w:r>
              <w:rPr>
                <w:lang w:val="en-US"/>
              </w:rPr>
              <w:t>Adults with schizophrenia</w:t>
            </w:r>
          </w:p>
        </w:tc>
        <w:tc>
          <w:tcPr>
            <w:tcW w:w="1352" w:type="pct"/>
            <w:shd w:val="clear" w:color="auto" w:fill="auto"/>
            <w:vAlign w:val="center"/>
          </w:tcPr>
          <w:p w14:paraId="7079AC81" w14:textId="77777777" w:rsidR="00D63E98" w:rsidRDefault="00233BA3">
            <w:pPr>
              <w:pStyle w:val="TableText0"/>
              <w:rPr>
                <w:lang w:val="en-US"/>
              </w:rPr>
            </w:pPr>
            <w:r>
              <w:rPr>
                <w:lang w:val="en-US"/>
              </w:rPr>
              <w:t>Proportion of patients without relapse at 12 months.</w:t>
            </w:r>
          </w:p>
          <w:p w14:paraId="06DBC23C" w14:textId="77777777" w:rsidR="00D63E98" w:rsidRDefault="00233BA3">
            <w:pPr>
              <w:pStyle w:val="TableText0"/>
              <w:rPr>
                <w:lang w:val="en-US"/>
              </w:rPr>
            </w:pPr>
            <w:r>
              <w:rPr>
                <w:lang w:val="en-US"/>
              </w:rPr>
              <w:t>Time to relapse during the trial.</w:t>
            </w:r>
          </w:p>
          <w:p w14:paraId="37B72488" w14:textId="77777777" w:rsidR="00D63E98" w:rsidRDefault="00233BA3">
            <w:pPr>
              <w:pStyle w:val="TableText0"/>
              <w:rPr>
                <w:lang w:val="en-US"/>
              </w:rPr>
            </w:pPr>
            <w:r>
              <w:rPr>
                <w:lang w:val="en-US"/>
              </w:rPr>
              <w:t>PANSS total score.</w:t>
            </w:r>
          </w:p>
          <w:p w14:paraId="080139BF" w14:textId="77777777" w:rsidR="00D63E98" w:rsidRDefault="00233BA3">
            <w:pPr>
              <w:pStyle w:val="TableText0"/>
              <w:rPr>
                <w:lang w:val="en-US"/>
              </w:rPr>
            </w:pPr>
            <w:r>
              <w:rPr>
                <w:lang w:val="en-US"/>
              </w:rPr>
              <w:t>PANSS subscale scores.</w:t>
            </w:r>
          </w:p>
          <w:p w14:paraId="3210FAAD" w14:textId="77777777" w:rsidR="00D63E98" w:rsidRDefault="00233BA3">
            <w:pPr>
              <w:pStyle w:val="TableText0"/>
              <w:rPr>
                <w:lang w:val="en-US"/>
              </w:rPr>
            </w:pPr>
            <w:r>
              <w:rPr>
                <w:lang w:val="en-US"/>
              </w:rPr>
              <w:t>CGI-S.</w:t>
            </w:r>
          </w:p>
          <w:p w14:paraId="506D91B8" w14:textId="77777777" w:rsidR="00D63E98" w:rsidRDefault="00233BA3">
            <w:pPr>
              <w:pStyle w:val="TableText0"/>
              <w:rPr>
                <w:lang w:val="en-US"/>
              </w:rPr>
            </w:pPr>
            <w:r>
              <w:rPr>
                <w:lang w:val="en-US"/>
              </w:rPr>
              <w:t>PSP.</w:t>
            </w:r>
          </w:p>
        </w:tc>
      </w:tr>
    </w:tbl>
    <w:p w14:paraId="3156E73B" w14:textId="77777777" w:rsidR="00D63E98" w:rsidRDefault="00233BA3">
      <w:pPr>
        <w:pStyle w:val="TableFigureFooter"/>
      </w:pPr>
      <w:r>
        <w:t>Source: Tables 2.8 and 2.17, pp 54 and 70 of the submission. Abbreviations: DB = double blind; MC = multi-centre; R = randomised. PANSS=Positive and Negative Symptom Scale for Schizophrenia, CGI-S=Clinical Global Impression-Severity, PSP=Personal and Social Performance</w:t>
      </w:r>
    </w:p>
    <w:p w14:paraId="6DF1942E" w14:textId="77777777" w:rsidR="00D63E98" w:rsidRDefault="00233BA3">
      <w:pPr>
        <w:pStyle w:val="3-BodyText"/>
      </w:pPr>
      <w:r>
        <w:t>The trial was designed as a non-inferiority trial with a non-inferiority margin of -10% in the proportion of patients free of relapse at 12 months. This non-inferiority margin was the same as that used in the trial comparing PP1M with PP3M (PSY3011), which was previously considered by PBAC.</w:t>
      </w:r>
    </w:p>
    <w:p w14:paraId="67CE8911" w14:textId="77777777" w:rsidR="00D63E98" w:rsidRDefault="00233BA3">
      <w:pPr>
        <w:pStyle w:val="3-BodyText"/>
        <w:rPr>
          <w:iCs/>
        </w:rPr>
      </w:pPr>
      <w:r>
        <w:rPr>
          <w:iCs/>
        </w:rPr>
        <w:t xml:space="preserve">The trial characteristics and eligibility criteria were consistent with the proposed listing. The characteristics of the patients and the treatment setting were </w:t>
      </w:r>
      <w:proofErr w:type="gramStart"/>
      <w:r>
        <w:rPr>
          <w:iCs/>
        </w:rPr>
        <w:t>similar to</w:t>
      </w:r>
      <w:proofErr w:type="gramEnd"/>
      <w:r>
        <w:rPr>
          <w:iCs/>
        </w:rPr>
        <w:t xml:space="preserve"> the Australian setting.</w:t>
      </w:r>
    </w:p>
    <w:p w14:paraId="796D41CA" w14:textId="77777777" w:rsidR="00D63E98" w:rsidRDefault="00233BA3">
      <w:pPr>
        <w:pStyle w:val="3-BodyText"/>
        <w:rPr>
          <w:b/>
        </w:rPr>
      </w:pPr>
      <w:r>
        <w:t>The treatment details in PSY3015 are shown below.</w:t>
      </w:r>
    </w:p>
    <w:p w14:paraId="6F81E2CF" w14:textId="02497BD2" w:rsidR="00D63E98" w:rsidRDefault="00233BA3">
      <w:pPr>
        <w:pStyle w:val="Caption"/>
      </w:pPr>
      <w:r>
        <w:t xml:space="preserve">Table </w:t>
      </w:r>
      <w:fldSimple w:instr=" SEQ Table \* ARABIC ">
        <w:r w:rsidR="001149A2">
          <w:rPr>
            <w:noProof/>
          </w:rPr>
          <w:t>4</w:t>
        </w:r>
      </w:fldSimple>
      <w:r>
        <w:t>: Treatment exposure in PSY3015</w:t>
      </w:r>
    </w:p>
    <w:tbl>
      <w:tblPr>
        <w:tblW w:w="5000" w:type="pct"/>
        <w:tblLook w:val="04A0" w:firstRow="1" w:lastRow="0" w:firstColumn="1" w:lastColumn="0" w:noHBand="0" w:noVBand="1"/>
        <w:tblCaption w:val="Table 4: Treatment exposure in PSY3015"/>
        <w:tblDescription w:val="Table 4: Treatment exposure in PSY3015"/>
      </w:tblPr>
      <w:tblGrid>
        <w:gridCol w:w="3374"/>
        <w:gridCol w:w="2821"/>
        <w:gridCol w:w="2822"/>
      </w:tblGrid>
      <w:tr w:rsidR="00D63E98" w14:paraId="2CD27CCB" w14:textId="77777777">
        <w:trPr>
          <w:trHeight w:val="184"/>
        </w:trPr>
        <w:tc>
          <w:tcPr>
            <w:tcW w:w="1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705ED" w14:textId="77777777" w:rsidR="00D63E98" w:rsidRDefault="00233BA3">
            <w:pPr>
              <w:pStyle w:val="In-tableHeading"/>
            </w:pPr>
            <w:r>
              <w:t>Safety population</w:t>
            </w:r>
          </w:p>
        </w:tc>
        <w:tc>
          <w:tcPr>
            <w:tcW w:w="3129" w:type="pct"/>
            <w:gridSpan w:val="2"/>
            <w:tcBorders>
              <w:top w:val="single" w:sz="4" w:space="0" w:color="auto"/>
              <w:left w:val="nil"/>
              <w:bottom w:val="single" w:sz="4" w:space="0" w:color="auto"/>
              <w:right w:val="single" w:sz="4" w:space="0" w:color="auto"/>
            </w:tcBorders>
            <w:shd w:val="clear" w:color="auto" w:fill="auto"/>
            <w:vAlign w:val="center"/>
            <w:hideMark/>
          </w:tcPr>
          <w:p w14:paraId="0DDB3024" w14:textId="77777777" w:rsidR="00D63E98" w:rsidRDefault="00233BA3">
            <w:pPr>
              <w:pStyle w:val="In-tableHeading"/>
            </w:pPr>
            <w:r>
              <w:t>PSY3015</w:t>
            </w:r>
          </w:p>
        </w:tc>
      </w:tr>
      <w:tr w:rsidR="00D63E98" w14:paraId="0542D7C6" w14:textId="77777777">
        <w:trPr>
          <w:trHeight w:val="335"/>
        </w:trPr>
        <w:tc>
          <w:tcPr>
            <w:tcW w:w="1871" w:type="pct"/>
            <w:vMerge/>
            <w:tcBorders>
              <w:top w:val="single" w:sz="4" w:space="0" w:color="auto"/>
              <w:left w:val="single" w:sz="4" w:space="0" w:color="auto"/>
              <w:bottom w:val="single" w:sz="4" w:space="0" w:color="auto"/>
              <w:right w:val="single" w:sz="4" w:space="0" w:color="auto"/>
            </w:tcBorders>
            <w:vAlign w:val="center"/>
            <w:hideMark/>
          </w:tcPr>
          <w:p w14:paraId="220A3590" w14:textId="77777777" w:rsidR="00D63E98" w:rsidRDefault="00D63E98">
            <w:pPr>
              <w:pStyle w:val="In-tableHeading"/>
            </w:pPr>
          </w:p>
        </w:tc>
        <w:tc>
          <w:tcPr>
            <w:tcW w:w="1564" w:type="pct"/>
            <w:tcBorders>
              <w:top w:val="nil"/>
              <w:left w:val="nil"/>
              <w:bottom w:val="single" w:sz="4" w:space="0" w:color="auto"/>
              <w:right w:val="single" w:sz="4" w:space="0" w:color="auto"/>
            </w:tcBorders>
            <w:shd w:val="clear" w:color="auto" w:fill="auto"/>
            <w:vAlign w:val="center"/>
            <w:hideMark/>
          </w:tcPr>
          <w:p w14:paraId="7CB5A987" w14:textId="77777777" w:rsidR="00D63E98" w:rsidRDefault="00233BA3">
            <w:pPr>
              <w:pStyle w:val="In-tableHeading"/>
            </w:pPr>
            <w:r>
              <w:t>PP6M (N=478)</w:t>
            </w:r>
          </w:p>
        </w:tc>
        <w:tc>
          <w:tcPr>
            <w:tcW w:w="1565" w:type="pct"/>
            <w:tcBorders>
              <w:top w:val="nil"/>
              <w:left w:val="nil"/>
              <w:bottom w:val="single" w:sz="4" w:space="0" w:color="auto"/>
              <w:right w:val="single" w:sz="4" w:space="0" w:color="auto"/>
            </w:tcBorders>
            <w:shd w:val="clear" w:color="auto" w:fill="auto"/>
            <w:vAlign w:val="center"/>
            <w:hideMark/>
          </w:tcPr>
          <w:p w14:paraId="6035A68A" w14:textId="77777777" w:rsidR="00D63E98" w:rsidRDefault="00233BA3">
            <w:pPr>
              <w:pStyle w:val="In-tableHeading"/>
            </w:pPr>
            <w:r>
              <w:t>PP3M (N=224)</w:t>
            </w:r>
          </w:p>
        </w:tc>
      </w:tr>
      <w:tr w:rsidR="00D63E98" w14:paraId="27A84FC1" w14:textId="77777777">
        <w:trPr>
          <w:trHeight w:val="266"/>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14:paraId="705C8006" w14:textId="77777777" w:rsidR="00D63E98" w:rsidRDefault="00233BA3">
            <w:pPr>
              <w:pStyle w:val="In-tableHeading"/>
            </w:pPr>
            <w:r>
              <w:t>Duration of exposure, days</w:t>
            </w:r>
          </w:p>
        </w:tc>
      </w:tr>
      <w:tr w:rsidR="00D63E98" w14:paraId="20CF917A" w14:textId="77777777">
        <w:trPr>
          <w:trHeight w:val="266"/>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F087667" w14:textId="77777777" w:rsidR="00D63E98" w:rsidRDefault="00233BA3">
            <w:pPr>
              <w:pStyle w:val="TableText0"/>
            </w:pPr>
            <w:r>
              <w:t>Mean (SD)</w:t>
            </w:r>
          </w:p>
        </w:tc>
        <w:tc>
          <w:tcPr>
            <w:tcW w:w="1564" w:type="pct"/>
            <w:tcBorders>
              <w:top w:val="nil"/>
              <w:left w:val="nil"/>
              <w:bottom w:val="single" w:sz="4" w:space="0" w:color="auto"/>
              <w:right w:val="single" w:sz="4" w:space="0" w:color="auto"/>
            </w:tcBorders>
            <w:shd w:val="clear" w:color="auto" w:fill="auto"/>
            <w:vAlign w:val="center"/>
          </w:tcPr>
          <w:p w14:paraId="02B33EB7" w14:textId="77777777" w:rsidR="00D63E98" w:rsidRDefault="00233BA3">
            <w:pPr>
              <w:pStyle w:val="TableText0"/>
            </w:pPr>
            <w:r>
              <w:t>329.8 (86.97)</w:t>
            </w:r>
          </w:p>
        </w:tc>
        <w:tc>
          <w:tcPr>
            <w:tcW w:w="1565" w:type="pct"/>
            <w:tcBorders>
              <w:top w:val="nil"/>
              <w:left w:val="nil"/>
              <w:bottom w:val="single" w:sz="4" w:space="0" w:color="auto"/>
              <w:right w:val="single" w:sz="4" w:space="0" w:color="auto"/>
            </w:tcBorders>
            <w:shd w:val="clear" w:color="auto" w:fill="auto"/>
            <w:vAlign w:val="center"/>
          </w:tcPr>
          <w:p w14:paraId="3179982C" w14:textId="77777777" w:rsidR="00D63E98" w:rsidRDefault="00233BA3">
            <w:pPr>
              <w:pStyle w:val="TableText0"/>
            </w:pPr>
            <w:r>
              <w:t>336.4 (80.89)</w:t>
            </w:r>
          </w:p>
        </w:tc>
      </w:tr>
      <w:tr w:rsidR="00D63E98" w14:paraId="6D649C48" w14:textId="77777777">
        <w:trPr>
          <w:trHeight w:val="266"/>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60CB65B" w14:textId="77777777" w:rsidR="00D63E98" w:rsidRDefault="00233BA3">
            <w:pPr>
              <w:pStyle w:val="TableText0"/>
            </w:pPr>
            <w:r>
              <w:t>Median</w:t>
            </w:r>
          </w:p>
        </w:tc>
        <w:tc>
          <w:tcPr>
            <w:tcW w:w="1564" w:type="pct"/>
            <w:tcBorders>
              <w:top w:val="nil"/>
              <w:left w:val="nil"/>
              <w:bottom w:val="single" w:sz="4" w:space="0" w:color="auto"/>
              <w:right w:val="single" w:sz="4" w:space="0" w:color="auto"/>
            </w:tcBorders>
            <w:shd w:val="clear" w:color="auto" w:fill="auto"/>
            <w:vAlign w:val="center"/>
          </w:tcPr>
          <w:p w14:paraId="40BCB460" w14:textId="77777777" w:rsidR="00D63E98" w:rsidRDefault="00233BA3">
            <w:pPr>
              <w:pStyle w:val="TableText0"/>
            </w:pPr>
            <w:r>
              <w:t>365.0</w:t>
            </w:r>
          </w:p>
        </w:tc>
        <w:tc>
          <w:tcPr>
            <w:tcW w:w="1565" w:type="pct"/>
            <w:tcBorders>
              <w:top w:val="nil"/>
              <w:left w:val="nil"/>
              <w:bottom w:val="single" w:sz="4" w:space="0" w:color="auto"/>
              <w:right w:val="single" w:sz="4" w:space="0" w:color="auto"/>
            </w:tcBorders>
            <w:shd w:val="clear" w:color="auto" w:fill="auto"/>
            <w:vAlign w:val="center"/>
          </w:tcPr>
          <w:p w14:paraId="22608F42" w14:textId="77777777" w:rsidR="00D63E98" w:rsidRDefault="00233BA3">
            <w:pPr>
              <w:pStyle w:val="TableText0"/>
            </w:pPr>
            <w:r>
              <w:t>365.0</w:t>
            </w:r>
          </w:p>
        </w:tc>
      </w:tr>
      <w:tr w:rsidR="00D63E98" w14:paraId="75263D38" w14:textId="77777777">
        <w:trPr>
          <w:trHeight w:val="266"/>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47CC7708" w14:textId="77777777" w:rsidR="00D63E98" w:rsidRDefault="00233BA3">
            <w:pPr>
              <w:pStyle w:val="TableText0"/>
            </w:pPr>
            <w:r>
              <w:t>Range</w:t>
            </w:r>
          </w:p>
        </w:tc>
        <w:tc>
          <w:tcPr>
            <w:tcW w:w="1564" w:type="pct"/>
            <w:tcBorders>
              <w:top w:val="nil"/>
              <w:left w:val="nil"/>
              <w:bottom w:val="single" w:sz="4" w:space="0" w:color="auto"/>
              <w:right w:val="single" w:sz="4" w:space="0" w:color="auto"/>
            </w:tcBorders>
            <w:shd w:val="clear" w:color="auto" w:fill="auto"/>
            <w:vAlign w:val="center"/>
          </w:tcPr>
          <w:p w14:paraId="09FF57EF" w14:textId="77777777" w:rsidR="00D63E98" w:rsidRDefault="00233BA3">
            <w:pPr>
              <w:pStyle w:val="TableText0"/>
            </w:pPr>
            <w:r>
              <w:t>(11; 480)</w:t>
            </w:r>
          </w:p>
        </w:tc>
        <w:tc>
          <w:tcPr>
            <w:tcW w:w="1565" w:type="pct"/>
            <w:tcBorders>
              <w:top w:val="nil"/>
              <w:left w:val="nil"/>
              <w:bottom w:val="single" w:sz="4" w:space="0" w:color="auto"/>
              <w:right w:val="single" w:sz="4" w:space="0" w:color="auto"/>
            </w:tcBorders>
            <w:shd w:val="clear" w:color="auto" w:fill="auto"/>
            <w:vAlign w:val="center"/>
          </w:tcPr>
          <w:p w14:paraId="23DD2020" w14:textId="77777777" w:rsidR="00D63E98" w:rsidRDefault="00233BA3">
            <w:pPr>
              <w:pStyle w:val="TableText0"/>
            </w:pPr>
            <w:r>
              <w:t>(27; 557)</w:t>
            </w:r>
          </w:p>
        </w:tc>
      </w:tr>
      <w:tr w:rsidR="00D63E98" w14:paraId="56B17255" w14:textId="77777777">
        <w:trPr>
          <w:trHeight w:val="26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78621" w14:textId="77777777" w:rsidR="00D63E98" w:rsidRDefault="00233BA3">
            <w:pPr>
              <w:pStyle w:val="In-tableHeading"/>
            </w:pPr>
            <w:r>
              <w:t>Mean Dose (mg eq) (DB)</w:t>
            </w:r>
          </w:p>
        </w:tc>
      </w:tr>
      <w:tr w:rsidR="00D63E98" w14:paraId="3CEBCFBF" w14:textId="77777777">
        <w:trPr>
          <w:trHeight w:val="266"/>
        </w:trPr>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707C189E" w14:textId="77777777" w:rsidR="00D63E98" w:rsidRDefault="00233BA3">
            <w:pPr>
              <w:pStyle w:val="TableText0"/>
            </w:pPr>
            <w:r>
              <w:t>N</w:t>
            </w:r>
          </w:p>
        </w:tc>
        <w:tc>
          <w:tcPr>
            <w:tcW w:w="1564" w:type="pct"/>
            <w:tcBorders>
              <w:top w:val="single" w:sz="4" w:space="0" w:color="auto"/>
              <w:left w:val="nil"/>
              <w:bottom w:val="single" w:sz="4" w:space="0" w:color="auto"/>
              <w:right w:val="single" w:sz="4" w:space="0" w:color="auto"/>
            </w:tcBorders>
            <w:shd w:val="clear" w:color="auto" w:fill="auto"/>
            <w:vAlign w:val="center"/>
          </w:tcPr>
          <w:p w14:paraId="63C95B42" w14:textId="77777777" w:rsidR="00D63E98" w:rsidRDefault="00233BA3">
            <w:pPr>
              <w:pStyle w:val="TableText0"/>
            </w:pPr>
            <w:r>
              <w:t>478</w:t>
            </w:r>
          </w:p>
        </w:tc>
        <w:tc>
          <w:tcPr>
            <w:tcW w:w="1565" w:type="pct"/>
            <w:tcBorders>
              <w:top w:val="single" w:sz="4" w:space="0" w:color="auto"/>
              <w:left w:val="nil"/>
              <w:bottom w:val="single" w:sz="4" w:space="0" w:color="auto"/>
              <w:right w:val="single" w:sz="4" w:space="0" w:color="auto"/>
            </w:tcBorders>
            <w:shd w:val="clear" w:color="auto" w:fill="auto"/>
            <w:vAlign w:val="center"/>
          </w:tcPr>
          <w:p w14:paraId="3EBEE88A" w14:textId="77777777" w:rsidR="00D63E98" w:rsidRDefault="00233BA3">
            <w:pPr>
              <w:pStyle w:val="TableText0"/>
            </w:pPr>
            <w:r>
              <w:t>224</w:t>
            </w:r>
          </w:p>
        </w:tc>
      </w:tr>
      <w:tr w:rsidR="00D63E98" w14:paraId="7D43C1E0" w14:textId="77777777">
        <w:trPr>
          <w:trHeight w:val="266"/>
        </w:trPr>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3D8DB584" w14:textId="77777777" w:rsidR="00D63E98" w:rsidRDefault="00233BA3">
            <w:pPr>
              <w:pStyle w:val="TableText0"/>
            </w:pPr>
            <w:r>
              <w:t>Mean (SD)</w:t>
            </w:r>
          </w:p>
        </w:tc>
        <w:tc>
          <w:tcPr>
            <w:tcW w:w="1564" w:type="pct"/>
            <w:tcBorders>
              <w:top w:val="single" w:sz="4" w:space="0" w:color="auto"/>
              <w:left w:val="nil"/>
              <w:bottom w:val="single" w:sz="4" w:space="0" w:color="auto"/>
              <w:right w:val="single" w:sz="4" w:space="0" w:color="auto"/>
            </w:tcBorders>
            <w:shd w:val="clear" w:color="auto" w:fill="auto"/>
            <w:vAlign w:val="center"/>
          </w:tcPr>
          <w:p w14:paraId="00796EB6" w14:textId="77777777" w:rsidR="00D63E98" w:rsidRDefault="00233BA3">
            <w:pPr>
              <w:pStyle w:val="TableText0"/>
            </w:pPr>
            <w:r>
              <w:t>855.6 (150.05)</w:t>
            </w:r>
          </w:p>
        </w:tc>
        <w:tc>
          <w:tcPr>
            <w:tcW w:w="1565" w:type="pct"/>
            <w:tcBorders>
              <w:top w:val="single" w:sz="4" w:space="0" w:color="auto"/>
              <w:left w:val="nil"/>
              <w:bottom w:val="single" w:sz="4" w:space="0" w:color="auto"/>
              <w:right w:val="single" w:sz="4" w:space="0" w:color="auto"/>
            </w:tcBorders>
            <w:shd w:val="clear" w:color="auto" w:fill="auto"/>
            <w:vAlign w:val="center"/>
          </w:tcPr>
          <w:p w14:paraId="4D98E2DB" w14:textId="77777777" w:rsidR="00D63E98" w:rsidRDefault="00233BA3">
            <w:pPr>
              <w:pStyle w:val="TableText0"/>
            </w:pPr>
            <w:r>
              <w:t>442.2 (87.57)</w:t>
            </w:r>
          </w:p>
        </w:tc>
      </w:tr>
      <w:tr w:rsidR="00D63E98" w14:paraId="59E8E5A7" w14:textId="77777777">
        <w:trPr>
          <w:trHeight w:val="266"/>
        </w:trPr>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B719D45" w14:textId="77777777" w:rsidR="00D63E98" w:rsidRDefault="00233BA3">
            <w:pPr>
              <w:pStyle w:val="TableText0"/>
            </w:pPr>
            <w:r>
              <w:t>Median</w:t>
            </w:r>
          </w:p>
        </w:tc>
        <w:tc>
          <w:tcPr>
            <w:tcW w:w="1564" w:type="pct"/>
            <w:tcBorders>
              <w:top w:val="single" w:sz="4" w:space="0" w:color="auto"/>
              <w:left w:val="nil"/>
              <w:bottom w:val="single" w:sz="4" w:space="0" w:color="auto"/>
              <w:right w:val="single" w:sz="4" w:space="0" w:color="auto"/>
            </w:tcBorders>
            <w:shd w:val="clear" w:color="auto" w:fill="auto"/>
            <w:vAlign w:val="center"/>
          </w:tcPr>
          <w:p w14:paraId="40AB3350" w14:textId="77777777" w:rsidR="00D63E98" w:rsidRDefault="00233BA3">
            <w:pPr>
              <w:pStyle w:val="TableText0"/>
            </w:pPr>
            <w:r>
              <w:t>1000.00</w:t>
            </w:r>
          </w:p>
        </w:tc>
        <w:tc>
          <w:tcPr>
            <w:tcW w:w="1565" w:type="pct"/>
            <w:tcBorders>
              <w:top w:val="single" w:sz="4" w:space="0" w:color="auto"/>
              <w:left w:val="nil"/>
              <w:bottom w:val="single" w:sz="4" w:space="0" w:color="auto"/>
              <w:right w:val="single" w:sz="4" w:space="0" w:color="auto"/>
            </w:tcBorders>
            <w:shd w:val="clear" w:color="auto" w:fill="auto"/>
            <w:vAlign w:val="center"/>
          </w:tcPr>
          <w:p w14:paraId="02DC5656" w14:textId="77777777" w:rsidR="00D63E98" w:rsidRDefault="00233BA3">
            <w:pPr>
              <w:pStyle w:val="TableText0"/>
            </w:pPr>
            <w:r>
              <w:t>525.00</w:t>
            </w:r>
          </w:p>
        </w:tc>
      </w:tr>
      <w:tr w:rsidR="00D63E98" w14:paraId="006F1ED3" w14:textId="77777777">
        <w:trPr>
          <w:trHeight w:val="266"/>
        </w:trPr>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56BF0B4A" w14:textId="77777777" w:rsidR="00D63E98" w:rsidRDefault="00233BA3">
            <w:pPr>
              <w:pStyle w:val="TableText0"/>
            </w:pPr>
            <w:r>
              <w:t>Range</w:t>
            </w:r>
          </w:p>
        </w:tc>
        <w:tc>
          <w:tcPr>
            <w:tcW w:w="1564" w:type="pct"/>
            <w:tcBorders>
              <w:top w:val="single" w:sz="4" w:space="0" w:color="auto"/>
              <w:left w:val="nil"/>
              <w:bottom w:val="single" w:sz="4" w:space="0" w:color="auto"/>
              <w:right w:val="single" w:sz="4" w:space="0" w:color="auto"/>
            </w:tcBorders>
            <w:shd w:val="clear" w:color="auto" w:fill="auto"/>
            <w:vAlign w:val="center"/>
          </w:tcPr>
          <w:p w14:paraId="7A20FBA2" w14:textId="77777777" w:rsidR="00D63E98" w:rsidRDefault="00233BA3">
            <w:pPr>
              <w:pStyle w:val="TableText0"/>
            </w:pPr>
            <w:r>
              <w:t>(700; 1000)</w:t>
            </w:r>
          </w:p>
        </w:tc>
        <w:tc>
          <w:tcPr>
            <w:tcW w:w="1565" w:type="pct"/>
            <w:tcBorders>
              <w:top w:val="single" w:sz="4" w:space="0" w:color="auto"/>
              <w:left w:val="nil"/>
              <w:bottom w:val="single" w:sz="4" w:space="0" w:color="auto"/>
              <w:right w:val="single" w:sz="4" w:space="0" w:color="auto"/>
            </w:tcBorders>
            <w:shd w:val="clear" w:color="auto" w:fill="auto"/>
            <w:vAlign w:val="center"/>
          </w:tcPr>
          <w:p w14:paraId="5E626951" w14:textId="77777777" w:rsidR="00D63E98" w:rsidRDefault="00233BA3">
            <w:pPr>
              <w:pStyle w:val="TableText0"/>
            </w:pPr>
            <w:r>
              <w:t>(350; 525)</w:t>
            </w:r>
          </w:p>
        </w:tc>
      </w:tr>
    </w:tbl>
    <w:p w14:paraId="41FE2253" w14:textId="77777777" w:rsidR="00D63E98" w:rsidRDefault="00233BA3">
      <w:pPr>
        <w:pStyle w:val="TableFigureFooter"/>
      </w:pPr>
      <w:r>
        <w:t>Source: Table 2.14, p67 of the submission. DB = double-blind phase of the trial.</w:t>
      </w:r>
    </w:p>
    <w:p w14:paraId="4D77A14B" w14:textId="0B2CABB5" w:rsidR="00D63E98" w:rsidRDefault="00233BA3">
      <w:pPr>
        <w:pStyle w:val="3-BodyText"/>
        <w:rPr>
          <w:iCs/>
        </w:rPr>
      </w:pPr>
      <w:r>
        <w:rPr>
          <w:iCs/>
        </w:rPr>
        <w:t>The dosing and duration of the proposed medicine and comparator matched the respective PIs. A high but similar proportion of patients across both trial arms received psychotropic medications, with &gt;</w:t>
      </w:r>
      <w:r w:rsidR="00D765EA">
        <w:t> </w:t>
      </w:r>
      <w:r>
        <w:rPr>
          <w:iCs/>
        </w:rPr>
        <w:t>85% of patients in either treatment arm having received at least one prior psychotropic medication.</w:t>
      </w:r>
    </w:p>
    <w:p w14:paraId="0173A912" w14:textId="77777777" w:rsidR="00D63E98" w:rsidRDefault="00233BA3">
      <w:pPr>
        <w:pStyle w:val="4-SubsectionHeading"/>
        <w:rPr>
          <w:lang w:val="en-US"/>
        </w:rPr>
      </w:pPr>
      <w:bookmarkStart w:id="17" w:name="_Toc93498356"/>
      <w:r>
        <w:t>Comparative effectiveness</w:t>
      </w:r>
      <w:bookmarkEnd w:id="17"/>
    </w:p>
    <w:p w14:paraId="4D29BD74" w14:textId="77777777" w:rsidR="00D63E98" w:rsidRDefault="00233BA3">
      <w:pPr>
        <w:pStyle w:val="3-BodyText"/>
        <w:rPr>
          <w:lang w:val="en-US"/>
        </w:rPr>
      </w:pPr>
      <w:r>
        <w:rPr>
          <w:lang w:val="en-US"/>
        </w:rPr>
        <w:t>The results of the trial are shown in the table below.</w:t>
      </w:r>
    </w:p>
    <w:p w14:paraId="5555E188" w14:textId="7DF8D26C" w:rsidR="00D63E98" w:rsidRDefault="00233BA3">
      <w:pPr>
        <w:pStyle w:val="Caption"/>
      </w:pPr>
      <w:r>
        <w:t xml:space="preserve">Table </w:t>
      </w:r>
      <w:fldSimple w:instr=" SEQ Table \* ARABIC ">
        <w:r w:rsidR="001149A2">
          <w:rPr>
            <w:noProof/>
          </w:rPr>
          <w:t>5</w:t>
        </w:r>
      </w:fldSimple>
      <w:r>
        <w:t>: Results for key outcomes in PSY3015</w:t>
      </w:r>
    </w:p>
    <w:tbl>
      <w:tblPr>
        <w:tblStyle w:val="TableGrid"/>
        <w:tblW w:w="5000" w:type="pct"/>
        <w:tblLook w:val="04A0" w:firstRow="1" w:lastRow="0" w:firstColumn="1" w:lastColumn="0" w:noHBand="0" w:noVBand="1"/>
        <w:tblCaption w:val="Table 5: Results for key outcomes in PSY3015"/>
        <w:tblDescription w:val="Table 5: Results for key outcomes in PSY3015"/>
      </w:tblPr>
      <w:tblGrid>
        <w:gridCol w:w="4445"/>
        <w:gridCol w:w="1396"/>
        <w:gridCol w:w="1524"/>
        <w:gridCol w:w="1652"/>
      </w:tblGrid>
      <w:tr w:rsidR="00D63E98" w14:paraId="7B4803F1" w14:textId="77777777">
        <w:tc>
          <w:tcPr>
            <w:tcW w:w="2465" w:type="pct"/>
          </w:tcPr>
          <w:p w14:paraId="5ABA1444" w14:textId="77777777" w:rsidR="00D63E98" w:rsidRDefault="00D63E98">
            <w:pPr>
              <w:pStyle w:val="TableFigureHeading"/>
            </w:pPr>
          </w:p>
        </w:tc>
        <w:tc>
          <w:tcPr>
            <w:tcW w:w="774" w:type="pct"/>
          </w:tcPr>
          <w:p w14:paraId="2FA86A31" w14:textId="77777777" w:rsidR="00D63E98" w:rsidRDefault="00233BA3">
            <w:pPr>
              <w:pStyle w:val="TableFigureHeading"/>
            </w:pPr>
            <w:r>
              <w:t>PP3M</w:t>
            </w:r>
          </w:p>
          <w:p w14:paraId="6AFEAC72" w14:textId="77777777" w:rsidR="00D63E98" w:rsidRDefault="00233BA3">
            <w:pPr>
              <w:pStyle w:val="TableFigureHeading"/>
            </w:pPr>
            <w:r>
              <w:t>N = 224</w:t>
            </w:r>
          </w:p>
        </w:tc>
        <w:tc>
          <w:tcPr>
            <w:tcW w:w="845" w:type="pct"/>
          </w:tcPr>
          <w:p w14:paraId="472A78AA" w14:textId="77777777" w:rsidR="00D63E98" w:rsidRDefault="00233BA3">
            <w:pPr>
              <w:pStyle w:val="TableFigureHeading"/>
            </w:pPr>
            <w:r>
              <w:t>PP6M</w:t>
            </w:r>
          </w:p>
          <w:p w14:paraId="4363F749" w14:textId="77777777" w:rsidR="00D63E98" w:rsidRDefault="00233BA3">
            <w:pPr>
              <w:pStyle w:val="TableFigureHeading"/>
            </w:pPr>
            <w:r>
              <w:t>N = 478</w:t>
            </w:r>
          </w:p>
        </w:tc>
        <w:tc>
          <w:tcPr>
            <w:tcW w:w="916" w:type="pct"/>
          </w:tcPr>
          <w:p w14:paraId="6D128A14" w14:textId="77777777" w:rsidR="00D63E98" w:rsidRDefault="00233BA3">
            <w:pPr>
              <w:pStyle w:val="TableFigureHeading"/>
            </w:pPr>
            <w:r>
              <w:t>Difference (95% CI)</w:t>
            </w:r>
          </w:p>
        </w:tc>
      </w:tr>
      <w:tr w:rsidR="00D63E98" w14:paraId="4BD13F88" w14:textId="77777777">
        <w:tc>
          <w:tcPr>
            <w:tcW w:w="2465" w:type="pct"/>
          </w:tcPr>
          <w:p w14:paraId="14CC3D4C" w14:textId="77777777" w:rsidR="00D63E98" w:rsidRDefault="00233BA3">
            <w:pPr>
              <w:pStyle w:val="TableText0"/>
            </w:pPr>
            <w:r>
              <w:t>Relapses, n (%)</w:t>
            </w:r>
          </w:p>
        </w:tc>
        <w:tc>
          <w:tcPr>
            <w:tcW w:w="774" w:type="pct"/>
          </w:tcPr>
          <w:p w14:paraId="7A58531D" w14:textId="77777777" w:rsidR="00D63E98" w:rsidRDefault="00233BA3">
            <w:pPr>
              <w:pStyle w:val="TableText0"/>
              <w:jc w:val="center"/>
            </w:pPr>
            <w:r>
              <w:t>11 (4.9%)</w:t>
            </w:r>
          </w:p>
        </w:tc>
        <w:tc>
          <w:tcPr>
            <w:tcW w:w="845" w:type="pct"/>
          </w:tcPr>
          <w:p w14:paraId="29797CD1" w14:textId="77777777" w:rsidR="00D63E98" w:rsidRDefault="00233BA3">
            <w:pPr>
              <w:pStyle w:val="TableText0"/>
              <w:jc w:val="center"/>
            </w:pPr>
            <w:r>
              <w:t>36 (7.5%)</w:t>
            </w:r>
          </w:p>
        </w:tc>
        <w:tc>
          <w:tcPr>
            <w:tcW w:w="916" w:type="pct"/>
          </w:tcPr>
          <w:p w14:paraId="34B62C60" w14:textId="77777777" w:rsidR="00D63E98" w:rsidRDefault="00233BA3">
            <w:pPr>
              <w:pStyle w:val="TableText0"/>
              <w:jc w:val="center"/>
            </w:pPr>
            <w:r>
              <w:t>NR</w:t>
            </w:r>
          </w:p>
        </w:tc>
      </w:tr>
      <w:tr w:rsidR="00D63E98" w14:paraId="736FA2E8" w14:textId="77777777">
        <w:tc>
          <w:tcPr>
            <w:tcW w:w="2465" w:type="pct"/>
          </w:tcPr>
          <w:p w14:paraId="357F2A62" w14:textId="77777777" w:rsidR="00D63E98" w:rsidRDefault="00233BA3">
            <w:pPr>
              <w:pStyle w:val="TableText0"/>
            </w:pPr>
            <w:r>
              <w:t xml:space="preserve">% Relapse Free </w:t>
            </w:r>
          </w:p>
        </w:tc>
        <w:tc>
          <w:tcPr>
            <w:tcW w:w="774" w:type="pct"/>
          </w:tcPr>
          <w:p w14:paraId="6A89D39B" w14:textId="77777777" w:rsidR="00D63E98" w:rsidRDefault="00233BA3">
            <w:pPr>
              <w:pStyle w:val="TableText0"/>
              <w:jc w:val="center"/>
            </w:pPr>
            <w:r>
              <w:t>94.8%</w:t>
            </w:r>
          </w:p>
        </w:tc>
        <w:tc>
          <w:tcPr>
            <w:tcW w:w="845" w:type="pct"/>
          </w:tcPr>
          <w:p w14:paraId="4487D1A0" w14:textId="77777777" w:rsidR="00D63E98" w:rsidRDefault="00233BA3">
            <w:pPr>
              <w:pStyle w:val="TableText0"/>
              <w:jc w:val="center"/>
            </w:pPr>
            <w:r>
              <w:t>91.9%</w:t>
            </w:r>
          </w:p>
        </w:tc>
        <w:tc>
          <w:tcPr>
            <w:tcW w:w="916" w:type="pct"/>
          </w:tcPr>
          <w:p w14:paraId="2981CBAE" w14:textId="77777777" w:rsidR="00D63E98" w:rsidRDefault="00233BA3">
            <w:pPr>
              <w:pStyle w:val="TableText0"/>
              <w:jc w:val="center"/>
            </w:pPr>
            <w:r>
              <w:t>-2.9% (-6.8, 1.1)</w:t>
            </w:r>
          </w:p>
        </w:tc>
      </w:tr>
      <w:tr w:rsidR="00D63E98" w14:paraId="7BACC56B" w14:textId="77777777">
        <w:tc>
          <w:tcPr>
            <w:tcW w:w="5000" w:type="pct"/>
            <w:gridSpan w:val="4"/>
            <w:vAlign w:val="center"/>
          </w:tcPr>
          <w:p w14:paraId="1CC9902D" w14:textId="77777777" w:rsidR="00D63E98" w:rsidRDefault="00233BA3">
            <w:pPr>
              <w:pStyle w:val="In-tableHeading"/>
            </w:pPr>
            <w:r>
              <w:t>Relapse defined by#</w:t>
            </w:r>
          </w:p>
        </w:tc>
      </w:tr>
      <w:tr w:rsidR="00D63E98" w14:paraId="0092980F" w14:textId="77777777">
        <w:tc>
          <w:tcPr>
            <w:tcW w:w="2465" w:type="pct"/>
          </w:tcPr>
          <w:p w14:paraId="2E1E871E" w14:textId="77777777" w:rsidR="00D63E98" w:rsidRDefault="00233BA3">
            <w:pPr>
              <w:pStyle w:val="TableText0"/>
            </w:pPr>
            <w:r>
              <w:t>Self-harm, Suicide or Violence</w:t>
            </w:r>
          </w:p>
          <w:p w14:paraId="64325D71" w14:textId="77777777" w:rsidR="00D63E98" w:rsidRDefault="00233BA3">
            <w:pPr>
              <w:pStyle w:val="TableText0"/>
            </w:pPr>
            <w:r>
              <w:t>Hospitalisation</w:t>
            </w:r>
          </w:p>
          <w:p w14:paraId="7B37A631" w14:textId="77777777" w:rsidR="00D63E98" w:rsidRDefault="00233BA3">
            <w:pPr>
              <w:pStyle w:val="TableText0"/>
            </w:pPr>
            <w:r>
              <w:t>Suicidal or Homicidal Ideation</w:t>
            </w:r>
          </w:p>
          <w:p w14:paraId="20EFA674" w14:textId="77777777" w:rsidR="00D63E98" w:rsidRDefault="00233BA3">
            <w:pPr>
              <w:pStyle w:val="TableText0"/>
            </w:pPr>
            <w:r>
              <w:t>Increase in PANSS Total Score</w:t>
            </w:r>
          </w:p>
        </w:tc>
        <w:tc>
          <w:tcPr>
            <w:tcW w:w="774" w:type="pct"/>
          </w:tcPr>
          <w:p w14:paraId="24D18556" w14:textId="77777777" w:rsidR="00D63E98" w:rsidRDefault="00233BA3">
            <w:pPr>
              <w:pStyle w:val="TableText0"/>
              <w:jc w:val="center"/>
            </w:pPr>
            <w:r>
              <w:t>0</w:t>
            </w:r>
          </w:p>
          <w:p w14:paraId="14F4FBE0" w14:textId="77777777" w:rsidR="00D63E98" w:rsidRDefault="00233BA3">
            <w:pPr>
              <w:pStyle w:val="TableText0"/>
              <w:jc w:val="center"/>
            </w:pPr>
            <w:r>
              <w:t>6 (2.7%)</w:t>
            </w:r>
          </w:p>
          <w:p w14:paraId="156F8CBB" w14:textId="77777777" w:rsidR="00D63E98" w:rsidRDefault="00233BA3">
            <w:pPr>
              <w:pStyle w:val="TableText0"/>
              <w:jc w:val="center"/>
            </w:pPr>
            <w:r>
              <w:t>1 (0.4%)</w:t>
            </w:r>
          </w:p>
          <w:p w14:paraId="737698EE" w14:textId="77777777" w:rsidR="00D63E98" w:rsidRDefault="00233BA3">
            <w:pPr>
              <w:pStyle w:val="TableText0"/>
              <w:jc w:val="center"/>
            </w:pPr>
            <w:r>
              <w:t>5 (2.2%)</w:t>
            </w:r>
          </w:p>
        </w:tc>
        <w:tc>
          <w:tcPr>
            <w:tcW w:w="845" w:type="pct"/>
          </w:tcPr>
          <w:p w14:paraId="27D5C8BD" w14:textId="77777777" w:rsidR="00D63E98" w:rsidRDefault="00233BA3">
            <w:pPr>
              <w:pStyle w:val="TableText0"/>
              <w:jc w:val="center"/>
            </w:pPr>
            <w:r>
              <w:t>1 (0.2%)</w:t>
            </w:r>
          </w:p>
          <w:p w14:paraId="4F82D240" w14:textId="77777777" w:rsidR="00D63E98" w:rsidRDefault="00233BA3">
            <w:pPr>
              <w:pStyle w:val="TableText0"/>
              <w:jc w:val="center"/>
            </w:pPr>
            <w:r>
              <w:t>11 (2.3%)</w:t>
            </w:r>
          </w:p>
          <w:p w14:paraId="68C8C80D" w14:textId="77777777" w:rsidR="00D63E98" w:rsidRDefault="00233BA3">
            <w:pPr>
              <w:pStyle w:val="TableText0"/>
              <w:jc w:val="center"/>
            </w:pPr>
            <w:r>
              <w:t>2 (0.4%)</w:t>
            </w:r>
          </w:p>
          <w:p w14:paraId="79AF7CA7" w14:textId="77777777" w:rsidR="00D63E98" w:rsidRDefault="00233BA3">
            <w:pPr>
              <w:pStyle w:val="TableText0"/>
              <w:jc w:val="center"/>
            </w:pPr>
            <w:r>
              <w:t>21 (4.4%)</w:t>
            </w:r>
          </w:p>
        </w:tc>
        <w:tc>
          <w:tcPr>
            <w:tcW w:w="916" w:type="pct"/>
          </w:tcPr>
          <w:p w14:paraId="5C4DFC04" w14:textId="77777777" w:rsidR="00D63E98" w:rsidRDefault="00D63E98">
            <w:pPr>
              <w:pStyle w:val="TableText0"/>
              <w:jc w:val="center"/>
            </w:pPr>
          </w:p>
          <w:p w14:paraId="36CA0E47" w14:textId="77777777" w:rsidR="00D63E98" w:rsidRDefault="00D63E98">
            <w:pPr>
              <w:pStyle w:val="TableText0"/>
              <w:jc w:val="center"/>
            </w:pPr>
          </w:p>
        </w:tc>
      </w:tr>
      <w:tr w:rsidR="00D63E98" w14:paraId="3A01789F" w14:textId="77777777">
        <w:tc>
          <w:tcPr>
            <w:tcW w:w="5000" w:type="pct"/>
            <w:gridSpan w:val="4"/>
            <w:vAlign w:val="center"/>
          </w:tcPr>
          <w:p w14:paraId="12E017E5" w14:textId="77777777" w:rsidR="00D63E98" w:rsidRDefault="00233BA3">
            <w:pPr>
              <w:pStyle w:val="In-tableHeading"/>
            </w:pPr>
            <w:r>
              <w:t>PANSS Total Score - Change from Baseline to 52 weeks</w:t>
            </w:r>
          </w:p>
        </w:tc>
      </w:tr>
      <w:tr w:rsidR="00D63E98" w14:paraId="27A3FB42" w14:textId="77777777">
        <w:tc>
          <w:tcPr>
            <w:tcW w:w="2465" w:type="pct"/>
          </w:tcPr>
          <w:p w14:paraId="657D353A" w14:textId="77777777" w:rsidR="00D63E98" w:rsidRDefault="00233BA3">
            <w:pPr>
              <w:pStyle w:val="TableText0"/>
            </w:pPr>
            <w:r>
              <w:t>Mean (SD)</w:t>
            </w:r>
          </w:p>
          <w:p w14:paraId="0F6FE2EA" w14:textId="77777777" w:rsidR="00D63E98" w:rsidRDefault="00233BA3">
            <w:pPr>
              <w:pStyle w:val="TableText0"/>
            </w:pPr>
            <w:r>
              <w:t>Median (range)</w:t>
            </w:r>
          </w:p>
        </w:tc>
        <w:tc>
          <w:tcPr>
            <w:tcW w:w="774" w:type="pct"/>
          </w:tcPr>
          <w:p w14:paraId="5260F39D" w14:textId="77777777" w:rsidR="00D63E98" w:rsidRDefault="00233BA3">
            <w:pPr>
              <w:pStyle w:val="TableText0"/>
              <w:jc w:val="center"/>
            </w:pPr>
            <w:r>
              <w:t>-1.6 (7.4)</w:t>
            </w:r>
          </w:p>
          <w:p w14:paraId="6C6EA83F" w14:textId="77777777" w:rsidR="00D63E98" w:rsidRDefault="00233BA3">
            <w:pPr>
              <w:pStyle w:val="TableText0"/>
              <w:jc w:val="center"/>
            </w:pPr>
            <w:r>
              <w:t>-2.0 (-20-45)</w:t>
            </w:r>
          </w:p>
        </w:tc>
        <w:tc>
          <w:tcPr>
            <w:tcW w:w="845" w:type="pct"/>
          </w:tcPr>
          <w:p w14:paraId="6C396D66" w14:textId="77777777" w:rsidR="00D63E98" w:rsidRDefault="00233BA3">
            <w:pPr>
              <w:pStyle w:val="TableText0"/>
              <w:jc w:val="center"/>
            </w:pPr>
            <w:r>
              <w:t>-1.8 (8.9)</w:t>
            </w:r>
          </w:p>
          <w:p w14:paraId="7226CD46" w14:textId="77777777" w:rsidR="00D63E98" w:rsidRDefault="00233BA3">
            <w:pPr>
              <w:pStyle w:val="TableText0"/>
              <w:jc w:val="center"/>
            </w:pPr>
            <w:r>
              <w:t>-3.0 (-22-79)</w:t>
            </w:r>
          </w:p>
        </w:tc>
        <w:tc>
          <w:tcPr>
            <w:tcW w:w="916" w:type="pct"/>
          </w:tcPr>
          <w:p w14:paraId="559DF3EF" w14:textId="77777777" w:rsidR="00D63E98" w:rsidRDefault="00233BA3">
            <w:pPr>
              <w:pStyle w:val="TableText0"/>
              <w:jc w:val="center"/>
            </w:pPr>
            <w:r>
              <w:t>-0.1 (-1.44, 1.19)</w:t>
            </w:r>
          </w:p>
        </w:tc>
      </w:tr>
      <w:tr w:rsidR="00D63E98" w14:paraId="4202BF5B" w14:textId="77777777">
        <w:tc>
          <w:tcPr>
            <w:tcW w:w="5000" w:type="pct"/>
            <w:gridSpan w:val="4"/>
            <w:vAlign w:val="center"/>
          </w:tcPr>
          <w:p w14:paraId="58EAC7E0" w14:textId="77777777" w:rsidR="00D63E98" w:rsidRDefault="00233BA3">
            <w:pPr>
              <w:pStyle w:val="In-tableHeading"/>
            </w:pPr>
            <w:r>
              <w:t>Clinical Global Impression of Severity (CGI-S) - Change from Baseline to 52 weeks</w:t>
            </w:r>
          </w:p>
        </w:tc>
      </w:tr>
      <w:tr w:rsidR="00D63E98" w14:paraId="22488B55" w14:textId="77777777">
        <w:tc>
          <w:tcPr>
            <w:tcW w:w="2465" w:type="pct"/>
          </w:tcPr>
          <w:p w14:paraId="7E73DDDF" w14:textId="77777777" w:rsidR="00D63E98" w:rsidRDefault="00233BA3">
            <w:pPr>
              <w:pStyle w:val="TableText0"/>
            </w:pPr>
            <w:r>
              <w:t>Mean (SD)</w:t>
            </w:r>
          </w:p>
          <w:p w14:paraId="3E13AFB8" w14:textId="77777777" w:rsidR="00D63E98" w:rsidRDefault="00233BA3">
            <w:pPr>
              <w:pStyle w:val="TableText0"/>
            </w:pPr>
            <w:r>
              <w:t>Median (range)</w:t>
            </w:r>
          </w:p>
        </w:tc>
        <w:tc>
          <w:tcPr>
            <w:tcW w:w="774" w:type="pct"/>
          </w:tcPr>
          <w:p w14:paraId="1448FB7D" w14:textId="77777777" w:rsidR="00D63E98" w:rsidRDefault="00233BA3">
            <w:pPr>
              <w:pStyle w:val="TableText0"/>
              <w:jc w:val="center"/>
            </w:pPr>
            <w:r>
              <w:t>0.0 (0.63)</w:t>
            </w:r>
          </w:p>
          <w:p w14:paraId="4EE4B57D" w14:textId="77777777" w:rsidR="00D63E98" w:rsidRDefault="00233BA3">
            <w:pPr>
              <w:pStyle w:val="TableText0"/>
              <w:jc w:val="center"/>
            </w:pPr>
            <w:r>
              <w:t>0.0 (-2-3)</w:t>
            </w:r>
          </w:p>
        </w:tc>
        <w:tc>
          <w:tcPr>
            <w:tcW w:w="845" w:type="pct"/>
          </w:tcPr>
          <w:p w14:paraId="37135666" w14:textId="77777777" w:rsidR="00D63E98" w:rsidRDefault="00233BA3">
            <w:pPr>
              <w:pStyle w:val="TableText0"/>
              <w:jc w:val="center"/>
            </w:pPr>
            <w:r>
              <w:t>0.0 (0.7)</w:t>
            </w:r>
          </w:p>
          <w:p w14:paraId="7BE666A9" w14:textId="77777777" w:rsidR="00D63E98" w:rsidRDefault="00233BA3">
            <w:pPr>
              <w:pStyle w:val="TableText0"/>
              <w:jc w:val="center"/>
            </w:pPr>
            <w:r>
              <w:t>0.0 (-2-5)</w:t>
            </w:r>
          </w:p>
        </w:tc>
        <w:tc>
          <w:tcPr>
            <w:tcW w:w="916" w:type="pct"/>
          </w:tcPr>
          <w:p w14:paraId="50FD58E8" w14:textId="77777777" w:rsidR="00D63E98" w:rsidRDefault="00233BA3">
            <w:pPr>
              <w:pStyle w:val="TableText0"/>
              <w:jc w:val="center"/>
            </w:pPr>
            <w:r>
              <w:t>0.0 (-0.11, 0.09)</w:t>
            </w:r>
          </w:p>
        </w:tc>
      </w:tr>
      <w:tr w:rsidR="00D63E98" w14:paraId="6C2CBDF5" w14:textId="77777777">
        <w:tc>
          <w:tcPr>
            <w:tcW w:w="5000" w:type="pct"/>
            <w:gridSpan w:val="4"/>
            <w:vAlign w:val="center"/>
          </w:tcPr>
          <w:p w14:paraId="5416078E" w14:textId="77777777" w:rsidR="00D63E98" w:rsidRDefault="00233BA3">
            <w:pPr>
              <w:pStyle w:val="In-tableHeading"/>
            </w:pPr>
            <w:r>
              <w:t>Personal &amp; Social Performance Scale (PSP) - Change from Baseline to 52 weeks</w:t>
            </w:r>
          </w:p>
        </w:tc>
      </w:tr>
      <w:tr w:rsidR="00D63E98" w14:paraId="116E39D2" w14:textId="77777777">
        <w:tc>
          <w:tcPr>
            <w:tcW w:w="2465" w:type="pct"/>
          </w:tcPr>
          <w:p w14:paraId="0B804503" w14:textId="77777777" w:rsidR="00D63E98" w:rsidRDefault="00233BA3">
            <w:pPr>
              <w:pStyle w:val="TableText0"/>
            </w:pPr>
            <w:r>
              <w:t>Mean (SD)</w:t>
            </w:r>
          </w:p>
          <w:p w14:paraId="52E431DF" w14:textId="77777777" w:rsidR="00D63E98" w:rsidRDefault="00233BA3">
            <w:pPr>
              <w:pStyle w:val="TableText0"/>
            </w:pPr>
            <w:r>
              <w:t>Median (range)</w:t>
            </w:r>
          </w:p>
        </w:tc>
        <w:tc>
          <w:tcPr>
            <w:tcW w:w="774" w:type="pct"/>
          </w:tcPr>
          <w:p w14:paraId="175A112E" w14:textId="77777777" w:rsidR="00D63E98" w:rsidRDefault="00233BA3">
            <w:pPr>
              <w:pStyle w:val="TableText0"/>
              <w:jc w:val="center"/>
            </w:pPr>
            <w:r>
              <w:t>1.1 (8.11)</w:t>
            </w:r>
          </w:p>
          <w:p w14:paraId="7551CB07" w14:textId="77777777" w:rsidR="00D63E98" w:rsidRDefault="00233BA3">
            <w:pPr>
              <w:pStyle w:val="TableText0"/>
              <w:jc w:val="center"/>
            </w:pPr>
            <w:r>
              <w:t>0.0 (-30-25)</w:t>
            </w:r>
          </w:p>
        </w:tc>
        <w:tc>
          <w:tcPr>
            <w:tcW w:w="845" w:type="pct"/>
          </w:tcPr>
          <w:p w14:paraId="5DE6CA05" w14:textId="77777777" w:rsidR="00D63E98" w:rsidRDefault="00233BA3">
            <w:pPr>
              <w:pStyle w:val="TableText0"/>
              <w:jc w:val="center"/>
            </w:pPr>
            <w:r>
              <w:t>1.0 (7.1)</w:t>
            </w:r>
          </w:p>
          <w:p w14:paraId="79E11308" w14:textId="77777777" w:rsidR="00D63E98" w:rsidRDefault="00233BA3">
            <w:pPr>
              <w:pStyle w:val="TableText0"/>
              <w:jc w:val="center"/>
            </w:pPr>
            <w:r>
              <w:t>-0.2 (-41-23)</w:t>
            </w:r>
          </w:p>
        </w:tc>
        <w:tc>
          <w:tcPr>
            <w:tcW w:w="916" w:type="pct"/>
          </w:tcPr>
          <w:p w14:paraId="4AA4055A" w14:textId="77777777" w:rsidR="00D63E98" w:rsidRDefault="00233BA3">
            <w:pPr>
              <w:pStyle w:val="TableText0"/>
              <w:jc w:val="center"/>
            </w:pPr>
            <w:r>
              <w:t>-0.2 (-1.27, 0.97)</w:t>
            </w:r>
          </w:p>
        </w:tc>
      </w:tr>
    </w:tbl>
    <w:p w14:paraId="4CACE4E3" w14:textId="77777777" w:rsidR="00D63E98" w:rsidRDefault="00233BA3">
      <w:pPr>
        <w:pStyle w:val="TableFigureFooter"/>
        <w:rPr>
          <w:rFonts w:eastAsiaTheme="majorEastAsia"/>
        </w:rPr>
      </w:pPr>
      <w:r>
        <w:rPr>
          <w:rFonts w:eastAsiaTheme="majorEastAsia"/>
        </w:rPr>
        <w:t>Source: Table 19, CSR p93; Table 20, CSR p95; Table 26, CSR pp105-6; NR = not reported</w:t>
      </w:r>
    </w:p>
    <w:p w14:paraId="1FD5A9C4" w14:textId="77777777" w:rsidR="00D63E98" w:rsidRDefault="00233BA3">
      <w:pPr>
        <w:pStyle w:val="TableFigureFooter"/>
        <w:rPr>
          <w:rFonts w:eastAsiaTheme="majorEastAsia"/>
        </w:rPr>
      </w:pPr>
      <w:r>
        <w:rPr>
          <w:rFonts w:eastAsiaTheme="majorEastAsia"/>
        </w:rPr>
        <w:t># Reasons are non-exclusive.</w:t>
      </w:r>
    </w:p>
    <w:p w14:paraId="62DE7AC0" w14:textId="77777777" w:rsidR="00D63E98" w:rsidRDefault="00233BA3">
      <w:pPr>
        <w:pStyle w:val="3-BodyText"/>
      </w:pPr>
      <w:r>
        <w:t xml:space="preserve">The proportion of patients who were relapse-free after 12 months was 91.9% in the PP6M group and 94.8% in the PP3M group. The submission stated that as the lower bound of the 95% CI (-6.8%) was greater than the pre-specified non-inferiority margin of -10%, PP6M is non-inferior to PP3M for the proportion of patients who remain relapse-free at 12 months. The PBAC noted that the pre-specific non-inferiority margin was </w:t>
      </w:r>
      <w:proofErr w:type="gramStart"/>
      <w:r>
        <w:t>met, and</w:t>
      </w:r>
      <w:proofErr w:type="gramEnd"/>
      <w:r>
        <w:t xml:space="preserve"> considered that PP6M was non-inferior to PP3M in terms of the proportion of patients who were relapse-free after 12 months.</w:t>
      </w:r>
    </w:p>
    <w:p w14:paraId="0C17FA95" w14:textId="77777777" w:rsidR="00D63E98" w:rsidRDefault="00233BA3">
      <w:pPr>
        <w:pStyle w:val="3-BodyText"/>
      </w:pPr>
      <w:r>
        <w:t>The mean (SD) change in PANSS total scores was -1.8 (8.92) in the PP6M group and -1.6 (7.40) in the PP3M group and the difference of the LS means (95% CI) between the treatment groups (PP6M-PP3M) in PANSS total scores was -0.1 (-1.44, 1.19), supporting the claim of non-inferiority. The results were consistent across the doses tested and across the subgroups examined in the trial.</w:t>
      </w:r>
    </w:p>
    <w:p w14:paraId="0EF4F003" w14:textId="77777777" w:rsidR="00D63E98" w:rsidRDefault="00233BA3">
      <w:pPr>
        <w:pStyle w:val="3-BodyText"/>
        <w:rPr>
          <w:iCs/>
        </w:rPr>
      </w:pPr>
      <w:r>
        <w:rPr>
          <w:iCs/>
        </w:rPr>
        <w:t xml:space="preserve">The results from the PSY3015 study were highly </w:t>
      </w:r>
      <w:proofErr w:type="gramStart"/>
      <w:r>
        <w:rPr>
          <w:iCs/>
        </w:rPr>
        <w:t>similar to</w:t>
      </w:r>
      <w:proofErr w:type="gramEnd"/>
      <w:r>
        <w:rPr>
          <w:iCs/>
        </w:rPr>
        <w:t xml:space="preserve"> those of the PSY3011 study, which compared PP1M to PP3M and was considered by the PBAC at its November 2016 meeting (paragraph 6.6, PP3M, PSD, November 2016 PBAC meeting). The PBAC noted that there did not appear to be material differences in the effectiveness of PP1M, PP3M and PP6M: the proportion of patients taking PP6M who were relapse-free in the PSY3015 study (91.9%) was </w:t>
      </w:r>
      <w:proofErr w:type="gramStart"/>
      <w:r>
        <w:rPr>
          <w:iCs/>
        </w:rPr>
        <w:t>similar to</w:t>
      </w:r>
      <w:proofErr w:type="gramEnd"/>
      <w:r>
        <w:rPr>
          <w:iCs/>
        </w:rPr>
        <w:t xml:space="preserve"> that of the PSY3011 study (PP1M 90.0%, PP3M 91.5%); the difference in favour of PP3M in the PSY3015 study was due to a slightly better result with PP3M in the PSY3015 study (94.8% vs 91.5%).</w:t>
      </w:r>
    </w:p>
    <w:p w14:paraId="65A85A4F" w14:textId="77777777" w:rsidR="00D63E98" w:rsidRDefault="00233BA3">
      <w:pPr>
        <w:pStyle w:val="4-SubsectionHeading"/>
      </w:pPr>
      <w:bookmarkStart w:id="18" w:name="_Toc22897642"/>
      <w:bookmarkStart w:id="19" w:name="_Toc93498357"/>
      <w:r>
        <w:t>Comparative harms</w:t>
      </w:r>
      <w:bookmarkEnd w:id="18"/>
      <w:bookmarkEnd w:id="19"/>
    </w:p>
    <w:p w14:paraId="069D83E3" w14:textId="77777777" w:rsidR="00D63E98" w:rsidRDefault="00233BA3">
      <w:pPr>
        <w:pStyle w:val="3-BodyText"/>
        <w:rPr>
          <w:iCs/>
        </w:rPr>
      </w:pPr>
      <w:r>
        <w:t>The adverse events as reported in the trial are shown below.</w:t>
      </w:r>
    </w:p>
    <w:p w14:paraId="63D94041" w14:textId="500A5A4F" w:rsidR="00D63E98" w:rsidRDefault="00233BA3">
      <w:pPr>
        <w:pStyle w:val="Caption"/>
      </w:pPr>
      <w:r>
        <w:t xml:space="preserve">Table </w:t>
      </w:r>
      <w:fldSimple w:instr=" SEQ Table \* ARABIC ">
        <w:r w:rsidR="001149A2">
          <w:rPr>
            <w:noProof/>
          </w:rPr>
          <w:t>6</w:t>
        </w:r>
      </w:fldSimple>
      <w:r>
        <w:t>: Summary of key adverse events in PSY3015</w:t>
      </w:r>
    </w:p>
    <w:tbl>
      <w:tblPr>
        <w:tblStyle w:val="TableGrid"/>
        <w:tblW w:w="5000" w:type="pct"/>
        <w:tblLook w:val="04A0" w:firstRow="1" w:lastRow="0" w:firstColumn="1" w:lastColumn="0" w:noHBand="0" w:noVBand="1"/>
        <w:tblCaption w:val="Table 6: Summary of key adverse events in PSY3015"/>
        <w:tblDescription w:val="Table 6: Summary of key adverse events in PSY3015"/>
      </w:tblPr>
      <w:tblGrid>
        <w:gridCol w:w="4390"/>
        <w:gridCol w:w="1560"/>
        <w:gridCol w:w="1558"/>
        <w:gridCol w:w="1509"/>
      </w:tblGrid>
      <w:tr w:rsidR="00D63E98" w14:paraId="6A86A565" w14:textId="77777777">
        <w:tc>
          <w:tcPr>
            <w:tcW w:w="2434" w:type="pct"/>
            <w:vAlign w:val="center"/>
          </w:tcPr>
          <w:p w14:paraId="2082DE93" w14:textId="77777777" w:rsidR="00D63E98" w:rsidRDefault="00D63E98">
            <w:pPr>
              <w:pStyle w:val="In-tableHeading"/>
            </w:pPr>
          </w:p>
        </w:tc>
        <w:tc>
          <w:tcPr>
            <w:tcW w:w="865" w:type="pct"/>
            <w:vAlign w:val="center"/>
          </w:tcPr>
          <w:p w14:paraId="57A16286" w14:textId="77777777" w:rsidR="00D63E98" w:rsidRDefault="00233BA3">
            <w:pPr>
              <w:pStyle w:val="In-tableHeading"/>
              <w:jc w:val="center"/>
            </w:pPr>
            <w:r>
              <w:t>OL Phase</w:t>
            </w:r>
          </w:p>
          <w:p w14:paraId="654DA690" w14:textId="77777777" w:rsidR="00D63E98" w:rsidRDefault="00233BA3">
            <w:pPr>
              <w:pStyle w:val="In-tableHeading"/>
              <w:jc w:val="center"/>
            </w:pPr>
            <w:r>
              <w:t>N = 838</w:t>
            </w:r>
          </w:p>
        </w:tc>
        <w:tc>
          <w:tcPr>
            <w:tcW w:w="864" w:type="pct"/>
            <w:vAlign w:val="center"/>
          </w:tcPr>
          <w:p w14:paraId="6EFBD420" w14:textId="77777777" w:rsidR="00D63E98" w:rsidRDefault="00233BA3">
            <w:pPr>
              <w:pStyle w:val="In-tableHeading"/>
              <w:jc w:val="center"/>
            </w:pPr>
            <w:r>
              <w:t>PP3M DB Phase</w:t>
            </w:r>
          </w:p>
          <w:p w14:paraId="4E05CC74" w14:textId="77777777" w:rsidR="00D63E98" w:rsidRDefault="00233BA3">
            <w:pPr>
              <w:pStyle w:val="In-tableHeading"/>
              <w:jc w:val="center"/>
            </w:pPr>
            <w:r>
              <w:t>N = 224</w:t>
            </w:r>
          </w:p>
        </w:tc>
        <w:tc>
          <w:tcPr>
            <w:tcW w:w="837" w:type="pct"/>
            <w:vAlign w:val="center"/>
          </w:tcPr>
          <w:p w14:paraId="4F816FA8" w14:textId="77777777" w:rsidR="00D63E98" w:rsidRDefault="00233BA3">
            <w:pPr>
              <w:pStyle w:val="In-tableHeading"/>
              <w:jc w:val="center"/>
            </w:pPr>
            <w:r>
              <w:t>PP6M DB Phase</w:t>
            </w:r>
          </w:p>
          <w:p w14:paraId="33A560FD" w14:textId="77777777" w:rsidR="00D63E98" w:rsidRDefault="00233BA3">
            <w:pPr>
              <w:pStyle w:val="In-tableHeading"/>
              <w:jc w:val="center"/>
            </w:pPr>
            <w:r>
              <w:t>N = 478</w:t>
            </w:r>
          </w:p>
        </w:tc>
      </w:tr>
      <w:tr w:rsidR="00D63E98" w14:paraId="218C4DB3" w14:textId="77777777">
        <w:tc>
          <w:tcPr>
            <w:tcW w:w="2434" w:type="pct"/>
            <w:vAlign w:val="center"/>
          </w:tcPr>
          <w:p w14:paraId="4A840B94" w14:textId="77777777" w:rsidR="00D63E98" w:rsidRDefault="00233BA3">
            <w:pPr>
              <w:pStyle w:val="TableText0"/>
            </w:pPr>
            <w:r>
              <w:t>All TEAE, n (%)</w:t>
            </w:r>
          </w:p>
        </w:tc>
        <w:tc>
          <w:tcPr>
            <w:tcW w:w="865" w:type="pct"/>
            <w:vAlign w:val="center"/>
          </w:tcPr>
          <w:p w14:paraId="46BCF838" w14:textId="77777777" w:rsidR="00D63E98" w:rsidRDefault="00233BA3">
            <w:pPr>
              <w:pStyle w:val="TableText0"/>
              <w:jc w:val="center"/>
            </w:pPr>
            <w:r>
              <w:t>341 (40.7%)</w:t>
            </w:r>
          </w:p>
        </w:tc>
        <w:tc>
          <w:tcPr>
            <w:tcW w:w="864" w:type="pct"/>
            <w:vAlign w:val="center"/>
          </w:tcPr>
          <w:p w14:paraId="5A8B52CF" w14:textId="77777777" w:rsidR="00D63E98" w:rsidRDefault="00233BA3">
            <w:pPr>
              <w:pStyle w:val="TableText0"/>
              <w:jc w:val="center"/>
            </w:pPr>
            <w:r>
              <w:t>131 (58.5%)</w:t>
            </w:r>
          </w:p>
        </w:tc>
        <w:tc>
          <w:tcPr>
            <w:tcW w:w="837" w:type="pct"/>
            <w:vAlign w:val="center"/>
          </w:tcPr>
          <w:p w14:paraId="2DF4C091" w14:textId="77777777" w:rsidR="00D63E98" w:rsidRDefault="00233BA3">
            <w:pPr>
              <w:pStyle w:val="TableText0"/>
              <w:jc w:val="center"/>
            </w:pPr>
            <w:r>
              <w:t>297 (62.1%)</w:t>
            </w:r>
          </w:p>
        </w:tc>
      </w:tr>
      <w:tr w:rsidR="00D63E98" w14:paraId="33B55AB9" w14:textId="77777777">
        <w:tc>
          <w:tcPr>
            <w:tcW w:w="2434" w:type="pct"/>
            <w:vAlign w:val="center"/>
          </w:tcPr>
          <w:p w14:paraId="1E8D8965" w14:textId="77777777" w:rsidR="00D63E98" w:rsidRDefault="00233BA3">
            <w:pPr>
              <w:pStyle w:val="TableText0"/>
            </w:pPr>
            <w:r>
              <w:t>Serious TEAE, n (%)</w:t>
            </w:r>
          </w:p>
        </w:tc>
        <w:tc>
          <w:tcPr>
            <w:tcW w:w="865" w:type="pct"/>
            <w:vAlign w:val="center"/>
          </w:tcPr>
          <w:p w14:paraId="36DCB877" w14:textId="77777777" w:rsidR="00D63E98" w:rsidRDefault="00233BA3">
            <w:pPr>
              <w:pStyle w:val="TableText0"/>
              <w:jc w:val="center"/>
            </w:pPr>
            <w:r>
              <w:t>23 (2.7%)</w:t>
            </w:r>
          </w:p>
        </w:tc>
        <w:tc>
          <w:tcPr>
            <w:tcW w:w="864" w:type="pct"/>
            <w:vAlign w:val="center"/>
          </w:tcPr>
          <w:p w14:paraId="4C9D7FBA" w14:textId="77777777" w:rsidR="00D63E98" w:rsidRDefault="00233BA3">
            <w:pPr>
              <w:pStyle w:val="TableText0"/>
              <w:jc w:val="center"/>
            </w:pPr>
            <w:r>
              <w:t>15 (6.7%)</w:t>
            </w:r>
          </w:p>
        </w:tc>
        <w:tc>
          <w:tcPr>
            <w:tcW w:w="837" w:type="pct"/>
            <w:vAlign w:val="center"/>
          </w:tcPr>
          <w:p w14:paraId="5139DBE2" w14:textId="77777777" w:rsidR="00D63E98" w:rsidRDefault="00233BA3">
            <w:pPr>
              <w:pStyle w:val="TableText0"/>
              <w:jc w:val="center"/>
            </w:pPr>
            <w:r>
              <w:t>24 (5.0%)</w:t>
            </w:r>
          </w:p>
        </w:tc>
      </w:tr>
      <w:tr w:rsidR="00D63E98" w14:paraId="6E8A9D6A" w14:textId="77777777">
        <w:tc>
          <w:tcPr>
            <w:tcW w:w="2434" w:type="pct"/>
            <w:vAlign w:val="center"/>
          </w:tcPr>
          <w:p w14:paraId="4F663B14" w14:textId="77777777" w:rsidR="00D63E98" w:rsidRDefault="00233BA3">
            <w:pPr>
              <w:pStyle w:val="TableText0"/>
            </w:pPr>
            <w:r>
              <w:t>TEAE Leading to Treatment Withdrawal, n (%)</w:t>
            </w:r>
          </w:p>
        </w:tc>
        <w:tc>
          <w:tcPr>
            <w:tcW w:w="865" w:type="pct"/>
            <w:vAlign w:val="center"/>
          </w:tcPr>
          <w:p w14:paraId="1FF5603C" w14:textId="77777777" w:rsidR="00D63E98" w:rsidRDefault="00233BA3">
            <w:pPr>
              <w:pStyle w:val="TableText0"/>
              <w:jc w:val="center"/>
            </w:pPr>
            <w:r>
              <w:t>31 (3.7%)</w:t>
            </w:r>
          </w:p>
        </w:tc>
        <w:tc>
          <w:tcPr>
            <w:tcW w:w="864" w:type="pct"/>
            <w:vAlign w:val="center"/>
          </w:tcPr>
          <w:p w14:paraId="23799BD7" w14:textId="77777777" w:rsidR="00D63E98" w:rsidRDefault="00233BA3">
            <w:pPr>
              <w:pStyle w:val="TableText0"/>
              <w:jc w:val="center"/>
            </w:pPr>
            <w:r>
              <w:t>6 (2.7%)</w:t>
            </w:r>
          </w:p>
        </w:tc>
        <w:tc>
          <w:tcPr>
            <w:tcW w:w="837" w:type="pct"/>
            <w:vAlign w:val="center"/>
          </w:tcPr>
          <w:p w14:paraId="0B5C49DF" w14:textId="77777777" w:rsidR="00D63E98" w:rsidRDefault="00233BA3">
            <w:pPr>
              <w:pStyle w:val="TableText0"/>
              <w:jc w:val="center"/>
            </w:pPr>
            <w:r>
              <w:t>16 (3.3%)</w:t>
            </w:r>
          </w:p>
        </w:tc>
      </w:tr>
      <w:tr w:rsidR="00D63E98" w14:paraId="7AAC5782" w14:textId="77777777">
        <w:tc>
          <w:tcPr>
            <w:tcW w:w="2434" w:type="pct"/>
            <w:vAlign w:val="center"/>
          </w:tcPr>
          <w:p w14:paraId="56C5EE8E" w14:textId="77777777" w:rsidR="00D63E98" w:rsidRDefault="00233BA3">
            <w:pPr>
              <w:pStyle w:val="TableText0"/>
            </w:pPr>
            <w:r>
              <w:t>TEAE Leading to Death, n (%)</w:t>
            </w:r>
          </w:p>
        </w:tc>
        <w:tc>
          <w:tcPr>
            <w:tcW w:w="865" w:type="pct"/>
            <w:vAlign w:val="center"/>
          </w:tcPr>
          <w:p w14:paraId="025DB1F4" w14:textId="77777777" w:rsidR="00D63E98" w:rsidRDefault="00233BA3">
            <w:pPr>
              <w:pStyle w:val="TableText0"/>
              <w:jc w:val="center"/>
            </w:pPr>
            <w:r>
              <w:t>1 (0.1%)</w:t>
            </w:r>
          </w:p>
        </w:tc>
        <w:tc>
          <w:tcPr>
            <w:tcW w:w="864" w:type="pct"/>
            <w:vAlign w:val="center"/>
          </w:tcPr>
          <w:p w14:paraId="5F80947D" w14:textId="77777777" w:rsidR="00D63E98" w:rsidRDefault="00233BA3">
            <w:pPr>
              <w:pStyle w:val="TableText0"/>
              <w:jc w:val="center"/>
            </w:pPr>
            <w:r>
              <w:t>2 (0.9%)</w:t>
            </w:r>
          </w:p>
        </w:tc>
        <w:tc>
          <w:tcPr>
            <w:tcW w:w="837" w:type="pct"/>
            <w:vAlign w:val="center"/>
          </w:tcPr>
          <w:p w14:paraId="62CD57C0" w14:textId="77777777" w:rsidR="00D63E98" w:rsidRDefault="00233BA3">
            <w:pPr>
              <w:pStyle w:val="TableText0"/>
              <w:jc w:val="center"/>
            </w:pPr>
            <w:r>
              <w:t>1 (0.2%)</w:t>
            </w:r>
          </w:p>
        </w:tc>
      </w:tr>
      <w:tr w:rsidR="00D63E98" w14:paraId="3DA7F8AF" w14:textId="77777777">
        <w:tc>
          <w:tcPr>
            <w:tcW w:w="2434" w:type="pct"/>
            <w:vAlign w:val="center"/>
          </w:tcPr>
          <w:p w14:paraId="40A6129C" w14:textId="77777777" w:rsidR="00D63E98" w:rsidRDefault="00233BA3">
            <w:pPr>
              <w:pStyle w:val="TableText0"/>
            </w:pPr>
            <w:r>
              <w:t>Injection Site Pain</w:t>
            </w:r>
          </w:p>
        </w:tc>
        <w:tc>
          <w:tcPr>
            <w:tcW w:w="865" w:type="pct"/>
            <w:vAlign w:val="center"/>
          </w:tcPr>
          <w:p w14:paraId="3E24B23B" w14:textId="77777777" w:rsidR="00D63E98" w:rsidRDefault="00233BA3">
            <w:pPr>
              <w:pStyle w:val="TableText0"/>
              <w:jc w:val="center"/>
            </w:pPr>
            <w:r>
              <w:t>72 (8.6%)</w:t>
            </w:r>
          </w:p>
        </w:tc>
        <w:tc>
          <w:tcPr>
            <w:tcW w:w="864" w:type="pct"/>
            <w:vAlign w:val="center"/>
          </w:tcPr>
          <w:p w14:paraId="20D646D2" w14:textId="77777777" w:rsidR="00D63E98" w:rsidRDefault="00233BA3">
            <w:pPr>
              <w:pStyle w:val="TableText0"/>
              <w:jc w:val="center"/>
            </w:pPr>
            <w:r>
              <w:t>9 (4.0%)</w:t>
            </w:r>
          </w:p>
        </w:tc>
        <w:tc>
          <w:tcPr>
            <w:tcW w:w="837" w:type="pct"/>
            <w:vAlign w:val="center"/>
          </w:tcPr>
          <w:p w14:paraId="5767A168" w14:textId="77777777" w:rsidR="00D63E98" w:rsidRDefault="00233BA3">
            <w:pPr>
              <w:pStyle w:val="TableText0"/>
              <w:jc w:val="center"/>
            </w:pPr>
            <w:r>
              <w:t>37 (7.7%)</w:t>
            </w:r>
          </w:p>
        </w:tc>
      </w:tr>
      <w:tr w:rsidR="00D63E98" w14:paraId="5B85AFEC" w14:textId="77777777">
        <w:tc>
          <w:tcPr>
            <w:tcW w:w="2434" w:type="pct"/>
            <w:vAlign w:val="center"/>
          </w:tcPr>
          <w:p w14:paraId="6FFC2C9C" w14:textId="77777777" w:rsidR="00D63E98" w:rsidRDefault="00233BA3">
            <w:pPr>
              <w:pStyle w:val="TableText0"/>
            </w:pPr>
            <w:r>
              <w:t>All Injection Site AEs#</w:t>
            </w:r>
          </w:p>
        </w:tc>
        <w:tc>
          <w:tcPr>
            <w:tcW w:w="865" w:type="pct"/>
            <w:vAlign w:val="center"/>
          </w:tcPr>
          <w:p w14:paraId="3848511C" w14:textId="77777777" w:rsidR="00D63E98" w:rsidRDefault="00233BA3">
            <w:pPr>
              <w:pStyle w:val="TableText0"/>
              <w:jc w:val="center"/>
            </w:pPr>
            <w:r>
              <w:t>89 (10.6%)</w:t>
            </w:r>
          </w:p>
        </w:tc>
        <w:tc>
          <w:tcPr>
            <w:tcW w:w="864" w:type="pct"/>
            <w:vAlign w:val="center"/>
          </w:tcPr>
          <w:p w14:paraId="495C8380" w14:textId="77777777" w:rsidR="00D63E98" w:rsidRDefault="00233BA3">
            <w:pPr>
              <w:pStyle w:val="TableText0"/>
              <w:jc w:val="center"/>
            </w:pPr>
            <w:r>
              <w:t>11 (4.9%)</w:t>
            </w:r>
          </w:p>
        </w:tc>
        <w:tc>
          <w:tcPr>
            <w:tcW w:w="837" w:type="pct"/>
            <w:vAlign w:val="center"/>
          </w:tcPr>
          <w:p w14:paraId="7D2DA7A7" w14:textId="77777777" w:rsidR="00D63E98" w:rsidRDefault="00233BA3">
            <w:pPr>
              <w:pStyle w:val="TableText0"/>
              <w:jc w:val="center"/>
            </w:pPr>
            <w:r>
              <w:t>59 (12.3%)</w:t>
            </w:r>
          </w:p>
        </w:tc>
      </w:tr>
      <w:tr w:rsidR="00D63E98" w14:paraId="77917041" w14:textId="77777777">
        <w:tc>
          <w:tcPr>
            <w:tcW w:w="2434" w:type="pct"/>
            <w:vAlign w:val="center"/>
          </w:tcPr>
          <w:p w14:paraId="32BACD1F" w14:textId="77777777" w:rsidR="00D63E98" w:rsidRDefault="00233BA3">
            <w:pPr>
              <w:pStyle w:val="TableText0"/>
            </w:pPr>
            <w:r>
              <w:t>Parkinsonian Tremor</w:t>
            </w:r>
          </w:p>
        </w:tc>
        <w:tc>
          <w:tcPr>
            <w:tcW w:w="865" w:type="pct"/>
            <w:vAlign w:val="center"/>
          </w:tcPr>
          <w:p w14:paraId="435BF6AD" w14:textId="77777777" w:rsidR="00D63E98" w:rsidRDefault="00233BA3">
            <w:pPr>
              <w:pStyle w:val="TableText0"/>
              <w:jc w:val="center"/>
            </w:pPr>
            <w:r>
              <w:t>11 (1.3%)</w:t>
            </w:r>
          </w:p>
        </w:tc>
        <w:tc>
          <w:tcPr>
            <w:tcW w:w="864" w:type="pct"/>
            <w:vAlign w:val="center"/>
          </w:tcPr>
          <w:p w14:paraId="3A133193" w14:textId="77777777" w:rsidR="00D63E98" w:rsidRDefault="00233BA3">
            <w:pPr>
              <w:pStyle w:val="TableText0"/>
              <w:jc w:val="center"/>
            </w:pPr>
            <w:r>
              <w:t>2 (0.9%)</w:t>
            </w:r>
          </w:p>
        </w:tc>
        <w:tc>
          <w:tcPr>
            <w:tcW w:w="837" w:type="pct"/>
            <w:vAlign w:val="center"/>
          </w:tcPr>
          <w:p w14:paraId="0D61AF5E" w14:textId="77777777" w:rsidR="00D63E98" w:rsidRDefault="00233BA3">
            <w:pPr>
              <w:pStyle w:val="TableText0"/>
              <w:jc w:val="center"/>
            </w:pPr>
            <w:r>
              <w:t>9 (1.9%)</w:t>
            </w:r>
          </w:p>
        </w:tc>
      </w:tr>
      <w:tr w:rsidR="00D63E98" w14:paraId="7C5CAEB0" w14:textId="77777777">
        <w:tc>
          <w:tcPr>
            <w:tcW w:w="2434" w:type="pct"/>
            <w:vAlign w:val="center"/>
          </w:tcPr>
          <w:p w14:paraId="218C55EA" w14:textId="77777777" w:rsidR="00D63E98" w:rsidRDefault="00233BA3">
            <w:pPr>
              <w:pStyle w:val="TableText0"/>
            </w:pPr>
            <w:r>
              <w:t>Dyskinesia</w:t>
            </w:r>
          </w:p>
        </w:tc>
        <w:tc>
          <w:tcPr>
            <w:tcW w:w="865" w:type="pct"/>
            <w:vAlign w:val="center"/>
          </w:tcPr>
          <w:p w14:paraId="1FC8C5DB" w14:textId="77777777" w:rsidR="00D63E98" w:rsidRDefault="00233BA3">
            <w:pPr>
              <w:pStyle w:val="TableText0"/>
              <w:jc w:val="center"/>
            </w:pPr>
            <w:r>
              <w:t>11 (1.3%)</w:t>
            </w:r>
          </w:p>
        </w:tc>
        <w:tc>
          <w:tcPr>
            <w:tcW w:w="864" w:type="pct"/>
            <w:vAlign w:val="center"/>
          </w:tcPr>
          <w:p w14:paraId="745B1FD9" w14:textId="77777777" w:rsidR="00D63E98" w:rsidRDefault="00233BA3">
            <w:pPr>
              <w:pStyle w:val="TableText0"/>
              <w:jc w:val="center"/>
            </w:pPr>
            <w:r>
              <w:t>2 (0.9%)</w:t>
            </w:r>
          </w:p>
        </w:tc>
        <w:tc>
          <w:tcPr>
            <w:tcW w:w="837" w:type="pct"/>
            <w:vAlign w:val="center"/>
          </w:tcPr>
          <w:p w14:paraId="66E1B7FF" w14:textId="77777777" w:rsidR="00D63E98" w:rsidRDefault="00233BA3">
            <w:pPr>
              <w:pStyle w:val="TableText0"/>
              <w:jc w:val="center"/>
            </w:pPr>
            <w:r>
              <w:t>6 (1.3%)</w:t>
            </w:r>
          </w:p>
        </w:tc>
      </w:tr>
      <w:tr w:rsidR="00D63E98" w14:paraId="282182FB" w14:textId="77777777">
        <w:tc>
          <w:tcPr>
            <w:tcW w:w="2434" w:type="pct"/>
            <w:vAlign w:val="center"/>
          </w:tcPr>
          <w:p w14:paraId="0AA69C36" w14:textId="77777777" w:rsidR="00D63E98" w:rsidRDefault="00233BA3">
            <w:pPr>
              <w:pStyle w:val="TableText0"/>
            </w:pPr>
            <w:r>
              <w:t>Parkinsonism</w:t>
            </w:r>
          </w:p>
        </w:tc>
        <w:tc>
          <w:tcPr>
            <w:tcW w:w="865" w:type="pct"/>
            <w:vAlign w:val="center"/>
          </w:tcPr>
          <w:p w14:paraId="34C38A47" w14:textId="77777777" w:rsidR="00D63E98" w:rsidRDefault="00233BA3">
            <w:pPr>
              <w:pStyle w:val="TableText0"/>
              <w:jc w:val="center"/>
            </w:pPr>
            <w:r>
              <w:t>NR</w:t>
            </w:r>
          </w:p>
        </w:tc>
        <w:tc>
          <w:tcPr>
            <w:tcW w:w="864" w:type="pct"/>
            <w:vAlign w:val="center"/>
          </w:tcPr>
          <w:p w14:paraId="4C9C8448" w14:textId="77777777" w:rsidR="00D63E98" w:rsidRDefault="00233BA3">
            <w:pPr>
              <w:pStyle w:val="TableText0"/>
              <w:jc w:val="center"/>
            </w:pPr>
            <w:r>
              <w:t>2 (0.9%)</w:t>
            </w:r>
          </w:p>
        </w:tc>
        <w:tc>
          <w:tcPr>
            <w:tcW w:w="837" w:type="pct"/>
            <w:vAlign w:val="center"/>
          </w:tcPr>
          <w:p w14:paraId="2B8BAABB" w14:textId="77777777" w:rsidR="00D63E98" w:rsidRDefault="00233BA3">
            <w:pPr>
              <w:pStyle w:val="TableText0"/>
              <w:jc w:val="center"/>
            </w:pPr>
            <w:r>
              <w:t>6 (1.3%)</w:t>
            </w:r>
          </w:p>
        </w:tc>
      </w:tr>
      <w:tr w:rsidR="00D63E98" w14:paraId="35B2B6C3" w14:textId="77777777">
        <w:tc>
          <w:tcPr>
            <w:tcW w:w="2434" w:type="pct"/>
            <w:vAlign w:val="center"/>
          </w:tcPr>
          <w:p w14:paraId="28AA8FC2" w14:textId="77777777" w:rsidR="00D63E98" w:rsidRDefault="00233BA3">
            <w:pPr>
              <w:pStyle w:val="TableText0"/>
            </w:pPr>
            <w:r>
              <w:t>Patients with increased QTC during DB Phase, n/N (%)</w:t>
            </w:r>
          </w:p>
        </w:tc>
        <w:tc>
          <w:tcPr>
            <w:tcW w:w="865" w:type="pct"/>
            <w:vAlign w:val="center"/>
          </w:tcPr>
          <w:p w14:paraId="3259BE46" w14:textId="77777777" w:rsidR="00D63E98" w:rsidRDefault="00233BA3">
            <w:pPr>
              <w:pStyle w:val="TableText0"/>
              <w:jc w:val="center"/>
            </w:pPr>
            <w:r>
              <w:t>NA</w:t>
            </w:r>
          </w:p>
        </w:tc>
        <w:tc>
          <w:tcPr>
            <w:tcW w:w="864" w:type="pct"/>
            <w:vAlign w:val="center"/>
          </w:tcPr>
          <w:p w14:paraId="37E55122" w14:textId="77777777" w:rsidR="00D63E98" w:rsidRDefault="00233BA3">
            <w:pPr>
              <w:pStyle w:val="TableText0"/>
              <w:jc w:val="center"/>
            </w:pPr>
            <w:r>
              <w:t>4/215 (1.9%)</w:t>
            </w:r>
          </w:p>
        </w:tc>
        <w:tc>
          <w:tcPr>
            <w:tcW w:w="837" w:type="pct"/>
            <w:vAlign w:val="center"/>
          </w:tcPr>
          <w:p w14:paraId="736646B0" w14:textId="77777777" w:rsidR="00D63E98" w:rsidRDefault="00233BA3">
            <w:pPr>
              <w:pStyle w:val="TableText0"/>
              <w:jc w:val="center"/>
            </w:pPr>
            <w:r>
              <w:t>11/463 (2.4%)</w:t>
            </w:r>
          </w:p>
        </w:tc>
      </w:tr>
    </w:tbl>
    <w:p w14:paraId="241A352D" w14:textId="77777777" w:rsidR="00D63E98" w:rsidRDefault="00233BA3">
      <w:pPr>
        <w:pStyle w:val="TableFigureFooter"/>
        <w:rPr>
          <w:rFonts w:eastAsiaTheme="majorEastAsia"/>
        </w:rPr>
      </w:pPr>
      <w:r>
        <w:rPr>
          <w:rFonts w:eastAsiaTheme="majorEastAsia"/>
        </w:rPr>
        <w:t>Source: Table 33, CSR p122; Table 34, CSR p122; Table 35, CSR p124; CSR p135; Table 42, CSR p139, Table 52, CSR p159. Abbreviations: DB = double-blind; OL = Open-Label; QTC = corrected QT interval; TEAE = treatment emergent adverse event, NR = not reported.</w:t>
      </w:r>
    </w:p>
    <w:p w14:paraId="1C76CD20" w14:textId="77777777" w:rsidR="00D63E98" w:rsidRDefault="00233BA3">
      <w:pPr>
        <w:pStyle w:val="TableFigureFooter"/>
        <w:rPr>
          <w:rFonts w:eastAsiaTheme="majorEastAsia"/>
        </w:rPr>
      </w:pPr>
      <w:r>
        <w:rPr>
          <w:rFonts w:eastAsiaTheme="majorEastAsia"/>
        </w:rPr>
        <w:t># Including injection site pain, swelling, induration, erythema, haemorrhage, nodule, oedema, and leg pain.</w:t>
      </w:r>
    </w:p>
    <w:p w14:paraId="14A80CEF" w14:textId="77777777" w:rsidR="00D63E98" w:rsidRDefault="00233BA3">
      <w:pPr>
        <w:pStyle w:val="3-BodyText"/>
        <w:rPr>
          <w:rFonts w:eastAsiaTheme="majorEastAsia"/>
          <w:iCs/>
        </w:rPr>
      </w:pPr>
      <w:r>
        <w:rPr>
          <w:iCs/>
        </w:rPr>
        <w:t>The events in the double-blind (DB) phase may underestimate the frequency of events in clinical use because of the withdrawal of patients who found the injections unpleasant in the Open-Label (OL) phase. The higher frequency of injection site reactions with the use of PP6M was likely due to the greater volume that was injected, but the rate was still relatively low. More patients in the PP6M group showed increased QT intervals (2.4% vs 1.9%), however the finding was infrequent and may not reflect any real difference.</w:t>
      </w:r>
    </w:p>
    <w:p w14:paraId="0E04EB2B" w14:textId="77777777" w:rsidR="00D63E98" w:rsidRDefault="00233BA3">
      <w:pPr>
        <w:pStyle w:val="3-BodyText"/>
      </w:pPr>
      <w:r>
        <w:t xml:space="preserve">The submission provided additional data on potential safety concerns beyond those identified in the clinical trials from its latest Periodic Safety Update Report (PSUR) for all strengths of PP. </w:t>
      </w:r>
      <w:r>
        <w:rPr>
          <w:iCs/>
        </w:rPr>
        <w:t>No significant new safety concerns were identified in the PSUR, however data for PP6M was limited.</w:t>
      </w:r>
    </w:p>
    <w:p w14:paraId="6DBE88E4" w14:textId="77777777" w:rsidR="00D63E98" w:rsidRDefault="00233BA3">
      <w:pPr>
        <w:pStyle w:val="4-SubsectionHeading"/>
      </w:pPr>
      <w:bookmarkStart w:id="20" w:name="_Toc22897643"/>
      <w:bookmarkStart w:id="21" w:name="_Toc93498358"/>
      <w:r>
        <w:t>Benefits/harms</w:t>
      </w:r>
      <w:bookmarkEnd w:id="20"/>
      <w:bookmarkEnd w:id="21"/>
    </w:p>
    <w:p w14:paraId="41967C7A" w14:textId="77777777" w:rsidR="00D63E98" w:rsidRDefault="00233BA3">
      <w:pPr>
        <w:pStyle w:val="3-BodyText"/>
        <w:rPr>
          <w:lang w:val="en-US"/>
        </w:rPr>
      </w:pPr>
      <w:r>
        <w:rPr>
          <w:lang w:val="en-US"/>
        </w:rPr>
        <w:t>As the claim was for non-inferiority, information on the benefits and harms was not presented in the evaluation.</w:t>
      </w:r>
    </w:p>
    <w:p w14:paraId="453232A8" w14:textId="77777777" w:rsidR="00D63E98" w:rsidRDefault="00233BA3">
      <w:pPr>
        <w:pStyle w:val="4-SubsectionHeading"/>
      </w:pPr>
      <w:bookmarkStart w:id="22" w:name="_Toc22897644"/>
      <w:bookmarkStart w:id="23" w:name="_Toc93498359"/>
      <w:r>
        <w:t>Clinical claim</w:t>
      </w:r>
      <w:bookmarkEnd w:id="22"/>
      <w:bookmarkEnd w:id="23"/>
    </w:p>
    <w:p w14:paraId="31CE24CF" w14:textId="77777777" w:rsidR="00D63E98" w:rsidRDefault="00233BA3">
      <w:pPr>
        <w:pStyle w:val="3-BodyText"/>
      </w:pPr>
      <w:r>
        <w:t>The submission described PP6M as non-inferior in terms of effectiveness and safety compared with PP3M.</w:t>
      </w:r>
    </w:p>
    <w:p w14:paraId="4C66E181" w14:textId="77777777" w:rsidR="00D63E98" w:rsidRDefault="00233BA3">
      <w:pPr>
        <w:pStyle w:val="3-BodyText"/>
        <w:rPr>
          <w:iCs/>
        </w:rPr>
      </w:pPr>
      <w:r>
        <w:rPr>
          <w:iCs/>
        </w:rPr>
        <w:t>The evaluation noted that as the PBAC has already accepted the non-inferiority of PP3M and PP1M, it would be reasonable to extend the equivalence to included PP6M. The PBAC agreed with the evaluation.</w:t>
      </w:r>
    </w:p>
    <w:p w14:paraId="21E5F692" w14:textId="77777777" w:rsidR="00D63E98" w:rsidRDefault="00233BA3">
      <w:pPr>
        <w:pStyle w:val="3-BodyText"/>
        <w:rPr>
          <w:iCs/>
        </w:rPr>
      </w:pPr>
      <w:r>
        <w:t>The submission claimed reduced carer burden, improved equity of access for patients in remote areas, and improved adherence.</w:t>
      </w:r>
      <w:r>
        <w:rPr>
          <w:iCs/>
        </w:rPr>
        <w:t xml:space="preserve"> The PBAC noted the submission and Pre-Sub-Committee Response provided a brief description of qualitative studies to support these statements.</w:t>
      </w:r>
    </w:p>
    <w:p w14:paraId="0E30F750" w14:textId="77777777" w:rsidR="00D63E98" w:rsidRDefault="00233BA3">
      <w:pPr>
        <w:pStyle w:val="3-BodyText"/>
        <w:rPr>
          <w:snapToGrid w:val="0"/>
        </w:rPr>
      </w:pPr>
      <w:bookmarkStart w:id="24" w:name="_Hlk76376200"/>
      <w:r>
        <w:rPr>
          <w:iCs/>
          <w:snapToGrid w:val="0"/>
        </w:rPr>
        <w:t>The</w:t>
      </w:r>
      <w:r>
        <w:rPr>
          <w:snapToGrid w:val="0"/>
        </w:rPr>
        <w:t xml:space="preserve"> PBAC considered that the claim of non-inferior comparative effectiveness and safety was reasonably supported.</w:t>
      </w:r>
    </w:p>
    <w:p w14:paraId="078C7B5A" w14:textId="77777777" w:rsidR="00D63E98" w:rsidRDefault="00233BA3">
      <w:pPr>
        <w:pStyle w:val="4-SubsectionHeading"/>
      </w:pPr>
      <w:bookmarkStart w:id="25" w:name="_Toc22897645"/>
      <w:bookmarkStart w:id="26" w:name="_Toc93498360"/>
      <w:bookmarkEnd w:id="24"/>
      <w:r>
        <w:t>Economic analysis</w:t>
      </w:r>
      <w:bookmarkEnd w:id="25"/>
      <w:bookmarkEnd w:id="26"/>
    </w:p>
    <w:p w14:paraId="3364E385" w14:textId="77777777" w:rsidR="00D63E98" w:rsidRDefault="00233BA3">
      <w:pPr>
        <w:pStyle w:val="3-BodyText"/>
      </w:pPr>
      <w:r>
        <w:t>The submission presented a cost-minimisation analysis. The key assumptions and components of the cost-minimisation approach are summarised in the table below</w:t>
      </w:r>
      <w:r>
        <w:rPr>
          <w:color w:val="3366FF"/>
        </w:rPr>
        <w:t xml:space="preserve">. </w:t>
      </w:r>
    </w:p>
    <w:p w14:paraId="40792528" w14:textId="37850485" w:rsidR="00D63E98" w:rsidRDefault="00233BA3">
      <w:pPr>
        <w:pStyle w:val="Caption"/>
      </w:pPr>
      <w:r>
        <w:t xml:space="preserve">Table </w:t>
      </w:r>
      <w:fldSimple w:instr=" SEQ Table \* ARABIC ">
        <w:r w:rsidR="001149A2">
          <w:rPr>
            <w:noProof/>
          </w:rPr>
          <w:t>7</w:t>
        </w:r>
      </w:fldSimple>
      <w:r>
        <w:t>: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Key components and assumptions of the cost-minimisation analysis"/>
        <w:tblDescription w:val="Table 7: Key components and assumptions of the cost-minimisation analysis"/>
      </w:tblPr>
      <w:tblGrid>
        <w:gridCol w:w="2660"/>
        <w:gridCol w:w="6520"/>
      </w:tblGrid>
      <w:tr w:rsidR="00D63E98" w14:paraId="476A0106" w14:textId="77777777">
        <w:tc>
          <w:tcPr>
            <w:tcW w:w="2660" w:type="dxa"/>
            <w:vAlign w:val="center"/>
          </w:tcPr>
          <w:p w14:paraId="02934015" w14:textId="77777777" w:rsidR="00D63E98" w:rsidRDefault="00233BA3">
            <w:pPr>
              <w:pStyle w:val="In-tableHeading"/>
            </w:pPr>
            <w:r>
              <w:t>Component</w:t>
            </w:r>
          </w:p>
        </w:tc>
        <w:tc>
          <w:tcPr>
            <w:tcW w:w="6520" w:type="dxa"/>
            <w:vAlign w:val="center"/>
          </w:tcPr>
          <w:p w14:paraId="660E2338" w14:textId="77777777" w:rsidR="00D63E98" w:rsidRDefault="00233BA3">
            <w:pPr>
              <w:pStyle w:val="In-tableHeading"/>
            </w:pPr>
            <w:r>
              <w:t>Claim or assumption</w:t>
            </w:r>
          </w:p>
        </w:tc>
      </w:tr>
      <w:tr w:rsidR="00D63E98" w14:paraId="141339FE" w14:textId="77777777">
        <w:tc>
          <w:tcPr>
            <w:tcW w:w="2660" w:type="dxa"/>
            <w:vAlign w:val="center"/>
          </w:tcPr>
          <w:p w14:paraId="48B62051" w14:textId="77777777" w:rsidR="00D63E98" w:rsidRDefault="00233BA3">
            <w:pPr>
              <w:pStyle w:val="TableText0"/>
            </w:pPr>
            <w:r>
              <w:t>Therapeutic claim: effectiveness</w:t>
            </w:r>
          </w:p>
        </w:tc>
        <w:tc>
          <w:tcPr>
            <w:tcW w:w="6520" w:type="dxa"/>
            <w:vAlign w:val="center"/>
          </w:tcPr>
          <w:p w14:paraId="0E0294CD" w14:textId="77777777" w:rsidR="00D63E98" w:rsidRDefault="00233BA3">
            <w:pPr>
              <w:pStyle w:val="TableText0"/>
            </w:pPr>
            <w:r>
              <w:t>Effectiveness is assumed to be non-inferior</w:t>
            </w:r>
          </w:p>
        </w:tc>
      </w:tr>
      <w:tr w:rsidR="00D63E98" w14:paraId="5B3DFE84" w14:textId="77777777">
        <w:tc>
          <w:tcPr>
            <w:tcW w:w="2660" w:type="dxa"/>
            <w:vAlign w:val="center"/>
          </w:tcPr>
          <w:p w14:paraId="40A47D9F" w14:textId="77777777" w:rsidR="00D63E98" w:rsidRDefault="00233BA3">
            <w:pPr>
              <w:pStyle w:val="TableText0"/>
            </w:pPr>
            <w:r>
              <w:t>Therapeutic claim: safety</w:t>
            </w:r>
          </w:p>
        </w:tc>
        <w:tc>
          <w:tcPr>
            <w:tcW w:w="6520" w:type="dxa"/>
            <w:vAlign w:val="center"/>
          </w:tcPr>
          <w:p w14:paraId="01740705" w14:textId="77777777" w:rsidR="00D63E98" w:rsidRDefault="00233BA3">
            <w:pPr>
              <w:pStyle w:val="TableText0"/>
            </w:pPr>
            <w:r>
              <w:t>Safety is assumed to be non-inferior</w:t>
            </w:r>
          </w:p>
        </w:tc>
      </w:tr>
      <w:tr w:rsidR="00D63E98" w14:paraId="347B87F6" w14:textId="77777777">
        <w:tc>
          <w:tcPr>
            <w:tcW w:w="2660" w:type="dxa"/>
            <w:vAlign w:val="center"/>
          </w:tcPr>
          <w:p w14:paraId="7459F487" w14:textId="77777777" w:rsidR="00D63E98" w:rsidRDefault="00233BA3">
            <w:pPr>
              <w:pStyle w:val="TableText0"/>
            </w:pPr>
            <w:r>
              <w:t>Evidence base</w:t>
            </w:r>
          </w:p>
        </w:tc>
        <w:tc>
          <w:tcPr>
            <w:tcW w:w="6520" w:type="dxa"/>
            <w:vAlign w:val="center"/>
          </w:tcPr>
          <w:p w14:paraId="3A06DDE6" w14:textId="77777777" w:rsidR="00D63E98" w:rsidRDefault="00233BA3">
            <w:pPr>
              <w:pStyle w:val="TableText0"/>
            </w:pPr>
            <w:r>
              <w:t>Direct comparison of proposed medicine and main comparator</w:t>
            </w:r>
          </w:p>
        </w:tc>
      </w:tr>
      <w:tr w:rsidR="00D63E98" w14:paraId="4CED2076" w14:textId="77777777">
        <w:tc>
          <w:tcPr>
            <w:tcW w:w="2660" w:type="dxa"/>
            <w:vAlign w:val="center"/>
          </w:tcPr>
          <w:p w14:paraId="021BC62E" w14:textId="77777777" w:rsidR="00D63E98" w:rsidRDefault="00233BA3">
            <w:pPr>
              <w:pStyle w:val="TableText0"/>
            </w:pPr>
            <w:proofErr w:type="spellStart"/>
            <w:r>
              <w:t>Equi</w:t>
            </w:r>
            <w:proofErr w:type="spellEnd"/>
            <w:r>
              <w:t>-effective doses</w:t>
            </w:r>
          </w:p>
        </w:tc>
        <w:tc>
          <w:tcPr>
            <w:tcW w:w="6520" w:type="dxa"/>
            <w:vAlign w:val="center"/>
          </w:tcPr>
          <w:p w14:paraId="7E8E9611" w14:textId="77777777" w:rsidR="00D63E98" w:rsidRDefault="00233BA3">
            <w:pPr>
              <w:pStyle w:val="TableText0"/>
            </w:pPr>
            <w:r>
              <w:t>1 injection of PP6M 700mg = 2 injections of PP3M 350mg</w:t>
            </w:r>
          </w:p>
          <w:p w14:paraId="3F2015B2" w14:textId="77777777" w:rsidR="00D63E98" w:rsidRDefault="00233BA3">
            <w:pPr>
              <w:pStyle w:val="TableText0"/>
            </w:pPr>
            <w:r>
              <w:t>1 injection of PP6M 1000mg = 2 injections of PP3M 525mg</w:t>
            </w:r>
          </w:p>
        </w:tc>
      </w:tr>
      <w:tr w:rsidR="00D63E98" w14:paraId="02F95610" w14:textId="77777777">
        <w:tc>
          <w:tcPr>
            <w:tcW w:w="2660" w:type="dxa"/>
            <w:vAlign w:val="center"/>
          </w:tcPr>
          <w:p w14:paraId="40031DB1" w14:textId="77777777" w:rsidR="00D63E98" w:rsidRDefault="00233BA3">
            <w:pPr>
              <w:pStyle w:val="TableText0"/>
            </w:pPr>
            <w:r>
              <w:t>Direct medicine costs</w:t>
            </w:r>
          </w:p>
        </w:tc>
        <w:tc>
          <w:tcPr>
            <w:tcW w:w="6520" w:type="dxa"/>
            <w:vAlign w:val="center"/>
          </w:tcPr>
          <w:p w14:paraId="5296EC70" w14:textId="77777777" w:rsidR="00D63E98" w:rsidRDefault="00233BA3">
            <w:pPr>
              <w:pStyle w:val="TableText0"/>
            </w:pPr>
            <w:r>
              <w:t>Equivalent over 48 weeks</w:t>
            </w:r>
          </w:p>
        </w:tc>
      </w:tr>
      <w:tr w:rsidR="00D63E98" w14:paraId="7F7B3C53" w14:textId="77777777">
        <w:tc>
          <w:tcPr>
            <w:tcW w:w="2660" w:type="dxa"/>
            <w:vAlign w:val="center"/>
          </w:tcPr>
          <w:p w14:paraId="32676154" w14:textId="77777777" w:rsidR="00D63E98" w:rsidRDefault="00233BA3">
            <w:pPr>
              <w:pStyle w:val="TableText0"/>
            </w:pPr>
            <w:r>
              <w:t>Other costs or cost offsets</w:t>
            </w:r>
          </w:p>
        </w:tc>
        <w:tc>
          <w:tcPr>
            <w:tcW w:w="6520" w:type="dxa"/>
            <w:vAlign w:val="center"/>
          </w:tcPr>
          <w:p w14:paraId="430DB23A" w14:textId="77777777" w:rsidR="00D63E98" w:rsidRDefault="00233BA3">
            <w:pPr>
              <w:pStyle w:val="TableText0"/>
            </w:pPr>
            <w:r>
              <w:t>none</w:t>
            </w:r>
          </w:p>
        </w:tc>
      </w:tr>
    </w:tbl>
    <w:p w14:paraId="35C63384" w14:textId="77777777" w:rsidR="00D63E98" w:rsidRDefault="00233BA3">
      <w:pPr>
        <w:pStyle w:val="TableFigureFooter"/>
      </w:pPr>
      <w:r>
        <w:t>Source: Table 3.1, p120 of the submission</w:t>
      </w:r>
    </w:p>
    <w:p w14:paraId="0FB31012" w14:textId="77777777" w:rsidR="00D63E98" w:rsidRDefault="00233BA3">
      <w:pPr>
        <w:pStyle w:val="3-BodyText"/>
      </w:pPr>
      <w:r>
        <w:t xml:space="preserve">The </w:t>
      </w:r>
      <w:proofErr w:type="spellStart"/>
      <w:r>
        <w:t>equi</w:t>
      </w:r>
      <w:proofErr w:type="spellEnd"/>
      <w:r>
        <w:t xml:space="preserve">-effective doses were estimated as 1 injection of PP6M 700 mg = 2 injections of PP3M 350 mg and 1 injection of PP6M 1000 mg = 2 injections of PP3M 525 mg over 48 weeks. The </w:t>
      </w:r>
      <w:proofErr w:type="spellStart"/>
      <w:r>
        <w:t>equi</w:t>
      </w:r>
      <w:proofErr w:type="spellEnd"/>
      <w:r>
        <w:t>-effective doses used in the cost-minimisation analysis were taken from results of the double-blind phase of the PSY3015 trial and are consistent with the draft PI.</w:t>
      </w:r>
    </w:p>
    <w:p w14:paraId="637C3018" w14:textId="77777777" w:rsidR="00D63E98" w:rsidRDefault="00233BA3">
      <w:pPr>
        <w:pStyle w:val="3-BodyText"/>
        <w:rPr>
          <w:iCs/>
        </w:rPr>
      </w:pPr>
      <w:r>
        <w:t xml:space="preserve">No additional cost or cost offsets were included in the analysis. </w:t>
      </w:r>
      <w:r>
        <w:rPr>
          <w:iCs/>
        </w:rPr>
        <w:t>This approach was consistent with the cost-minimisation analysis of PP3M vs PP1M (paragraph 6.20, PP3M, PSD, November 2016 PBAC meeting).</w:t>
      </w:r>
    </w:p>
    <w:p w14:paraId="2E4DF358" w14:textId="39417B4F" w:rsidR="00D63E98" w:rsidRDefault="00233BA3">
      <w:pPr>
        <w:pStyle w:val="3-BodyText"/>
      </w:pPr>
      <w:r>
        <w:t>The submission proposed a flat pricing structure for PP6M 700 mg and PP6M 1000 mg, consistent with the pricing structure for PP3M 350</w:t>
      </w:r>
      <w:r w:rsidR="00D765EA">
        <w:t> </w:t>
      </w:r>
      <w:r>
        <w:t>mg and 525</w:t>
      </w:r>
      <w:r w:rsidR="00D765EA">
        <w:t> </w:t>
      </w:r>
      <w:r>
        <w:t>mg, (AEMP of $993.06 for both strengths</w:t>
      </w:r>
      <w:r>
        <w:rPr>
          <w:color w:val="000000" w:themeColor="text1"/>
        </w:rPr>
        <w:t>)</w:t>
      </w:r>
      <w:r>
        <w:rPr>
          <w:color w:val="3366FF"/>
        </w:rPr>
        <w:t xml:space="preserve"> </w:t>
      </w:r>
      <w:r>
        <w:t xml:space="preserve">which </w:t>
      </w:r>
      <w:r>
        <w:rPr>
          <w:szCs w:val="20"/>
        </w:rPr>
        <w:t>equates to an AEMP of $1,986.12 (</w:t>
      </w:r>
      <w:proofErr w:type="gramStart"/>
      <w:r>
        <w:rPr>
          <w:szCs w:val="20"/>
        </w:rPr>
        <w:t>i.e.</w:t>
      </w:r>
      <w:proofErr w:type="gramEnd"/>
      <w:r>
        <w:rPr>
          <w:szCs w:val="20"/>
        </w:rPr>
        <w:t xml:space="preserve"> $</w:t>
      </w:r>
      <w:r>
        <w:t>993.06 x 2)</w:t>
      </w:r>
      <w:r>
        <w:rPr>
          <w:szCs w:val="20"/>
        </w:rPr>
        <w:t>.</w:t>
      </w:r>
    </w:p>
    <w:p w14:paraId="7F7D3CA6" w14:textId="77777777" w:rsidR="00D63E98" w:rsidRDefault="00233BA3">
      <w:pPr>
        <w:pStyle w:val="3-BodyText"/>
      </w:pPr>
      <w:r>
        <w:t>The results of the cost-minimisation analysis are shown in the table below.</w:t>
      </w:r>
    </w:p>
    <w:p w14:paraId="028CA9AA" w14:textId="021376E4" w:rsidR="00D63E98" w:rsidRDefault="00233BA3">
      <w:pPr>
        <w:pStyle w:val="Caption"/>
      </w:pPr>
      <w:r>
        <w:t xml:space="preserve">Table </w:t>
      </w:r>
      <w:fldSimple w:instr=" SEQ Table \* ARABIC ">
        <w:r w:rsidR="001149A2">
          <w:rPr>
            <w:noProof/>
          </w:rPr>
          <w:t>8</w:t>
        </w:r>
      </w:fldSimple>
      <w:r>
        <w:t>: Results of the cost-minimisation analysis</w:t>
      </w:r>
    </w:p>
    <w:tbl>
      <w:tblPr>
        <w:tblStyle w:val="TableGrid"/>
        <w:tblW w:w="5000" w:type="pct"/>
        <w:tblLook w:val="04A0" w:firstRow="1" w:lastRow="0" w:firstColumn="1" w:lastColumn="0" w:noHBand="0" w:noVBand="1"/>
        <w:tblCaption w:val="Table 8: Results of the cost-minimisation analysis"/>
        <w:tblDescription w:val="Table 8: Results of the cost-minimisation analysis"/>
      </w:tblPr>
      <w:tblGrid>
        <w:gridCol w:w="4227"/>
        <w:gridCol w:w="2399"/>
        <w:gridCol w:w="2391"/>
      </w:tblGrid>
      <w:tr w:rsidR="00D63E98" w14:paraId="6719833A" w14:textId="77777777">
        <w:trPr>
          <w:tblHeader/>
        </w:trPr>
        <w:tc>
          <w:tcPr>
            <w:tcW w:w="2344" w:type="pct"/>
            <w:shd w:val="clear" w:color="auto" w:fill="auto"/>
            <w:vAlign w:val="center"/>
          </w:tcPr>
          <w:p w14:paraId="69558DE3" w14:textId="77777777" w:rsidR="00D63E98" w:rsidRDefault="00D63E98">
            <w:pPr>
              <w:pStyle w:val="In-tableHeading"/>
            </w:pPr>
          </w:p>
        </w:tc>
        <w:tc>
          <w:tcPr>
            <w:tcW w:w="1330" w:type="pct"/>
            <w:shd w:val="clear" w:color="auto" w:fill="auto"/>
            <w:vAlign w:val="center"/>
          </w:tcPr>
          <w:p w14:paraId="123120FA" w14:textId="77777777" w:rsidR="00D63E98" w:rsidRDefault="00233BA3">
            <w:pPr>
              <w:pStyle w:val="In-tableHeading"/>
              <w:rPr>
                <w:bCs/>
                <w:color w:val="000000"/>
              </w:rPr>
            </w:pPr>
            <w:r>
              <w:rPr>
                <w:bCs/>
                <w:color w:val="000000"/>
              </w:rPr>
              <w:t>PP6M</w:t>
            </w:r>
          </w:p>
          <w:p w14:paraId="01CAC355" w14:textId="77777777" w:rsidR="00D63E98" w:rsidRDefault="00233BA3">
            <w:pPr>
              <w:pStyle w:val="In-tableHeading"/>
            </w:pPr>
            <w:r>
              <w:rPr>
                <w:bCs/>
                <w:color w:val="000000"/>
              </w:rPr>
              <w:t>(700/1000 mg)</w:t>
            </w:r>
          </w:p>
        </w:tc>
        <w:tc>
          <w:tcPr>
            <w:tcW w:w="1326" w:type="pct"/>
            <w:shd w:val="clear" w:color="auto" w:fill="auto"/>
            <w:vAlign w:val="center"/>
          </w:tcPr>
          <w:p w14:paraId="5AB4434F" w14:textId="77777777" w:rsidR="00D63E98" w:rsidRDefault="00233BA3">
            <w:pPr>
              <w:pStyle w:val="In-tableHeading"/>
            </w:pPr>
            <w:r>
              <w:t>PP3M</w:t>
            </w:r>
          </w:p>
          <w:p w14:paraId="508706B7" w14:textId="77777777" w:rsidR="00D63E98" w:rsidRDefault="00233BA3">
            <w:pPr>
              <w:pStyle w:val="In-tableHeading"/>
            </w:pPr>
            <w:r>
              <w:t>(350/525 mg)</w:t>
            </w:r>
          </w:p>
        </w:tc>
      </w:tr>
      <w:tr w:rsidR="00D63E98" w14:paraId="1430AE14" w14:textId="77777777">
        <w:tc>
          <w:tcPr>
            <w:tcW w:w="2344" w:type="pct"/>
            <w:vAlign w:val="center"/>
          </w:tcPr>
          <w:p w14:paraId="58CC45B9" w14:textId="77777777" w:rsidR="00D63E98" w:rsidRDefault="00233BA3">
            <w:pPr>
              <w:pStyle w:val="TableText0"/>
              <w:rPr>
                <w:color w:val="000000"/>
              </w:rPr>
            </w:pPr>
            <w:r>
              <w:rPr>
                <w:color w:val="000000"/>
              </w:rPr>
              <w:t xml:space="preserve">Route of administration </w:t>
            </w:r>
          </w:p>
        </w:tc>
        <w:tc>
          <w:tcPr>
            <w:tcW w:w="1330" w:type="pct"/>
            <w:vAlign w:val="center"/>
          </w:tcPr>
          <w:p w14:paraId="2F9BBB80" w14:textId="77777777" w:rsidR="00D63E98" w:rsidRDefault="00233BA3">
            <w:pPr>
              <w:pStyle w:val="TableText0"/>
              <w:rPr>
                <w:color w:val="000000"/>
              </w:rPr>
            </w:pPr>
            <w:r>
              <w:rPr>
                <w:color w:val="000000"/>
              </w:rPr>
              <w:t>Intramuscular injection</w:t>
            </w:r>
          </w:p>
        </w:tc>
        <w:tc>
          <w:tcPr>
            <w:tcW w:w="1326" w:type="pct"/>
            <w:vAlign w:val="center"/>
          </w:tcPr>
          <w:p w14:paraId="0474E98E" w14:textId="77777777" w:rsidR="00D63E98" w:rsidRDefault="00233BA3">
            <w:pPr>
              <w:pStyle w:val="TableText0"/>
              <w:rPr>
                <w:color w:val="000000"/>
              </w:rPr>
            </w:pPr>
            <w:r>
              <w:rPr>
                <w:color w:val="000000"/>
              </w:rPr>
              <w:t>Intramuscular injection</w:t>
            </w:r>
          </w:p>
        </w:tc>
      </w:tr>
      <w:tr w:rsidR="00D63E98" w14:paraId="0DEABDC4" w14:textId="77777777">
        <w:tc>
          <w:tcPr>
            <w:tcW w:w="2344" w:type="pct"/>
            <w:vAlign w:val="center"/>
          </w:tcPr>
          <w:p w14:paraId="2A92DF4D" w14:textId="77777777" w:rsidR="00D63E98" w:rsidRDefault="00233BA3">
            <w:pPr>
              <w:pStyle w:val="TableText0"/>
              <w:rPr>
                <w:color w:val="000000"/>
              </w:rPr>
            </w:pPr>
            <w:r>
              <w:rPr>
                <w:color w:val="000000"/>
              </w:rPr>
              <w:t xml:space="preserve">Frequency of administration </w:t>
            </w:r>
          </w:p>
        </w:tc>
        <w:tc>
          <w:tcPr>
            <w:tcW w:w="1330" w:type="pct"/>
            <w:vAlign w:val="center"/>
          </w:tcPr>
          <w:p w14:paraId="5F8D62FD" w14:textId="77777777" w:rsidR="00D63E98" w:rsidRDefault="00233BA3">
            <w:pPr>
              <w:pStyle w:val="TableText0"/>
              <w:rPr>
                <w:color w:val="000000"/>
              </w:rPr>
            </w:pPr>
            <w:r>
              <w:rPr>
                <w:color w:val="000000"/>
              </w:rPr>
              <w:t>Every 6 months (i.e., 24 weeks)</w:t>
            </w:r>
          </w:p>
        </w:tc>
        <w:tc>
          <w:tcPr>
            <w:tcW w:w="1326" w:type="pct"/>
            <w:vAlign w:val="center"/>
          </w:tcPr>
          <w:p w14:paraId="4E1B71D4" w14:textId="77777777" w:rsidR="00D63E98" w:rsidRDefault="00233BA3">
            <w:pPr>
              <w:pStyle w:val="TableText0"/>
              <w:rPr>
                <w:color w:val="000000"/>
              </w:rPr>
            </w:pPr>
            <w:r>
              <w:rPr>
                <w:color w:val="000000"/>
              </w:rPr>
              <w:t>Every 3 months (i.e.,12 weeks)</w:t>
            </w:r>
          </w:p>
        </w:tc>
      </w:tr>
      <w:tr w:rsidR="00D63E98" w14:paraId="0918D64C" w14:textId="77777777">
        <w:tc>
          <w:tcPr>
            <w:tcW w:w="2344" w:type="pct"/>
            <w:vAlign w:val="center"/>
          </w:tcPr>
          <w:p w14:paraId="017EC353" w14:textId="77777777" w:rsidR="00D63E98" w:rsidRDefault="00233BA3">
            <w:pPr>
              <w:pStyle w:val="TableText0"/>
              <w:rPr>
                <w:color w:val="000000"/>
              </w:rPr>
            </w:pPr>
            <w:r>
              <w:rPr>
                <w:color w:val="000000"/>
              </w:rPr>
              <w:t xml:space="preserve">Number of prescriptions per 48-week period </w:t>
            </w:r>
          </w:p>
        </w:tc>
        <w:tc>
          <w:tcPr>
            <w:tcW w:w="1330" w:type="pct"/>
            <w:vAlign w:val="center"/>
          </w:tcPr>
          <w:p w14:paraId="771806B0" w14:textId="77777777" w:rsidR="00D63E98" w:rsidRDefault="00233BA3">
            <w:pPr>
              <w:pStyle w:val="TableText0"/>
              <w:rPr>
                <w:color w:val="000000"/>
              </w:rPr>
            </w:pPr>
            <w:r>
              <w:rPr>
                <w:color w:val="000000"/>
              </w:rPr>
              <w:t xml:space="preserve">2 </w:t>
            </w:r>
          </w:p>
        </w:tc>
        <w:tc>
          <w:tcPr>
            <w:tcW w:w="1326" w:type="pct"/>
            <w:vAlign w:val="center"/>
          </w:tcPr>
          <w:p w14:paraId="6FC58F56" w14:textId="77777777" w:rsidR="00D63E98" w:rsidRDefault="00233BA3">
            <w:pPr>
              <w:pStyle w:val="TableText0"/>
              <w:rPr>
                <w:color w:val="000000"/>
              </w:rPr>
            </w:pPr>
            <w:r>
              <w:rPr>
                <w:color w:val="000000"/>
              </w:rPr>
              <w:t xml:space="preserve">4 </w:t>
            </w:r>
          </w:p>
        </w:tc>
      </w:tr>
      <w:tr w:rsidR="00D63E98" w14:paraId="392DE13C" w14:textId="77777777">
        <w:tc>
          <w:tcPr>
            <w:tcW w:w="2344" w:type="pct"/>
            <w:vAlign w:val="center"/>
          </w:tcPr>
          <w:p w14:paraId="18E1E56C" w14:textId="77777777" w:rsidR="00D63E98" w:rsidRDefault="00233BA3">
            <w:pPr>
              <w:pStyle w:val="TableText0"/>
              <w:rPr>
                <w:color w:val="000000"/>
              </w:rPr>
            </w:pPr>
            <w:r>
              <w:rPr>
                <w:color w:val="000000"/>
              </w:rPr>
              <w:t>AEMP per prescription</w:t>
            </w:r>
          </w:p>
        </w:tc>
        <w:tc>
          <w:tcPr>
            <w:tcW w:w="1330" w:type="pct"/>
          </w:tcPr>
          <w:p w14:paraId="2D2B2279" w14:textId="77777777" w:rsidR="00D63E98" w:rsidRDefault="00233BA3">
            <w:pPr>
              <w:pStyle w:val="TableText0"/>
              <w:rPr>
                <w:color w:val="000000"/>
              </w:rPr>
            </w:pPr>
            <w:r>
              <w:rPr>
                <w:color w:val="000000"/>
              </w:rPr>
              <w:t>$1,986.12</w:t>
            </w:r>
          </w:p>
        </w:tc>
        <w:tc>
          <w:tcPr>
            <w:tcW w:w="1326" w:type="pct"/>
          </w:tcPr>
          <w:p w14:paraId="6AD6454F" w14:textId="77777777" w:rsidR="00D63E98" w:rsidRDefault="00233BA3">
            <w:pPr>
              <w:pStyle w:val="TableText0"/>
              <w:rPr>
                <w:color w:val="000000"/>
              </w:rPr>
            </w:pPr>
            <w:r>
              <w:rPr>
                <w:color w:val="000000"/>
              </w:rPr>
              <w:t>$993.06</w:t>
            </w:r>
          </w:p>
        </w:tc>
      </w:tr>
      <w:tr w:rsidR="00D63E98" w14:paraId="182A53DB" w14:textId="77777777">
        <w:tc>
          <w:tcPr>
            <w:tcW w:w="2344" w:type="pct"/>
            <w:vAlign w:val="center"/>
          </w:tcPr>
          <w:p w14:paraId="30268640" w14:textId="77777777" w:rsidR="00D63E98" w:rsidRDefault="00233BA3">
            <w:pPr>
              <w:pStyle w:val="TableText0"/>
              <w:rPr>
                <w:color w:val="000000"/>
              </w:rPr>
            </w:pPr>
            <w:r>
              <w:rPr>
                <w:color w:val="000000"/>
              </w:rPr>
              <w:t xml:space="preserve">Total cost of drug therapy over 48 weeks </w:t>
            </w:r>
          </w:p>
        </w:tc>
        <w:tc>
          <w:tcPr>
            <w:tcW w:w="1330" w:type="pct"/>
          </w:tcPr>
          <w:p w14:paraId="50F91BB7" w14:textId="77777777" w:rsidR="00D63E98" w:rsidRDefault="00233BA3">
            <w:pPr>
              <w:pStyle w:val="TableText0"/>
              <w:rPr>
                <w:color w:val="000000"/>
              </w:rPr>
            </w:pPr>
            <w:r>
              <w:rPr>
                <w:color w:val="000000"/>
              </w:rPr>
              <w:t>$3,972.24</w:t>
            </w:r>
          </w:p>
        </w:tc>
        <w:tc>
          <w:tcPr>
            <w:tcW w:w="1326" w:type="pct"/>
          </w:tcPr>
          <w:p w14:paraId="7FA92CD8" w14:textId="77777777" w:rsidR="00D63E98" w:rsidRDefault="00233BA3">
            <w:pPr>
              <w:pStyle w:val="TableText0"/>
              <w:rPr>
                <w:color w:val="000000"/>
              </w:rPr>
            </w:pPr>
            <w:r>
              <w:rPr>
                <w:color w:val="000000"/>
              </w:rPr>
              <w:t>$3,972.24</w:t>
            </w:r>
          </w:p>
        </w:tc>
      </w:tr>
      <w:tr w:rsidR="00D63E98" w14:paraId="55B6FA8A" w14:textId="77777777">
        <w:tc>
          <w:tcPr>
            <w:tcW w:w="2344" w:type="pct"/>
            <w:vAlign w:val="center"/>
          </w:tcPr>
          <w:p w14:paraId="2ADFB5ED" w14:textId="77777777" w:rsidR="00D63E98" w:rsidRDefault="00233BA3">
            <w:pPr>
              <w:pStyle w:val="TableText0"/>
              <w:rPr>
                <w:color w:val="000000"/>
              </w:rPr>
            </w:pPr>
            <w:r>
              <w:rPr>
                <w:color w:val="000000"/>
              </w:rPr>
              <w:t>Other costs (e.g., MBS)</w:t>
            </w:r>
          </w:p>
        </w:tc>
        <w:tc>
          <w:tcPr>
            <w:tcW w:w="1330" w:type="pct"/>
          </w:tcPr>
          <w:p w14:paraId="635315DE" w14:textId="77777777" w:rsidR="00D63E98" w:rsidRDefault="00233BA3">
            <w:pPr>
              <w:pStyle w:val="TableText0"/>
              <w:rPr>
                <w:color w:val="000000"/>
              </w:rPr>
            </w:pPr>
            <w:r>
              <w:rPr>
                <w:color w:val="000000"/>
              </w:rPr>
              <w:t>$0.00</w:t>
            </w:r>
          </w:p>
        </w:tc>
        <w:tc>
          <w:tcPr>
            <w:tcW w:w="1326" w:type="pct"/>
          </w:tcPr>
          <w:p w14:paraId="057ADE83" w14:textId="77777777" w:rsidR="00D63E98" w:rsidRDefault="00233BA3">
            <w:pPr>
              <w:pStyle w:val="TableText0"/>
              <w:rPr>
                <w:color w:val="000000"/>
              </w:rPr>
            </w:pPr>
            <w:r>
              <w:rPr>
                <w:color w:val="000000"/>
              </w:rPr>
              <w:t>$0.00</w:t>
            </w:r>
          </w:p>
        </w:tc>
      </w:tr>
      <w:tr w:rsidR="00D63E98" w14:paraId="1AD23984" w14:textId="77777777">
        <w:tc>
          <w:tcPr>
            <w:tcW w:w="2344" w:type="pct"/>
            <w:shd w:val="clear" w:color="auto" w:fill="auto"/>
            <w:vAlign w:val="center"/>
          </w:tcPr>
          <w:p w14:paraId="67B66DC0" w14:textId="77777777" w:rsidR="00D63E98" w:rsidRDefault="00233BA3">
            <w:pPr>
              <w:pStyle w:val="TableText0"/>
              <w:rPr>
                <w:color w:val="000000"/>
              </w:rPr>
            </w:pPr>
            <w:r>
              <w:rPr>
                <w:color w:val="000000"/>
              </w:rPr>
              <w:t xml:space="preserve">Net difference in treatment cost over 48 weeks </w:t>
            </w:r>
          </w:p>
        </w:tc>
        <w:tc>
          <w:tcPr>
            <w:tcW w:w="2656" w:type="pct"/>
            <w:gridSpan w:val="2"/>
            <w:shd w:val="clear" w:color="auto" w:fill="auto"/>
            <w:vAlign w:val="center"/>
          </w:tcPr>
          <w:p w14:paraId="5C9D54FC" w14:textId="77777777" w:rsidR="00D63E98" w:rsidRDefault="00233BA3">
            <w:pPr>
              <w:pStyle w:val="TableText0"/>
              <w:rPr>
                <w:color w:val="000000"/>
              </w:rPr>
            </w:pPr>
            <w:r>
              <w:rPr>
                <w:color w:val="000000"/>
              </w:rPr>
              <w:t>$0.00</w:t>
            </w:r>
          </w:p>
        </w:tc>
      </w:tr>
    </w:tbl>
    <w:p w14:paraId="0DF53AFF" w14:textId="77777777" w:rsidR="00D63E98" w:rsidRDefault="00233BA3">
      <w:pPr>
        <w:pStyle w:val="TableFigureFooter"/>
        <w:rPr>
          <w:b/>
        </w:rPr>
      </w:pPr>
      <w:r>
        <w:t>Source: Table 3.2, p122 of the submission. Abbreviations; PP6M = paliperidone palmitate 6-monthly; PP3M = paliperidone palmitate 3-monthly.</w:t>
      </w:r>
    </w:p>
    <w:p w14:paraId="13E50B67" w14:textId="77777777" w:rsidR="00D63E98" w:rsidRDefault="00233BA3">
      <w:pPr>
        <w:pStyle w:val="Heading2"/>
      </w:pPr>
      <w:bookmarkStart w:id="27" w:name="_Toc22897647"/>
      <w:bookmarkStart w:id="28" w:name="_Toc93498361"/>
      <w:r>
        <w:t>Estimated PBS usage &amp; financial implications</w:t>
      </w:r>
      <w:bookmarkEnd w:id="27"/>
      <w:bookmarkEnd w:id="28"/>
    </w:p>
    <w:p w14:paraId="54F31BD3" w14:textId="63804CEC" w:rsidR="00D63E98" w:rsidRDefault="00233BA3">
      <w:pPr>
        <w:pStyle w:val="3-BodyText"/>
      </w:pPr>
      <w:r>
        <w:t>This submission was not considered by DUSC</w:t>
      </w:r>
      <w:r>
        <w:rPr>
          <w:color w:val="0070C0"/>
        </w:rPr>
        <w:t xml:space="preserve">. </w:t>
      </w:r>
      <w:r>
        <w:t xml:space="preserve">The submission used a market share approach, </w:t>
      </w:r>
      <w:proofErr w:type="gramStart"/>
      <w:r>
        <w:t>assuming that</w:t>
      </w:r>
      <w:proofErr w:type="gramEnd"/>
      <w:r>
        <w:t xml:space="preserve"> PP6M would only substitute for PP3M and PP1M, and not for other long-acting injectable (LAI) antipsychotics. </w:t>
      </w:r>
      <w:r>
        <w:rPr>
          <w:iCs/>
          <w:lang w:val="en-US"/>
        </w:rPr>
        <w:t>Although the availability of a 6 monthly injection might encourage switching from other LAIs, the PBAC considered that the number of patients was likely to be small. The PBAC considered that a market share approach was appropriate.</w:t>
      </w:r>
    </w:p>
    <w:p w14:paraId="0D7F4A58" w14:textId="77777777" w:rsidR="00D63E98" w:rsidRDefault="00233BA3">
      <w:pPr>
        <w:pStyle w:val="3-BodyText"/>
        <w:rPr>
          <w:iCs/>
        </w:rPr>
      </w:pPr>
      <w:r>
        <w:t>The submission assumed no overall market expansion, which may be reasonable. The assumptions concerning substitution rates of PP1M by PPP6M were tested in sensitivity analyses.</w:t>
      </w:r>
    </w:p>
    <w:p w14:paraId="6753B987" w14:textId="77777777" w:rsidR="00D63E98" w:rsidRDefault="00233BA3">
      <w:pPr>
        <w:pStyle w:val="3-BodyText"/>
        <w:rPr>
          <w:iCs/>
        </w:rPr>
      </w:pPr>
      <w:r>
        <w:t xml:space="preserve">To estimate the substitution of PP3M by PP6M, the annual substitution rate of PP1M by PP3M since PP3M was first PBS listed was used. The submission proposed that it is expected that PP6M will substitute PP1M to a smaller extent than PP3M. In the financial estimates model, it assumed that the substitution rate of PP1M by PP6M would be 20% of the substitution rate of PP3M by PP6M. Based on the experience of substitution of PP1M by PP3M as shown in the data, </w:t>
      </w:r>
      <w:r>
        <w:rPr>
          <w:iCs/>
        </w:rPr>
        <w:t>the PBAC considered this approach was reasonable. The PBAC considered, as stated in the submission, that it would be unlikely for a large proportion of patients to switch directly from PP1M to PP6M. The PBAC considered it would also be very unlikely to have patients switch from other LAIs to PP6M, as discussed above.</w:t>
      </w:r>
    </w:p>
    <w:p w14:paraId="12016CA7" w14:textId="77777777" w:rsidR="00D63E98" w:rsidRDefault="00233BA3">
      <w:pPr>
        <w:pStyle w:val="3-BodyText"/>
      </w:pPr>
      <w:r>
        <w:t>The key inputs for the financial estimates are shown in the table below.</w:t>
      </w:r>
    </w:p>
    <w:p w14:paraId="5BB1F8C4" w14:textId="0617BEE7" w:rsidR="00D63E98" w:rsidRDefault="00233BA3">
      <w:pPr>
        <w:pStyle w:val="Caption"/>
      </w:pPr>
      <w:r>
        <w:t xml:space="preserve">Table </w:t>
      </w:r>
      <w:fldSimple w:instr=" SEQ Table \* ARABIC ">
        <w:r w:rsidR="001149A2">
          <w:rPr>
            <w:noProof/>
          </w:rPr>
          <w:t>9</w:t>
        </w:r>
      </w:fldSimple>
      <w: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inputs for financial estimates"/>
        <w:tblDescription w:val="Table 9: Key inputs for financial estimates"/>
      </w:tblPr>
      <w:tblGrid>
        <w:gridCol w:w="1714"/>
        <w:gridCol w:w="1363"/>
        <w:gridCol w:w="1363"/>
        <w:gridCol w:w="1367"/>
        <w:gridCol w:w="3210"/>
      </w:tblGrid>
      <w:tr w:rsidR="00D63E98" w14:paraId="4DC497D2" w14:textId="77777777">
        <w:trPr>
          <w:tblHeader/>
        </w:trPr>
        <w:tc>
          <w:tcPr>
            <w:tcW w:w="950" w:type="pct"/>
            <w:shd w:val="clear" w:color="auto" w:fill="auto"/>
            <w:vAlign w:val="center"/>
          </w:tcPr>
          <w:p w14:paraId="55A15696" w14:textId="77777777" w:rsidR="00D63E98" w:rsidRDefault="00233BA3">
            <w:pPr>
              <w:pStyle w:val="In-tableHeading"/>
            </w:pPr>
            <w:r>
              <w:t>Parameter</w:t>
            </w:r>
          </w:p>
        </w:tc>
        <w:tc>
          <w:tcPr>
            <w:tcW w:w="2270" w:type="pct"/>
            <w:gridSpan w:val="3"/>
            <w:shd w:val="clear" w:color="auto" w:fill="auto"/>
            <w:vAlign w:val="center"/>
          </w:tcPr>
          <w:p w14:paraId="29839B19" w14:textId="77777777" w:rsidR="00D63E98" w:rsidRDefault="00233BA3">
            <w:pPr>
              <w:pStyle w:val="In-tableHeading"/>
            </w:pPr>
            <w:r>
              <w:t>Value applied and source</w:t>
            </w:r>
          </w:p>
        </w:tc>
        <w:tc>
          <w:tcPr>
            <w:tcW w:w="1780" w:type="pct"/>
            <w:shd w:val="clear" w:color="auto" w:fill="auto"/>
            <w:vAlign w:val="center"/>
          </w:tcPr>
          <w:p w14:paraId="38E1E96C" w14:textId="77777777" w:rsidR="00D63E98" w:rsidRDefault="00233BA3">
            <w:pPr>
              <w:pStyle w:val="In-tableHeading"/>
            </w:pPr>
            <w:r>
              <w:t>Comment</w:t>
            </w:r>
          </w:p>
        </w:tc>
      </w:tr>
      <w:tr w:rsidR="00D63E98" w14:paraId="2336349F" w14:textId="77777777">
        <w:tc>
          <w:tcPr>
            <w:tcW w:w="950" w:type="pct"/>
            <w:shd w:val="clear" w:color="auto" w:fill="auto"/>
            <w:vAlign w:val="center"/>
          </w:tcPr>
          <w:p w14:paraId="0A0126FD" w14:textId="77777777" w:rsidR="00D63E98" w:rsidRDefault="00233BA3">
            <w:pPr>
              <w:pStyle w:val="TableText0"/>
            </w:pPr>
            <w:r>
              <w:t>Number of prescriptions for each relevant strength of PP1M and PP3M</w:t>
            </w:r>
          </w:p>
        </w:tc>
        <w:tc>
          <w:tcPr>
            <w:tcW w:w="2270" w:type="pct"/>
            <w:gridSpan w:val="3"/>
            <w:shd w:val="clear" w:color="auto" w:fill="auto"/>
            <w:vAlign w:val="center"/>
          </w:tcPr>
          <w:p w14:paraId="69416743" w14:textId="77777777" w:rsidR="00D63E98" w:rsidRDefault="00233BA3">
            <w:pPr>
              <w:pStyle w:val="TableText0"/>
            </w:pPr>
            <w:r>
              <w:t>Services Australia PBS/RPBS dispensed services data.</w:t>
            </w:r>
          </w:p>
        </w:tc>
        <w:tc>
          <w:tcPr>
            <w:tcW w:w="1780" w:type="pct"/>
            <w:shd w:val="clear" w:color="auto" w:fill="auto"/>
            <w:vAlign w:val="center"/>
          </w:tcPr>
          <w:p w14:paraId="0D236DC1" w14:textId="77777777" w:rsidR="00D63E98" w:rsidRDefault="00233BA3">
            <w:pPr>
              <w:pStyle w:val="TableText0"/>
              <w:rPr>
                <w:lang w:val="en-US"/>
              </w:rPr>
            </w:pPr>
            <w:r>
              <w:rPr>
                <w:lang w:val="en-US"/>
              </w:rPr>
              <w:t>Reasonable</w:t>
            </w:r>
          </w:p>
        </w:tc>
      </w:tr>
      <w:tr w:rsidR="00D63E98" w14:paraId="5770AC6B" w14:textId="77777777">
        <w:tc>
          <w:tcPr>
            <w:tcW w:w="950" w:type="pct"/>
            <w:shd w:val="clear" w:color="auto" w:fill="auto"/>
            <w:vAlign w:val="center"/>
          </w:tcPr>
          <w:p w14:paraId="718D7161" w14:textId="77777777" w:rsidR="00D63E98" w:rsidRDefault="00233BA3">
            <w:pPr>
              <w:pStyle w:val="TableText0"/>
            </w:pPr>
            <w:r>
              <w:t>Extrapolation of PP1M and PP3M prescriptions</w:t>
            </w:r>
          </w:p>
        </w:tc>
        <w:tc>
          <w:tcPr>
            <w:tcW w:w="2270" w:type="pct"/>
            <w:gridSpan w:val="3"/>
            <w:shd w:val="clear" w:color="auto" w:fill="auto"/>
            <w:vAlign w:val="center"/>
          </w:tcPr>
          <w:p w14:paraId="5A438A3A" w14:textId="77777777" w:rsidR="00D63E98" w:rsidRDefault="00233BA3">
            <w:pPr>
              <w:pStyle w:val="TableText0"/>
            </w:pPr>
            <w:r>
              <w:t>Linear trend analysis and log trend analysis for PP1M and PP3M prescriptions respectively.</w:t>
            </w:r>
          </w:p>
        </w:tc>
        <w:tc>
          <w:tcPr>
            <w:tcW w:w="1780" w:type="pct"/>
            <w:shd w:val="clear" w:color="auto" w:fill="auto"/>
            <w:vAlign w:val="center"/>
          </w:tcPr>
          <w:p w14:paraId="6C1AB3CD" w14:textId="77777777" w:rsidR="00D63E98" w:rsidRDefault="00233BA3">
            <w:pPr>
              <w:pStyle w:val="TableText0"/>
              <w:rPr>
                <w:lang w:val="en-US"/>
              </w:rPr>
            </w:pPr>
            <w:r>
              <w:rPr>
                <w:lang w:val="en-US"/>
              </w:rPr>
              <w:t>Reasonable – trends selected on best curve fit</w:t>
            </w:r>
          </w:p>
        </w:tc>
      </w:tr>
      <w:tr w:rsidR="00D63E98" w14:paraId="784330AA" w14:textId="77777777">
        <w:trPr>
          <w:trHeight w:val="91"/>
        </w:trPr>
        <w:tc>
          <w:tcPr>
            <w:tcW w:w="950" w:type="pct"/>
            <w:vMerge w:val="restart"/>
            <w:shd w:val="clear" w:color="auto" w:fill="auto"/>
            <w:vAlign w:val="center"/>
          </w:tcPr>
          <w:p w14:paraId="189362E9" w14:textId="77777777" w:rsidR="00D63E98" w:rsidRDefault="00233BA3">
            <w:pPr>
              <w:pStyle w:val="TableText0"/>
            </w:pPr>
            <w:r>
              <w:t>Uptake rate</w:t>
            </w:r>
          </w:p>
        </w:tc>
        <w:tc>
          <w:tcPr>
            <w:tcW w:w="756" w:type="pct"/>
            <w:shd w:val="clear" w:color="auto" w:fill="auto"/>
            <w:vAlign w:val="center"/>
          </w:tcPr>
          <w:p w14:paraId="6946368B" w14:textId="77777777" w:rsidR="00D63E98" w:rsidRDefault="00233BA3">
            <w:pPr>
              <w:pStyle w:val="TableText0"/>
            </w:pPr>
            <w:r>
              <w:t>year</w:t>
            </w:r>
          </w:p>
        </w:tc>
        <w:tc>
          <w:tcPr>
            <w:tcW w:w="756" w:type="pct"/>
            <w:shd w:val="clear" w:color="auto" w:fill="auto"/>
            <w:vAlign w:val="center"/>
          </w:tcPr>
          <w:p w14:paraId="45A771A6" w14:textId="77777777" w:rsidR="00D63E98" w:rsidRDefault="00233BA3">
            <w:pPr>
              <w:pStyle w:val="TableText0"/>
            </w:pPr>
            <w:r>
              <w:t>PPM1</w:t>
            </w:r>
          </w:p>
        </w:tc>
        <w:tc>
          <w:tcPr>
            <w:tcW w:w="758" w:type="pct"/>
            <w:shd w:val="clear" w:color="auto" w:fill="auto"/>
            <w:vAlign w:val="center"/>
          </w:tcPr>
          <w:p w14:paraId="43BFD083" w14:textId="77777777" w:rsidR="00D63E98" w:rsidRDefault="00233BA3">
            <w:pPr>
              <w:pStyle w:val="TableText0"/>
            </w:pPr>
            <w:r>
              <w:t>PPM3</w:t>
            </w:r>
          </w:p>
        </w:tc>
        <w:tc>
          <w:tcPr>
            <w:tcW w:w="1780" w:type="pct"/>
            <w:vMerge w:val="restart"/>
            <w:shd w:val="clear" w:color="auto" w:fill="auto"/>
            <w:vAlign w:val="center"/>
          </w:tcPr>
          <w:p w14:paraId="30AEF7F3" w14:textId="77777777" w:rsidR="00D63E98" w:rsidRDefault="00233BA3">
            <w:pPr>
              <w:pStyle w:val="TableText0"/>
            </w:pPr>
            <w:r>
              <w:t>Sponsor assumption based on substitution rate of PBS items and PP1M</w:t>
            </w:r>
          </w:p>
          <w:p w14:paraId="436AEE42" w14:textId="77777777" w:rsidR="00D63E98" w:rsidRDefault="00233BA3">
            <w:pPr>
              <w:pStyle w:val="TableText0"/>
              <w:rPr>
                <w:i/>
                <w:iCs/>
                <w:lang w:val="en-US"/>
              </w:rPr>
            </w:pPr>
            <w:r>
              <w:t xml:space="preserve">by PP3M - </w:t>
            </w:r>
            <w:r>
              <w:rPr>
                <w:iCs/>
              </w:rPr>
              <w:t xml:space="preserve">reasonable based on analysis although not possible to verify </w:t>
            </w:r>
          </w:p>
        </w:tc>
      </w:tr>
      <w:tr w:rsidR="00D63E98" w14:paraId="4AAA612B" w14:textId="77777777">
        <w:trPr>
          <w:trHeight w:val="87"/>
        </w:trPr>
        <w:tc>
          <w:tcPr>
            <w:tcW w:w="950" w:type="pct"/>
            <w:vMerge/>
            <w:shd w:val="clear" w:color="auto" w:fill="auto"/>
            <w:vAlign w:val="center"/>
          </w:tcPr>
          <w:p w14:paraId="44AEF008" w14:textId="77777777" w:rsidR="00D63E98" w:rsidRDefault="00D63E98">
            <w:pPr>
              <w:pStyle w:val="TableText0"/>
            </w:pPr>
          </w:p>
        </w:tc>
        <w:tc>
          <w:tcPr>
            <w:tcW w:w="756" w:type="pct"/>
            <w:shd w:val="clear" w:color="auto" w:fill="auto"/>
            <w:vAlign w:val="center"/>
          </w:tcPr>
          <w:p w14:paraId="063B2991" w14:textId="77777777" w:rsidR="00D63E98" w:rsidRDefault="00233BA3">
            <w:pPr>
              <w:pStyle w:val="TableText0"/>
            </w:pPr>
            <w:r>
              <w:t>1</w:t>
            </w:r>
          </w:p>
        </w:tc>
        <w:tc>
          <w:tcPr>
            <w:tcW w:w="756" w:type="pct"/>
            <w:shd w:val="clear" w:color="auto" w:fill="auto"/>
            <w:vAlign w:val="center"/>
          </w:tcPr>
          <w:p w14:paraId="26B65E2B" w14:textId="77777777" w:rsidR="00D63E98" w:rsidRDefault="00233BA3">
            <w:pPr>
              <w:pStyle w:val="TableText0"/>
            </w:pPr>
            <w:r>
              <w:t>1.1%</w:t>
            </w:r>
          </w:p>
        </w:tc>
        <w:tc>
          <w:tcPr>
            <w:tcW w:w="758" w:type="pct"/>
            <w:shd w:val="clear" w:color="auto" w:fill="auto"/>
            <w:vAlign w:val="center"/>
          </w:tcPr>
          <w:p w14:paraId="3D475DD4" w14:textId="77777777" w:rsidR="00D63E98" w:rsidRDefault="00233BA3">
            <w:pPr>
              <w:pStyle w:val="TableText0"/>
            </w:pPr>
            <w:r>
              <w:t>5.5%</w:t>
            </w:r>
          </w:p>
        </w:tc>
        <w:tc>
          <w:tcPr>
            <w:tcW w:w="1780" w:type="pct"/>
            <w:vMerge/>
            <w:shd w:val="clear" w:color="auto" w:fill="auto"/>
            <w:vAlign w:val="center"/>
          </w:tcPr>
          <w:p w14:paraId="75E76F6B" w14:textId="77777777" w:rsidR="00D63E98" w:rsidRDefault="00D63E98">
            <w:pPr>
              <w:pStyle w:val="TableText0"/>
              <w:rPr>
                <w:lang w:val="en-US"/>
              </w:rPr>
            </w:pPr>
          </w:p>
        </w:tc>
      </w:tr>
      <w:tr w:rsidR="00D63E98" w14:paraId="550DC382" w14:textId="77777777">
        <w:trPr>
          <w:trHeight w:val="87"/>
        </w:trPr>
        <w:tc>
          <w:tcPr>
            <w:tcW w:w="950" w:type="pct"/>
            <w:vMerge/>
            <w:shd w:val="clear" w:color="auto" w:fill="auto"/>
            <w:vAlign w:val="center"/>
          </w:tcPr>
          <w:p w14:paraId="055E8DDC" w14:textId="77777777" w:rsidR="00D63E98" w:rsidRDefault="00D63E98">
            <w:pPr>
              <w:pStyle w:val="TableText0"/>
            </w:pPr>
          </w:p>
        </w:tc>
        <w:tc>
          <w:tcPr>
            <w:tcW w:w="756" w:type="pct"/>
            <w:shd w:val="clear" w:color="auto" w:fill="auto"/>
            <w:vAlign w:val="center"/>
          </w:tcPr>
          <w:p w14:paraId="1774DF3B" w14:textId="77777777" w:rsidR="00D63E98" w:rsidRDefault="00233BA3">
            <w:pPr>
              <w:pStyle w:val="TableText0"/>
            </w:pPr>
            <w:r>
              <w:t>2</w:t>
            </w:r>
          </w:p>
        </w:tc>
        <w:tc>
          <w:tcPr>
            <w:tcW w:w="756" w:type="pct"/>
            <w:shd w:val="clear" w:color="auto" w:fill="auto"/>
            <w:vAlign w:val="center"/>
          </w:tcPr>
          <w:p w14:paraId="79A497A6" w14:textId="77777777" w:rsidR="00D63E98" w:rsidRDefault="00233BA3">
            <w:pPr>
              <w:pStyle w:val="TableText0"/>
            </w:pPr>
            <w:r>
              <w:t>3.2%</w:t>
            </w:r>
          </w:p>
        </w:tc>
        <w:tc>
          <w:tcPr>
            <w:tcW w:w="758" w:type="pct"/>
            <w:shd w:val="clear" w:color="auto" w:fill="auto"/>
            <w:vAlign w:val="center"/>
          </w:tcPr>
          <w:p w14:paraId="3A5AA481" w14:textId="77777777" w:rsidR="00D63E98" w:rsidRDefault="00233BA3">
            <w:pPr>
              <w:pStyle w:val="TableText0"/>
            </w:pPr>
            <w:r>
              <w:t>15.9%</w:t>
            </w:r>
          </w:p>
        </w:tc>
        <w:tc>
          <w:tcPr>
            <w:tcW w:w="1780" w:type="pct"/>
            <w:vMerge/>
            <w:shd w:val="clear" w:color="auto" w:fill="auto"/>
            <w:vAlign w:val="center"/>
          </w:tcPr>
          <w:p w14:paraId="4265C39A" w14:textId="77777777" w:rsidR="00D63E98" w:rsidRDefault="00D63E98">
            <w:pPr>
              <w:pStyle w:val="TableText0"/>
              <w:rPr>
                <w:lang w:val="en-US"/>
              </w:rPr>
            </w:pPr>
          </w:p>
        </w:tc>
      </w:tr>
      <w:tr w:rsidR="00D63E98" w14:paraId="661ACD52" w14:textId="77777777">
        <w:trPr>
          <w:trHeight w:val="87"/>
        </w:trPr>
        <w:tc>
          <w:tcPr>
            <w:tcW w:w="950" w:type="pct"/>
            <w:vMerge/>
            <w:shd w:val="clear" w:color="auto" w:fill="auto"/>
            <w:vAlign w:val="center"/>
          </w:tcPr>
          <w:p w14:paraId="0C1246E5" w14:textId="77777777" w:rsidR="00D63E98" w:rsidRDefault="00D63E98">
            <w:pPr>
              <w:pStyle w:val="TableText0"/>
            </w:pPr>
          </w:p>
        </w:tc>
        <w:tc>
          <w:tcPr>
            <w:tcW w:w="756" w:type="pct"/>
            <w:shd w:val="clear" w:color="auto" w:fill="auto"/>
            <w:vAlign w:val="center"/>
          </w:tcPr>
          <w:p w14:paraId="34366B8D" w14:textId="77777777" w:rsidR="00D63E98" w:rsidRDefault="00233BA3">
            <w:pPr>
              <w:pStyle w:val="TableText0"/>
            </w:pPr>
            <w:r>
              <w:t>3</w:t>
            </w:r>
          </w:p>
        </w:tc>
        <w:tc>
          <w:tcPr>
            <w:tcW w:w="756" w:type="pct"/>
            <w:shd w:val="clear" w:color="auto" w:fill="auto"/>
            <w:vAlign w:val="center"/>
          </w:tcPr>
          <w:p w14:paraId="26C8C815" w14:textId="77777777" w:rsidR="00D63E98" w:rsidRDefault="00233BA3">
            <w:pPr>
              <w:pStyle w:val="TableText0"/>
            </w:pPr>
            <w:r>
              <w:t>4.1%</w:t>
            </w:r>
          </w:p>
        </w:tc>
        <w:tc>
          <w:tcPr>
            <w:tcW w:w="758" w:type="pct"/>
            <w:shd w:val="clear" w:color="auto" w:fill="auto"/>
            <w:vAlign w:val="center"/>
          </w:tcPr>
          <w:p w14:paraId="7FB08885" w14:textId="77777777" w:rsidR="00D63E98" w:rsidRDefault="00233BA3">
            <w:pPr>
              <w:pStyle w:val="TableText0"/>
            </w:pPr>
            <w:r>
              <w:t>20.6%</w:t>
            </w:r>
          </w:p>
        </w:tc>
        <w:tc>
          <w:tcPr>
            <w:tcW w:w="1780" w:type="pct"/>
            <w:vMerge/>
            <w:shd w:val="clear" w:color="auto" w:fill="auto"/>
            <w:vAlign w:val="center"/>
          </w:tcPr>
          <w:p w14:paraId="32724DAE" w14:textId="77777777" w:rsidR="00D63E98" w:rsidRDefault="00D63E98">
            <w:pPr>
              <w:pStyle w:val="TableText0"/>
              <w:rPr>
                <w:lang w:val="en-US"/>
              </w:rPr>
            </w:pPr>
          </w:p>
        </w:tc>
      </w:tr>
      <w:tr w:rsidR="00D63E98" w14:paraId="375F5C8C" w14:textId="77777777">
        <w:trPr>
          <w:trHeight w:val="87"/>
        </w:trPr>
        <w:tc>
          <w:tcPr>
            <w:tcW w:w="950" w:type="pct"/>
            <w:vMerge/>
            <w:shd w:val="clear" w:color="auto" w:fill="auto"/>
            <w:vAlign w:val="center"/>
          </w:tcPr>
          <w:p w14:paraId="2D43BD13" w14:textId="77777777" w:rsidR="00D63E98" w:rsidRDefault="00D63E98">
            <w:pPr>
              <w:pStyle w:val="TableText0"/>
            </w:pPr>
          </w:p>
        </w:tc>
        <w:tc>
          <w:tcPr>
            <w:tcW w:w="756" w:type="pct"/>
            <w:shd w:val="clear" w:color="auto" w:fill="auto"/>
            <w:vAlign w:val="center"/>
          </w:tcPr>
          <w:p w14:paraId="1AB9462A" w14:textId="77777777" w:rsidR="00D63E98" w:rsidRDefault="00233BA3">
            <w:pPr>
              <w:pStyle w:val="TableText0"/>
            </w:pPr>
            <w:r>
              <w:t>4</w:t>
            </w:r>
          </w:p>
        </w:tc>
        <w:tc>
          <w:tcPr>
            <w:tcW w:w="756" w:type="pct"/>
            <w:shd w:val="clear" w:color="auto" w:fill="auto"/>
            <w:vAlign w:val="center"/>
          </w:tcPr>
          <w:p w14:paraId="50C57EF1" w14:textId="77777777" w:rsidR="00D63E98" w:rsidRDefault="00233BA3">
            <w:pPr>
              <w:pStyle w:val="TableText0"/>
            </w:pPr>
            <w:r>
              <w:t>4.9%</w:t>
            </w:r>
          </w:p>
        </w:tc>
        <w:tc>
          <w:tcPr>
            <w:tcW w:w="758" w:type="pct"/>
            <w:shd w:val="clear" w:color="auto" w:fill="auto"/>
            <w:vAlign w:val="center"/>
          </w:tcPr>
          <w:p w14:paraId="43A3BA8B" w14:textId="77777777" w:rsidR="00D63E98" w:rsidRDefault="00233BA3">
            <w:pPr>
              <w:pStyle w:val="TableText0"/>
            </w:pPr>
            <w:r>
              <w:t>24.5%</w:t>
            </w:r>
          </w:p>
        </w:tc>
        <w:tc>
          <w:tcPr>
            <w:tcW w:w="1780" w:type="pct"/>
            <w:vMerge/>
            <w:shd w:val="clear" w:color="auto" w:fill="auto"/>
            <w:vAlign w:val="center"/>
          </w:tcPr>
          <w:p w14:paraId="7B383BE9" w14:textId="77777777" w:rsidR="00D63E98" w:rsidRDefault="00D63E98">
            <w:pPr>
              <w:pStyle w:val="TableText0"/>
              <w:rPr>
                <w:lang w:val="en-US"/>
              </w:rPr>
            </w:pPr>
          </w:p>
        </w:tc>
      </w:tr>
      <w:tr w:rsidR="00D63E98" w14:paraId="2C77D0CC" w14:textId="77777777">
        <w:trPr>
          <w:trHeight w:val="87"/>
        </w:trPr>
        <w:tc>
          <w:tcPr>
            <w:tcW w:w="950" w:type="pct"/>
            <w:vMerge/>
            <w:shd w:val="clear" w:color="auto" w:fill="auto"/>
            <w:vAlign w:val="center"/>
          </w:tcPr>
          <w:p w14:paraId="606E26EC" w14:textId="77777777" w:rsidR="00D63E98" w:rsidRDefault="00D63E98">
            <w:pPr>
              <w:pStyle w:val="TableText0"/>
            </w:pPr>
          </w:p>
        </w:tc>
        <w:tc>
          <w:tcPr>
            <w:tcW w:w="756" w:type="pct"/>
            <w:shd w:val="clear" w:color="auto" w:fill="auto"/>
            <w:vAlign w:val="center"/>
          </w:tcPr>
          <w:p w14:paraId="7CD8112F" w14:textId="77777777" w:rsidR="00D63E98" w:rsidRDefault="00233BA3">
            <w:pPr>
              <w:pStyle w:val="TableText0"/>
            </w:pPr>
            <w:r>
              <w:t>5</w:t>
            </w:r>
          </w:p>
        </w:tc>
        <w:tc>
          <w:tcPr>
            <w:tcW w:w="756" w:type="pct"/>
            <w:shd w:val="clear" w:color="auto" w:fill="auto"/>
            <w:vAlign w:val="center"/>
          </w:tcPr>
          <w:p w14:paraId="08183608" w14:textId="77777777" w:rsidR="00D63E98" w:rsidRDefault="00233BA3">
            <w:pPr>
              <w:pStyle w:val="TableText0"/>
            </w:pPr>
            <w:r>
              <w:t>5.1%</w:t>
            </w:r>
          </w:p>
        </w:tc>
        <w:tc>
          <w:tcPr>
            <w:tcW w:w="758" w:type="pct"/>
            <w:shd w:val="clear" w:color="auto" w:fill="auto"/>
            <w:vAlign w:val="center"/>
          </w:tcPr>
          <w:p w14:paraId="23DD916C" w14:textId="77777777" w:rsidR="00D63E98" w:rsidRDefault="00233BA3">
            <w:pPr>
              <w:pStyle w:val="TableText0"/>
            </w:pPr>
            <w:r>
              <w:t>25.6%</w:t>
            </w:r>
          </w:p>
        </w:tc>
        <w:tc>
          <w:tcPr>
            <w:tcW w:w="1780" w:type="pct"/>
            <w:vMerge/>
            <w:shd w:val="clear" w:color="auto" w:fill="auto"/>
            <w:vAlign w:val="center"/>
          </w:tcPr>
          <w:p w14:paraId="06209EC6" w14:textId="77777777" w:rsidR="00D63E98" w:rsidRDefault="00D63E98">
            <w:pPr>
              <w:pStyle w:val="TableText0"/>
              <w:rPr>
                <w:lang w:val="en-US"/>
              </w:rPr>
            </w:pPr>
          </w:p>
        </w:tc>
      </w:tr>
      <w:tr w:rsidR="00D63E98" w14:paraId="5743E6E1" w14:textId="77777777">
        <w:trPr>
          <w:trHeight w:val="87"/>
        </w:trPr>
        <w:tc>
          <w:tcPr>
            <w:tcW w:w="950" w:type="pct"/>
            <w:vMerge/>
            <w:shd w:val="clear" w:color="auto" w:fill="auto"/>
            <w:vAlign w:val="center"/>
          </w:tcPr>
          <w:p w14:paraId="0B91E4CD" w14:textId="77777777" w:rsidR="00D63E98" w:rsidRDefault="00D63E98">
            <w:pPr>
              <w:pStyle w:val="TableText0"/>
            </w:pPr>
          </w:p>
        </w:tc>
        <w:tc>
          <w:tcPr>
            <w:tcW w:w="756" w:type="pct"/>
            <w:shd w:val="clear" w:color="auto" w:fill="auto"/>
            <w:vAlign w:val="center"/>
          </w:tcPr>
          <w:p w14:paraId="770332E8" w14:textId="77777777" w:rsidR="00D63E98" w:rsidRDefault="00233BA3">
            <w:pPr>
              <w:pStyle w:val="TableText0"/>
            </w:pPr>
            <w:r>
              <w:t>6</w:t>
            </w:r>
          </w:p>
        </w:tc>
        <w:tc>
          <w:tcPr>
            <w:tcW w:w="756" w:type="pct"/>
            <w:shd w:val="clear" w:color="auto" w:fill="auto"/>
            <w:vAlign w:val="center"/>
          </w:tcPr>
          <w:p w14:paraId="50C4F574" w14:textId="77777777" w:rsidR="00D63E98" w:rsidRDefault="00233BA3">
            <w:pPr>
              <w:pStyle w:val="TableText0"/>
            </w:pPr>
            <w:r>
              <w:t>5.4%</w:t>
            </w:r>
          </w:p>
        </w:tc>
        <w:tc>
          <w:tcPr>
            <w:tcW w:w="758" w:type="pct"/>
            <w:shd w:val="clear" w:color="auto" w:fill="auto"/>
            <w:vAlign w:val="center"/>
          </w:tcPr>
          <w:p w14:paraId="2F0930B1" w14:textId="77777777" w:rsidR="00D63E98" w:rsidRDefault="00233BA3">
            <w:pPr>
              <w:pStyle w:val="TableText0"/>
            </w:pPr>
            <w:r>
              <w:t>26.8%</w:t>
            </w:r>
          </w:p>
        </w:tc>
        <w:tc>
          <w:tcPr>
            <w:tcW w:w="1780" w:type="pct"/>
            <w:vMerge/>
            <w:shd w:val="clear" w:color="auto" w:fill="auto"/>
            <w:vAlign w:val="center"/>
          </w:tcPr>
          <w:p w14:paraId="0E9DD011" w14:textId="77777777" w:rsidR="00D63E98" w:rsidRDefault="00D63E98">
            <w:pPr>
              <w:pStyle w:val="TableText0"/>
              <w:rPr>
                <w:lang w:val="en-US"/>
              </w:rPr>
            </w:pPr>
          </w:p>
        </w:tc>
      </w:tr>
      <w:tr w:rsidR="00D63E98" w14:paraId="1E61D36E" w14:textId="77777777">
        <w:tc>
          <w:tcPr>
            <w:tcW w:w="950" w:type="pct"/>
            <w:shd w:val="clear" w:color="auto" w:fill="auto"/>
            <w:vAlign w:val="center"/>
          </w:tcPr>
          <w:p w14:paraId="62FD233F" w14:textId="77777777" w:rsidR="00D63E98" w:rsidRDefault="00233BA3">
            <w:pPr>
              <w:pStyle w:val="TableText0"/>
            </w:pPr>
            <w:r>
              <w:t>Cost of therapy and patient co-payments</w:t>
            </w:r>
          </w:p>
        </w:tc>
        <w:tc>
          <w:tcPr>
            <w:tcW w:w="2270" w:type="pct"/>
            <w:gridSpan w:val="3"/>
            <w:shd w:val="clear" w:color="auto" w:fill="auto"/>
            <w:vAlign w:val="center"/>
          </w:tcPr>
          <w:p w14:paraId="243E1C1A" w14:textId="77777777" w:rsidR="00D63E98" w:rsidRDefault="00233BA3">
            <w:pPr>
              <w:pStyle w:val="TableText0"/>
            </w:pPr>
            <w:r>
              <w:t>PBS items numbers and DHS.</w:t>
            </w:r>
          </w:p>
        </w:tc>
        <w:tc>
          <w:tcPr>
            <w:tcW w:w="1780" w:type="pct"/>
            <w:shd w:val="clear" w:color="auto" w:fill="auto"/>
            <w:vAlign w:val="center"/>
          </w:tcPr>
          <w:p w14:paraId="7DC8E0B7" w14:textId="77777777" w:rsidR="00D63E98" w:rsidRDefault="00233BA3">
            <w:pPr>
              <w:pStyle w:val="TableText0"/>
              <w:rPr>
                <w:lang w:val="en-US"/>
              </w:rPr>
            </w:pPr>
            <w:r>
              <w:rPr>
                <w:lang w:val="en-US"/>
              </w:rPr>
              <w:t>Reasonable</w:t>
            </w:r>
          </w:p>
        </w:tc>
      </w:tr>
    </w:tbl>
    <w:p w14:paraId="29F8DBAF" w14:textId="6A04CCF9" w:rsidR="00D63E98" w:rsidRDefault="00CA76F0">
      <w:pPr>
        <w:pStyle w:val="TableFigureFooter"/>
      </w:pPr>
      <w:r>
        <w:t>Source: Tables 4.1, 4.</w:t>
      </w:r>
      <w:r w:rsidR="00233BA3">
        <w:t>3 p124 and 126 of the submission.</w:t>
      </w:r>
    </w:p>
    <w:p w14:paraId="4B108F4E" w14:textId="77777777" w:rsidR="00D63E98" w:rsidRDefault="00233BA3">
      <w:pPr>
        <w:pStyle w:val="3-BodyText"/>
      </w:pPr>
      <w:r>
        <w:t>The estimated use and financial implications are shown in the table below.</w:t>
      </w:r>
    </w:p>
    <w:p w14:paraId="55568F28" w14:textId="4D53B74D" w:rsidR="00D63E98" w:rsidRDefault="00233BA3">
      <w:pPr>
        <w:pStyle w:val="Caption"/>
      </w:pPr>
      <w:r>
        <w:t xml:space="preserve">Table </w:t>
      </w:r>
      <w:fldSimple w:instr=" SEQ Table \* ARABIC ">
        <w:r w:rsidR="001149A2">
          <w:rPr>
            <w:noProof/>
          </w:rPr>
          <w:t>10</w:t>
        </w:r>
      </w:fldSimple>
      <w: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w:tblDescription w:val="Table 10: Estimated use and financial implications"/>
      </w:tblPr>
      <w:tblGrid>
        <w:gridCol w:w="2012"/>
        <w:gridCol w:w="1167"/>
        <w:gridCol w:w="1167"/>
        <w:gridCol w:w="1167"/>
        <w:gridCol w:w="1167"/>
        <w:gridCol w:w="1167"/>
        <w:gridCol w:w="1170"/>
      </w:tblGrid>
      <w:tr w:rsidR="00D63E98" w14:paraId="2A30281D" w14:textId="77777777">
        <w:trPr>
          <w:tblHeader/>
        </w:trPr>
        <w:tc>
          <w:tcPr>
            <w:tcW w:w="1116" w:type="pct"/>
            <w:shd w:val="clear" w:color="auto" w:fill="auto"/>
            <w:vAlign w:val="center"/>
          </w:tcPr>
          <w:p w14:paraId="74BED9FA" w14:textId="77777777" w:rsidR="00D63E98" w:rsidRDefault="00D63E98">
            <w:pPr>
              <w:pStyle w:val="In-tableHeading"/>
              <w:jc w:val="center"/>
              <w:rPr>
                <w:szCs w:val="20"/>
              </w:rPr>
            </w:pPr>
          </w:p>
        </w:tc>
        <w:tc>
          <w:tcPr>
            <w:tcW w:w="647" w:type="pct"/>
            <w:shd w:val="clear" w:color="auto" w:fill="auto"/>
            <w:vAlign w:val="center"/>
          </w:tcPr>
          <w:p w14:paraId="58BD53F7" w14:textId="77777777" w:rsidR="00D63E98" w:rsidRDefault="00233BA3">
            <w:pPr>
              <w:pStyle w:val="In-tableHeading"/>
              <w:jc w:val="center"/>
              <w:rPr>
                <w:szCs w:val="20"/>
              </w:rPr>
            </w:pPr>
            <w:r>
              <w:rPr>
                <w:szCs w:val="20"/>
              </w:rPr>
              <w:t>Year 1</w:t>
            </w:r>
          </w:p>
        </w:tc>
        <w:tc>
          <w:tcPr>
            <w:tcW w:w="647" w:type="pct"/>
            <w:shd w:val="clear" w:color="auto" w:fill="auto"/>
            <w:vAlign w:val="center"/>
          </w:tcPr>
          <w:p w14:paraId="724B0637" w14:textId="77777777" w:rsidR="00D63E98" w:rsidRDefault="00233BA3">
            <w:pPr>
              <w:pStyle w:val="In-tableHeading"/>
              <w:jc w:val="center"/>
              <w:rPr>
                <w:szCs w:val="20"/>
              </w:rPr>
            </w:pPr>
            <w:r>
              <w:rPr>
                <w:szCs w:val="20"/>
              </w:rPr>
              <w:t>Year 2</w:t>
            </w:r>
          </w:p>
        </w:tc>
        <w:tc>
          <w:tcPr>
            <w:tcW w:w="647" w:type="pct"/>
            <w:shd w:val="clear" w:color="auto" w:fill="auto"/>
            <w:vAlign w:val="center"/>
          </w:tcPr>
          <w:p w14:paraId="433A63DE" w14:textId="77777777" w:rsidR="00D63E98" w:rsidRDefault="00233BA3">
            <w:pPr>
              <w:pStyle w:val="In-tableHeading"/>
              <w:jc w:val="center"/>
              <w:rPr>
                <w:szCs w:val="20"/>
              </w:rPr>
            </w:pPr>
            <w:r>
              <w:rPr>
                <w:szCs w:val="20"/>
              </w:rPr>
              <w:t>Year 3</w:t>
            </w:r>
          </w:p>
        </w:tc>
        <w:tc>
          <w:tcPr>
            <w:tcW w:w="647" w:type="pct"/>
            <w:shd w:val="clear" w:color="auto" w:fill="auto"/>
            <w:vAlign w:val="center"/>
          </w:tcPr>
          <w:p w14:paraId="3216071A" w14:textId="77777777" w:rsidR="00D63E98" w:rsidRDefault="00233BA3">
            <w:pPr>
              <w:pStyle w:val="In-tableHeading"/>
              <w:jc w:val="center"/>
              <w:rPr>
                <w:szCs w:val="20"/>
              </w:rPr>
            </w:pPr>
            <w:r>
              <w:rPr>
                <w:szCs w:val="20"/>
              </w:rPr>
              <w:t>Year 4</w:t>
            </w:r>
          </w:p>
        </w:tc>
        <w:tc>
          <w:tcPr>
            <w:tcW w:w="647" w:type="pct"/>
            <w:shd w:val="clear" w:color="auto" w:fill="auto"/>
            <w:vAlign w:val="center"/>
          </w:tcPr>
          <w:p w14:paraId="121B46EA" w14:textId="77777777" w:rsidR="00D63E98" w:rsidRDefault="00233BA3">
            <w:pPr>
              <w:pStyle w:val="In-tableHeading"/>
              <w:jc w:val="center"/>
              <w:rPr>
                <w:szCs w:val="20"/>
              </w:rPr>
            </w:pPr>
            <w:r>
              <w:rPr>
                <w:szCs w:val="20"/>
              </w:rPr>
              <w:t>Year 5</w:t>
            </w:r>
          </w:p>
        </w:tc>
        <w:tc>
          <w:tcPr>
            <w:tcW w:w="649" w:type="pct"/>
          </w:tcPr>
          <w:p w14:paraId="3B7C4A03" w14:textId="77777777" w:rsidR="00D63E98" w:rsidRDefault="00233BA3">
            <w:pPr>
              <w:pStyle w:val="In-tableHeading"/>
              <w:jc w:val="center"/>
              <w:rPr>
                <w:szCs w:val="20"/>
              </w:rPr>
            </w:pPr>
            <w:r>
              <w:rPr>
                <w:szCs w:val="20"/>
              </w:rPr>
              <w:t>Year 6</w:t>
            </w:r>
          </w:p>
        </w:tc>
      </w:tr>
      <w:tr w:rsidR="00D63E98" w14:paraId="7ED977B0" w14:textId="77777777">
        <w:tc>
          <w:tcPr>
            <w:tcW w:w="5000" w:type="pct"/>
            <w:gridSpan w:val="7"/>
            <w:shd w:val="clear" w:color="auto" w:fill="auto"/>
            <w:vAlign w:val="center"/>
          </w:tcPr>
          <w:p w14:paraId="147F9DE8" w14:textId="77777777" w:rsidR="00D63E98" w:rsidRDefault="00233BA3">
            <w:pPr>
              <w:pStyle w:val="In-tableHeading"/>
              <w:rPr>
                <w:bCs/>
                <w:color w:val="000000"/>
                <w:szCs w:val="20"/>
              </w:rPr>
            </w:pPr>
            <w:r>
              <w:rPr>
                <w:bCs/>
                <w:color w:val="000000"/>
                <w:szCs w:val="20"/>
              </w:rPr>
              <w:t>Estimated extent of use</w:t>
            </w:r>
          </w:p>
        </w:tc>
      </w:tr>
      <w:tr w:rsidR="00D63E98" w14:paraId="3A7CD3F5" w14:textId="77777777">
        <w:tc>
          <w:tcPr>
            <w:tcW w:w="1116" w:type="pct"/>
            <w:shd w:val="clear" w:color="auto" w:fill="auto"/>
            <w:vAlign w:val="center"/>
          </w:tcPr>
          <w:p w14:paraId="77D193CB" w14:textId="77777777" w:rsidR="00D63E98" w:rsidRDefault="00233BA3">
            <w:pPr>
              <w:pStyle w:val="TableText0"/>
              <w:rPr>
                <w:szCs w:val="20"/>
              </w:rPr>
            </w:pPr>
            <w:r>
              <w:rPr>
                <w:szCs w:val="20"/>
              </w:rPr>
              <w:t xml:space="preserve">Number of PP6M scripts </w:t>
            </w:r>
            <w:proofErr w:type="spellStart"/>
            <w:r>
              <w:rPr>
                <w:szCs w:val="20"/>
              </w:rPr>
              <w:t>dispensed</w:t>
            </w:r>
            <w:r>
              <w:rPr>
                <w:szCs w:val="20"/>
                <w:vertAlign w:val="superscript"/>
              </w:rPr>
              <w:t>a</w:t>
            </w:r>
            <w:proofErr w:type="spellEnd"/>
            <w:r>
              <w:rPr>
                <w:szCs w:val="20"/>
              </w:rPr>
              <w:t xml:space="preserve"> (total 700 mg and 1000mg) </w:t>
            </w:r>
          </w:p>
        </w:tc>
        <w:tc>
          <w:tcPr>
            <w:tcW w:w="647" w:type="pct"/>
            <w:shd w:val="clear" w:color="auto" w:fill="auto"/>
            <w:vAlign w:val="center"/>
          </w:tcPr>
          <w:p w14:paraId="3E1FD280" w14:textId="00E13D25" w:rsidR="00D63E98" w:rsidRPr="00D765EA" w:rsidRDefault="00E63C10">
            <w:pPr>
              <w:pStyle w:val="TableText0"/>
              <w:jc w:val="center"/>
              <w:rPr>
                <w:szCs w:val="20"/>
                <w:highlight w:val="yellow"/>
                <w:vertAlign w:val="superscript"/>
              </w:rPr>
            </w:pPr>
            <w:r w:rsidRPr="005235AD">
              <w:rPr>
                <w:rFonts w:hint="eastAsia"/>
                <w:color w:val="000000"/>
                <w:w w:val="15"/>
                <w:szCs w:val="20"/>
                <w:shd w:val="solid" w:color="000000" w:fill="000000"/>
                <w:fitText w:val="10" w:id="-1504529152"/>
                <w14:textFill>
                  <w14:solidFill>
                    <w14:srgbClr w14:val="000000">
                      <w14:alpha w14:val="100000"/>
                    </w14:srgbClr>
                  </w14:solidFill>
                </w14:textFill>
              </w:rPr>
              <w:t xml:space="preserve">　</w:t>
            </w:r>
            <w:r w:rsidRPr="005235AD">
              <w:rPr>
                <w:color w:val="000000"/>
                <w:w w:val="15"/>
                <w:szCs w:val="20"/>
                <w:shd w:val="solid" w:color="000000" w:fill="000000"/>
                <w:fitText w:val="10" w:id="-1504529152"/>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52"/>
                <w14:textFill>
                  <w14:solidFill>
                    <w14:srgbClr w14:val="000000">
                      <w14:alpha w14:val="100000"/>
                    </w14:srgbClr>
                  </w14:solidFill>
                </w14:textFill>
              </w:rPr>
              <w:t xml:space="preserve">　</w:t>
            </w:r>
            <w:r w:rsidR="00D765EA" w:rsidRPr="00D765EA">
              <w:rPr>
                <w:szCs w:val="20"/>
                <w:vertAlign w:val="superscript"/>
              </w:rPr>
              <w:t>1</w:t>
            </w:r>
          </w:p>
        </w:tc>
        <w:tc>
          <w:tcPr>
            <w:tcW w:w="647" w:type="pct"/>
            <w:shd w:val="clear" w:color="auto" w:fill="auto"/>
            <w:vAlign w:val="center"/>
          </w:tcPr>
          <w:p w14:paraId="65DB46CC" w14:textId="00B2FE33"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51"/>
                <w14:textFill>
                  <w14:solidFill>
                    <w14:srgbClr w14:val="000000">
                      <w14:alpha w14:val="100000"/>
                    </w14:srgbClr>
                  </w14:solidFill>
                </w14:textFill>
              </w:rPr>
              <w:t xml:space="preserve">　</w:t>
            </w:r>
            <w:r w:rsidRPr="005235AD">
              <w:rPr>
                <w:color w:val="000000"/>
                <w:w w:val="15"/>
                <w:szCs w:val="20"/>
                <w:shd w:val="solid" w:color="000000" w:fill="000000"/>
                <w:fitText w:val="10" w:id="-1504529151"/>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51"/>
                <w14:textFill>
                  <w14:solidFill>
                    <w14:srgbClr w14:val="000000">
                      <w14:alpha w14:val="100000"/>
                    </w14:srgbClr>
                  </w14:solidFill>
                </w14:textFill>
              </w:rPr>
              <w:t xml:space="preserve">　</w:t>
            </w:r>
            <w:r w:rsidR="00D765EA" w:rsidRPr="00D765EA">
              <w:rPr>
                <w:szCs w:val="20"/>
                <w:vertAlign w:val="superscript"/>
              </w:rPr>
              <w:t>1</w:t>
            </w:r>
          </w:p>
        </w:tc>
        <w:tc>
          <w:tcPr>
            <w:tcW w:w="647" w:type="pct"/>
            <w:shd w:val="clear" w:color="auto" w:fill="auto"/>
            <w:vAlign w:val="center"/>
          </w:tcPr>
          <w:p w14:paraId="2837F932" w14:textId="212E91BF"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50"/>
                <w14:textFill>
                  <w14:solidFill>
                    <w14:srgbClr w14:val="000000">
                      <w14:alpha w14:val="100000"/>
                    </w14:srgbClr>
                  </w14:solidFill>
                </w14:textFill>
              </w:rPr>
              <w:t xml:space="preserve">　</w:t>
            </w:r>
            <w:r w:rsidRPr="005235AD">
              <w:rPr>
                <w:color w:val="000000"/>
                <w:w w:val="15"/>
                <w:szCs w:val="20"/>
                <w:shd w:val="solid" w:color="000000" w:fill="000000"/>
                <w:fitText w:val="10" w:id="-1504529150"/>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50"/>
                <w14:textFill>
                  <w14:solidFill>
                    <w14:srgbClr w14:val="000000">
                      <w14:alpha w14:val="100000"/>
                    </w14:srgbClr>
                  </w14:solidFill>
                </w14:textFill>
              </w:rPr>
              <w:t xml:space="preserve">　</w:t>
            </w:r>
            <w:r w:rsidR="00D765EA" w:rsidRPr="00D765EA">
              <w:rPr>
                <w:szCs w:val="20"/>
                <w:vertAlign w:val="superscript"/>
              </w:rPr>
              <w:t>1</w:t>
            </w:r>
          </w:p>
        </w:tc>
        <w:tc>
          <w:tcPr>
            <w:tcW w:w="647" w:type="pct"/>
            <w:shd w:val="clear" w:color="auto" w:fill="auto"/>
            <w:vAlign w:val="center"/>
          </w:tcPr>
          <w:p w14:paraId="065FBB06" w14:textId="332CE614"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49"/>
                <w14:textFill>
                  <w14:solidFill>
                    <w14:srgbClr w14:val="000000">
                      <w14:alpha w14:val="100000"/>
                    </w14:srgbClr>
                  </w14:solidFill>
                </w14:textFill>
              </w:rPr>
              <w:t xml:space="preserve">　</w:t>
            </w:r>
            <w:r w:rsidRPr="005235AD">
              <w:rPr>
                <w:color w:val="000000"/>
                <w:w w:val="15"/>
                <w:szCs w:val="20"/>
                <w:shd w:val="solid" w:color="000000" w:fill="000000"/>
                <w:fitText w:val="10" w:id="-1504529149"/>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49"/>
                <w14:textFill>
                  <w14:solidFill>
                    <w14:srgbClr w14:val="000000">
                      <w14:alpha w14:val="100000"/>
                    </w14:srgbClr>
                  </w14:solidFill>
                </w14:textFill>
              </w:rPr>
              <w:t xml:space="preserve">　</w:t>
            </w:r>
            <w:r w:rsidR="00D765EA" w:rsidRPr="00D765EA">
              <w:rPr>
                <w:szCs w:val="20"/>
                <w:vertAlign w:val="superscript"/>
              </w:rPr>
              <w:t>1</w:t>
            </w:r>
          </w:p>
        </w:tc>
        <w:tc>
          <w:tcPr>
            <w:tcW w:w="647" w:type="pct"/>
            <w:shd w:val="clear" w:color="auto" w:fill="auto"/>
            <w:vAlign w:val="center"/>
          </w:tcPr>
          <w:p w14:paraId="21969013" w14:textId="5F68F2BC"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48"/>
                <w14:textFill>
                  <w14:solidFill>
                    <w14:srgbClr w14:val="000000">
                      <w14:alpha w14:val="100000"/>
                    </w14:srgbClr>
                  </w14:solidFill>
                </w14:textFill>
              </w:rPr>
              <w:t xml:space="preserve">　</w:t>
            </w:r>
            <w:r w:rsidRPr="005235AD">
              <w:rPr>
                <w:color w:val="000000"/>
                <w:w w:val="15"/>
                <w:szCs w:val="20"/>
                <w:shd w:val="solid" w:color="000000" w:fill="000000"/>
                <w:fitText w:val="10" w:id="-1504529148"/>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48"/>
                <w14:textFill>
                  <w14:solidFill>
                    <w14:srgbClr w14:val="000000">
                      <w14:alpha w14:val="100000"/>
                    </w14:srgbClr>
                  </w14:solidFill>
                </w14:textFill>
              </w:rPr>
              <w:t xml:space="preserve">　</w:t>
            </w:r>
            <w:r w:rsidR="00D765EA" w:rsidRPr="00D765EA">
              <w:rPr>
                <w:szCs w:val="20"/>
                <w:vertAlign w:val="superscript"/>
              </w:rPr>
              <w:t>1</w:t>
            </w:r>
          </w:p>
        </w:tc>
        <w:tc>
          <w:tcPr>
            <w:tcW w:w="649" w:type="pct"/>
            <w:vAlign w:val="center"/>
          </w:tcPr>
          <w:p w14:paraId="2821F9E7" w14:textId="43E45C25"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20" w:id="-1504529147"/>
                <w14:textFill>
                  <w14:solidFill>
                    <w14:srgbClr w14:val="000000">
                      <w14:alpha w14:val="100000"/>
                    </w14:srgbClr>
                  </w14:solidFill>
                </w14:textFill>
              </w:rPr>
              <w:t xml:space="preserve">　</w:t>
            </w:r>
            <w:r w:rsidRPr="005235AD">
              <w:rPr>
                <w:color w:val="000000"/>
                <w:w w:val="15"/>
                <w:szCs w:val="20"/>
                <w:shd w:val="solid" w:color="000000" w:fill="000000"/>
                <w:fitText w:val="20" w:id="-1504529147"/>
                <w14:textFill>
                  <w14:solidFill>
                    <w14:srgbClr w14:val="000000">
                      <w14:alpha w14:val="100000"/>
                    </w14:srgbClr>
                  </w14:solidFill>
                </w14:textFill>
              </w:rPr>
              <w:t>|</w:t>
            </w:r>
            <w:r w:rsidRPr="005235AD">
              <w:rPr>
                <w:rFonts w:hint="eastAsia"/>
                <w:color w:val="000000"/>
                <w:spacing w:val="-46"/>
                <w:w w:val="15"/>
                <w:szCs w:val="20"/>
                <w:shd w:val="solid" w:color="000000" w:fill="000000"/>
                <w:fitText w:val="20" w:id="-1504529147"/>
                <w14:textFill>
                  <w14:solidFill>
                    <w14:srgbClr w14:val="000000">
                      <w14:alpha w14:val="100000"/>
                    </w14:srgbClr>
                  </w14:solidFill>
                </w14:textFill>
              </w:rPr>
              <w:t xml:space="preserve">　</w:t>
            </w:r>
            <w:r w:rsidR="00D765EA" w:rsidRPr="00D765EA">
              <w:rPr>
                <w:szCs w:val="20"/>
                <w:vertAlign w:val="superscript"/>
              </w:rPr>
              <w:t>1</w:t>
            </w:r>
          </w:p>
        </w:tc>
      </w:tr>
      <w:tr w:rsidR="00D63E98" w14:paraId="5668C162" w14:textId="77777777">
        <w:tc>
          <w:tcPr>
            <w:tcW w:w="5000" w:type="pct"/>
            <w:gridSpan w:val="7"/>
            <w:shd w:val="clear" w:color="auto" w:fill="auto"/>
            <w:vAlign w:val="center"/>
          </w:tcPr>
          <w:p w14:paraId="61DC2AF4" w14:textId="77777777" w:rsidR="00D63E98" w:rsidRDefault="00233BA3">
            <w:pPr>
              <w:pStyle w:val="In-tableHeading"/>
              <w:rPr>
                <w:szCs w:val="20"/>
              </w:rPr>
            </w:pPr>
            <w:r>
              <w:rPr>
                <w:szCs w:val="20"/>
              </w:rPr>
              <w:t>Estimated financial implications of PP6M</w:t>
            </w:r>
          </w:p>
        </w:tc>
      </w:tr>
      <w:tr w:rsidR="00D63E98" w14:paraId="00687774" w14:textId="77777777">
        <w:tc>
          <w:tcPr>
            <w:tcW w:w="1116" w:type="pct"/>
            <w:shd w:val="clear" w:color="auto" w:fill="auto"/>
            <w:vAlign w:val="center"/>
          </w:tcPr>
          <w:p w14:paraId="0BCFB847" w14:textId="4B947495" w:rsidR="00D63E98" w:rsidRDefault="00233BA3">
            <w:pPr>
              <w:pStyle w:val="TableText0"/>
              <w:rPr>
                <w:szCs w:val="20"/>
              </w:rPr>
            </w:pPr>
            <w:r>
              <w:rPr>
                <w:szCs w:val="20"/>
              </w:rPr>
              <w:t xml:space="preserve">Cost to PBS/RPBS less </w:t>
            </w:r>
            <w:proofErr w:type="spellStart"/>
            <w:r>
              <w:rPr>
                <w:szCs w:val="20"/>
              </w:rPr>
              <w:t>copayments</w:t>
            </w:r>
            <w:proofErr w:type="spellEnd"/>
            <w:r w:rsidR="00D765EA">
              <w:rPr>
                <w:szCs w:val="20"/>
              </w:rPr>
              <w:t xml:space="preserve"> ($)</w:t>
            </w:r>
          </w:p>
        </w:tc>
        <w:tc>
          <w:tcPr>
            <w:tcW w:w="647" w:type="pct"/>
            <w:shd w:val="clear" w:color="auto" w:fill="auto"/>
            <w:vAlign w:val="center"/>
          </w:tcPr>
          <w:p w14:paraId="3ADD2FF2" w14:textId="16B4FCAA" w:rsidR="00D63E98" w:rsidRPr="00D765EA" w:rsidRDefault="00E63C10">
            <w:pPr>
              <w:pStyle w:val="TableText0"/>
              <w:jc w:val="center"/>
              <w:rPr>
                <w:szCs w:val="20"/>
                <w:highlight w:val="yellow"/>
              </w:rPr>
            </w:pPr>
            <w:r w:rsidRPr="005235AD">
              <w:rPr>
                <w:rFonts w:cs="Arial" w:hint="eastAsia"/>
                <w:color w:val="000000"/>
                <w:w w:val="15"/>
                <w:szCs w:val="20"/>
                <w:shd w:val="solid" w:color="000000" w:fill="000000"/>
                <w:fitText w:val="10" w:id="-1504529146"/>
                <w14:textFill>
                  <w14:solidFill>
                    <w14:srgbClr w14:val="000000">
                      <w14:alpha w14:val="100000"/>
                    </w14:srgbClr>
                  </w14:solidFill>
                </w14:textFill>
              </w:rPr>
              <w:t xml:space="preserve">　</w:t>
            </w:r>
            <w:r w:rsidRPr="005235AD">
              <w:rPr>
                <w:rFonts w:cs="Arial"/>
                <w:color w:val="000000"/>
                <w:w w:val="15"/>
                <w:szCs w:val="20"/>
                <w:shd w:val="solid" w:color="000000" w:fill="000000"/>
                <w:fitText w:val="10" w:id="-1504529146"/>
                <w14:textFill>
                  <w14:solidFill>
                    <w14:srgbClr w14:val="000000">
                      <w14:alpha w14:val="100000"/>
                    </w14:srgbClr>
                  </w14:solidFill>
                </w14:textFill>
              </w:rPr>
              <w:t>|</w:t>
            </w:r>
            <w:r w:rsidRPr="005235AD">
              <w:rPr>
                <w:rFonts w:cs="Arial" w:hint="eastAsia"/>
                <w:color w:val="000000"/>
                <w:spacing w:val="-56"/>
                <w:w w:val="15"/>
                <w:szCs w:val="20"/>
                <w:shd w:val="solid" w:color="000000" w:fill="000000"/>
                <w:fitText w:val="10" w:id="-1504529146"/>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52851A93" w14:textId="25FA3911" w:rsidR="00D63E98" w:rsidRPr="00D765EA" w:rsidRDefault="00E63C10">
            <w:pPr>
              <w:pStyle w:val="TableText0"/>
              <w:jc w:val="center"/>
              <w:rPr>
                <w:szCs w:val="20"/>
                <w:highlight w:val="yellow"/>
              </w:rPr>
            </w:pPr>
            <w:r w:rsidRPr="005235AD">
              <w:rPr>
                <w:rFonts w:cs="Arial" w:hint="eastAsia"/>
                <w:color w:val="000000"/>
                <w:w w:val="15"/>
                <w:szCs w:val="20"/>
                <w:shd w:val="solid" w:color="000000" w:fill="000000"/>
                <w:fitText w:val="10" w:id="-1504529145"/>
                <w14:textFill>
                  <w14:solidFill>
                    <w14:srgbClr w14:val="000000">
                      <w14:alpha w14:val="100000"/>
                    </w14:srgbClr>
                  </w14:solidFill>
                </w14:textFill>
              </w:rPr>
              <w:t xml:space="preserve">　</w:t>
            </w:r>
            <w:r w:rsidRPr="005235AD">
              <w:rPr>
                <w:rFonts w:cs="Arial"/>
                <w:color w:val="000000"/>
                <w:w w:val="15"/>
                <w:szCs w:val="20"/>
                <w:shd w:val="solid" w:color="000000" w:fill="000000"/>
                <w:fitText w:val="10" w:id="-1504529145"/>
                <w14:textFill>
                  <w14:solidFill>
                    <w14:srgbClr w14:val="000000">
                      <w14:alpha w14:val="100000"/>
                    </w14:srgbClr>
                  </w14:solidFill>
                </w14:textFill>
              </w:rPr>
              <w:t>|</w:t>
            </w:r>
            <w:r w:rsidRPr="005235AD">
              <w:rPr>
                <w:rFonts w:cs="Arial" w:hint="eastAsia"/>
                <w:color w:val="000000"/>
                <w:spacing w:val="-56"/>
                <w:w w:val="15"/>
                <w:szCs w:val="20"/>
                <w:shd w:val="solid" w:color="000000" w:fill="000000"/>
                <w:fitText w:val="10" w:id="-1504529145"/>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57595411" w14:textId="0CF580BD" w:rsidR="00D63E98" w:rsidRPr="00D765EA" w:rsidRDefault="00E63C10">
            <w:pPr>
              <w:pStyle w:val="TableText0"/>
              <w:jc w:val="center"/>
              <w:rPr>
                <w:szCs w:val="20"/>
                <w:highlight w:val="yellow"/>
              </w:rPr>
            </w:pPr>
            <w:r w:rsidRPr="005235AD">
              <w:rPr>
                <w:rFonts w:cs="Arial" w:hint="eastAsia"/>
                <w:color w:val="000000"/>
                <w:w w:val="15"/>
                <w:szCs w:val="20"/>
                <w:shd w:val="solid" w:color="000000" w:fill="000000"/>
                <w:fitText w:val="10" w:id="-1504529144"/>
                <w14:textFill>
                  <w14:solidFill>
                    <w14:srgbClr w14:val="000000">
                      <w14:alpha w14:val="100000"/>
                    </w14:srgbClr>
                  </w14:solidFill>
                </w14:textFill>
              </w:rPr>
              <w:t xml:space="preserve">　</w:t>
            </w:r>
            <w:r w:rsidRPr="005235AD">
              <w:rPr>
                <w:rFonts w:cs="Arial"/>
                <w:color w:val="000000"/>
                <w:w w:val="15"/>
                <w:szCs w:val="20"/>
                <w:shd w:val="solid" w:color="000000" w:fill="000000"/>
                <w:fitText w:val="10" w:id="-1504529144"/>
                <w14:textFill>
                  <w14:solidFill>
                    <w14:srgbClr w14:val="000000">
                      <w14:alpha w14:val="100000"/>
                    </w14:srgbClr>
                  </w14:solidFill>
                </w14:textFill>
              </w:rPr>
              <w:t>|</w:t>
            </w:r>
            <w:r w:rsidRPr="005235AD">
              <w:rPr>
                <w:rFonts w:cs="Arial" w:hint="eastAsia"/>
                <w:color w:val="000000"/>
                <w:spacing w:val="-56"/>
                <w:w w:val="15"/>
                <w:szCs w:val="20"/>
                <w:shd w:val="solid" w:color="000000" w:fill="000000"/>
                <w:fitText w:val="10" w:id="-1504529144"/>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18FAE1C7" w14:textId="54071A07" w:rsidR="00D63E98" w:rsidRPr="00D765EA" w:rsidRDefault="00E63C10">
            <w:pPr>
              <w:pStyle w:val="TableText0"/>
              <w:jc w:val="center"/>
              <w:rPr>
                <w:szCs w:val="20"/>
                <w:highlight w:val="yellow"/>
              </w:rPr>
            </w:pPr>
            <w:r w:rsidRPr="005235AD">
              <w:rPr>
                <w:rFonts w:cs="Arial" w:hint="eastAsia"/>
                <w:color w:val="000000"/>
                <w:w w:val="15"/>
                <w:szCs w:val="20"/>
                <w:shd w:val="solid" w:color="000000" w:fill="000000"/>
                <w:fitText w:val="10" w:id="-1504529143"/>
                <w14:textFill>
                  <w14:solidFill>
                    <w14:srgbClr w14:val="000000">
                      <w14:alpha w14:val="100000"/>
                    </w14:srgbClr>
                  </w14:solidFill>
                </w14:textFill>
              </w:rPr>
              <w:t xml:space="preserve">　</w:t>
            </w:r>
            <w:r w:rsidRPr="005235AD">
              <w:rPr>
                <w:rFonts w:cs="Arial"/>
                <w:color w:val="000000"/>
                <w:w w:val="15"/>
                <w:szCs w:val="20"/>
                <w:shd w:val="solid" w:color="000000" w:fill="000000"/>
                <w:fitText w:val="10" w:id="-1504529143"/>
                <w14:textFill>
                  <w14:solidFill>
                    <w14:srgbClr w14:val="000000">
                      <w14:alpha w14:val="100000"/>
                    </w14:srgbClr>
                  </w14:solidFill>
                </w14:textFill>
              </w:rPr>
              <w:t>|</w:t>
            </w:r>
            <w:r w:rsidRPr="005235AD">
              <w:rPr>
                <w:rFonts w:cs="Arial" w:hint="eastAsia"/>
                <w:color w:val="000000"/>
                <w:spacing w:val="-56"/>
                <w:w w:val="15"/>
                <w:szCs w:val="20"/>
                <w:shd w:val="solid" w:color="000000" w:fill="000000"/>
                <w:fitText w:val="10" w:id="-1504529143"/>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6BB43B59" w14:textId="52CDAC11" w:rsidR="00D63E98" w:rsidRPr="00D765EA" w:rsidRDefault="00E63C10">
            <w:pPr>
              <w:pStyle w:val="TableText0"/>
              <w:jc w:val="center"/>
              <w:rPr>
                <w:szCs w:val="20"/>
                <w:highlight w:val="yellow"/>
              </w:rPr>
            </w:pPr>
            <w:r w:rsidRPr="005235AD">
              <w:rPr>
                <w:rFonts w:cs="Arial" w:hint="eastAsia"/>
                <w:color w:val="000000"/>
                <w:w w:val="15"/>
                <w:szCs w:val="20"/>
                <w:shd w:val="solid" w:color="000000" w:fill="000000"/>
                <w:fitText w:val="10" w:id="-1504529142"/>
                <w14:textFill>
                  <w14:solidFill>
                    <w14:srgbClr w14:val="000000">
                      <w14:alpha w14:val="100000"/>
                    </w14:srgbClr>
                  </w14:solidFill>
                </w14:textFill>
              </w:rPr>
              <w:t xml:space="preserve">　</w:t>
            </w:r>
            <w:r w:rsidRPr="005235AD">
              <w:rPr>
                <w:rFonts w:cs="Arial"/>
                <w:color w:val="000000"/>
                <w:w w:val="15"/>
                <w:szCs w:val="20"/>
                <w:shd w:val="solid" w:color="000000" w:fill="000000"/>
                <w:fitText w:val="10" w:id="-1504529142"/>
                <w14:textFill>
                  <w14:solidFill>
                    <w14:srgbClr w14:val="000000">
                      <w14:alpha w14:val="100000"/>
                    </w14:srgbClr>
                  </w14:solidFill>
                </w14:textFill>
              </w:rPr>
              <w:t>|</w:t>
            </w:r>
            <w:r w:rsidRPr="005235AD">
              <w:rPr>
                <w:rFonts w:cs="Arial" w:hint="eastAsia"/>
                <w:color w:val="000000"/>
                <w:spacing w:val="-56"/>
                <w:w w:val="15"/>
                <w:szCs w:val="20"/>
                <w:shd w:val="solid" w:color="000000" w:fill="000000"/>
                <w:fitText w:val="10" w:id="-1504529142"/>
                <w14:textFill>
                  <w14:solidFill>
                    <w14:srgbClr w14:val="000000">
                      <w14:alpha w14:val="100000"/>
                    </w14:srgbClr>
                  </w14:solidFill>
                </w14:textFill>
              </w:rPr>
              <w:t xml:space="preserve">　</w:t>
            </w:r>
            <w:r w:rsidR="00D765EA">
              <w:rPr>
                <w:szCs w:val="20"/>
                <w:vertAlign w:val="superscript"/>
              </w:rPr>
              <w:t>2</w:t>
            </w:r>
          </w:p>
        </w:tc>
        <w:tc>
          <w:tcPr>
            <w:tcW w:w="649" w:type="pct"/>
            <w:vAlign w:val="center"/>
          </w:tcPr>
          <w:p w14:paraId="7C55BE0A" w14:textId="0313480C" w:rsidR="00D63E98" w:rsidRPr="00D765EA" w:rsidRDefault="00E63C10">
            <w:pPr>
              <w:pStyle w:val="TableText0"/>
              <w:jc w:val="center"/>
              <w:rPr>
                <w:szCs w:val="20"/>
                <w:highlight w:val="yellow"/>
              </w:rPr>
            </w:pPr>
            <w:r w:rsidRPr="005235AD">
              <w:rPr>
                <w:rFonts w:cs="Arial" w:hint="eastAsia"/>
                <w:color w:val="000000"/>
                <w:w w:val="15"/>
                <w:szCs w:val="20"/>
                <w:shd w:val="solid" w:color="000000" w:fill="000000"/>
                <w:fitText w:val="20" w:id="-1504529141"/>
                <w14:textFill>
                  <w14:solidFill>
                    <w14:srgbClr w14:val="000000">
                      <w14:alpha w14:val="100000"/>
                    </w14:srgbClr>
                  </w14:solidFill>
                </w14:textFill>
              </w:rPr>
              <w:t xml:space="preserve">　</w:t>
            </w:r>
            <w:r w:rsidRPr="005235AD">
              <w:rPr>
                <w:rFonts w:cs="Arial"/>
                <w:color w:val="000000"/>
                <w:w w:val="15"/>
                <w:szCs w:val="20"/>
                <w:shd w:val="solid" w:color="000000" w:fill="000000"/>
                <w:fitText w:val="20" w:id="-1504529141"/>
                <w14:textFill>
                  <w14:solidFill>
                    <w14:srgbClr w14:val="000000">
                      <w14:alpha w14:val="100000"/>
                    </w14:srgbClr>
                  </w14:solidFill>
                </w14:textFill>
              </w:rPr>
              <w:t>|</w:t>
            </w:r>
            <w:r w:rsidRPr="005235AD">
              <w:rPr>
                <w:rFonts w:cs="Arial" w:hint="eastAsia"/>
                <w:color w:val="000000"/>
                <w:spacing w:val="-46"/>
                <w:w w:val="15"/>
                <w:szCs w:val="20"/>
                <w:shd w:val="solid" w:color="000000" w:fill="000000"/>
                <w:fitText w:val="20" w:id="-1504529141"/>
                <w14:textFill>
                  <w14:solidFill>
                    <w14:srgbClr w14:val="000000">
                      <w14:alpha w14:val="100000"/>
                    </w14:srgbClr>
                  </w14:solidFill>
                </w14:textFill>
              </w:rPr>
              <w:t xml:space="preserve">　</w:t>
            </w:r>
            <w:r w:rsidR="00D765EA">
              <w:rPr>
                <w:szCs w:val="20"/>
                <w:vertAlign w:val="superscript"/>
              </w:rPr>
              <w:t>2</w:t>
            </w:r>
          </w:p>
        </w:tc>
      </w:tr>
      <w:tr w:rsidR="00D63E98" w14:paraId="269214C4" w14:textId="77777777">
        <w:tc>
          <w:tcPr>
            <w:tcW w:w="5000" w:type="pct"/>
            <w:gridSpan w:val="7"/>
            <w:shd w:val="clear" w:color="auto" w:fill="auto"/>
            <w:vAlign w:val="center"/>
          </w:tcPr>
          <w:p w14:paraId="42BB4D52" w14:textId="77777777" w:rsidR="00D63E98" w:rsidRDefault="00233BA3">
            <w:pPr>
              <w:pStyle w:val="In-tableHeading"/>
              <w:rPr>
                <w:szCs w:val="20"/>
              </w:rPr>
            </w:pPr>
            <w:r>
              <w:rPr>
                <w:szCs w:val="20"/>
              </w:rPr>
              <w:t>Estimated financial implications for PP1M and PP3M</w:t>
            </w:r>
          </w:p>
        </w:tc>
      </w:tr>
      <w:tr w:rsidR="00D63E98" w14:paraId="38B70E25" w14:textId="77777777">
        <w:tc>
          <w:tcPr>
            <w:tcW w:w="1116" w:type="pct"/>
            <w:shd w:val="clear" w:color="auto" w:fill="auto"/>
            <w:vAlign w:val="center"/>
          </w:tcPr>
          <w:p w14:paraId="4D335A20" w14:textId="6C3D46E6" w:rsidR="00D63E98" w:rsidRDefault="00233BA3">
            <w:pPr>
              <w:pStyle w:val="TableText0"/>
              <w:rPr>
                <w:szCs w:val="20"/>
              </w:rPr>
            </w:pPr>
            <w:r>
              <w:rPr>
                <w:szCs w:val="20"/>
              </w:rPr>
              <w:t xml:space="preserve">Cost to PBS/RPBS less </w:t>
            </w:r>
            <w:proofErr w:type="spellStart"/>
            <w:r>
              <w:rPr>
                <w:szCs w:val="20"/>
              </w:rPr>
              <w:t>copayments</w:t>
            </w:r>
            <w:proofErr w:type="spellEnd"/>
            <w:r w:rsidR="00D765EA">
              <w:rPr>
                <w:szCs w:val="20"/>
              </w:rPr>
              <w:t xml:space="preserve"> ($)</w:t>
            </w:r>
          </w:p>
        </w:tc>
        <w:tc>
          <w:tcPr>
            <w:tcW w:w="647" w:type="pct"/>
            <w:shd w:val="clear" w:color="auto" w:fill="auto"/>
            <w:vAlign w:val="center"/>
          </w:tcPr>
          <w:p w14:paraId="46155CEF" w14:textId="7200A3EB" w:rsidR="00D63E98" w:rsidRPr="00D765EA" w:rsidRDefault="00E63C10">
            <w:pPr>
              <w:pStyle w:val="TableText0"/>
              <w:jc w:val="center"/>
              <w:rPr>
                <w:szCs w:val="20"/>
                <w:highlight w:val="yellow"/>
              </w:rPr>
            </w:pPr>
            <w:r w:rsidRPr="005235AD">
              <w:rPr>
                <w:rFonts w:cs="Arial" w:hint="eastAsia"/>
                <w:color w:val="000000" w:themeColor="text1"/>
                <w:w w:val="15"/>
                <w:szCs w:val="20"/>
                <w:shd w:val="solid" w:color="000000" w:fill="000000"/>
                <w:fitText w:val="10" w:id="-1504529140"/>
                <w14:textFill>
                  <w14:solidFill>
                    <w14:schemeClr w14:val="tx1">
                      <w14:alpha w14:val="100000"/>
                    </w14:schemeClr>
                  </w14:solidFill>
                </w14:textFill>
              </w:rPr>
              <w:t xml:space="preserve">　</w:t>
            </w:r>
            <w:r w:rsidRPr="005235AD">
              <w:rPr>
                <w:rFonts w:cs="Arial"/>
                <w:color w:val="000000" w:themeColor="text1"/>
                <w:w w:val="15"/>
                <w:szCs w:val="20"/>
                <w:shd w:val="solid" w:color="000000" w:fill="000000"/>
                <w:fitText w:val="10" w:id="-1504529140"/>
                <w14:textFill>
                  <w14:solidFill>
                    <w14:schemeClr w14:val="tx1">
                      <w14:alpha w14:val="100000"/>
                    </w14:schemeClr>
                  </w14:solidFill>
                </w14:textFill>
              </w:rPr>
              <w:t>|</w:t>
            </w:r>
            <w:r w:rsidRPr="005235AD">
              <w:rPr>
                <w:rFonts w:cs="Arial" w:hint="eastAsia"/>
                <w:color w:val="000000" w:themeColor="text1"/>
                <w:spacing w:val="-56"/>
                <w:w w:val="15"/>
                <w:szCs w:val="20"/>
                <w:shd w:val="solid" w:color="000000" w:fill="000000"/>
                <w:fitText w:val="10" w:id="-1504529140"/>
                <w14:textFill>
                  <w14:solidFill>
                    <w14:schemeClr w14:val="tx1">
                      <w14:alpha w14:val="100000"/>
                    </w14:schemeClr>
                  </w14:solidFill>
                </w14:textFill>
              </w:rPr>
              <w:t xml:space="preserve">　</w:t>
            </w:r>
            <w:r w:rsidR="00D765EA">
              <w:rPr>
                <w:szCs w:val="20"/>
                <w:vertAlign w:val="superscript"/>
              </w:rPr>
              <w:t>2</w:t>
            </w:r>
          </w:p>
        </w:tc>
        <w:tc>
          <w:tcPr>
            <w:tcW w:w="647" w:type="pct"/>
            <w:shd w:val="clear" w:color="auto" w:fill="auto"/>
            <w:vAlign w:val="center"/>
          </w:tcPr>
          <w:p w14:paraId="3C9B1876" w14:textId="275241DF" w:rsidR="00D63E98" w:rsidRPr="00D765EA" w:rsidRDefault="00E63C10">
            <w:pPr>
              <w:pStyle w:val="TableText0"/>
              <w:jc w:val="center"/>
              <w:rPr>
                <w:szCs w:val="20"/>
                <w:highlight w:val="yellow"/>
              </w:rPr>
            </w:pPr>
            <w:r w:rsidRPr="005235AD">
              <w:rPr>
                <w:rFonts w:cs="Arial" w:hint="eastAsia"/>
                <w:color w:val="000000" w:themeColor="text1"/>
                <w:w w:val="15"/>
                <w:szCs w:val="20"/>
                <w:shd w:val="solid" w:color="000000" w:fill="000000"/>
                <w:fitText w:val="10" w:id="-1504529139"/>
                <w14:textFill>
                  <w14:solidFill>
                    <w14:schemeClr w14:val="tx1">
                      <w14:alpha w14:val="100000"/>
                    </w14:schemeClr>
                  </w14:solidFill>
                </w14:textFill>
              </w:rPr>
              <w:t xml:space="preserve">　</w:t>
            </w:r>
            <w:r w:rsidRPr="005235AD">
              <w:rPr>
                <w:rFonts w:cs="Arial"/>
                <w:color w:val="000000" w:themeColor="text1"/>
                <w:w w:val="15"/>
                <w:szCs w:val="20"/>
                <w:shd w:val="solid" w:color="000000" w:fill="000000"/>
                <w:fitText w:val="10" w:id="-1504529139"/>
                <w14:textFill>
                  <w14:solidFill>
                    <w14:schemeClr w14:val="tx1">
                      <w14:alpha w14:val="100000"/>
                    </w14:schemeClr>
                  </w14:solidFill>
                </w14:textFill>
              </w:rPr>
              <w:t>|</w:t>
            </w:r>
            <w:r w:rsidRPr="005235AD">
              <w:rPr>
                <w:rFonts w:cs="Arial" w:hint="eastAsia"/>
                <w:color w:val="000000" w:themeColor="text1"/>
                <w:spacing w:val="-56"/>
                <w:w w:val="15"/>
                <w:szCs w:val="20"/>
                <w:shd w:val="solid" w:color="000000" w:fill="000000"/>
                <w:fitText w:val="10" w:id="-1504529139"/>
                <w14:textFill>
                  <w14:solidFill>
                    <w14:schemeClr w14:val="tx1">
                      <w14:alpha w14:val="100000"/>
                    </w14:schemeClr>
                  </w14:solidFill>
                </w14:textFill>
              </w:rPr>
              <w:t xml:space="preserve">　</w:t>
            </w:r>
            <w:r w:rsidR="00D765EA">
              <w:rPr>
                <w:szCs w:val="20"/>
                <w:vertAlign w:val="superscript"/>
              </w:rPr>
              <w:t>2</w:t>
            </w:r>
          </w:p>
        </w:tc>
        <w:tc>
          <w:tcPr>
            <w:tcW w:w="647" w:type="pct"/>
            <w:shd w:val="clear" w:color="auto" w:fill="auto"/>
            <w:vAlign w:val="center"/>
          </w:tcPr>
          <w:p w14:paraId="25064654" w14:textId="385AA3FB" w:rsidR="00D63E98" w:rsidRPr="00D765EA" w:rsidRDefault="00E63C10">
            <w:pPr>
              <w:pStyle w:val="TableText0"/>
              <w:jc w:val="center"/>
              <w:rPr>
                <w:szCs w:val="20"/>
                <w:highlight w:val="yellow"/>
              </w:rPr>
            </w:pPr>
            <w:r w:rsidRPr="005235AD">
              <w:rPr>
                <w:rFonts w:cs="Arial" w:hint="eastAsia"/>
                <w:color w:val="000000" w:themeColor="text1"/>
                <w:w w:val="15"/>
                <w:szCs w:val="20"/>
                <w:shd w:val="solid" w:color="000000" w:fill="000000"/>
                <w:fitText w:val="10" w:id="-1504529138"/>
                <w14:textFill>
                  <w14:solidFill>
                    <w14:schemeClr w14:val="tx1">
                      <w14:alpha w14:val="100000"/>
                    </w14:schemeClr>
                  </w14:solidFill>
                </w14:textFill>
              </w:rPr>
              <w:t xml:space="preserve">　</w:t>
            </w:r>
            <w:r w:rsidRPr="005235AD">
              <w:rPr>
                <w:rFonts w:cs="Arial"/>
                <w:color w:val="000000" w:themeColor="text1"/>
                <w:w w:val="15"/>
                <w:szCs w:val="20"/>
                <w:shd w:val="solid" w:color="000000" w:fill="000000"/>
                <w:fitText w:val="10" w:id="-1504529138"/>
                <w14:textFill>
                  <w14:solidFill>
                    <w14:schemeClr w14:val="tx1">
                      <w14:alpha w14:val="100000"/>
                    </w14:schemeClr>
                  </w14:solidFill>
                </w14:textFill>
              </w:rPr>
              <w:t>|</w:t>
            </w:r>
            <w:r w:rsidRPr="005235AD">
              <w:rPr>
                <w:rFonts w:cs="Arial" w:hint="eastAsia"/>
                <w:color w:val="000000" w:themeColor="text1"/>
                <w:spacing w:val="-56"/>
                <w:w w:val="15"/>
                <w:szCs w:val="20"/>
                <w:shd w:val="solid" w:color="000000" w:fill="000000"/>
                <w:fitText w:val="10" w:id="-1504529138"/>
                <w14:textFill>
                  <w14:solidFill>
                    <w14:schemeClr w14:val="tx1">
                      <w14:alpha w14:val="100000"/>
                    </w14:schemeClr>
                  </w14:solidFill>
                </w14:textFill>
              </w:rPr>
              <w:t xml:space="preserve">　</w:t>
            </w:r>
            <w:r w:rsidR="00D765EA">
              <w:rPr>
                <w:szCs w:val="20"/>
                <w:vertAlign w:val="superscript"/>
              </w:rPr>
              <w:t>2</w:t>
            </w:r>
          </w:p>
        </w:tc>
        <w:tc>
          <w:tcPr>
            <w:tcW w:w="647" w:type="pct"/>
            <w:shd w:val="clear" w:color="auto" w:fill="auto"/>
            <w:vAlign w:val="center"/>
          </w:tcPr>
          <w:p w14:paraId="7CC4C7B9" w14:textId="302297BD" w:rsidR="00D63E98" w:rsidRPr="00D765EA" w:rsidRDefault="00E63C10">
            <w:pPr>
              <w:pStyle w:val="TableText0"/>
              <w:jc w:val="center"/>
              <w:rPr>
                <w:szCs w:val="20"/>
                <w:highlight w:val="yellow"/>
              </w:rPr>
            </w:pPr>
            <w:r w:rsidRPr="005235AD">
              <w:rPr>
                <w:rFonts w:cs="Arial" w:hint="eastAsia"/>
                <w:color w:val="000000" w:themeColor="text1"/>
                <w:w w:val="15"/>
                <w:szCs w:val="20"/>
                <w:shd w:val="solid" w:color="000000" w:fill="000000"/>
                <w:fitText w:val="10" w:id="-1504529137"/>
                <w14:textFill>
                  <w14:solidFill>
                    <w14:schemeClr w14:val="tx1">
                      <w14:alpha w14:val="100000"/>
                    </w14:schemeClr>
                  </w14:solidFill>
                </w14:textFill>
              </w:rPr>
              <w:t xml:space="preserve">　</w:t>
            </w:r>
            <w:r w:rsidRPr="005235AD">
              <w:rPr>
                <w:rFonts w:cs="Arial"/>
                <w:color w:val="000000" w:themeColor="text1"/>
                <w:w w:val="15"/>
                <w:szCs w:val="20"/>
                <w:shd w:val="solid" w:color="000000" w:fill="000000"/>
                <w:fitText w:val="10" w:id="-1504529137"/>
                <w14:textFill>
                  <w14:solidFill>
                    <w14:schemeClr w14:val="tx1">
                      <w14:alpha w14:val="100000"/>
                    </w14:schemeClr>
                  </w14:solidFill>
                </w14:textFill>
              </w:rPr>
              <w:t>|</w:t>
            </w:r>
            <w:r w:rsidRPr="005235AD">
              <w:rPr>
                <w:rFonts w:cs="Arial" w:hint="eastAsia"/>
                <w:color w:val="000000" w:themeColor="text1"/>
                <w:spacing w:val="-56"/>
                <w:w w:val="15"/>
                <w:szCs w:val="20"/>
                <w:shd w:val="solid" w:color="000000" w:fill="000000"/>
                <w:fitText w:val="10" w:id="-1504529137"/>
                <w14:textFill>
                  <w14:solidFill>
                    <w14:schemeClr w14:val="tx1">
                      <w14:alpha w14:val="100000"/>
                    </w14:schemeClr>
                  </w14:solidFill>
                </w14:textFill>
              </w:rPr>
              <w:t xml:space="preserve">　</w:t>
            </w:r>
            <w:r w:rsidR="00D765EA">
              <w:rPr>
                <w:szCs w:val="20"/>
                <w:vertAlign w:val="superscript"/>
              </w:rPr>
              <w:t>2</w:t>
            </w:r>
          </w:p>
        </w:tc>
        <w:tc>
          <w:tcPr>
            <w:tcW w:w="647" w:type="pct"/>
            <w:shd w:val="clear" w:color="auto" w:fill="auto"/>
            <w:vAlign w:val="center"/>
          </w:tcPr>
          <w:p w14:paraId="242F01CA" w14:textId="1B456D1C" w:rsidR="00D63E98" w:rsidRPr="00D765EA" w:rsidRDefault="00E63C10">
            <w:pPr>
              <w:pStyle w:val="TableText0"/>
              <w:jc w:val="center"/>
              <w:rPr>
                <w:szCs w:val="20"/>
                <w:highlight w:val="yellow"/>
              </w:rPr>
            </w:pPr>
            <w:r w:rsidRPr="005235AD">
              <w:rPr>
                <w:rFonts w:cs="Arial" w:hint="eastAsia"/>
                <w:color w:val="000000" w:themeColor="text1"/>
                <w:w w:val="15"/>
                <w:szCs w:val="20"/>
                <w:shd w:val="solid" w:color="000000" w:fill="000000"/>
                <w:fitText w:val="10" w:id="-1504529136"/>
                <w14:textFill>
                  <w14:solidFill>
                    <w14:schemeClr w14:val="tx1">
                      <w14:alpha w14:val="100000"/>
                    </w14:schemeClr>
                  </w14:solidFill>
                </w14:textFill>
              </w:rPr>
              <w:t xml:space="preserve">　</w:t>
            </w:r>
            <w:r w:rsidRPr="005235AD">
              <w:rPr>
                <w:rFonts w:cs="Arial"/>
                <w:color w:val="000000" w:themeColor="text1"/>
                <w:w w:val="15"/>
                <w:szCs w:val="20"/>
                <w:shd w:val="solid" w:color="000000" w:fill="000000"/>
                <w:fitText w:val="10" w:id="-1504529136"/>
                <w14:textFill>
                  <w14:solidFill>
                    <w14:schemeClr w14:val="tx1">
                      <w14:alpha w14:val="100000"/>
                    </w14:schemeClr>
                  </w14:solidFill>
                </w14:textFill>
              </w:rPr>
              <w:t>|</w:t>
            </w:r>
            <w:r w:rsidRPr="005235AD">
              <w:rPr>
                <w:rFonts w:cs="Arial" w:hint="eastAsia"/>
                <w:color w:val="000000" w:themeColor="text1"/>
                <w:spacing w:val="-56"/>
                <w:w w:val="15"/>
                <w:szCs w:val="20"/>
                <w:shd w:val="solid" w:color="000000" w:fill="000000"/>
                <w:fitText w:val="10" w:id="-1504529136"/>
                <w14:textFill>
                  <w14:solidFill>
                    <w14:schemeClr w14:val="tx1">
                      <w14:alpha w14:val="100000"/>
                    </w14:schemeClr>
                  </w14:solidFill>
                </w14:textFill>
              </w:rPr>
              <w:t xml:space="preserve">　</w:t>
            </w:r>
            <w:r w:rsidR="00D765EA">
              <w:rPr>
                <w:szCs w:val="20"/>
                <w:vertAlign w:val="superscript"/>
              </w:rPr>
              <w:t>2</w:t>
            </w:r>
          </w:p>
        </w:tc>
        <w:tc>
          <w:tcPr>
            <w:tcW w:w="649" w:type="pct"/>
            <w:vAlign w:val="center"/>
          </w:tcPr>
          <w:p w14:paraId="3A646658" w14:textId="463A9007" w:rsidR="00D63E98" w:rsidRPr="00D765EA" w:rsidRDefault="00E63C10">
            <w:pPr>
              <w:pStyle w:val="TableText0"/>
              <w:jc w:val="center"/>
              <w:rPr>
                <w:szCs w:val="20"/>
                <w:highlight w:val="yellow"/>
              </w:rPr>
            </w:pPr>
            <w:r w:rsidRPr="005235AD">
              <w:rPr>
                <w:rFonts w:cs="Arial" w:hint="eastAsia"/>
                <w:color w:val="000000" w:themeColor="text1"/>
                <w:w w:val="15"/>
                <w:szCs w:val="20"/>
                <w:shd w:val="solid" w:color="000000" w:fill="000000"/>
                <w:fitText w:val="20" w:id="-1504529152"/>
                <w14:textFill>
                  <w14:solidFill>
                    <w14:schemeClr w14:val="tx1">
                      <w14:alpha w14:val="100000"/>
                    </w14:schemeClr>
                  </w14:solidFill>
                </w14:textFill>
              </w:rPr>
              <w:t xml:space="preserve">　</w:t>
            </w:r>
            <w:r w:rsidRPr="005235AD">
              <w:rPr>
                <w:rFonts w:cs="Arial"/>
                <w:color w:val="000000" w:themeColor="text1"/>
                <w:w w:val="15"/>
                <w:szCs w:val="20"/>
                <w:shd w:val="solid" w:color="000000" w:fill="000000"/>
                <w:fitText w:val="20" w:id="-1504529152"/>
                <w14:textFill>
                  <w14:solidFill>
                    <w14:schemeClr w14:val="tx1">
                      <w14:alpha w14:val="100000"/>
                    </w14:schemeClr>
                  </w14:solidFill>
                </w14:textFill>
              </w:rPr>
              <w:t>|</w:t>
            </w:r>
            <w:r w:rsidRPr="005235AD">
              <w:rPr>
                <w:rFonts w:cs="Arial" w:hint="eastAsia"/>
                <w:color w:val="000000" w:themeColor="text1"/>
                <w:spacing w:val="-46"/>
                <w:w w:val="15"/>
                <w:szCs w:val="20"/>
                <w:shd w:val="solid" w:color="000000" w:fill="000000"/>
                <w:fitText w:val="20" w:id="-1504529152"/>
                <w14:textFill>
                  <w14:solidFill>
                    <w14:schemeClr w14:val="tx1">
                      <w14:alpha w14:val="100000"/>
                    </w14:schemeClr>
                  </w14:solidFill>
                </w14:textFill>
              </w:rPr>
              <w:t xml:space="preserve">　</w:t>
            </w:r>
            <w:r w:rsidR="00D765EA">
              <w:rPr>
                <w:szCs w:val="20"/>
                <w:vertAlign w:val="superscript"/>
              </w:rPr>
              <w:t>2</w:t>
            </w:r>
          </w:p>
        </w:tc>
      </w:tr>
      <w:tr w:rsidR="00D63E98" w14:paraId="471FB581" w14:textId="77777777">
        <w:tc>
          <w:tcPr>
            <w:tcW w:w="5000" w:type="pct"/>
            <w:gridSpan w:val="7"/>
            <w:shd w:val="clear" w:color="auto" w:fill="auto"/>
            <w:vAlign w:val="center"/>
          </w:tcPr>
          <w:p w14:paraId="61A6628D" w14:textId="77777777" w:rsidR="00D63E98" w:rsidRDefault="00233BA3">
            <w:pPr>
              <w:pStyle w:val="In-tableHeading"/>
              <w:rPr>
                <w:szCs w:val="20"/>
              </w:rPr>
            </w:pPr>
            <w:r>
              <w:rPr>
                <w:szCs w:val="20"/>
              </w:rPr>
              <w:t>Net financial implications</w:t>
            </w:r>
          </w:p>
        </w:tc>
      </w:tr>
      <w:tr w:rsidR="00D63E98" w14:paraId="465DB1F2" w14:textId="77777777">
        <w:tc>
          <w:tcPr>
            <w:tcW w:w="1116" w:type="pct"/>
            <w:shd w:val="clear" w:color="auto" w:fill="auto"/>
            <w:vAlign w:val="center"/>
          </w:tcPr>
          <w:p w14:paraId="2683007D" w14:textId="2259E337" w:rsidR="00D63E98" w:rsidRDefault="00233BA3">
            <w:pPr>
              <w:pStyle w:val="TableText0"/>
              <w:rPr>
                <w:szCs w:val="20"/>
              </w:rPr>
            </w:pPr>
            <w:r>
              <w:rPr>
                <w:szCs w:val="20"/>
              </w:rPr>
              <w:t>Net cost to PBS/RPBS</w:t>
            </w:r>
            <w:r w:rsidR="00D765EA">
              <w:rPr>
                <w:szCs w:val="20"/>
              </w:rPr>
              <w:t xml:space="preserve"> ($)</w:t>
            </w:r>
          </w:p>
        </w:tc>
        <w:tc>
          <w:tcPr>
            <w:tcW w:w="647" w:type="pct"/>
            <w:shd w:val="clear" w:color="auto" w:fill="auto"/>
            <w:vAlign w:val="center"/>
          </w:tcPr>
          <w:p w14:paraId="0AB68119" w14:textId="765CBB4B"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51"/>
                <w14:textFill>
                  <w14:solidFill>
                    <w14:srgbClr w14:val="000000">
                      <w14:alpha w14:val="100000"/>
                    </w14:srgbClr>
                  </w14:solidFill>
                </w14:textFill>
              </w:rPr>
              <w:t xml:space="preserve">　</w:t>
            </w:r>
            <w:r w:rsidRPr="005235AD">
              <w:rPr>
                <w:color w:val="000000"/>
                <w:w w:val="15"/>
                <w:szCs w:val="20"/>
                <w:shd w:val="solid" w:color="000000" w:fill="000000"/>
                <w:fitText w:val="10" w:id="-1504529151"/>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51"/>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16834CB7" w14:textId="3A4144CA"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50"/>
                <w14:textFill>
                  <w14:solidFill>
                    <w14:srgbClr w14:val="000000">
                      <w14:alpha w14:val="100000"/>
                    </w14:srgbClr>
                  </w14:solidFill>
                </w14:textFill>
              </w:rPr>
              <w:t xml:space="preserve">　</w:t>
            </w:r>
            <w:r w:rsidRPr="005235AD">
              <w:rPr>
                <w:color w:val="000000"/>
                <w:w w:val="15"/>
                <w:szCs w:val="20"/>
                <w:shd w:val="solid" w:color="000000" w:fill="000000"/>
                <w:fitText w:val="10" w:id="-1504529150"/>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50"/>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4622B789" w14:textId="363C7694"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49"/>
                <w14:textFill>
                  <w14:solidFill>
                    <w14:srgbClr w14:val="000000">
                      <w14:alpha w14:val="100000"/>
                    </w14:srgbClr>
                  </w14:solidFill>
                </w14:textFill>
              </w:rPr>
              <w:t xml:space="preserve">　</w:t>
            </w:r>
            <w:r w:rsidRPr="005235AD">
              <w:rPr>
                <w:color w:val="000000"/>
                <w:w w:val="15"/>
                <w:szCs w:val="20"/>
                <w:shd w:val="solid" w:color="000000" w:fill="000000"/>
                <w:fitText w:val="10" w:id="-1504529149"/>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49"/>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3CE7DF4E" w14:textId="57FD54E8"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48"/>
                <w14:textFill>
                  <w14:solidFill>
                    <w14:srgbClr w14:val="000000">
                      <w14:alpha w14:val="100000"/>
                    </w14:srgbClr>
                  </w14:solidFill>
                </w14:textFill>
              </w:rPr>
              <w:t xml:space="preserve">　</w:t>
            </w:r>
            <w:r w:rsidRPr="005235AD">
              <w:rPr>
                <w:color w:val="000000"/>
                <w:w w:val="15"/>
                <w:szCs w:val="20"/>
                <w:shd w:val="solid" w:color="000000" w:fill="000000"/>
                <w:fitText w:val="10" w:id="-1504529148"/>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48"/>
                <w14:textFill>
                  <w14:solidFill>
                    <w14:srgbClr w14:val="000000">
                      <w14:alpha w14:val="100000"/>
                    </w14:srgbClr>
                  </w14:solidFill>
                </w14:textFill>
              </w:rPr>
              <w:t xml:space="preserve">　</w:t>
            </w:r>
            <w:r w:rsidR="00D765EA">
              <w:rPr>
                <w:szCs w:val="20"/>
                <w:vertAlign w:val="superscript"/>
              </w:rPr>
              <w:t>2</w:t>
            </w:r>
          </w:p>
        </w:tc>
        <w:tc>
          <w:tcPr>
            <w:tcW w:w="647" w:type="pct"/>
            <w:shd w:val="clear" w:color="auto" w:fill="auto"/>
            <w:vAlign w:val="center"/>
          </w:tcPr>
          <w:p w14:paraId="266E99B1" w14:textId="2214601C"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10" w:id="-1504529147"/>
                <w14:textFill>
                  <w14:solidFill>
                    <w14:srgbClr w14:val="000000">
                      <w14:alpha w14:val="100000"/>
                    </w14:srgbClr>
                  </w14:solidFill>
                </w14:textFill>
              </w:rPr>
              <w:t xml:space="preserve">　</w:t>
            </w:r>
            <w:r w:rsidRPr="005235AD">
              <w:rPr>
                <w:color w:val="000000"/>
                <w:w w:val="15"/>
                <w:szCs w:val="20"/>
                <w:shd w:val="solid" w:color="000000" w:fill="000000"/>
                <w:fitText w:val="10" w:id="-1504529147"/>
                <w14:textFill>
                  <w14:solidFill>
                    <w14:srgbClr w14:val="000000">
                      <w14:alpha w14:val="100000"/>
                    </w14:srgbClr>
                  </w14:solidFill>
                </w14:textFill>
              </w:rPr>
              <w:t>|</w:t>
            </w:r>
            <w:r w:rsidRPr="005235AD">
              <w:rPr>
                <w:rFonts w:hint="eastAsia"/>
                <w:color w:val="000000"/>
                <w:spacing w:val="-56"/>
                <w:w w:val="15"/>
                <w:szCs w:val="20"/>
                <w:shd w:val="solid" w:color="000000" w:fill="000000"/>
                <w:fitText w:val="10" w:id="-1504529147"/>
                <w14:textFill>
                  <w14:solidFill>
                    <w14:srgbClr w14:val="000000">
                      <w14:alpha w14:val="100000"/>
                    </w14:srgbClr>
                  </w14:solidFill>
                </w14:textFill>
              </w:rPr>
              <w:t xml:space="preserve">　</w:t>
            </w:r>
            <w:r w:rsidR="00D765EA">
              <w:rPr>
                <w:szCs w:val="20"/>
                <w:vertAlign w:val="superscript"/>
              </w:rPr>
              <w:t>2</w:t>
            </w:r>
          </w:p>
        </w:tc>
        <w:tc>
          <w:tcPr>
            <w:tcW w:w="649" w:type="pct"/>
            <w:vAlign w:val="center"/>
          </w:tcPr>
          <w:p w14:paraId="7C0AD36B" w14:textId="69D78364" w:rsidR="00D63E98" w:rsidRPr="00D765EA" w:rsidRDefault="00E63C10">
            <w:pPr>
              <w:pStyle w:val="TableText0"/>
              <w:jc w:val="center"/>
              <w:rPr>
                <w:szCs w:val="20"/>
                <w:highlight w:val="yellow"/>
              </w:rPr>
            </w:pPr>
            <w:r w:rsidRPr="005235AD">
              <w:rPr>
                <w:rFonts w:hint="eastAsia"/>
                <w:color w:val="000000"/>
                <w:w w:val="15"/>
                <w:szCs w:val="20"/>
                <w:shd w:val="solid" w:color="000000" w:fill="000000"/>
                <w:fitText w:val="20" w:id="-1504528896"/>
                <w14:textFill>
                  <w14:solidFill>
                    <w14:srgbClr w14:val="000000">
                      <w14:alpha w14:val="100000"/>
                    </w14:srgbClr>
                  </w14:solidFill>
                </w14:textFill>
              </w:rPr>
              <w:t xml:space="preserve">　</w:t>
            </w:r>
            <w:r w:rsidRPr="005235AD">
              <w:rPr>
                <w:color w:val="000000"/>
                <w:w w:val="15"/>
                <w:szCs w:val="20"/>
                <w:shd w:val="solid" w:color="000000" w:fill="000000"/>
                <w:fitText w:val="20" w:id="-1504528896"/>
                <w14:textFill>
                  <w14:solidFill>
                    <w14:srgbClr w14:val="000000">
                      <w14:alpha w14:val="100000"/>
                    </w14:srgbClr>
                  </w14:solidFill>
                </w14:textFill>
              </w:rPr>
              <w:t>|</w:t>
            </w:r>
            <w:r w:rsidRPr="005235AD">
              <w:rPr>
                <w:rFonts w:hint="eastAsia"/>
                <w:color w:val="000000"/>
                <w:spacing w:val="-46"/>
                <w:w w:val="15"/>
                <w:szCs w:val="20"/>
                <w:shd w:val="solid" w:color="000000" w:fill="000000"/>
                <w:fitText w:val="20" w:id="-1504528896"/>
                <w14:textFill>
                  <w14:solidFill>
                    <w14:srgbClr w14:val="000000">
                      <w14:alpha w14:val="100000"/>
                    </w14:srgbClr>
                  </w14:solidFill>
                </w14:textFill>
              </w:rPr>
              <w:t xml:space="preserve">　</w:t>
            </w:r>
            <w:r w:rsidR="00D765EA">
              <w:rPr>
                <w:szCs w:val="20"/>
                <w:vertAlign w:val="superscript"/>
              </w:rPr>
              <w:t>2</w:t>
            </w:r>
          </w:p>
        </w:tc>
      </w:tr>
    </w:tbl>
    <w:p w14:paraId="13807758" w14:textId="77777777" w:rsidR="00D63E98" w:rsidRDefault="00233BA3">
      <w:pPr>
        <w:pStyle w:val="TableFigureFooter"/>
        <w:rPr>
          <w:rStyle w:val="CommentReference"/>
          <w:szCs w:val="20"/>
        </w:rPr>
      </w:pPr>
      <w:r>
        <w:rPr>
          <w:sz w:val="20"/>
          <w:szCs w:val="20"/>
        </w:rPr>
        <w:t>Source: Tables 4.4, 4.6, 4.12 and 4.15, pp127-133 of the submission.</w:t>
      </w:r>
    </w:p>
    <w:p w14:paraId="426F2A0F" w14:textId="2122A9CF" w:rsidR="00D63E98" w:rsidRDefault="00233BA3" w:rsidP="00D765EA">
      <w:pPr>
        <w:pStyle w:val="TableFigureFooter"/>
        <w:spacing w:after="0"/>
        <w:rPr>
          <w:sz w:val="20"/>
          <w:szCs w:val="20"/>
        </w:rPr>
      </w:pPr>
      <w:proofErr w:type="spellStart"/>
      <w:proofErr w:type="gramStart"/>
      <w:r>
        <w:rPr>
          <w:sz w:val="20"/>
          <w:szCs w:val="20"/>
          <w:vertAlign w:val="superscript"/>
        </w:rPr>
        <w:t>a</w:t>
      </w:r>
      <w:proofErr w:type="spellEnd"/>
      <w:proofErr w:type="gramEnd"/>
      <w:r>
        <w:rPr>
          <w:sz w:val="20"/>
          <w:szCs w:val="20"/>
        </w:rPr>
        <w:t xml:space="preserve"> Assuming 2 scripts per year as estimated by the submission.</w:t>
      </w:r>
    </w:p>
    <w:p w14:paraId="374FEB14" w14:textId="77777777" w:rsidR="00D765EA" w:rsidRPr="00D765EA" w:rsidRDefault="00D765EA" w:rsidP="00D765EA">
      <w:pPr>
        <w:rPr>
          <w:rFonts w:ascii="Arial Narrow" w:hAnsi="Arial Narrow"/>
          <w:iCs/>
          <w:sz w:val="18"/>
          <w:szCs w:val="18"/>
        </w:rPr>
      </w:pPr>
      <w:r w:rsidRPr="00D765EA">
        <w:rPr>
          <w:rFonts w:ascii="Arial Narrow" w:hAnsi="Arial Narrow"/>
          <w:iCs/>
          <w:sz w:val="18"/>
          <w:szCs w:val="18"/>
        </w:rPr>
        <w:t xml:space="preserve">The redacted values correspond to the following ranges: </w:t>
      </w:r>
    </w:p>
    <w:p w14:paraId="0B1881B1" w14:textId="77777777" w:rsidR="00D765EA" w:rsidRPr="00D765EA" w:rsidRDefault="00D765EA" w:rsidP="00D765EA">
      <w:pPr>
        <w:rPr>
          <w:rFonts w:ascii="Arial Narrow" w:hAnsi="Arial Narrow"/>
          <w:iCs/>
          <w:sz w:val="18"/>
          <w:szCs w:val="18"/>
        </w:rPr>
      </w:pPr>
      <w:r w:rsidRPr="00D765EA">
        <w:rPr>
          <w:rFonts w:ascii="Arial Narrow" w:hAnsi="Arial Narrow"/>
          <w:iCs/>
          <w:sz w:val="18"/>
          <w:szCs w:val="18"/>
          <w:vertAlign w:val="superscript"/>
        </w:rPr>
        <w:t>1</w:t>
      </w:r>
      <w:r w:rsidRPr="00D765EA">
        <w:rPr>
          <w:rFonts w:ascii="Arial Narrow" w:hAnsi="Arial Narrow"/>
          <w:iCs/>
          <w:sz w:val="18"/>
          <w:szCs w:val="18"/>
        </w:rPr>
        <w:t xml:space="preserve"> 500 to &lt; 5,000</w:t>
      </w:r>
    </w:p>
    <w:p w14:paraId="004CD1F5" w14:textId="3685D8ED" w:rsidR="00D765EA" w:rsidRPr="00D765EA" w:rsidRDefault="00D765EA" w:rsidP="00D765EA">
      <w:pPr>
        <w:rPr>
          <w:rFonts w:ascii="Arial Narrow" w:hAnsi="Arial Narrow"/>
          <w:iCs/>
          <w:sz w:val="18"/>
          <w:szCs w:val="18"/>
        </w:rPr>
      </w:pPr>
      <w:r w:rsidRPr="00D765EA">
        <w:rPr>
          <w:rFonts w:ascii="Arial Narrow" w:hAnsi="Arial Narrow"/>
          <w:iCs/>
          <w:sz w:val="18"/>
          <w:szCs w:val="18"/>
          <w:vertAlign w:val="superscript"/>
        </w:rPr>
        <w:t>2</w:t>
      </w:r>
      <w:r w:rsidRPr="00D765EA">
        <w:rPr>
          <w:rFonts w:ascii="Arial Narrow" w:hAnsi="Arial Narrow"/>
          <w:iCs/>
          <w:sz w:val="18"/>
          <w:szCs w:val="18"/>
        </w:rPr>
        <w:t xml:space="preserve"> $0</w:t>
      </w:r>
      <w:r>
        <w:rPr>
          <w:rFonts w:ascii="Arial Narrow" w:hAnsi="Arial Narrow"/>
          <w:iCs/>
          <w:sz w:val="18"/>
          <w:szCs w:val="18"/>
        </w:rPr>
        <w:t> </w:t>
      </w:r>
      <w:r w:rsidRPr="00D765EA">
        <w:rPr>
          <w:rFonts w:ascii="Arial Narrow" w:hAnsi="Arial Narrow"/>
          <w:iCs/>
          <w:sz w:val="18"/>
          <w:szCs w:val="18"/>
        </w:rPr>
        <w:t>to</w:t>
      </w:r>
      <w:r>
        <w:rPr>
          <w:rFonts w:ascii="Arial Narrow" w:hAnsi="Arial Narrow"/>
          <w:iCs/>
          <w:sz w:val="18"/>
          <w:szCs w:val="18"/>
        </w:rPr>
        <w:t> </w:t>
      </w:r>
      <w:r w:rsidRPr="00D765EA">
        <w:rPr>
          <w:rFonts w:ascii="Arial Narrow" w:hAnsi="Arial Narrow"/>
          <w:iCs/>
          <w:sz w:val="18"/>
          <w:szCs w:val="18"/>
        </w:rPr>
        <w:t>&lt;</w:t>
      </w:r>
      <w:r>
        <w:rPr>
          <w:rFonts w:ascii="Arial Narrow" w:hAnsi="Arial Narrow"/>
          <w:iCs/>
          <w:sz w:val="18"/>
          <w:szCs w:val="18"/>
        </w:rPr>
        <w:t> </w:t>
      </w:r>
      <w:r w:rsidRPr="00D765EA">
        <w:rPr>
          <w:rFonts w:ascii="Arial Narrow" w:hAnsi="Arial Narrow"/>
          <w:iCs/>
          <w:sz w:val="18"/>
          <w:szCs w:val="18"/>
        </w:rPr>
        <w:t>$10 million</w:t>
      </w:r>
    </w:p>
    <w:p w14:paraId="49D9308E" w14:textId="77777777" w:rsidR="00D765EA" w:rsidRDefault="00D765EA">
      <w:pPr>
        <w:pStyle w:val="TableFigureFooter"/>
        <w:rPr>
          <w:sz w:val="20"/>
          <w:szCs w:val="20"/>
        </w:rPr>
      </w:pPr>
    </w:p>
    <w:p w14:paraId="3DAD590A" w14:textId="023D99C4" w:rsidR="00D63E98" w:rsidRDefault="00233BA3">
      <w:pPr>
        <w:pStyle w:val="3-BodyText"/>
      </w:pPr>
      <w:r>
        <w:t xml:space="preserve">The total cost to the PBS/RPBS of listing PP6M was estimated to be </w:t>
      </w:r>
      <w:r w:rsidR="00E97A64" w:rsidRPr="00E97A64">
        <w:t>$0 to &lt; $10 </w:t>
      </w:r>
      <w:r>
        <w:t xml:space="preserve">million in Year 6, and a total of </w:t>
      </w:r>
      <w:r w:rsidR="00E97A64" w:rsidRPr="00E97A64">
        <w:t>$30 million to &lt; $40 </w:t>
      </w:r>
      <w:r>
        <w:t>million in the first 6 years of listing</w:t>
      </w:r>
      <w:r>
        <w:rPr>
          <w:color w:val="3366FF"/>
        </w:rPr>
        <w:t xml:space="preserve">. </w:t>
      </w:r>
      <w:r>
        <w:t xml:space="preserve">If the assumed substitution rate is correct, the submission estimated that there would be a net cost saving in the first 6 years of listing due to fewer mark-ups and fees for the </w:t>
      </w:r>
      <w:proofErr w:type="gramStart"/>
      <w:r>
        <w:t>6 monthly</w:t>
      </w:r>
      <w:proofErr w:type="gramEnd"/>
      <w:r>
        <w:t xml:space="preserve"> injection.</w:t>
      </w:r>
    </w:p>
    <w:p w14:paraId="3E3DBB6F" w14:textId="77777777" w:rsidR="00D63E98" w:rsidRDefault="00233BA3">
      <w:pPr>
        <w:pStyle w:val="3-BodyText"/>
      </w:pPr>
      <w:r>
        <w:t>The main source of uncertainty for the financial estimates presented was the assumed substitution rate of PP3M and PP1M by PP6M. The results of the sensitivity analysis are shown below.</w:t>
      </w:r>
    </w:p>
    <w:p w14:paraId="614C7341" w14:textId="39CD5F61" w:rsidR="00D63E98" w:rsidRDefault="00233BA3">
      <w:pPr>
        <w:pStyle w:val="Caption"/>
      </w:pPr>
      <w:r>
        <w:t xml:space="preserve">Table </w:t>
      </w:r>
      <w:fldSimple w:instr=" SEQ Table \* ARABIC ">
        <w:r w:rsidR="001149A2">
          <w:rPr>
            <w:noProof/>
          </w:rPr>
          <w:t>11</w:t>
        </w:r>
      </w:fldSimple>
      <w:r>
        <w:t>: Results of sensitivity analysis</w:t>
      </w:r>
    </w:p>
    <w:tbl>
      <w:tblPr>
        <w:tblW w:w="9068" w:type="dxa"/>
        <w:tblCellMar>
          <w:left w:w="28" w:type="dxa"/>
          <w:right w:w="28" w:type="dxa"/>
        </w:tblCellMar>
        <w:tblLook w:val="04A0" w:firstRow="1" w:lastRow="0" w:firstColumn="1" w:lastColumn="0" w:noHBand="0" w:noVBand="1"/>
        <w:tblCaption w:val="Table 11: Results of sensitivity analysis"/>
        <w:tblDescription w:val="Table 11: Results of sensitivity analysis"/>
      </w:tblPr>
      <w:tblGrid>
        <w:gridCol w:w="1928"/>
        <w:gridCol w:w="1020"/>
        <w:gridCol w:w="1020"/>
        <w:gridCol w:w="1020"/>
        <w:gridCol w:w="1020"/>
        <w:gridCol w:w="1020"/>
        <w:gridCol w:w="1020"/>
        <w:gridCol w:w="1020"/>
      </w:tblGrid>
      <w:tr w:rsidR="00D63E98" w14:paraId="0517DB88" w14:textId="77777777">
        <w:trPr>
          <w:trHeight w:val="255"/>
        </w:trPr>
        <w:tc>
          <w:tcPr>
            <w:tcW w:w="1928" w:type="dxa"/>
            <w:vMerge w:val="restart"/>
            <w:tcBorders>
              <w:top w:val="single" w:sz="4" w:space="0" w:color="auto"/>
              <w:left w:val="single" w:sz="4" w:space="0" w:color="auto"/>
              <w:right w:val="single" w:sz="4" w:space="0" w:color="auto"/>
            </w:tcBorders>
            <w:shd w:val="clear" w:color="auto" w:fill="auto"/>
            <w:vAlign w:val="center"/>
            <w:hideMark/>
          </w:tcPr>
          <w:p w14:paraId="4CEE6DF6" w14:textId="77777777" w:rsidR="00D63E98" w:rsidRDefault="00233BA3">
            <w:pPr>
              <w:pStyle w:val="In-tableHeading"/>
            </w:pPr>
            <w:r>
              <w:t>Net impact for the health budget</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1FD5F0A" w14:textId="77777777" w:rsidR="00D63E98" w:rsidRDefault="00233BA3">
            <w:pPr>
              <w:pStyle w:val="In-tableHeading"/>
            </w:pPr>
            <w:r>
              <w:t>Year 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033F952" w14:textId="77777777" w:rsidR="00D63E98" w:rsidRDefault="00233BA3">
            <w:pPr>
              <w:pStyle w:val="In-tableHeading"/>
            </w:pPr>
            <w:r>
              <w:t>Year 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4F08DD8" w14:textId="77777777" w:rsidR="00D63E98" w:rsidRDefault="00233BA3">
            <w:pPr>
              <w:pStyle w:val="In-tableHeading"/>
            </w:pPr>
            <w:r>
              <w:t>Year 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B7E3CC9" w14:textId="77777777" w:rsidR="00D63E98" w:rsidRDefault="00233BA3">
            <w:pPr>
              <w:pStyle w:val="In-tableHeading"/>
            </w:pPr>
            <w:r>
              <w:t>Year 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4EEB007" w14:textId="77777777" w:rsidR="00D63E98" w:rsidRDefault="00233BA3">
            <w:pPr>
              <w:pStyle w:val="In-tableHeading"/>
            </w:pPr>
            <w:r>
              <w:t>Year 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3E3E18B" w14:textId="77777777" w:rsidR="00D63E98" w:rsidRDefault="00233BA3">
            <w:pPr>
              <w:pStyle w:val="In-tableHeading"/>
            </w:pPr>
            <w:r>
              <w:t>Year 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8508C01" w14:textId="77777777" w:rsidR="00D63E98" w:rsidRDefault="00233BA3">
            <w:pPr>
              <w:pStyle w:val="In-tableHeading"/>
            </w:pPr>
            <w:r>
              <w:t>Year 1-6</w:t>
            </w:r>
          </w:p>
        </w:tc>
      </w:tr>
      <w:tr w:rsidR="00D63E98" w14:paraId="440589F0" w14:textId="77777777">
        <w:trPr>
          <w:trHeight w:val="255"/>
        </w:trPr>
        <w:tc>
          <w:tcPr>
            <w:tcW w:w="1928" w:type="dxa"/>
            <w:vMerge/>
            <w:tcBorders>
              <w:left w:val="single" w:sz="4" w:space="0" w:color="auto"/>
              <w:bottom w:val="single" w:sz="4" w:space="0" w:color="auto"/>
              <w:right w:val="single" w:sz="4" w:space="0" w:color="auto"/>
            </w:tcBorders>
            <w:shd w:val="clear" w:color="auto" w:fill="auto"/>
            <w:vAlign w:val="center"/>
            <w:hideMark/>
          </w:tcPr>
          <w:p w14:paraId="7F4DA9B9" w14:textId="77777777" w:rsidR="00D63E98" w:rsidRDefault="00D63E98">
            <w:pPr>
              <w:pStyle w:val="In-tableHeading"/>
            </w:pPr>
          </w:p>
        </w:tc>
        <w:tc>
          <w:tcPr>
            <w:tcW w:w="1020" w:type="dxa"/>
            <w:tcBorders>
              <w:top w:val="nil"/>
              <w:left w:val="nil"/>
              <w:bottom w:val="single" w:sz="4" w:space="0" w:color="auto"/>
              <w:right w:val="single" w:sz="4" w:space="0" w:color="auto"/>
            </w:tcBorders>
            <w:shd w:val="clear" w:color="auto" w:fill="auto"/>
            <w:noWrap/>
            <w:vAlign w:val="center"/>
            <w:hideMark/>
          </w:tcPr>
          <w:p w14:paraId="61751CAF" w14:textId="77777777" w:rsidR="00D63E98" w:rsidRDefault="00233BA3">
            <w:pPr>
              <w:pStyle w:val="In-tableHeading"/>
            </w:pPr>
            <w:r>
              <w:t>2022</w:t>
            </w:r>
          </w:p>
        </w:tc>
        <w:tc>
          <w:tcPr>
            <w:tcW w:w="1020" w:type="dxa"/>
            <w:tcBorders>
              <w:top w:val="nil"/>
              <w:left w:val="nil"/>
              <w:bottom w:val="single" w:sz="4" w:space="0" w:color="auto"/>
              <w:right w:val="single" w:sz="4" w:space="0" w:color="auto"/>
            </w:tcBorders>
            <w:shd w:val="clear" w:color="auto" w:fill="auto"/>
            <w:noWrap/>
            <w:vAlign w:val="center"/>
            <w:hideMark/>
          </w:tcPr>
          <w:p w14:paraId="64DA56CA" w14:textId="77777777" w:rsidR="00D63E98" w:rsidRDefault="00233BA3">
            <w:pPr>
              <w:pStyle w:val="In-tableHeading"/>
            </w:pPr>
            <w:r>
              <w:t>2023</w:t>
            </w:r>
          </w:p>
        </w:tc>
        <w:tc>
          <w:tcPr>
            <w:tcW w:w="1020" w:type="dxa"/>
            <w:tcBorders>
              <w:top w:val="nil"/>
              <w:left w:val="nil"/>
              <w:bottom w:val="single" w:sz="4" w:space="0" w:color="auto"/>
              <w:right w:val="single" w:sz="4" w:space="0" w:color="auto"/>
            </w:tcBorders>
            <w:shd w:val="clear" w:color="auto" w:fill="auto"/>
            <w:noWrap/>
            <w:vAlign w:val="center"/>
            <w:hideMark/>
          </w:tcPr>
          <w:p w14:paraId="27406ED5" w14:textId="77777777" w:rsidR="00D63E98" w:rsidRDefault="00233BA3">
            <w:pPr>
              <w:pStyle w:val="In-tableHeading"/>
            </w:pPr>
            <w:r>
              <w:t>2024</w:t>
            </w:r>
          </w:p>
        </w:tc>
        <w:tc>
          <w:tcPr>
            <w:tcW w:w="1020" w:type="dxa"/>
            <w:tcBorders>
              <w:top w:val="nil"/>
              <w:left w:val="nil"/>
              <w:bottom w:val="single" w:sz="4" w:space="0" w:color="auto"/>
              <w:right w:val="single" w:sz="4" w:space="0" w:color="auto"/>
            </w:tcBorders>
            <w:shd w:val="clear" w:color="auto" w:fill="auto"/>
            <w:noWrap/>
            <w:vAlign w:val="center"/>
            <w:hideMark/>
          </w:tcPr>
          <w:p w14:paraId="6DE8A6FC" w14:textId="77777777" w:rsidR="00D63E98" w:rsidRDefault="00233BA3">
            <w:pPr>
              <w:pStyle w:val="In-tableHeading"/>
            </w:pPr>
            <w:r>
              <w:t>2025</w:t>
            </w:r>
          </w:p>
        </w:tc>
        <w:tc>
          <w:tcPr>
            <w:tcW w:w="1020" w:type="dxa"/>
            <w:tcBorders>
              <w:top w:val="nil"/>
              <w:left w:val="nil"/>
              <w:bottom w:val="single" w:sz="4" w:space="0" w:color="auto"/>
              <w:right w:val="single" w:sz="4" w:space="0" w:color="auto"/>
            </w:tcBorders>
            <w:shd w:val="clear" w:color="auto" w:fill="auto"/>
            <w:noWrap/>
            <w:vAlign w:val="center"/>
            <w:hideMark/>
          </w:tcPr>
          <w:p w14:paraId="115B07F0" w14:textId="77777777" w:rsidR="00D63E98" w:rsidRDefault="00233BA3">
            <w:pPr>
              <w:pStyle w:val="In-tableHeading"/>
            </w:pPr>
            <w:r>
              <w:t>2026</w:t>
            </w:r>
          </w:p>
        </w:tc>
        <w:tc>
          <w:tcPr>
            <w:tcW w:w="1020" w:type="dxa"/>
            <w:tcBorders>
              <w:top w:val="nil"/>
              <w:left w:val="nil"/>
              <w:bottom w:val="single" w:sz="4" w:space="0" w:color="auto"/>
              <w:right w:val="single" w:sz="4" w:space="0" w:color="auto"/>
            </w:tcBorders>
            <w:shd w:val="clear" w:color="auto" w:fill="auto"/>
            <w:noWrap/>
            <w:vAlign w:val="center"/>
            <w:hideMark/>
          </w:tcPr>
          <w:p w14:paraId="6C4C355C" w14:textId="77777777" w:rsidR="00D63E98" w:rsidRDefault="00233BA3">
            <w:pPr>
              <w:pStyle w:val="In-tableHeading"/>
            </w:pPr>
            <w:r>
              <w:t>2027</w:t>
            </w:r>
          </w:p>
        </w:tc>
        <w:tc>
          <w:tcPr>
            <w:tcW w:w="1020" w:type="dxa"/>
            <w:tcBorders>
              <w:top w:val="nil"/>
              <w:left w:val="nil"/>
              <w:bottom w:val="single" w:sz="4" w:space="0" w:color="auto"/>
              <w:right w:val="single" w:sz="4" w:space="0" w:color="auto"/>
            </w:tcBorders>
            <w:shd w:val="clear" w:color="auto" w:fill="auto"/>
            <w:noWrap/>
            <w:vAlign w:val="center"/>
            <w:hideMark/>
          </w:tcPr>
          <w:p w14:paraId="42A80CF2" w14:textId="77777777" w:rsidR="00D63E98" w:rsidRDefault="00233BA3">
            <w:pPr>
              <w:pStyle w:val="In-tableHeading"/>
            </w:pPr>
            <w:r>
              <w:t>2022-27</w:t>
            </w:r>
          </w:p>
        </w:tc>
      </w:tr>
      <w:tr w:rsidR="00D63E98" w14:paraId="6B94E69A" w14:textId="77777777">
        <w:trPr>
          <w:trHeight w:val="255"/>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238996DA" w14:textId="77777777" w:rsidR="00D63E98" w:rsidRDefault="00233BA3">
            <w:pPr>
              <w:pStyle w:val="TableText0"/>
            </w:pPr>
            <w:r>
              <w:t>Base case</w:t>
            </w:r>
          </w:p>
        </w:tc>
        <w:tc>
          <w:tcPr>
            <w:tcW w:w="1020" w:type="dxa"/>
            <w:tcBorders>
              <w:top w:val="nil"/>
              <w:left w:val="nil"/>
              <w:bottom w:val="single" w:sz="4" w:space="0" w:color="auto"/>
              <w:right w:val="single" w:sz="4" w:space="0" w:color="auto"/>
            </w:tcBorders>
            <w:shd w:val="clear" w:color="auto" w:fill="auto"/>
            <w:noWrap/>
            <w:vAlign w:val="center"/>
            <w:hideMark/>
          </w:tcPr>
          <w:p w14:paraId="706CFACA" w14:textId="397D3C93" w:rsidR="00D63E98" w:rsidRPr="00E97A64" w:rsidRDefault="00233BA3">
            <w:pPr>
              <w:pStyle w:val="TableText0"/>
              <w:rPr>
                <w:vertAlign w:val="superscript"/>
              </w:rPr>
            </w:pPr>
            <w:r>
              <w:t>-$</w:t>
            </w:r>
            <w:r w:rsidR="00E63C10" w:rsidRPr="00E63C10">
              <w:rPr>
                <w:color w:val="000000"/>
                <w:spacing w:val="49"/>
                <w:shd w:val="solid" w:color="000000" w:fill="000000"/>
                <w:fitText w:val="320" w:id="-1504528895"/>
                <w14:textFill>
                  <w14:solidFill>
                    <w14:srgbClr w14:val="000000">
                      <w14:alpha w14:val="100000"/>
                    </w14:srgbClr>
                  </w14:solidFill>
                </w14:textFill>
              </w:rPr>
              <w:t>|||</w:t>
            </w:r>
            <w:r w:rsidR="00E63C10" w:rsidRPr="00E63C10">
              <w:rPr>
                <w:color w:val="000000"/>
                <w:spacing w:val="3"/>
                <w:shd w:val="solid" w:color="000000" w:fill="000000"/>
                <w:fitText w:val="320" w:id="-1504528895"/>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1FDE102B" w14:textId="1B8FCC94" w:rsidR="00D63E98" w:rsidRDefault="00233BA3">
            <w:pPr>
              <w:pStyle w:val="TableText0"/>
            </w:pPr>
            <w:r>
              <w:t>-$</w:t>
            </w:r>
            <w:r w:rsidR="00E63C10" w:rsidRPr="00E63C10">
              <w:rPr>
                <w:color w:val="000000"/>
                <w:spacing w:val="49"/>
                <w:shd w:val="solid" w:color="000000" w:fill="000000"/>
                <w:fitText w:val="320" w:id="-1504528894"/>
                <w14:textFill>
                  <w14:solidFill>
                    <w14:srgbClr w14:val="000000">
                      <w14:alpha w14:val="100000"/>
                    </w14:srgbClr>
                  </w14:solidFill>
                </w14:textFill>
              </w:rPr>
              <w:t>|||</w:t>
            </w:r>
            <w:r w:rsidR="00E63C10" w:rsidRPr="00E63C10">
              <w:rPr>
                <w:color w:val="000000"/>
                <w:spacing w:val="3"/>
                <w:shd w:val="solid" w:color="000000" w:fill="000000"/>
                <w:fitText w:val="320" w:id="-1504528894"/>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251F13F8" w14:textId="4B4D8194" w:rsidR="00D63E98" w:rsidRDefault="00233BA3">
            <w:pPr>
              <w:pStyle w:val="TableText0"/>
            </w:pPr>
            <w:r>
              <w:t>-$</w:t>
            </w:r>
            <w:r w:rsidR="00E63C10" w:rsidRPr="00E63C10">
              <w:rPr>
                <w:color w:val="000000"/>
                <w:spacing w:val="49"/>
                <w:shd w:val="solid" w:color="000000" w:fill="000000"/>
                <w:fitText w:val="320" w:id="-1504528893"/>
                <w14:textFill>
                  <w14:solidFill>
                    <w14:srgbClr w14:val="000000">
                      <w14:alpha w14:val="100000"/>
                    </w14:srgbClr>
                  </w14:solidFill>
                </w14:textFill>
              </w:rPr>
              <w:t>|||</w:t>
            </w:r>
            <w:r w:rsidR="00E63C10" w:rsidRPr="00E63C10">
              <w:rPr>
                <w:color w:val="000000"/>
                <w:spacing w:val="3"/>
                <w:shd w:val="solid" w:color="000000" w:fill="000000"/>
                <w:fitText w:val="320" w:id="-1504528893"/>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344DDC79" w14:textId="1ED5B4EF" w:rsidR="00D63E98" w:rsidRDefault="00233BA3">
            <w:pPr>
              <w:pStyle w:val="TableText0"/>
            </w:pPr>
            <w:r>
              <w:t>-$</w:t>
            </w:r>
            <w:r w:rsidR="00E63C10" w:rsidRPr="00E63C10">
              <w:rPr>
                <w:color w:val="000000"/>
                <w:spacing w:val="49"/>
                <w:shd w:val="solid" w:color="000000" w:fill="000000"/>
                <w:fitText w:val="320" w:id="-1504528892"/>
                <w14:textFill>
                  <w14:solidFill>
                    <w14:srgbClr w14:val="000000">
                      <w14:alpha w14:val="100000"/>
                    </w14:srgbClr>
                  </w14:solidFill>
                </w14:textFill>
              </w:rPr>
              <w:t>|||</w:t>
            </w:r>
            <w:r w:rsidR="00E63C10" w:rsidRPr="00E63C10">
              <w:rPr>
                <w:color w:val="000000"/>
                <w:spacing w:val="3"/>
                <w:shd w:val="solid" w:color="000000" w:fill="000000"/>
                <w:fitText w:val="320" w:id="-1504528892"/>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2A0FDD75" w14:textId="08C468BF" w:rsidR="00D63E98" w:rsidRDefault="00233BA3">
            <w:pPr>
              <w:pStyle w:val="TableText0"/>
            </w:pPr>
            <w:r>
              <w:t>-$</w:t>
            </w:r>
            <w:r w:rsidR="00E63C10" w:rsidRPr="00E63C10">
              <w:rPr>
                <w:color w:val="000000"/>
                <w:spacing w:val="49"/>
                <w:shd w:val="solid" w:color="000000" w:fill="000000"/>
                <w:fitText w:val="320" w:id="-1504528891"/>
                <w14:textFill>
                  <w14:solidFill>
                    <w14:srgbClr w14:val="000000">
                      <w14:alpha w14:val="100000"/>
                    </w14:srgbClr>
                  </w14:solidFill>
                </w14:textFill>
              </w:rPr>
              <w:t>|||</w:t>
            </w:r>
            <w:r w:rsidR="00E63C10" w:rsidRPr="00E63C10">
              <w:rPr>
                <w:color w:val="000000"/>
                <w:spacing w:val="3"/>
                <w:shd w:val="solid" w:color="000000" w:fill="000000"/>
                <w:fitText w:val="320" w:id="-1504528891"/>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3DAFA0A1" w14:textId="3285AE05" w:rsidR="00D63E98" w:rsidRDefault="00233BA3">
            <w:pPr>
              <w:pStyle w:val="TableText0"/>
            </w:pPr>
            <w:r>
              <w:t>-$</w:t>
            </w:r>
            <w:r w:rsidR="00E63C10" w:rsidRPr="00E63C10">
              <w:rPr>
                <w:color w:val="000000"/>
                <w:spacing w:val="49"/>
                <w:shd w:val="solid" w:color="000000" w:fill="000000"/>
                <w:fitText w:val="320" w:id="-1504528890"/>
                <w14:textFill>
                  <w14:solidFill>
                    <w14:srgbClr w14:val="000000">
                      <w14:alpha w14:val="100000"/>
                    </w14:srgbClr>
                  </w14:solidFill>
                </w14:textFill>
              </w:rPr>
              <w:t>|||</w:t>
            </w:r>
            <w:r w:rsidR="00E63C10" w:rsidRPr="00E63C10">
              <w:rPr>
                <w:color w:val="000000"/>
                <w:spacing w:val="3"/>
                <w:shd w:val="solid" w:color="000000" w:fill="000000"/>
                <w:fitText w:val="320" w:id="-1504528890"/>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15B21323" w14:textId="24724816" w:rsidR="00D63E98" w:rsidRDefault="00233BA3">
            <w:pPr>
              <w:pStyle w:val="TableText0"/>
            </w:pPr>
            <w:r>
              <w:t>-$</w:t>
            </w:r>
            <w:r w:rsidR="00E63C10" w:rsidRPr="00E63C10">
              <w:rPr>
                <w:color w:val="000000"/>
                <w:spacing w:val="49"/>
                <w:shd w:val="solid" w:color="000000" w:fill="000000"/>
                <w:fitText w:val="320" w:id="-1504528889"/>
                <w14:textFill>
                  <w14:solidFill>
                    <w14:srgbClr w14:val="000000">
                      <w14:alpha w14:val="100000"/>
                    </w14:srgbClr>
                  </w14:solidFill>
                </w14:textFill>
              </w:rPr>
              <w:t>|||</w:t>
            </w:r>
            <w:r w:rsidR="00E63C10" w:rsidRPr="00E63C10">
              <w:rPr>
                <w:color w:val="000000"/>
                <w:spacing w:val="3"/>
                <w:shd w:val="solid" w:color="000000" w:fill="000000"/>
                <w:fitText w:val="320" w:id="-1504528889"/>
                <w14:textFill>
                  <w14:solidFill>
                    <w14:srgbClr w14:val="000000">
                      <w14:alpha w14:val="100000"/>
                    </w14:srgbClr>
                  </w14:solidFill>
                </w14:textFill>
              </w:rPr>
              <w:t>|</w:t>
            </w:r>
            <w:r w:rsidR="00E97A64" w:rsidRPr="00E97A64">
              <w:rPr>
                <w:vertAlign w:val="superscript"/>
              </w:rPr>
              <w:t>1</w:t>
            </w:r>
          </w:p>
        </w:tc>
      </w:tr>
      <w:tr w:rsidR="00D63E98" w14:paraId="05A28985" w14:textId="77777777">
        <w:trPr>
          <w:trHeight w:val="255"/>
        </w:trPr>
        <w:tc>
          <w:tcPr>
            <w:tcW w:w="1928" w:type="dxa"/>
            <w:vMerge w:val="restart"/>
            <w:tcBorders>
              <w:top w:val="nil"/>
              <w:left w:val="single" w:sz="4" w:space="0" w:color="auto"/>
              <w:right w:val="single" w:sz="4" w:space="0" w:color="auto"/>
            </w:tcBorders>
            <w:shd w:val="clear" w:color="auto" w:fill="auto"/>
            <w:vAlign w:val="center"/>
            <w:hideMark/>
          </w:tcPr>
          <w:p w14:paraId="4A5F8753" w14:textId="77777777" w:rsidR="00D63E98" w:rsidRDefault="00233BA3">
            <w:pPr>
              <w:pStyle w:val="TableText0"/>
            </w:pPr>
            <w:r>
              <w:t>20% increase in substitution rate</w:t>
            </w:r>
          </w:p>
        </w:tc>
        <w:tc>
          <w:tcPr>
            <w:tcW w:w="1020" w:type="dxa"/>
            <w:tcBorders>
              <w:top w:val="nil"/>
              <w:left w:val="nil"/>
              <w:bottom w:val="single" w:sz="4" w:space="0" w:color="auto"/>
              <w:right w:val="single" w:sz="4" w:space="0" w:color="auto"/>
            </w:tcBorders>
            <w:shd w:val="clear" w:color="auto" w:fill="auto"/>
            <w:noWrap/>
            <w:vAlign w:val="center"/>
            <w:hideMark/>
          </w:tcPr>
          <w:p w14:paraId="4DD74BD9" w14:textId="7497126C" w:rsidR="00D63E98" w:rsidRDefault="00233BA3">
            <w:pPr>
              <w:pStyle w:val="TableText0"/>
            </w:pPr>
            <w:r>
              <w:t>-$</w:t>
            </w:r>
            <w:r w:rsidR="00E63C10" w:rsidRPr="00E63C10">
              <w:rPr>
                <w:color w:val="000000"/>
                <w:spacing w:val="49"/>
                <w:shd w:val="solid" w:color="000000" w:fill="000000"/>
                <w:fitText w:val="320" w:id="-1504528888"/>
                <w14:textFill>
                  <w14:solidFill>
                    <w14:srgbClr w14:val="000000">
                      <w14:alpha w14:val="100000"/>
                    </w14:srgbClr>
                  </w14:solidFill>
                </w14:textFill>
              </w:rPr>
              <w:t>|||</w:t>
            </w:r>
            <w:r w:rsidR="00E63C10" w:rsidRPr="00E63C10">
              <w:rPr>
                <w:color w:val="000000"/>
                <w:spacing w:val="3"/>
                <w:shd w:val="solid" w:color="000000" w:fill="000000"/>
                <w:fitText w:val="320" w:id="-1504528888"/>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5785B5B9" w14:textId="3C224B6F" w:rsidR="00D63E98" w:rsidRDefault="00233BA3">
            <w:pPr>
              <w:pStyle w:val="TableText0"/>
            </w:pPr>
            <w:r>
              <w:t>-$</w:t>
            </w:r>
            <w:r w:rsidR="00E63C10" w:rsidRPr="00E63C10">
              <w:rPr>
                <w:color w:val="000000"/>
                <w:spacing w:val="49"/>
                <w:shd w:val="solid" w:color="000000" w:fill="000000"/>
                <w:fitText w:val="320" w:id="-1504528887"/>
                <w14:textFill>
                  <w14:solidFill>
                    <w14:srgbClr w14:val="000000">
                      <w14:alpha w14:val="100000"/>
                    </w14:srgbClr>
                  </w14:solidFill>
                </w14:textFill>
              </w:rPr>
              <w:t>|||</w:t>
            </w:r>
            <w:r w:rsidR="00E63C10" w:rsidRPr="00E63C10">
              <w:rPr>
                <w:color w:val="000000"/>
                <w:spacing w:val="3"/>
                <w:shd w:val="solid" w:color="000000" w:fill="000000"/>
                <w:fitText w:val="320" w:id="-1504528887"/>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3F9957A5" w14:textId="75F3C1A3" w:rsidR="00D63E98" w:rsidRDefault="00233BA3">
            <w:pPr>
              <w:pStyle w:val="TableText0"/>
            </w:pPr>
            <w:r>
              <w:t>-$</w:t>
            </w:r>
            <w:r w:rsidR="00E63C10" w:rsidRPr="00E63C10">
              <w:rPr>
                <w:color w:val="000000"/>
                <w:spacing w:val="49"/>
                <w:shd w:val="solid" w:color="000000" w:fill="000000"/>
                <w:fitText w:val="320" w:id="-1504528886"/>
                <w14:textFill>
                  <w14:solidFill>
                    <w14:srgbClr w14:val="000000">
                      <w14:alpha w14:val="100000"/>
                    </w14:srgbClr>
                  </w14:solidFill>
                </w14:textFill>
              </w:rPr>
              <w:t>|||</w:t>
            </w:r>
            <w:r w:rsidR="00E63C10" w:rsidRPr="00E63C10">
              <w:rPr>
                <w:color w:val="000000"/>
                <w:spacing w:val="3"/>
                <w:shd w:val="solid" w:color="000000" w:fill="000000"/>
                <w:fitText w:val="320" w:id="-1504528886"/>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78C41BD2" w14:textId="48C4CB6B" w:rsidR="00D63E98" w:rsidRDefault="00233BA3">
            <w:pPr>
              <w:pStyle w:val="TableText0"/>
            </w:pPr>
            <w:r>
              <w:t>-$</w:t>
            </w:r>
            <w:r w:rsidR="00E63C10" w:rsidRPr="00E63C10">
              <w:rPr>
                <w:color w:val="000000"/>
                <w:spacing w:val="49"/>
                <w:shd w:val="solid" w:color="000000" w:fill="000000"/>
                <w:fitText w:val="320" w:id="-1504528885"/>
                <w14:textFill>
                  <w14:solidFill>
                    <w14:srgbClr w14:val="000000">
                      <w14:alpha w14:val="100000"/>
                    </w14:srgbClr>
                  </w14:solidFill>
                </w14:textFill>
              </w:rPr>
              <w:t>|||</w:t>
            </w:r>
            <w:r w:rsidR="00E63C10" w:rsidRPr="00E63C10">
              <w:rPr>
                <w:color w:val="000000"/>
                <w:spacing w:val="3"/>
                <w:shd w:val="solid" w:color="000000" w:fill="000000"/>
                <w:fitText w:val="320" w:id="-1504528885"/>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166C410D" w14:textId="6B3BD1F8" w:rsidR="00D63E98" w:rsidRDefault="00233BA3">
            <w:pPr>
              <w:pStyle w:val="TableText0"/>
            </w:pPr>
            <w:r>
              <w:t>-$</w:t>
            </w:r>
            <w:r w:rsidR="00E63C10" w:rsidRPr="00E63C10">
              <w:rPr>
                <w:color w:val="000000"/>
                <w:spacing w:val="49"/>
                <w:shd w:val="solid" w:color="000000" w:fill="000000"/>
                <w:fitText w:val="320" w:id="-1504528884"/>
                <w14:textFill>
                  <w14:solidFill>
                    <w14:srgbClr w14:val="000000">
                      <w14:alpha w14:val="100000"/>
                    </w14:srgbClr>
                  </w14:solidFill>
                </w14:textFill>
              </w:rPr>
              <w:t>|||</w:t>
            </w:r>
            <w:r w:rsidR="00E63C10" w:rsidRPr="00E63C10">
              <w:rPr>
                <w:color w:val="000000"/>
                <w:spacing w:val="3"/>
                <w:shd w:val="solid" w:color="000000" w:fill="000000"/>
                <w:fitText w:val="320" w:id="-1504528884"/>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520849A4" w14:textId="57E33DF4" w:rsidR="00D63E98" w:rsidRDefault="00233BA3">
            <w:pPr>
              <w:pStyle w:val="TableText0"/>
            </w:pPr>
            <w:r>
              <w:t>-$</w:t>
            </w:r>
            <w:r w:rsidR="00E63C10" w:rsidRPr="00E63C10">
              <w:rPr>
                <w:color w:val="000000"/>
                <w:spacing w:val="49"/>
                <w:shd w:val="solid" w:color="000000" w:fill="000000"/>
                <w:fitText w:val="320" w:id="-1504528883"/>
                <w14:textFill>
                  <w14:solidFill>
                    <w14:srgbClr w14:val="000000">
                      <w14:alpha w14:val="100000"/>
                    </w14:srgbClr>
                  </w14:solidFill>
                </w14:textFill>
              </w:rPr>
              <w:t>|||</w:t>
            </w:r>
            <w:r w:rsidR="00E63C10" w:rsidRPr="00E63C10">
              <w:rPr>
                <w:color w:val="000000"/>
                <w:spacing w:val="3"/>
                <w:shd w:val="solid" w:color="000000" w:fill="000000"/>
                <w:fitText w:val="320" w:id="-1504528883"/>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22FE0214" w14:textId="67E977F3" w:rsidR="00D63E98" w:rsidRDefault="00233BA3">
            <w:pPr>
              <w:pStyle w:val="TableText0"/>
            </w:pPr>
            <w:r>
              <w:t>-$</w:t>
            </w:r>
            <w:r w:rsidR="00E63C10" w:rsidRPr="00E63C10">
              <w:rPr>
                <w:color w:val="000000"/>
                <w:spacing w:val="49"/>
                <w:shd w:val="solid" w:color="000000" w:fill="000000"/>
                <w:fitText w:val="320" w:id="-1504528882"/>
                <w14:textFill>
                  <w14:solidFill>
                    <w14:srgbClr w14:val="000000">
                      <w14:alpha w14:val="100000"/>
                    </w14:srgbClr>
                  </w14:solidFill>
                </w14:textFill>
              </w:rPr>
              <w:t>|||</w:t>
            </w:r>
            <w:r w:rsidR="00E63C10" w:rsidRPr="00E63C10">
              <w:rPr>
                <w:color w:val="000000"/>
                <w:spacing w:val="3"/>
                <w:shd w:val="solid" w:color="000000" w:fill="000000"/>
                <w:fitText w:val="320" w:id="-1504528882"/>
                <w14:textFill>
                  <w14:solidFill>
                    <w14:srgbClr w14:val="000000">
                      <w14:alpha w14:val="100000"/>
                    </w14:srgbClr>
                  </w14:solidFill>
                </w14:textFill>
              </w:rPr>
              <w:t>|</w:t>
            </w:r>
            <w:r w:rsidR="00E97A64" w:rsidRPr="00E97A64">
              <w:rPr>
                <w:vertAlign w:val="superscript"/>
              </w:rPr>
              <w:t>1</w:t>
            </w:r>
          </w:p>
        </w:tc>
      </w:tr>
      <w:tr w:rsidR="00D63E98" w14:paraId="315AF402" w14:textId="77777777">
        <w:trPr>
          <w:trHeight w:val="92"/>
        </w:trPr>
        <w:tc>
          <w:tcPr>
            <w:tcW w:w="1928" w:type="dxa"/>
            <w:vMerge/>
            <w:tcBorders>
              <w:left w:val="single" w:sz="4" w:space="0" w:color="auto"/>
              <w:bottom w:val="single" w:sz="4" w:space="0" w:color="auto"/>
              <w:right w:val="single" w:sz="4" w:space="0" w:color="auto"/>
            </w:tcBorders>
            <w:shd w:val="clear" w:color="auto" w:fill="auto"/>
            <w:vAlign w:val="center"/>
            <w:hideMark/>
          </w:tcPr>
          <w:p w14:paraId="47825509" w14:textId="77777777" w:rsidR="00D63E98" w:rsidRDefault="00D63E98">
            <w:pPr>
              <w:pStyle w:val="TableText0"/>
            </w:pPr>
          </w:p>
        </w:tc>
        <w:tc>
          <w:tcPr>
            <w:tcW w:w="1020" w:type="dxa"/>
            <w:tcBorders>
              <w:top w:val="nil"/>
              <w:left w:val="nil"/>
              <w:bottom w:val="single" w:sz="4" w:space="0" w:color="auto"/>
              <w:right w:val="single" w:sz="4" w:space="0" w:color="auto"/>
            </w:tcBorders>
            <w:shd w:val="clear" w:color="auto" w:fill="auto"/>
            <w:noWrap/>
            <w:vAlign w:val="center"/>
            <w:hideMark/>
          </w:tcPr>
          <w:p w14:paraId="6E050A11"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5260192C"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4BB29582"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1D1E84FB"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36E0421D"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54551D76"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60582A48" w14:textId="77777777" w:rsidR="00D63E98" w:rsidRDefault="00233BA3">
            <w:pPr>
              <w:pStyle w:val="TableText0"/>
            </w:pPr>
            <w:r>
              <w:t>20.0%</w:t>
            </w:r>
          </w:p>
        </w:tc>
      </w:tr>
      <w:tr w:rsidR="00D63E98" w14:paraId="1D1FB74B" w14:textId="77777777">
        <w:trPr>
          <w:trHeight w:val="255"/>
        </w:trPr>
        <w:tc>
          <w:tcPr>
            <w:tcW w:w="1928" w:type="dxa"/>
            <w:vMerge w:val="restart"/>
            <w:tcBorders>
              <w:top w:val="nil"/>
              <w:left w:val="single" w:sz="4" w:space="0" w:color="auto"/>
              <w:right w:val="single" w:sz="4" w:space="0" w:color="auto"/>
            </w:tcBorders>
            <w:shd w:val="clear" w:color="auto" w:fill="auto"/>
            <w:vAlign w:val="center"/>
            <w:hideMark/>
          </w:tcPr>
          <w:p w14:paraId="094FC121" w14:textId="77777777" w:rsidR="00D63E98" w:rsidRDefault="00233BA3">
            <w:pPr>
              <w:pStyle w:val="TableText0"/>
            </w:pPr>
            <w:r>
              <w:t>20% reduction in substitution rate</w:t>
            </w:r>
          </w:p>
        </w:tc>
        <w:tc>
          <w:tcPr>
            <w:tcW w:w="1020" w:type="dxa"/>
            <w:tcBorders>
              <w:top w:val="nil"/>
              <w:left w:val="nil"/>
              <w:bottom w:val="single" w:sz="4" w:space="0" w:color="auto"/>
              <w:right w:val="single" w:sz="4" w:space="0" w:color="auto"/>
            </w:tcBorders>
            <w:shd w:val="clear" w:color="auto" w:fill="auto"/>
            <w:noWrap/>
            <w:vAlign w:val="center"/>
            <w:hideMark/>
          </w:tcPr>
          <w:p w14:paraId="53B0BEA4" w14:textId="0866F776" w:rsidR="00D63E98" w:rsidRDefault="00233BA3">
            <w:pPr>
              <w:pStyle w:val="TableText0"/>
            </w:pPr>
            <w:r>
              <w:t>-$</w:t>
            </w:r>
            <w:r w:rsidR="00E63C10" w:rsidRPr="00E63C10">
              <w:rPr>
                <w:color w:val="000000"/>
                <w:spacing w:val="49"/>
                <w:shd w:val="solid" w:color="000000" w:fill="000000"/>
                <w:fitText w:val="320" w:id="-1504528881"/>
                <w14:textFill>
                  <w14:solidFill>
                    <w14:srgbClr w14:val="000000">
                      <w14:alpha w14:val="100000"/>
                    </w14:srgbClr>
                  </w14:solidFill>
                </w14:textFill>
              </w:rPr>
              <w:t>|||</w:t>
            </w:r>
            <w:r w:rsidR="00E63C10" w:rsidRPr="00E63C10">
              <w:rPr>
                <w:color w:val="000000"/>
                <w:spacing w:val="3"/>
                <w:shd w:val="solid" w:color="000000" w:fill="000000"/>
                <w:fitText w:val="320" w:id="-1504528881"/>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3E8E8780" w14:textId="4B18C302" w:rsidR="00D63E98" w:rsidRDefault="00233BA3">
            <w:pPr>
              <w:pStyle w:val="TableText0"/>
            </w:pPr>
            <w:r>
              <w:t>-$</w:t>
            </w:r>
            <w:r w:rsidR="00E63C10" w:rsidRPr="00E63C10">
              <w:rPr>
                <w:color w:val="000000"/>
                <w:spacing w:val="49"/>
                <w:shd w:val="solid" w:color="000000" w:fill="000000"/>
                <w:fitText w:val="320" w:id="-1504528880"/>
                <w14:textFill>
                  <w14:solidFill>
                    <w14:srgbClr w14:val="000000">
                      <w14:alpha w14:val="100000"/>
                    </w14:srgbClr>
                  </w14:solidFill>
                </w14:textFill>
              </w:rPr>
              <w:t>|||</w:t>
            </w:r>
            <w:r w:rsidR="00E63C10" w:rsidRPr="00E63C10">
              <w:rPr>
                <w:color w:val="000000"/>
                <w:spacing w:val="3"/>
                <w:shd w:val="solid" w:color="000000" w:fill="000000"/>
                <w:fitText w:val="320" w:id="-1504528880"/>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7CF0FEE1" w14:textId="7E0D3EB7" w:rsidR="00D63E98" w:rsidRDefault="00233BA3">
            <w:pPr>
              <w:pStyle w:val="TableText0"/>
            </w:pPr>
            <w:r>
              <w:t>-$</w:t>
            </w:r>
            <w:r w:rsidR="00E63C10" w:rsidRPr="00E63C10">
              <w:rPr>
                <w:color w:val="000000"/>
                <w:spacing w:val="49"/>
                <w:shd w:val="solid" w:color="000000" w:fill="000000"/>
                <w:fitText w:val="320" w:id="-1504528896"/>
                <w14:textFill>
                  <w14:solidFill>
                    <w14:srgbClr w14:val="000000">
                      <w14:alpha w14:val="100000"/>
                    </w14:srgbClr>
                  </w14:solidFill>
                </w14:textFill>
              </w:rPr>
              <w:t>|||</w:t>
            </w:r>
            <w:r w:rsidR="00E63C10" w:rsidRPr="00E63C10">
              <w:rPr>
                <w:color w:val="000000"/>
                <w:spacing w:val="3"/>
                <w:shd w:val="solid" w:color="000000" w:fill="000000"/>
                <w:fitText w:val="320" w:id="-1504528896"/>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446F0595" w14:textId="05E653CF" w:rsidR="00D63E98" w:rsidRDefault="00233BA3">
            <w:pPr>
              <w:pStyle w:val="TableText0"/>
            </w:pPr>
            <w:r>
              <w:t>-$</w:t>
            </w:r>
            <w:r w:rsidR="00E63C10" w:rsidRPr="00E63C10">
              <w:rPr>
                <w:color w:val="000000"/>
                <w:spacing w:val="49"/>
                <w:shd w:val="solid" w:color="000000" w:fill="000000"/>
                <w:fitText w:val="320" w:id="-1504528895"/>
                <w14:textFill>
                  <w14:solidFill>
                    <w14:srgbClr w14:val="000000">
                      <w14:alpha w14:val="100000"/>
                    </w14:srgbClr>
                  </w14:solidFill>
                </w14:textFill>
              </w:rPr>
              <w:t>|||</w:t>
            </w:r>
            <w:r w:rsidR="00E63C10" w:rsidRPr="00E63C10">
              <w:rPr>
                <w:color w:val="000000"/>
                <w:spacing w:val="3"/>
                <w:shd w:val="solid" w:color="000000" w:fill="000000"/>
                <w:fitText w:val="320" w:id="-1504528895"/>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72360B1B" w14:textId="1BD6CFED" w:rsidR="00D63E98" w:rsidRDefault="00233BA3">
            <w:pPr>
              <w:pStyle w:val="TableText0"/>
            </w:pPr>
            <w:r>
              <w:t>-$</w:t>
            </w:r>
            <w:r w:rsidR="00E63C10" w:rsidRPr="00E63C10">
              <w:rPr>
                <w:color w:val="000000"/>
                <w:spacing w:val="49"/>
                <w:shd w:val="solid" w:color="000000" w:fill="000000"/>
                <w:fitText w:val="320" w:id="-1504528894"/>
                <w14:textFill>
                  <w14:solidFill>
                    <w14:srgbClr w14:val="000000">
                      <w14:alpha w14:val="100000"/>
                    </w14:srgbClr>
                  </w14:solidFill>
                </w14:textFill>
              </w:rPr>
              <w:t>|||</w:t>
            </w:r>
            <w:r w:rsidR="00E63C10" w:rsidRPr="00E63C10">
              <w:rPr>
                <w:color w:val="000000"/>
                <w:spacing w:val="3"/>
                <w:shd w:val="solid" w:color="000000" w:fill="000000"/>
                <w:fitText w:val="320" w:id="-1504528894"/>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1E54ECD1" w14:textId="2D7238B4" w:rsidR="00D63E98" w:rsidRDefault="00233BA3">
            <w:pPr>
              <w:pStyle w:val="TableText0"/>
            </w:pPr>
            <w:r>
              <w:t>-$</w:t>
            </w:r>
            <w:r w:rsidR="00E63C10" w:rsidRPr="00E63C10">
              <w:rPr>
                <w:color w:val="000000"/>
                <w:spacing w:val="49"/>
                <w:shd w:val="solid" w:color="000000" w:fill="000000"/>
                <w:fitText w:val="320" w:id="-1504528893"/>
                <w14:textFill>
                  <w14:solidFill>
                    <w14:srgbClr w14:val="000000">
                      <w14:alpha w14:val="100000"/>
                    </w14:srgbClr>
                  </w14:solidFill>
                </w14:textFill>
              </w:rPr>
              <w:t>|||</w:t>
            </w:r>
            <w:r w:rsidR="00E63C10" w:rsidRPr="00E63C10">
              <w:rPr>
                <w:color w:val="000000"/>
                <w:spacing w:val="3"/>
                <w:shd w:val="solid" w:color="000000" w:fill="000000"/>
                <w:fitText w:val="320" w:id="-1504528893"/>
                <w14:textFill>
                  <w14:solidFill>
                    <w14:srgbClr w14:val="000000">
                      <w14:alpha w14:val="100000"/>
                    </w14:srgbClr>
                  </w14:solidFill>
                </w14:textFill>
              </w:rPr>
              <w:t>|</w:t>
            </w:r>
            <w:r w:rsidR="00E97A64" w:rsidRPr="00E97A64">
              <w:rPr>
                <w:vertAlign w:val="superscript"/>
              </w:rPr>
              <w:t>1</w:t>
            </w:r>
          </w:p>
        </w:tc>
        <w:tc>
          <w:tcPr>
            <w:tcW w:w="1020" w:type="dxa"/>
            <w:tcBorders>
              <w:top w:val="nil"/>
              <w:left w:val="nil"/>
              <w:bottom w:val="single" w:sz="4" w:space="0" w:color="auto"/>
              <w:right w:val="single" w:sz="4" w:space="0" w:color="auto"/>
            </w:tcBorders>
            <w:shd w:val="clear" w:color="auto" w:fill="auto"/>
            <w:noWrap/>
            <w:vAlign w:val="center"/>
            <w:hideMark/>
          </w:tcPr>
          <w:p w14:paraId="3B0DD7E1" w14:textId="0CEFEEC5" w:rsidR="00D63E98" w:rsidRDefault="00233BA3">
            <w:pPr>
              <w:pStyle w:val="TableText0"/>
            </w:pPr>
            <w:r>
              <w:t>-$</w:t>
            </w:r>
            <w:r w:rsidR="00E63C10" w:rsidRPr="00E63C10">
              <w:rPr>
                <w:color w:val="000000"/>
                <w:spacing w:val="49"/>
                <w:shd w:val="solid" w:color="000000" w:fill="000000"/>
                <w:fitText w:val="320" w:id="-1504528892"/>
                <w14:textFill>
                  <w14:solidFill>
                    <w14:srgbClr w14:val="000000">
                      <w14:alpha w14:val="100000"/>
                    </w14:srgbClr>
                  </w14:solidFill>
                </w14:textFill>
              </w:rPr>
              <w:t>|||</w:t>
            </w:r>
            <w:r w:rsidR="00E63C10" w:rsidRPr="00E63C10">
              <w:rPr>
                <w:color w:val="000000"/>
                <w:spacing w:val="3"/>
                <w:shd w:val="solid" w:color="000000" w:fill="000000"/>
                <w:fitText w:val="320" w:id="-1504528892"/>
                <w14:textFill>
                  <w14:solidFill>
                    <w14:srgbClr w14:val="000000">
                      <w14:alpha w14:val="100000"/>
                    </w14:srgbClr>
                  </w14:solidFill>
                </w14:textFill>
              </w:rPr>
              <w:t>|</w:t>
            </w:r>
            <w:r w:rsidR="00E97A64" w:rsidRPr="00E97A64">
              <w:rPr>
                <w:vertAlign w:val="superscript"/>
              </w:rPr>
              <w:t>1</w:t>
            </w:r>
          </w:p>
        </w:tc>
      </w:tr>
      <w:tr w:rsidR="00D63E98" w14:paraId="0A30B114" w14:textId="77777777">
        <w:trPr>
          <w:trHeight w:val="55"/>
        </w:trPr>
        <w:tc>
          <w:tcPr>
            <w:tcW w:w="1928" w:type="dxa"/>
            <w:vMerge/>
            <w:tcBorders>
              <w:left w:val="single" w:sz="4" w:space="0" w:color="auto"/>
              <w:bottom w:val="single" w:sz="4" w:space="0" w:color="auto"/>
              <w:right w:val="single" w:sz="4" w:space="0" w:color="auto"/>
            </w:tcBorders>
            <w:shd w:val="clear" w:color="auto" w:fill="auto"/>
            <w:vAlign w:val="center"/>
            <w:hideMark/>
          </w:tcPr>
          <w:p w14:paraId="64C788F1" w14:textId="77777777" w:rsidR="00D63E98" w:rsidRDefault="00D63E98">
            <w:pPr>
              <w:pStyle w:val="TableText0"/>
            </w:pPr>
          </w:p>
        </w:tc>
        <w:tc>
          <w:tcPr>
            <w:tcW w:w="1020" w:type="dxa"/>
            <w:tcBorders>
              <w:top w:val="nil"/>
              <w:left w:val="nil"/>
              <w:bottom w:val="single" w:sz="4" w:space="0" w:color="auto"/>
              <w:right w:val="single" w:sz="4" w:space="0" w:color="auto"/>
            </w:tcBorders>
            <w:shd w:val="clear" w:color="auto" w:fill="auto"/>
            <w:noWrap/>
            <w:vAlign w:val="center"/>
            <w:hideMark/>
          </w:tcPr>
          <w:p w14:paraId="55DD7771"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2C3C077D"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15F80D4C"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6822C9A4"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199E78CA"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6F8C998C" w14:textId="77777777" w:rsidR="00D63E98" w:rsidRDefault="00233BA3">
            <w:pPr>
              <w:pStyle w:val="TableText0"/>
            </w:pPr>
            <w:r>
              <w:t>-20.0%</w:t>
            </w:r>
          </w:p>
        </w:tc>
        <w:tc>
          <w:tcPr>
            <w:tcW w:w="1020" w:type="dxa"/>
            <w:tcBorders>
              <w:top w:val="nil"/>
              <w:left w:val="nil"/>
              <w:bottom w:val="single" w:sz="4" w:space="0" w:color="auto"/>
              <w:right w:val="single" w:sz="4" w:space="0" w:color="auto"/>
            </w:tcBorders>
            <w:shd w:val="clear" w:color="auto" w:fill="auto"/>
            <w:noWrap/>
            <w:vAlign w:val="center"/>
            <w:hideMark/>
          </w:tcPr>
          <w:p w14:paraId="7FEB8A97" w14:textId="77777777" w:rsidR="00D63E98" w:rsidRDefault="00233BA3">
            <w:pPr>
              <w:pStyle w:val="TableText0"/>
            </w:pPr>
            <w:r>
              <w:t>-20.0%</w:t>
            </w:r>
          </w:p>
        </w:tc>
      </w:tr>
    </w:tbl>
    <w:p w14:paraId="0906073D" w14:textId="19672EF6" w:rsidR="00D63E98" w:rsidRDefault="00233BA3" w:rsidP="00E97A64">
      <w:pPr>
        <w:pStyle w:val="TableFigureFooter"/>
        <w:spacing w:after="0"/>
      </w:pPr>
      <w:r>
        <w:t>Source: Table 4.19, p 135 of the submission.</w:t>
      </w:r>
    </w:p>
    <w:p w14:paraId="4C9DEF11" w14:textId="77777777" w:rsidR="00E97A64" w:rsidRPr="00D765EA" w:rsidRDefault="00E97A64" w:rsidP="00E97A64">
      <w:pPr>
        <w:rPr>
          <w:rFonts w:ascii="Arial Narrow" w:hAnsi="Arial Narrow"/>
          <w:iCs/>
          <w:sz w:val="18"/>
          <w:szCs w:val="18"/>
        </w:rPr>
      </w:pPr>
      <w:r w:rsidRPr="00D765EA">
        <w:rPr>
          <w:rFonts w:ascii="Arial Narrow" w:hAnsi="Arial Narrow"/>
          <w:iCs/>
          <w:sz w:val="18"/>
          <w:szCs w:val="18"/>
        </w:rPr>
        <w:t xml:space="preserve">The redacted values correspond to the following ranges: </w:t>
      </w:r>
    </w:p>
    <w:p w14:paraId="4A9667A0" w14:textId="12A7367B" w:rsidR="00E97A64" w:rsidRPr="00D765EA" w:rsidRDefault="00E97A64" w:rsidP="00E97A64">
      <w:pPr>
        <w:rPr>
          <w:rFonts w:ascii="Arial Narrow" w:hAnsi="Arial Narrow"/>
          <w:iCs/>
          <w:sz w:val="18"/>
          <w:szCs w:val="18"/>
        </w:rPr>
      </w:pPr>
      <w:r w:rsidRPr="00D765EA">
        <w:rPr>
          <w:rFonts w:ascii="Arial Narrow" w:hAnsi="Arial Narrow"/>
          <w:iCs/>
          <w:sz w:val="18"/>
          <w:szCs w:val="18"/>
          <w:vertAlign w:val="superscript"/>
        </w:rPr>
        <w:t>1</w:t>
      </w:r>
      <w:r w:rsidRPr="00D765EA">
        <w:rPr>
          <w:rFonts w:ascii="Arial Narrow" w:hAnsi="Arial Narrow"/>
          <w:iCs/>
          <w:sz w:val="18"/>
          <w:szCs w:val="18"/>
        </w:rPr>
        <w:t xml:space="preserve"> $0</w:t>
      </w:r>
      <w:r>
        <w:rPr>
          <w:rFonts w:ascii="Arial Narrow" w:hAnsi="Arial Narrow"/>
          <w:iCs/>
          <w:sz w:val="18"/>
          <w:szCs w:val="18"/>
        </w:rPr>
        <w:t> </w:t>
      </w:r>
      <w:r w:rsidRPr="00D765EA">
        <w:rPr>
          <w:rFonts w:ascii="Arial Narrow" w:hAnsi="Arial Narrow"/>
          <w:iCs/>
          <w:sz w:val="18"/>
          <w:szCs w:val="18"/>
        </w:rPr>
        <w:t>to</w:t>
      </w:r>
      <w:r>
        <w:rPr>
          <w:rFonts w:ascii="Arial Narrow" w:hAnsi="Arial Narrow"/>
          <w:iCs/>
          <w:sz w:val="18"/>
          <w:szCs w:val="18"/>
        </w:rPr>
        <w:t> </w:t>
      </w:r>
      <w:r w:rsidRPr="00D765EA">
        <w:rPr>
          <w:rFonts w:ascii="Arial Narrow" w:hAnsi="Arial Narrow"/>
          <w:iCs/>
          <w:sz w:val="18"/>
          <w:szCs w:val="18"/>
        </w:rPr>
        <w:t>&lt;</w:t>
      </w:r>
      <w:r>
        <w:rPr>
          <w:rFonts w:ascii="Arial Narrow" w:hAnsi="Arial Narrow"/>
          <w:iCs/>
          <w:sz w:val="18"/>
          <w:szCs w:val="18"/>
        </w:rPr>
        <w:t> </w:t>
      </w:r>
      <w:r w:rsidRPr="00D765EA">
        <w:rPr>
          <w:rFonts w:ascii="Arial Narrow" w:hAnsi="Arial Narrow"/>
          <w:iCs/>
          <w:sz w:val="18"/>
          <w:szCs w:val="18"/>
        </w:rPr>
        <w:t xml:space="preserve">$10 million </w:t>
      </w:r>
    </w:p>
    <w:p w14:paraId="2681621E" w14:textId="77777777" w:rsidR="00E97A64" w:rsidRDefault="00E97A64">
      <w:pPr>
        <w:pStyle w:val="TableFigureFooter"/>
      </w:pPr>
    </w:p>
    <w:p w14:paraId="475060C3" w14:textId="77777777" w:rsidR="00D63E98" w:rsidRDefault="00233BA3">
      <w:pPr>
        <w:pStyle w:val="4-SubsectionHeading"/>
      </w:pPr>
      <w:bookmarkStart w:id="29" w:name="_Toc22897648"/>
      <w:bookmarkStart w:id="30" w:name="_Toc93498362"/>
      <w:r>
        <w:t>Quality Use of Medicines</w:t>
      </w:r>
      <w:bookmarkEnd w:id="29"/>
      <w:bookmarkEnd w:id="30"/>
    </w:p>
    <w:p w14:paraId="719CFC1E" w14:textId="77777777" w:rsidR="00D63E98" w:rsidRDefault="00233BA3">
      <w:pPr>
        <w:pStyle w:val="3-BodyText"/>
      </w:pPr>
      <w:r>
        <w:t>The submission stated that, as was done for PP1M and PP3M, each of the patients, medical practitioners, nurse practitioners and pharmacists will be provided with appropriate education, resources, and support from the sponsor to promote the appropriate prescribing and use of PP6M.</w:t>
      </w:r>
    </w:p>
    <w:p w14:paraId="2E80FE97" w14:textId="77777777" w:rsidR="00D63E98" w:rsidRDefault="00233BA3">
      <w:pPr>
        <w:pStyle w:val="2-SectionHeading"/>
      </w:pPr>
      <w:bookmarkStart w:id="31" w:name="_Toc93498366"/>
      <w:r>
        <w:t>PBAC Outcome</w:t>
      </w:r>
    </w:p>
    <w:p w14:paraId="25B3ABB7" w14:textId="77777777" w:rsidR="00D63E98" w:rsidRDefault="00233BA3">
      <w:pPr>
        <w:pStyle w:val="3-BodyText"/>
        <w:rPr>
          <w:iCs/>
        </w:rPr>
      </w:pPr>
      <w:r>
        <w:t>The PBAC recommended the Authority Required (Streamlined) listing of PP6M for the maintenance treatment of schizophrenia in adult patients who have been adequately treated with PP1M for at least four months or PP3M for at least one 3-month injection cycle.</w:t>
      </w:r>
      <w:r>
        <w:rPr>
          <w:snapToGrid w:val="0"/>
          <w:lang w:val="en-GB"/>
        </w:rPr>
        <w:t xml:space="preserve"> The PBAC’s recommendation for listing was based on, among other matters, its assessment that the cost-effectiveness of PP6M would be acceptable if it were cost-minimised to PP3M and PP1M for the same indication.</w:t>
      </w:r>
    </w:p>
    <w:p w14:paraId="78CF628B" w14:textId="77777777" w:rsidR="00D63E98" w:rsidRDefault="00233BA3">
      <w:pPr>
        <w:pStyle w:val="3-BodyText"/>
      </w:pPr>
      <w:r>
        <w:t>The PBAC considered the equi-effective doses to be 1 injection of PP6M 700 mg = 2 injections of PP3M 350 mg and 1 injection of PP6M 1000 mg = 2 injections of PP3M 525 mg over 48 weeks. The PBAC noted that the equi-effective doses used in the cost-minimisation analysis were taken from results of the double-blind phase of the PSY3015 trial and were consistent with the doses in the approved PI.</w:t>
      </w:r>
    </w:p>
    <w:p w14:paraId="4704713F" w14:textId="77777777" w:rsidR="00D63E98" w:rsidRDefault="00233BA3">
      <w:pPr>
        <w:pStyle w:val="3-BodyText"/>
        <w:rPr>
          <w:iCs/>
        </w:rPr>
      </w:pPr>
      <w:r>
        <w:rPr>
          <w:snapToGrid w:val="0"/>
        </w:rPr>
        <w:t xml:space="preserve">The PBAC noted consumer comments were supportive of the listing of PP6M given the various benefits resulting from patients having fewer injections. However, the PBAC noted the concerns raised that a reduction to two appointments per year </w:t>
      </w:r>
      <w:r>
        <w:rPr>
          <w:lang w:val="en-GB"/>
        </w:rPr>
        <w:t xml:space="preserve">might jeopardise the development of clinician-patient rapport and reduce the focus on supporting the psychosocial needs of the patient. The PBAC considered </w:t>
      </w:r>
      <w:r>
        <w:rPr>
          <w:snapToGrid w:val="0"/>
        </w:rPr>
        <w:t>that clinicians are well-placed to assess the appropriateness of this treatment interval for their patients.</w:t>
      </w:r>
    </w:p>
    <w:p w14:paraId="10795661" w14:textId="77777777" w:rsidR="00D63E98" w:rsidRDefault="00233BA3">
      <w:pPr>
        <w:pStyle w:val="3-BodyText"/>
        <w:rPr>
          <w:iCs/>
        </w:rPr>
      </w:pPr>
      <w:r>
        <w:rPr>
          <w:iCs/>
        </w:rPr>
        <w:t>The PBAC considered PP3M to be the appropriate main comparator with PP1M as a secondary comparator. The PBAC considered that while it is unlikely that patients would switch from other PBS listed antipsychotic LAIs to PP6M, these should also be considered as near market comparators.</w:t>
      </w:r>
    </w:p>
    <w:p w14:paraId="19F38E93" w14:textId="5A5F6D47" w:rsidR="00D63E98" w:rsidRDefault="00233BA3">
      <w:pPr>
        <w:pStyle w:val="3-BodyText"/>
        <w:rPr>
          <w:iCs/>
        </w:rPr>
      </w:pPr>
      <w:r>
        <w:rPr>
          <w:snapToGrid w:val="0"/>
          <w:lang w:val="en-GB"/>
        </w:rPr>
        <w:t>The PBAC considered that t</w:t>
      </w:r>
      <w:r>
        <w:rPr>
          <w:iCs/>
        </w:rPr>
        <w:t xml:space="preserve">he results from the PSY3015 study were highly </w:t>
      </w:r>
      <w:proofErr w:type="gramStart"/>
      <w:r>
        <w:rPr>
          <w:iCs/>
        </w:rPr>
        <w:t>similar to</w:t>
      </w:r>
      <w:proofErr w:type="gramEnd"/>
      <w:r>
        <w:rPr>
          <w:iCs/>
        </w:rPr>
        <w:t xml:space="preserve"> those of the PSY3011 study, which compared PP1M to PP3M and was considered by the PBAC at its November 20</w:t>
      </w:r>
      <w:r w:rsidR="00B27274">
        <w:rPr>
          <w:iCs/>
        </w:rPr>
        <w:t>16 meeting (paragraph 6.6, PP3M</w:t>
      </w:r>
      <w:r>
        <w:rPr>
          <w:iCs/>
        </w:rPr>
        <w:t xml:space="preserve"> PSD, November 2016 PBAC meeting). The PBAC noted that there did not appear to be material differences in the effectiveness of PP1M, PP3M and PP6M such that the proportion of patients taking PP6M who were relapse-free in the PSY3015 study (91.9%) was </w:t>
      </w:r>
      <w:proofErr w:type="gramStart"/>
      <w:r>
        <w:rPr>
          <w:iCs/>
        </w:rPr>
        <w:t>similar to</w:t>
      </w:r>
      <w:proofErr w:type="gramEnd"/>
      <w:r>
        <w:rPr>
          <w:iCs/>
        </w:rPr>
        <w:t xml:space="preserve"> that of the PSY3011 study (PP1M 90.0%, PP3M 91.5%).</w:t>
      </w:r>
    </w:p>
    <w:p w14:paraId="2FB14DE2" w14:textId="1A56BC6F" w:rsidR="00D63E98" w:rsidRDefault="00233BA3">
      <w:pPr>
        <w:pStyle w:val="3-BodyText"/>
      </w:pPr>
      <w:r>
        <w:t xml:space="preserve">The PBAC accepted the proposed flat pricing structure for PP6M 700 mg and PP6M 1000 mg, noting that this was consistent with the pricing structure for PP3M </w:t>
      </w:r>
      <w:r w:rsidR="001422CB">
        <w:t>350 </w:t>
      </w:r>
      <w:r>
        <w:t xml:space="preserve">mg and </w:t>
      </w:r>
      <w:r w:rsidR="001422CB">
        <w:t>525 </w:t>
      </w:r>
      <w:r>
        <w:t>mg</w:t>
      </w:r>
      <w:r>
        <w:rPr>
          <w:szCs w:val="20"/>
        </w:rPr>
        <w:t>.</w:t>
      </w:r>
    </w:p>
    <w:p w14:paraId="40059E95" w14:textId="33F27AA0" w:rsidR="00D63E98" w:rsidRDefault="00233BA3">
      <w:pPr>
        <w:pStyle w:val="3-BodyText"/>
        <w:rPr>
          <w:snapToGrid w:val="0"/>
          <w:lang w:val="en-GB"/>
        </w:rPr>
      </w:pPr>
      <w:r>
        <w:rPr>
          <w:snapToGrid w:val="0"/>
          <w:lang w:val="en-GB"/>
        </w:rPr>
        <w:t xml:space="preserve">The PBAC agreed with the submission assumption that there would be no overall expansion of the market and considered that listing PP6M </w:t>
      </w:r>
      <w:r>
        <w:rPr>
          <w:rFonts w:eastAsia="Times New Roman" w:cs="Arial"/>
          <w:snapToGrid w:val="0"/>
          <w:szCs w:val="24"/>
          <w:lang w:val="en-GB"/>
        </w:rPr>
        <w:t>should result in a nil cost to government, since it is likely that patients would switch from PP3M or PP1M at equivalent cost.</w:t>
      </w:r>
      <w:r>
        <w:rPr>
          <w:snapToGrid w:val="0"/>
          <w:lang w:val="en-GB"/>
        </w:rPr>
        <w:t xml:space="preserve"> The PBAC noted that the </w:t>
      </w:r>
      <w:r>
        <w:rPr>
          <w:iCs/>
          <w:lang w:val="en-US"/>
        </w:rPr>
        <w:t xml:space="preserve">availability of a 6-monthly injection might encourage switching from other LAI antipsychotics to </w:t>
      </w:r>
      <w:proofErr w:type="gramStart"/>
      <w:r>
        <w:rPr>
          <w:iCs/>
          <w:lang w:val="en-US"/>
        </w:rPr>
        <w:t>PP6M, but</w:t>
      </w:r>
      <w:proofErr w:type="gramEnd"/>
      <w:r>
        <w:rPr>
          <w:iCs/>
          <w:lang w:val="en-US"/>
        </w:rPr>
        <w:t xml:space="preserve"> considered that the number of patients</w:t>
      </w:r>
      <w:r w:rsidR="00C40BD0">
        <w:rPr>
          <w:iCs/>
          <w:lang w:val="en-US"/>
        </w:rPr>
        <w:t xml:space="preserve"> switching from other LAI antipsychotic drugs</w:t>
      </w:r>
      <w:r>
        <w:rPr>
          <w:iCs/>
          <w:lang w:val="en-US"/>
        </w:rPr>
        <w:t xml:space="preserve"> was likely to be small</w:t>
      </w:r>
      <w:r w:rsidR="00CC371E">
        <w:rPr>
          <w:iCs/>
          <w:lang w:val="en-US"/>
        </w:rPr>
        <w:t xml:space="preserve">, and its financial impact </w:t>
      </w:r>
      <w:r w:rsidR="00877108">
        <w:rPr>
          <w:iCs/>
          <w:lang w:val="en-US"/>
        </w:rPr>
        <w:t>wa</w:t>
      </w:r>
      <w:r w:rsidR="00CC371E">
        <w:rPr>
          <w:iCs/>
          <w:lang w:val="en-US"/>
        </w:rPr>
        <w:t>s considered to be minimal</w:t>
      </w:r>
      <w:r>
        <w:rPr>
          <w:iCs/>
          <w:lang w:val="en-US"/>
        </w:rPr>
        <w:t xml:space="preserve">. </w:t>
      </w:r>
    </w:p>
    <w:p w14:paraId="32A19EE9" w14:textId="77777777" w:rsidR="00D63E98" w:rsidRDefault="00233BA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restriction for PP6M should be consistent with the restriction of PP3M with the inclusion of the criterion of being stabilised on PP3M </w:t>
      </w:r>
      <w:r>
        <w:t xml:space="preserve">for at least one 3-month injection cycle. The PBAC advised that there should be flow-on changes to allow patients to transition from PP6M to PP3M or PP1M if they have been </w:t>
      </w:r>
      <w:r>
        <w:rPr>
          <w:rFonts w:asciiTheme="minorHAnsi" w:hAnsiTheme="minorHAnsi"/>
          <w:snapToGrid w:val="0"/>
          <w:lang w:val="en-GB"/>
        </w:rPr>
        <w:t xml:space="preserve">stabilised on PP6M </w:t>
      </w:r>
      <w:r>
        <w:t>for at least one 6-month injection cycle.</w:t>
      </w:r>
    </w:p>
    <w:p w14:paraId="7D5A0FE1" w14:textId="77777777" w:rsidR="00D63E98" w:rsidRDefault="00233BA3">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recommended that the Early Supply Rule should not apply to PP6M, noting that </w:t>
      </w:r>
      <w:r>
        <w:t>the Early Supply Rule does not apply to PP1M and PP3M.</w:t>
      </w:r>
    </w:p>
    <w:p w14:paraId="032036A2" w14:textId="77777777" w:rsidR="00D63E98" w:rsidRDefault="00233BA3">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advised that the PP6M is suitable for prescribing by nurse practitioners within a shared care model, consistent with the listings for PP3M and PP1M.</w:t>
      </w:r>
    </w:p>
    <w:p w14:paraId="05DC9D20" w14:textId="77777777" w:rsidR="00D63E98" w:rsidRDefault="00233BA3">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recommended that PP6M should not be treated as interchangeable on an individual patient basis with any other drugs as it is the first </w:t>
      </w:r>
      <w:proofErr w:type="gramStart"/>
      <w:r>
        <w:rPr>
          <w:rFonts w:asciiTheme="minorHAnsi" w:hAnsiTheme="minorHAnsi"/>
          <w:bCs/>
          <w:snapToGrid w:val="0"/>
          <w:lang w:val="en-GB"/>
        </w:rPr>
        <w:t>long acting</w:t>
      </w:r>
      <w:proofErr w:type="gramEnd"/>
      <w:r>
        <w:rPr>
          <w:rFonts w:asciiTheme="minorHAnsi" w:hAnsiTheme="minorHAnsi"/>
          <w:bCs/>
          <w:snapToGrid w:val="0"/>
          <w:lang w:val="en-GB"/>
        </w:rPr>
        <w:t xml:space="preserve"> injectable antipsychotic with a 6-month duration of action. </w:t>
      </w:r>
    </w:p>
    <w:p w14:paraId="7B8497E9" w14:textId="77777777" w:rsidR="00D63E98" w:rsidRDefault="00233BA3">
      <w:pPr>
        <w:widowControl w:val="0"/>
        <w:numPr>
          <w:ilvl w:val="1"/>
          <w:numId w:val="1"/>
        </w:numPr>
        <w:spacing w:after="120"/>
        <w:rPr>
          <w:rFonts w:asciiTheme="minorHAnsi" w:hAnsiTheme="minorHAnsi"/>
          <w:snapToGrid w:val="0"/>
          <w:lang w:val="en-GB"/>
        </w:rPr>
      </w:pPr>
      <w:r>
        <w:rPr>
          <w:lang w:val="en-GB"/>
        </w:rPr>
        <w:t>The PBAC noted that its recommendation was on a cost-minimisation basis and advised that, because PP6M is not expected to provide a substantial</w:t>
      </w:r>
      <w:r>
        <w:rPr>
          <w:bCs/>
          <w:lang w:val="en-GB"/>
        </w:rPr>
        <w:t xml:space="preserve"> and clinically relevant improvement in efficacy, or reduction of toxicity, over PP3M or PP1M, or not expected to address a high and urgent unmet clinical need given the presence of an alternative therapy, the criteria prescribed by the </w:t>
      </w:r>
      <w:r>
        <w:rPr>
          <w:bCs/>
          <w:i/>
          <w:lang w:val="en-GB"/>
        </w:rPr>
        <w:t>National Health (Pharmaceuticals and Vaccines – Cost Recovery) Regulations 2009</w:t>
      </w:r>
      <w:r>
        <w:rPr>
          <w:bCs/>
          <w:lang w:val="en-GB"/>
        </w:rPr>
        <w:t xml:space="preserve"> for Pricing Pathway A were not met.</w:t>
      </w:r>
    </w:p>
    <w:p w14:paraId="28C4BAD3" w14:textId="77777777" w:rsidR="00D63E98" w:rsidRDefault="00233BA3">
      <w:pPr>
        <w:widowControl w:val="0"/>
        <w:numPr>
          <w:ilvl w:val="1"/>
          <w:numId w:val="1"/>
        </w:numPr>
        <w:spacing w:after="120"/>
        <w:rPr>
          <w:rFonts w:asciiTheme="minorHAnsi" w:hAnsiTheme="minorHAnsi"/>
          <w:snapToGrid w:val="0"/>
          <w:lang w:val="en-GB"/>
        </w:rPr>
      </w:pPr>
      <w:r>
        <w:rPr>
          <w:rFonts w:asciiTheme="minorHAnsi" w:hAnsiTheme="minorHAnsi"/>
          <w:bCs/>
          <w:snapToGrid w:val="0"/>
          <w:lang w:val="en-GB"/>
        </w:rPr>
        <w:t>The PBAC noted that this submission was not eligible for an Independent Review as it was recommended.</w:t>
      </w:r>
    </w:p>
    <w:p w14:paraId="1E3FFEA8" w14:textId="77777777" w:rsidR="00D63E98" w:rsidRDefault="00233BA3">
      <w:pPr>
        <w:spacing w:before="240"/>
        <w:rPr>
          <w:rFonts w:asciiTheme="minorHAnsi" w:hAnsiTheme="minorHAnsi"/>
          <w:b/>
          <w:bCs/>
          <w:snapToGrid w:val="0"/>
          <w:lang w:val="en-GB"/>
        </w:rPr>
      </w:pPr>
      <w:r>
        <w:rPr>
          <w:rFonts w:asciiTheme="minorHAnsi" w:hAnsiTheme="minorHAnsi"/>
          <w:b/>
          <w:bCs/>
          <w:snapToGrid w:val="0"/>
          <w:lang w:val="en-GB"/>
        </w:rPr>
        <w:t>Outcome:</w:t>
      </w:r>
    </w:p>
    <w:p w14:paraId="181929E2" w14:textId="77777777" w:rsidR="00D63E98" w:rsidRDefault="00233BA3">
      <w:pPr>
        <w:pStyle w:val="3-BodyText"/>
        <w:numPr>
          <w:ilvl w:val="0"/>
          <w:numId w:val="0"/>
        </w:numPr>
        <w:ind w:left="720" w:hanging="720"/>
        <w:rPr>
          <w:rFonts w:cs="Arial"/>
          <w:bCs/>
          <w:snapToGrid w:val="0"/>
          <w:lang w:val="en-GB"/>
        </w:rPr>
      </w:pPr>
      <w:r>
        <w:rPr>
          <w:rFonts w:cs="Arial"/>
          <w:bCs/>
          <w:snapToGrid w:val="0"/>
          <w:lang w:val="en-GB"/>
        </w:rPr>
        <w:t>Recommended</w:t>
      </w:r>
    </w:p>
    <w:p w14:paraId="7A606005" w14:textId="77777777" w:rsidR="00D63E98" w:rsidRDefault="00233BA3">
      <w:pPr>
        <w:pStyle w:val="2-SectionHeading"/>
      </w:pPr>
      <w:r>
        <w:t>Recommended listing</w:t>
      </w:r>
    </w:p>
    <w:p w14:paraId="5E50A543" w14:textId="77777777" w:rsidR="00D63E98" w:rsidRDefault="00233BA3">
      <w:pPr>
        <w:pStyle w:val="3-BodyText"/>
        <w:rPr>
          <w:rFonts w:cstheme="minorHAnsi"/>
        </w:rPr>
      </w:pPr>
      <w:r>
        <w:rPr>
          <w:snapToGrid w:val="0"/>
        </w:rPr>
        <w:t>Add new item:</w:t>
      </w:r>
      <w:r>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828"/>
        <w:gridCol w:w="988"/>
        <w:gridCol w:w="846"/>
        <w:gridCol w:w="705"/>
        <w:gridCol w:w="705"/>
        <w:gridCol w:w="1830"/>
      </w:tblGrid>
      <w:tr w:rsidR="00D63E98" w14:paraId="01F01E12" w14:textId="77777777">
        <w:trPr>
          <w:cantSplit/>
          <w:trHeight w:val="471"/>
        </w:trPr>
        <w:tc>
          <w:tcPr>
            <w:tcW w:w="2186" w:type="pct"/>
            <w:gridSpan w:val="2"/>
          </w:tcPr>
          <w:p w14:paraId="56E0E882" w14:textId="77777777" w:rsidR="00D63E98" w:rsidRPr="008479E0" w:rsidRDefault="00233BA3">
            <w:pPr>
              <w:keepNext/>
              <w:ind w:left="-57"/>
              <w:rPr>
                <w:rFonts w:ascii="Arial Narrow" w:hAnsi="Arial Narrow"/>
                <w:b/>
                <w:bCs/>
                <w:sz w:val="20"/>
                <w:szCs w:val="20"/>
              </w:rPr>
            </w:pPr>
            <w:r w:rsidRPr="008479E0">
              <w:rPr>
                <w:rFonts w:ascii="Arial Narrow" w:hAnsi="Arial Narrow"/>
                <w:b/>
                <w:bCs/>
                <w:sz w:val="20"/>
                <w:szCs w:val="20"/>
              </w:rPr>
              <w:t>MEDICINAL PRODUCT</w:t>
            </w:r>
          </w:p>
          <w:p w14:paraId="0D44B605" w14:textId="77777777" w:rsidR="00D63E98" w:rsidRPr="008479E0" w:rsidRDefault="00233BA3">
            <w:pPr>
              <w:keepNext/>
              <w:ind w:left="-57"/>
              <w:rPr>
                <w:rFonts w:ascii="Arial Narrow" w:hAnsi="Arial Narrow"/>
                <w:b/>
                <w:sz w:val="20"/>
                <w:szCs w:val="20"/>
              </w:rPr>
            </w:pPr>
            <w:r w:rsidRPr="008479E0">
              <w:rPr>
                <w:rFonts w:ascii="Arial Narrow" w:hAnsi="Arial Narrow"/>
                <w:b/>
                <w:bCs/>
                <w:sz w:val="20"/>
                <w:szCs w:val="20"/>
              </w:rPr>
              <w:t>medicinal product pack</w:t>
            </w:r>
          </w:p>
        </w:tc>
        <w:tc>
          <w:tcPr>
            <w:tcW w:w="548" w:type="pct"/>
          </w:tcPr>
          <w:p w14:paraId="20079BC9" w14:textId="77777777" w:rsidR="00D63E98" w:rsidRPr="008479E0" w:rsidRDefault="00233BA3">
            <w:pPr>
              <w:keepNext/>
              <w:ind w:left="-108"/>
              <w:jc w:val="center"/>
              <w:rPr>
                <w:rFonts w:ascii="Arial Narrow" w:hAnsi="Arial Narrow"/>
                <w:b/>
                <w:sz w:val="20"/>
                <w:szCs w:val="20"/>
              </w:rPr>
            </w:pPr>
            <w:r w:rsidRPr="008479E0">
              <w:rPr>
                <w:rFonts w:ascii="Arial Narrow" w:hAnsi="Arial Narrow"/>
                <w:b/>
                <w:sz w:val="20"/>
                <w:szCs w:val="20"/>
              </w:rPr>
              <w:t>PBS item code</w:t>
            </w:r>
          </w:p>
        </w:tc>
        <w:tc>
          <w:tcPr>
            <w:tcW w:w="469" w:type="pct"/>
          </w:tcPr>
          <w:p w14:paraId="5EF029D0" w14:textId="77777777" w:rsidR="00D63E98" w:rsidRPr="008479E0" w:rsidRDefault="00233BA3">
            <w:pPr>
              <w:keepNext/>
              <w:ind w:left="-108"/>
              <w:jc w:val="center"/>
              <w:rPr>
                <w:rFonts w:ascii="Arial Narrow" w:hAnsi="Arial Narrow"/>
                <w:b/>
                <w:sz w:val="20"/>
                <w:szCs w:val="20"/>
              </w:rPr>
            </w:pPr>
            <w:r w:rsidRPr="008479E0">
              <w:rPr>
                <w:rFonts w:ascii="Arial Narrow" w:hAnsi="Arial Narrow"/>
                <w:b/>
                <w:sz w:val="20"/>
                <w:szCs w:val="20"/>
              </w:rPr>
              <w:t>Max. qty packs</w:t>
            </w:r>
          </w:p>
        </w:tc>
        <w:tc>
          <w:tcPr>
            <w:tcW w:w="391" w:type="pct"/>
          </w:tcPr>
          <w:p w14:paraId="3E80E874" w14:textId="77777777" w:rsidR="00D63E98" w:rsidRPr="008479E0" w:rsidRDefault="00233BA3">
            <w:pPr>
              <w:keepNext/>
              <w:ind w:left="-108"/>
              <w:jc w:val="center"/>
              <w:rPr>
                <w:rFonts w:ascii="Arial Narrow" w:hAnsi="Arial Narrow"/>
                <w:b/>
                <w:sz w:val="20"/>
                <w:szCs w:val="20"/>
              </w:rPr>
            </w:pPr>
            <w:r w:rsidRPr="008479E0">
              <w:rPr>
                <w:rFonts w:ascii="Arial Narrow" w:hAnsi="Arial Narrow"/>
                <w:b/>
                <w:sz w:val="20"/>
                <w:szCs w:val="20"/>
              </w:rPr>
              <w:t>Max. qty units</w:t>
            </w:r>
          </w:p>
        </w:tc>
        <w:tc>
          <w:tcPr>
            <w:tcW w:w="391" w:type="pct"/>
          </w:tcPr>
          <w:p w14:paraId="72628673" w14:textId="77777777" w:rsidR="00D63E98" w:rsidRPr="008479E0" w:rsidRDefault="00233BA3">
            <w:pPr>
              <w:keepNext/>
              <w:ind w:left="-108"/>
              <w:jc w:val="center"/>
              <w:rPr>
                <w:rFonts w:ascii="Arial Narrow" w:hAnsi="Arial Narrow"/>
                <w:b/>
                <w:sz w:val="20"/>
                <w:szCs w:val="20"/>
              </w:rPr>
            </w:pPr>
            <w:proofErr w:type="gramStart"/>
            <w:r w:rsidRPr="008479E0">
              <w:rPr>
                <w:rFonts w:ascii="Arial Narrow" w:hAnsi="Arial Narrow"/>
                <w:b/>
                <w:sz w:val="20"/>
                <w:szCs w:val="20"/>
              </w:rPr>
              <w:t>№.of</w:t>
            </w:r>
            <w:proofErr w:type="gramEnd"/>
          </w:p>
          <w:p w14:paraId="48CCE196" w14:textId="77777777" w:rsidR="00D63E98" w:rsidRPr="008479E0" w:rsidRDefault="00233BA3">
            <w:pPr>
              <w:keepNext/>
              <w:ind w:left="-108"/>
              <w:jc w:val="center"/>
              <w:rPr>
                <w:rFonts w:ascii="Arial Narrow" w:hAnsi="Arial Narrow"/>
                <w:b/>
                <w:sz w:val="20"/>
                <w:szCs w:val="20"/>
              </w:rPr>
            </w:pPr>
            <w:r w:rsidRPr="008479E0">
              <w:rPr>
                <w:rFonts w:ascii="Arial Narrow" w:hAnsi="Arial Narrow"/>
                <w:b/>
                <w:sz w:val="20"/>
                <w:szCs w:val="20"/>
              </w:rPr>
              <w:t>Rpts</w:t>
            </w:r>
          </w:p>
        </w:tc>
        <w:tc>
          <w:tcPr>
            <w:tcW w:w="1016" w:type="pct"/>
          </w:tcPr>
          <w:p w14:paraId="76F72269" w14:textId="77777777" w:rsidR="00D63E98" w:rsidRPr="008479E0" w:rsidRDefault="00233BA3">
            <w:pPr>
              <w:keepNext/>
              <w:rPr>
                <w:rFonts w:ascii="Arial Narrow" w:hAnsi="Arial Narrow"/>
                <w:b/>
                <w:sz w:val="20"/>
                <w:szCs w:val="20"/>
                <w:lang w:val="fr-FR"/>
              </w:rPr>
            </w:pPr>
            <w:r w:rsidRPr="008479E0">
              <w:rPr>
                <w:rFonts w:ascii="Arial Narrow" w:hAnsi="Arial Narrow"/>
                <w:b/>
                <w:sz w:val="20"/>
                <w:szCs w:val="20"/>
              </w:rPr>
              <w:t>Available brands</w:t>
            </w:r>
          </w:p>
        </w:tc>
      </w:tr>
      <w:tr w:rsidR="00D63E98" w14:paraId="6397283C" w14:textId="77777777">
        <w:trPr>
          <w:cantSplit/>
          <w:trHeight w:val="224"/>
        </w:trPr>
        <w:tc>
          <w:tcPr>
            <w:tcW w:w="5000" w:type="pct"/>
            <w:gridSpan w:val="7"/>
          </w:tcPr>
          <w:p w14:paraId="73BE38D5" w14:textId="77777777" w:rsidR="00D63E98" w:rsidRPr="008479E0" w:rsidRDefault="00233BA3">
            <w:pPr>
              <w:keepNext/>
              <w:ind w:left="-57"/>
              <w:rPr>
                <w:rFonts w:ascii="Arial Narrow" w:hAnsi="Arial Narrow"/>
                <w:sz w:val="20"/>
                <w:szCs w:val="20"/>
              </w:rPr>
            </w:pPr>
            <w:r w:rsidRPr="008479E0">
              <w:rPr>
                <w:rFonts w:ascii="Arial Narrow" w:hAnsi="Arial Narrow"/>
                <w:sz w:val="20"/>
                <w:szCs w:val="20"/>
              </w:rPr>
              <w:t>PALIPERIDONE</w:t>
            </w:r>
          </w:p>
        </w:tc>
      </w:tr>
      <w:tr w:rsidR="00D63E98" w14:paraId="6A515644" w14:textId="77777777">
        <w:trPr>
          <w:cantSplit/>
          <w:trHeight w:val="553"/>
        </w:trPr>
        <w:tc>
          <w:tcPr>
            <w:tcW w:w="2186" w:type="pct"/>
            <w:gridSpan w:val="2"/>
          </w:tcPr>
          <w:p w14:paraId="38EF6315" w14:textId="77777777" w:rsidR="00D63E98" w:rsidRPr="008479E0" w:rsidRDefault="00233BA3">
            <w:pPr>
              <w:keepNext/>
              <w:ind w:left="-57"/>
              <w:rPr>
                <w:rFonts w:ascii="Arial Narrow" w:hAnsi="Arial Narrow"/>
                <w:sz w:val="20"/>
                <w:szCs w:val="20"/>
              </w:rPr>
            </w:pPr>
            <w:r w:rsidRPr="008479E0">
              <w:rPr>
                <w:rFonts w:ascii="Arial Narrow" w:hAnsi="Arial Narrow"/>
                <w:sz w:val="20"/>
                <w:szCs w:val="20"/>
              </w:rPr>
              <w:t>paliperidone 700 mg/3.5 mL modified release injection, 3.5 mL syringe</w:t>
            </w:r>
          </w:p>
        </w:tc>
        <w:tc>
          <w:tcPr>
            <w:tcW w:w="548" w:type="pct"/>
          </w:tcPr>
          <w:p w14:paraId="52B8FBF0"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NEW</w:t>
            </w:r>
          </w:p>
        </w:tc>
        <w:tc>
          <w:tcPr>
            <w:tcW w:w="469" w:type="pct"/>
          </w:tcPr>
          <w:p w14:paraId="1DA601D4"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1</w:t>
            </w:r>
          </w:p>
        </w:tc>
        <w:tc>
          <w:tcPr>
            <w:tcW w:w="391" w:type="pct"/>
          </w:tcPr>
          <w:p w14:paraId="04A0DB1D"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1</w:t>
            </w:r>
          </w:p>
        </w:tc>
        <w:tc>
          <w:tcPr>
            <w:tcW w:w="391" w:type="pct"/>
          </w:tcPr>
          <w:p w14:paraId="2A02AABF"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0</w:t>
            </w:r>
          </w:p>
        </w:tc>
        <w:tc>
          <w:tcPr>
            <w:tcW w:w="1016" w:type="pct"/>
          </w:tcPr>
          <w:p w14:paraId="435D389A" w14:textId="77777777" w:rsidR="00D63E98" w:rsidRPr="008479E0" w:rsidRDefault="00233BA3">
            <w:pPr>
              <w:keepNext/>
              <w:rPr>
                <w:rFonts w:ascii="Arial Narrow" w:hAnsi="Arial Narrow"/>
                <w:sz w:val="20"/>
                <w:szCs w:val="20"/>
              </w:rPr>
            </w:pPr>
            <w:r w:rsidRPr="008479E0">
              <w:rPr>
                <w:rFonts w:ascii="Arial Narrow" w:hAnsi="Arial Narrow"/>
                <w:sz w:val="20"/>
                <w:szCs w:val="20"/>
              </w:rPr>
              <w:t>Invega Hafyera</w:t>
            </w:r>
          </w:p>
        </w:tc>
      </w:tr>
      <w:tr w:rsidR="00D63E98" w14:paraId="3E1C88FA" w14:textId="77777777">
        <w:trPr>
          <w:cantSplit/>
          <w:trHeight w:val="347"/>
        </w:trPr>
        <w:tc>
          <w:tcPr>
            <w:tcW w:w="2186" w:type="pct"/>
            <w:gridSpan w:val="2"/>
          </w:tcPr>
          <w:p w14:paraId="4D67653D" w14:textId="77777777" w:rsidR="00D63E98" w:rsidRPr="008479E0" w:rsidRDefault="00233BA3">
            <w:pPr>
              <w:keepNext/>
              <w:ind w:left="-57"/>
              <w:rPr>
                <w:rFonts w:ascii="Arial Narrow" w:hAnsi="Arial Narrow"/>
                <w:sz w:val="20"/>
                <w:szCs w:val="20"/>
              </w:rPr>
            </w:pPr>
            <w:r w:rsidRPr="008479E0">
              <w:rPr>
                <w:rFonts w:ascii="Arial Narrow" w:hAnsi="Arial Narrow"/>
                <w:sz w:val="20"/>
                <w:szCs w:val="20"/>
              </w:rPr>
              <w:t>paliperidone 1 g/5 mL modified release injection, 5 mL syringe</w:t>
            </w:r>
          </w:p>
        </w:tc>
        <w:tc>
          <w:tcPr>
            <w:tcW w:w="548" w:type="pct"/>
          </w:tcPr>
          <w:p w14:paraId="12A3BCA4"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NEW</w:t>
            </w:r>
          </w:p>
        </w:tc>
        <w:tc>
          <w:tcPr>
            <w:tcW w:w="469" w:type="pct"/>
          </w:tcPr>
          <w:p w14:paraId="2E888D23"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1</w:t>
            </w:r>
          </w:p>
        </w:tc>
        <w:tc>
          <w:tcPr>
            <w:tcW w:w="391" w:type="pct"/>
          </w:tcPr>
          <w:p w14:paraId="479B3BF9"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1</w:t>
            </w:r>
          </w:p>
        </w:tc>
        <w:tc>
          <w:tcPr>
            <w:tcW w:w="391" w:type="pct"/>
          </w:tcPr>
          <w:p w14:paraId="2958AB81" w14:textId="77777777" w:rsidR="00D63E98" w:rsidRPr="008479E0" w:rsidRDefault="00233BA3">
            <w:pPr>
              <w:keepNext/>
              <w:jc w:val="center"/>
              <w:rPr>
                <w:rFonts w:ascii="Arial Narrow" w:hAnsi="Arial Narrow"/>
                <w:sz w:val="20"/>
                <w:szCs w:val="20"/>
              </w:rPr>
            </w:pPr>
            <w:r w:rsidRPr="008479E0">
              <w:rPr>
                <w:rFonts w:ascii="Arial Narrow" w:hAnsi="Arial Narrow"/>
                <w:sz w:val="20"/>
                <w:szCs w:val="20"/>
              </w:rPr>
              <w:t>0</w:t>
            </w:r>
          </w:p>
        </w:tc>
        <w:tc>
          <w:tcPr>
            <w:tcW w:w="1016" w:type="pct"/>
          </w:tcPr>
          <w:p w14:paraId="49B84ADB" w14:textId="77777777" w:rsidR="00D63E98" w:rsidRPr="008479E0" w:rsidRDefault="00233BA3">
            <w:pPr>
              <w:keepNext/>
              <w:rPr>
                <w:rFonts w:ascii="Arial Narrow" w:hAnsi="Arial Narrow"/>
                <w:sz w:val="20"/>
                <w:szCs w:val="20"/>
              </w:rPr>
            </w:pPr>
            <w:r w:rsidRPr="008479E0">
              <w:rPr>
                <w:rFonts w:ascii="Arial Narrow" w:hAnsi="Arial Narrow"/>
                <w:sz w:val="20"/>
                <w:szCs w:val="20"/>
              </w:rPr>
              <w:t>Invega Hafyera</w:t>
            </w:r>
          </w:p>
        </w:tc>
      </w:tr>
      <w:tr w:rsidR="00D63E98" w14:paraId="41837869" w14:textId="7777777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7BFBB5B" w14:textId="77777777" w:rsidR="00D63E98" w:rsidRPr="008479E0" w:rsidRDefault="00D63E98">
            <w:pPr>
              <w:rPr>
                <w:rFonts w:ascii="Arial Narrow" w:hAnsi="Arial Narrow"/>
                <w:b/>
                <w:sz w:val="20"/>
                <w:szCs w:val="20"/>
              </w:rPr>
            </w:pPr>
          </w:p>
        </w:tc>
      </w:tr>
      <w:tr w:rsidR="00D63E98" w14:paraId="3B362633" w14:textId="7777777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BAF32A0" w14:textId="77777777" w:rsidR="00D63E98" w:rsidRPr="008479E0" w:rsidRDefault="00233BA3">
            <w:pPr>
              <w:rPr>
                <w:rFonts w:ascii="Arial Narrow" w:hAnsi="Arial Narrow"/>
                <w:b/>
                <w:sz w:val="20"/>
                <w:szCs w:val="20"/>
              </w:rPr>
            </w:pPr>
            <w:r w:rsidRPr="008479E0">
              <w:rPr>
                <w:rFonts w:ascii="Arial Narrow" w:hAnsi="Arial Narrow"/>
                <w:b/>
                <w:sz w:val="20"/>
                <w:szCs w:val="20"/>
              </w:rPr>
              <w:t>Restriction Summary [new based on 6832] / Treatment of Concept: [new based on 6832]</w:t>
            </w:r>
          </w:p>
        </w:tc>
      </w:tr>
      <w:tr w:rsidR="00D63E98" w14:paraId="7A5ACB7F" w14:textId="77777777">
        <w:tblPrEx>
          <w:tblCellMar>
            <w:top w:w="15" w:type="dxa"/>
            <w:left w:w="15" w:type="dxa"/>
            <w:bottom w:w="15" w:type="dxa"/>
            <w:right w:w="15" w:type="dxa"/>
          </w:tblCellMar>
          <w:tblLook w:val="04A0" w:firstRow="1" w:lastRow="0" w:firstColumn="1" w:lastColumn="0" w:noHBand="0" w:noVBand="1"/>
        </w:tblPrEx>
        <w:tc>
          <w:tcPr>
            <w:tcW w:w="618" w:type="pct"/>
            <w:vMerge w:val="restart"/>
            <w:tcBorders>
              <w:top w:val="single" w:sz="4" w:space="0" w:color="auto"/>
              <w:left w:val="single" w:sz="4" w:space="0" w:color="auto"/>
              <w:right w:val="single" w:sz="4" w:space="0" w:color="auto"/>
            </w:tcBorders>
            <w:vAlign w:val="center"/>
          </w:tcPr>
          <w:p w14:paraId="4FB56E18" w14:textId="4A6286A0" w:rsidR="00D63E98" w:rsidRPr="008479E0" w:rsidRDefault="00D63E98">
            <w:pPr>
              <w:jc w:val="center"/>
              <w:rPr>
                <w:rFonts w:ascii="Arial Narrow" w:hAnsi="Arial Narrow"/>
                <w:b/>
                <w:sz w:val="20"/>
                <w:szCs w:val="20"/>
              </w:rPr>
            </w:pPr>
          </w:p>
        </w:tc>
        <w:tc>
          <w:tcPr>
            <w:tcW w:w="4382" w:type="pct"/>
            <w:gridSpan w:val="6"/>
            <w:tcBorders>
              <w:top w:val="single" w:sz="4" w:space="0" w:color="auto"/>
              <w:left w:val="single" w:sz="4" w:space="0" w:color="auto"/>
              <w:bottom w:val="single" w:sz="4" w:space="0" w:color="auto"/>
              <w:right w:val="single" w:sz="4" w:space="0" w:color="auto"/>
            </w:tcBorders>
          </w:tcPr>
          <w:p w14:paraId="7E4D664E" w14:textId="77777777" w:rsidR="00D63E98" w:rsidRPr="008479E0" w:rsidRDefault="00233BA3">
            <w:pPr>
              <w:rPr>
                <w:rFonts w:ascii="Arial Narrow" w:hAnsi="Arial Narrow"/>
                <w:sz w:val="20"/>
                <w:szCs w:val="20"/>
              </w:rPr>
            </w:pPr>
            <w:r w:rsidRPr="008479E0">
              <w:rPr>
                <w:rFonts w:ascii="Arial Narrow" w:hAnsi="Arial Narrow"/>
                <w:b/>
                <w:sz w:val="20"/>
                <w:szCs w:val="20"/>
              </w:rPr>
              <w:t xml:space="preserve">Category / Program: </w:t>
            </w:r>
            <w:r w:rsidRPr="008479E0">
              <w:rPr>
                <w:rFonts w:ascii="Arial Narrow" w:hAnsi="Arial Narrow"/>
                <w:sz w:val="20"/>
                <w:szCs w:val="20"/>
              </w:rPr>
              <w:t>GENERAL – General Schedule (Code GE)</w:t>
            </w:r>
          </w:p>
        </w:tc>
      </w:tr>
      <w:tr w:rsidR="00D63E98" w14:paraId="5D21D73E" w14:textId="77777777">
        <w:tblPrEx>
          <w:tblCellMar>
            <w:top w:w="15" w:type="dxa"/>
            <w:left w:w="15" w:type="dxa"/>
            <w:bottom w:w="15" w:type="dxa"/>
            <w:right w:w="15" w:type="dxa"/>
          </w:tblCellMar>
          <w:tblLook w:val="04A0" w:firstRow="1" w:lastRow="0" w:firstColumn="1" w:lastColumn="0" w:noHBand="0" w:noVBand="1"/>
        </w:tblPrEx>
        <w:trPr>
          <w:trHeight w:val="240"/>
        </w:trPr>
        <w:tc>
          <w:tcPr>
            <w:tcW w:w="618" w:type="pct"/>
            <w:vMerge/>
            <w:tcBorders>
              <w:left w:val="single" w:sz="4" w:space="0" w:color="auto"/>
              <w:right w:val="single" w:sz="4" w:space="0" w:color="auto"/>
            </w:tcBorders>
          </w:tcPr>
          <w:p w14:paraId="083DCF6F" w14:textId="77777777" w:rsidR="00D63E98" w:rsidRPr="008479E0" w:rsidRDefault="00D63E98">
            <w:pPr>
              <w:rPr>
                <w:rFonts w:ascii="Arial Narrow" w:hAnsi="Arial Narrow"/>
                <w:sz w:val="20"/>
                <w:szCs w:val="20"/>
              </w:rPr>
            </w:pPr>
          </w:p>
        </w:tc>
        <w:tc>
          <w:tcPr>
            <w:tcW w:w="4382" w:type="pct"/>
            <w:gridSpan w:val="6"/>
            <w:tcBorders>
              <w:top w:val="single" w:sz="4" w:space="0" w:color="auto"/>
              <w:left w:val="single" w:sz="4" w:space="0" w:color="auto"/>
              <w:bottom w:val="single" w:sz="4" w:space="0" w:color="auto"/>
              <w:right w:val="single" w:sz="4" w:space="0" w:color="auto"/>
            </w:tcBorders>
          </w:tcPr>
          <w:p w14:paraId="464B9863" w14:textId="77777777" w:rsidR="00D63E98" w:rsidRPr="008479E0" w:rsidRDefault="00233BA3">
            <w:pPr>
              <w:rPr>
                <w:rFonts w:ascii="Arial Narrow" w:hAnsi="Arial Narrow"/>
                <w:b/>
                <w:sz w:val="20"/>
                <w:szCs w:val="20"/>
              </w:rPr>
            </w:pPr>
            <w:r w:rsidRPr="008479E0">
              <w:rPr>
                <w:rFonts w:ascii="Arial Narrow" w:hAnsi="Arial Narrow"/>
                <w:b/>
                <w:sz w:val="20"/>
                <w:szCs w:val="20"/>
              </w:rPr>
              <w:t xml:space="preserve">Prescriber type: </w:t>
            </w:r>
            <w:r w:rsidRPr="008479E0">
              <w:rPr>
                <w:rFonts w:ascii="Arial Narrow" w:hAnsi="Arial Narrow"/>
                <w:sz w:val="20"/>
                <w:szCs w:val="20"/>
              </w:rPr>
              <w:fldChar w:fldCharType="begin">
                <w:ffData>
                  <w:name w:val=""/>
                  <w:enabled/>
                  <w:calcOnExit w:val="0"/>
                  <w:checkBox>
                    <w:sizeAuto/>
                    <w:default w:val="1"/>
                  </w:checkBox>
                </w:ffData>
              </w:fldChar>
            </w:r>
            <w:r w:rsidRPr="008479E0">
              <w:rPr>
                <w:rFonts w:ascii="Arial Narrow" w:hAnsi="Arial Narrow"/>
                <w:sz w:val="20"/>
                <w:szCs w:val="20"/>
              </w:rPr>
              <w:instrText xml:space="preserve"> FORMCHECKBOX </w:instrText>
            </w:r>
            <w:r w:rsidR="001149A2">
              <w:rPr>
                <w:rFonts w:ascii="Arial Narrow" w:hAnsi="Arial Narrow"/>
                <w:sz w:val="20"/>
                <w:szCs w:val="20"/>
              </w:rPr>
            </w:r>
            <w:r w:rsidR="001149A2">
              <w:rPr>
                <w:rFonts w:ascii="Arial Narrow" w:hAnsi="Arial Narrow"/>
                <w:sz w:val="20"/>
                <w:szCs w:val="20"/>
              </w:rPr>
              <w:fldChar w:fldCharType="separate"/>
            </w:r>
            <w:r w:rsidRPr="008479E0">
              <w:rPr>
                <w:rFonts w:ascii="Arial Narrow" w:hAnsi="Arial Narrow"/>
                <w:sz w:val="20"/>
                <w:szCs w:val="20"/>
              </w:rPr>
              <w:fldChar w:fldCharType="end"/>
            </w:r>
            <w:r w:rsidRPr="008479E0">
              <w:rPr>
                <w:rFonts w:ascii="Arial Narrow" w:hAnsi="Arial Narrow"/>
                <w:sz w:val="20"/>
                <w:szCs w:val="20"/>
              </w:rPr>
              <w:t xml:space="preserve">Medical Practitioners    </w:t>
            </w:r>
            <w:r w:rsidRPr="008479E0">
              <w:rPr>
                <w:rFonts w:ascii="Arial Narrow" w:hAnsi="Arial Narrow"/>
                <w:sz w:val="20"/>
                <w:szCs w:val="20"/>
              </w:rPr>
              <w:fldChar w:fldCharType="begin">
                <w:ffData>
                  <w:name w:val="Check3"/>
                  <w:enabled/>
                  <w:calcOnExit w:val="0"/>
                  <w:checkBox>
                    <w:sizeAuto/>
                    <w:default w:val="1"/>
                  </w:checkBox>
                </w:ffData>
              </w:fldChar>
            </w:r>
            <w:r w:rsidRPr="008479E0">
              <w:rPr>
                <w:rFonts w:ascii="Arial Narrow" w:hAnsi="Arial Narrow"/>
                <w:sz w:val="20"/>
                <w:szCs w:val="20"/>
              </w:rPr>
              <w:instrText xml:space="preserve"> FORMCHECKBOX </w:instrText>
            </w:r>
            <w:r w:rsidR="001149A2">
              <w:rPr>
                <w:rFonts w:ascii="Arial Narrow" w:hAnsi="Arial Narrow"/>
                <w:sz w:val="20"/>
                <w:szCs w:val="20"/>
              </w:rPr>
            </w:r>
            <w:r w:rsidR="001149A2">
              <w:rPr>
                <w:rFonts w:ascii="Arial Narrow" w:hAnsi="Arial Narrow"/>
                <w:sz w:val="20"/>
                <w:szCs w:val="20"/>
              </w:rPr>
              <w:fldChar w:fldCharType="separate"/>
            </w:r>
            <w:r w:rsidRPr="008479E0">
              <w:rPr>
                <w:rFonts w:ascii="Arial Narrow" w:hAnsi="Arial Narrow"/>
                <w:sz w:val="20"/>
                <w:szCs w:val="20"/>
              </w:rPr>
              <w:fldChar w:fldCharType="end"/>
            </w:r>
            <w:r w:rsidRPr="008479E0">
              <w:rPr>
                <w:rFonts w:ascii="Arial Narrow" w:hAnsi="Arial Narrow"/>
                <w:sz w:val="20"/>
                <w:szCs w:val="20"/>
              </w:rPr>
              <w:t>Nurse practitioners</w:t>
            </w:r>
          </w:p>
        </w:tc>
      </w:tr>
      <w:tr w:rsidR="00D63E98" w14:paraId="452C8354" w14:textId="77777777">
        <w:tblPrEx>
          <w:tblCellMar>
            <w:top w:w="15" w:type="dxa"/>
            <w:left w:w="15" w:type="dxa"/>
            <w:bottom w:w="15" w:type="dxa"/>
            <w:right w:w="15" w:type="dxa"/>
          </w:tblCellMar>
          <w:tblLook w:val="04A0" w:firstRow="1" w:lastRow="0" w:firstColumn="1" w:lastColumn="0" w:noHBand="0" w:noVBand="1"/>
        </w:tblPrEx>
        <w:trPr>
          <w:trHeight w:val="226"/>
        </w:trPr>
        <w:tc>
          <w:tcPr>
            <w:tcW w:w="618" w:type="pct"/>
            <w:vMerge/>
            <w:tcBorders>
              <w:left w:val="single" w:sz="4" w:space="0" w:color="auto"/>
              <w:bottom w:val="single" w:sz="4" w:space="0" w:color="auto"/>
              <w:right w:val="single" w:sz="4" w:space="0" w:color="auto"/>
            </w:tcBorders>
          </w:tcPr>
          <w:p w14:paraId="764B5816" w14:textId="77777777" w:rsidR="00D63E98" w:rsidRPr="008479E0" w:rsidRDefault="00D63E98">
            <w:pPr>
              <w:rPr>
                <w:rFonts w:ascii="Arial Narrow" w:hAnsi="Arial Narrow"/>
                <w:sz w:val="20"/>
                <w:szCs w:val="20"/>
              </w:rPr>
            </w:pPr>
          </w:p>
        </w:tc>
        <w:tc>
          <w:tcPr>
            <w:tcW w:w="4382" w:type="pct"/>
            <w:gridSpan w:val="6"/>
            <w:tcBorders>
              <w:top w:val="single" w:sz="4" w:space="0" w:color="auto"/>
              <w:left w:val="single" w:sz="4" w:space="0" w:color="auto"/>
              <w:bottom w:val="single" w:sz="4" w:space="0" w:color="auto"/>
              <w:right w:val="single" w:sz="4" w:space="0" w:color="auto"/>
            </w:tcBorders>
          </w:tcPr>
          <w:p w14:paraId="437F39C8" w14:textId="77777777" w:rsidR="00D63E98" w:rsidRPr="008479E0" w:rsidRDefault="00233BA3">
            <w:pPr>
              <w:rPr>
                <w:rFonts w:ascii="Arial Narrow" w:eastAsia="Calibri" w:hAnsi="Arial Narrow"/>
                <w:sz w:val="20"/>
                <w:szCs w:val="20"/>
              </w:rPr>
            </w:pPr>
            <w:r w:rsidRPr="008479E0">
              <w:rPr>
                <w:rFonts w:ascii="Arial Narrow" w:hAnsi="Arial Narrow"/>
                <w:b/>
                <w:sz w:val="20"/>
                <w:szCs w:val="20"/>
              </w:rPr>
              <w:t xml:space="preserve">Restriction type: </w:t>
            </w:r>
          </w:p>
          <w:p w14:paraId="02D875D1" w14:textId="77777777" w:rsidR="00D63E98" w:rsidRPr="008479E0" w:rsidRDefault="00233BA3">
            <w:pPr>
              <w:rPr>
                <w:rFonts w:ascii="Arial Narrow" w:eastAsia="Calibri" w:hAnsi="Arial Narrow"/>
                <w:color w:val="FF00FF"/>
                <w:sz w:val="20"/>
                <w:szCs w:val="20"/>
              </w:rPr>
            </w:pPr>
            <w:r w:rsidRPr="008479E0">
              <w:rPr>
                <w:rFonts w:ascii="Arial Narrow" w:eastAsia="Calibri" w:hAnsi="Arial Narrow"/>
                <w:sz w:val="20"/>
                <w:szCs w:val="20"/>
              </w:rPr>
              <w:fldChar w:fldCharType="begin">
                <w:ffData>
                  <w:name w:val=""/>
                  <w:enabled/>
                  <w:calcOnExit w:val="0"/>
                  <w:checkBox>
                    <w:sizeAuto/>
                    <w:default w:val="1"/>
                  </w:checkBox>
                </w:ffData>
              </w:fldChar>
            </w:r>
            <w:r w:rsidRPr="008479E0">
              <w:rPr>
                <w:rFonts w:ascii="Arial Narrow" w:eastAsia="Calibri" w:hAnsi="Arial Narrow"/>
                <w:sz w:val="20"/>
                <w:szCs w:val="20"/>
              </w:rPr>
              <w:instrText xml:space="preserve"> FORMCHECKBOX </w:instrText>
            </w:r>
            <w:r w:rsidR="001149A2">
              <w:rPr>
                <w:rFonts w:ascii="Arial Narrow" w:eastAsia="Calibri" w:hAnsi="Arial Narrow"/>
                <w:sz w:val="20"/>
                <w:szCs w:val="20"/>
              </w:rPr>
            </w:r>
            <w:r w:rsidR="001149A2">
              <w:rPr>
                <w:rFonts w:ascii="Arial Narrow" w:eastAsia="Calibri" w:hAnsi="Arial Narrow"/>
                <w:sz w:val="20"/>
                <w:szCs w:val="20"/>
              </w:rPr>
              <w:fldChar w:fldCharType="separate"/>
            </w:r>
            <w:r w:rsidRPr="008479E0">
              <w:rPr>
                <w:rFonts w:ascii="Arial Narrow" w:eastAsia="Calibri" w:hAnsi="Arial Narrow"/>
                <w:sz w:val="20"/>
                <w:szCs w:val="20"/>
              </w:rPr>
              <w:fldChar w:fldCharType="end"/>
            </w:r>
            <w:r w:rsidRPr="008479E0">
              <w:rPr>
                <w:rFonts w:ascii="Arial Narrow" w:eastAsia="Calibri" w:hAnsi="Arial Narrow"/>
                <w:sz w:val="20"/>
                <w:szCs w:val="20"/>
              </w:rPr>
              <w:t xml:space="preserve">Authority Required (STREAMLINED) [new/existing code] </w:t>
            </w:r>
          </w:p>
        </w:tc>
      </w:tr>
      <w:tr w:rsidR="00D63E98" w14:paraId="5ACFF817"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57B71465" w14:textId="40D39765"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2596403C"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Indication:</w:t>
            </w:r>
          </w:p>
          <w:p w14:paraId="102AF399"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color w:val="333333"/>
                <w:sz w:val="20"/>
                <w:szCs w:val="20"/>
              </w:rPr>
              <w:t>Schizophrenia</w:t>
            </w:r>
          </w:p>
        </w:tc>
      </w:tr>
      <w:tr w:rsidR="00D63E98" w14:paraId="43B0875C"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776D7D71" w14:textId="1063CD6B"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3E725841"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Clinical criteria:</w:t>
            </w:r>
          </w:p>
        </w:tc>
      </w:tr>
      <w:tr w:rsidR="00D63E98" w14:paraId="611CD2F7" w14:textId="77777777">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vAlign w:val="center"/>
          </w:tcPr>
          <w:p w14:paraId="6645B4C7" w14:textId="5FCC3F89"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tcPr>
          <w:p w14:paraId="1B3526C3" w14:textId="77777777" w:rsidR="00D63E98" w:rsidRPr="008479E0" w:rsidRDefault="00233BA3">
            <w:pPr>
              <w:ind w:left="-222"/>
              <w:jc w:val="left"/>
              <w:textAlignment w:val="baseline"/>
              <w:rPr>
                <w:rFonts w:ascii="Arial Narrow" w:hAnsi="Arial Narrow"/>
                <w:b/>
                <w:bCs/>
                <w:color w:val="333333"/>
                <w:sz w:val="20"/>
                <w:szCs w:val="20"/>
                <w:bdr w:val="none" w:sz="0" w:space="0" w:color="auto" w:frame="1"/>
              </w:rPr>
            </w:pPr>
            <w:r w:rsidRPr="008479E0">
              <w:rPr>
                <w:rFonts w:ascii="Arial Narrow" w:hAnsi="Arial Narrow"/>
                <w:color w:val="000000" w:themeColor="text1"/>
                <w:sz w:val="20"/>
                <w:szCs w:val="20"/>
              </w:rPr>
              <w:t>Patient must have previously received and be stabilised on PBS-subsidised paliperidone three-monthly injection for at least one cycle OR</w:t>
            </w:r>
          </w:p>
        </w:tc>
      </w:tr>
      <w:tr w:rsidR="00D63E98" w14:paraId="472239E4"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29D63C8D" w14:textId="39AE576B"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1ADDB981" w14:textId="77777777" w:rsidR="00D63E98" w:rsidRPr="008479E0" w:rsidRDefault="00233BA3">
            <w:pPr>
              <w:ind w:left="-222"/>
              <w:jc w:val="left"/>
              <w:rPr>
                <w:rFonts w:ascii="Arial Narrow" w:hAnsi="Arial Narrow"/>
                <w:color w:val="333333"/>
                <w:sz w:val="20"/>
                <w:szCs w:val="20"/>
              </w:rPr>
            </w:pPr>
            <w:r w:rsidRPr="008479E0">
              <w:rPr>
                <w:rFonts w:ascii="Arial Narrow" w:hAnsi="Arial Narrow"/>
                <w:color w:val="333333"/>
                <w:sz w:val="20"/>
                <w:szCs w:val="20"/>
              </w:rPr>
              <w:t>Patient must have previously received and be stabilised on PBS-subsidised paliperidone once-monthly injection for at least 4 consecutive months</w:t>
            </w:r>
          </w:p>
        </w:tc>
      </w:tr>
      <w:tr w:rsidR="00D63E98" w14:paraId="22DC9CDA"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0713CA3B" w14:textId="705C65E1"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1D41EA37"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Administrative Advice:</w:t>
            </w:r>
          </w:p>
          <w:p w14:paraId="04C2FCFA"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Shared Care Model</w:t>
            </w:r>
            <w:r w:rsidRPr="008479E0">
              <w:rPr>
                <w:rFonts w:ascii="Arial Narrow" w:hAnsi="Arial Narrow"/>
                <w:color w:val="333333"/>
                <w:sz w:val="20"/>
                <w:szCs w:val="20"/>
              </w:rPr>
              <w:t>:</w:t>
            </w:r>
          </w:p>
          <w:p w14:paraId="476FB0C0"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color w:val="333333"/>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D63E98" w14:paraId="4FC03249"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047A2EA4" w14:textId="23BD69EB"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5E5BFC14"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Administrative Advice:</w:t>
            </w:r>
          </w:p>
          <w:p w14:paraId="09E27571"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color w:val="333333"/>
                <w:sz w:val="20"/>
                <w:szCs w:val="20"/>
              </w:rPr>
              <w:t>Patient dosage is to be determined as per the dose transition table in the Product Information based on the maintenance dose of paliperidone once monthly injection.</w:t>
            </w:r>
          </w:p>
        </w:tc>
      </w:tr>
      <w:tr w:rsidR="00D63E98" w14:paraId="00A25C9C"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1B560A3D" w14:textId="3495158B"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4ED39954"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Administrative Advice:</w:t>
            </w:r>
          </w:p>
          <w:p w14:paraId="26AE1D2F"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color w:val="333333"/>
                <w:sz w:val="20"/>
                <w:szCs w:val="20"/>
              </w:rPr>
              <w:t>No increase in the maximum number of repeats may be authorised.</w:t>
            </w:r>
          </w:p>
        </w:tc>
      </w:tr>
      <w:tr w:rsidR="00D63E98" w14:paraId="28018696" w14:textId="77777777" w:rsidTr="001422CB">
        <w:tblPrEx>
          <w:shd w:val="clear" w:color="auto" w:fill="FFFFFF"/>
          <w:tblCellMar>
            <w:left w:w="0" w:type="dxa"/>
            <w:right w:w="0" w:type="dxa"/>
          </w:tblCellMar>
          <w:tblLook w:val="04A0" w:firstRow="1" w:lastRow="0" w:firstColumn="1" w:lastColumn="0" w:noHBand="0" w:noVBand="1"/>
        </w:tblPrEx>
        <w:tc>
          <w:tcPr>
            <w:tcW w:w="616" w:type="pct"/>
            <w:shd w:val="clear" w:color="auto" w:fill="auto"/>
            <w:tcMar>
              <w:top w:w="120" w:type="dxa"/>
              <w:left w:w="240" w:type="dxa"/>
              <w:bottom w:w="120" w:type="dxa"/>
              <w:right w:w="240" w:type="dxa"/>
            </w:tcMar>
          </w:tcPr>
          <w:p w14:paraId="6FC7798D" w14:textId="56683FAD" w:rsidR="00D63E98" w:rsidRPr="008479E0" w:rsidRDefault="00D63E98">
            <w:pPr>
              <w:jc w:val="left"/>
              <w:textAlignment w:val="baseline"/>
              <w:rPr>
                <w:rFonts w:ascii="Arial Narrow" w:hAnsi="Arial Narrow"/>
                <w:color w:val="333333"/>
                <w:sz w:val="20"/>
                <w:szCs w:val="20"/>
              </w:rPr>
            </w:pPr>
          </w:p>
        </w:tc>
        <w:tc>
          <w:tcPr>
            <w:tcW w:w="4384" w:type="pct"/>
            <w:gridSpan w:val="6"/>
            <w:shd w:val="clear" w:color="auto" w:fill="auto"/>
            <w:tcMar>
              <w:top w:w="120" w:type="dxa"/>
              <w:left w:w="240" w:type="dxa"/>
              <w:bottom w:w="120" w:type="dxa"/>
              <w:right w:w="240" w:type="dxa"/>
            </w:tcMar>
            <w:vAlign w:val="center"/>
            <w:hideMark/>
          </w:tcPr>
          <w:p w14:paraId="528F0EDC"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b/>
                <w:bCs/>
                <w:color w:val="333333"/>
                <w:sz w:val="20"/>
                <w:szCs w:val="20"/>
                <w:bdr w:val="none" w:sz="0" w:space="0" w:color="auto" w:frame="1"/>
              </w:rPr>
              <w:t>Administrative Advice:</w:t>
            </w:r>
          </w:p>
          <w:p w14:paraId="5539DDDF" w14:textId="77777777" w:rsidR="00D63E98" w:rsidRPr="008479E0" w:rsidRDefault="00233BA3">
            <w:pPr>
              <w:ind w:left="-222"/>
              <w:jc w:val="left"/>
              <w:textAlignment w:val="baseline"/>
              <w:rPr>
                <w:rFonts w:ascii="Arial Narrow" w:hAnsi="Arial Narrow"/>
                <w:color w:val="333333"/>
                <w:sz w:val="20"/>
                <w:szCs w:val="20"/>
              </w:rPr>
            </w:pPr>
            <w:r w:rsidRPr="008479E0">
              <w:rPr>
                <w:rFonts w:ascii="Arial Narrow" w:hAnsi="Arial Narrow"/>
                <w:color w:val="333333"/>
                <w:sz w:val="20"/>
                <w:szCs w:val="20"/>
              </w:rPr>
              <w:t>No increase in the maximum quantity or number of units may be authorised.</w:t>
            </w:r>
          </w:p>
        </w:tc>
      </w:tr>
    </w:tbl>
    <w:p w14:paraId="5D94E269" w14:textId="77777777" w:rsidR="00D63E98" w:rsidRDefault="00D63E98">
      <w:pPr>
        <w:jc w:val="left"/>
      </w:pPr>
    </w:p>
    <w:p w14:paraId="2CCCBBA8" w14:textId="0A857CE6" w:rsidR="00D63E98" w:rsidRDefault="00CA76F0" w:rsidP="00CA76F0">
      <w:r w:rsidRPr="00CA76F0">
        <w:rPr>
          <w:b/>
          <w:i/>
        </w:rPr>
        <w:t>This restriction may be subject to further review. Should there be any changes made to the restriction the sponsor will be informed</w:t>
      </w:r>
      <w:r w:rsidRPr="007F262A">
        <w:t>.</w:t>
      </w:r>
    </w:p>
    <w:bookmarkEnd w:id="31"/>
    <w:p w14:paraId="4547DDBE" w14:textId="6DD97ADB" w:rsidR="00D63E98" w:rsidRDefault="00D63E98">
      <w:pPr>
        <w:spacing w:after="120"/>
      </w:pPr>
    </w:p>
    <w:p w14:paraId="71446C25" w14:textId="4C9D6E74" w:rsidR="001422CB" w:rsidRDefault="001422CB" w:rsidP="001422CB">
      <w:pPr>
        <w:pStyle w:val="2-SectionHeading"/>
      </w:pPr>
      <w:r>
        <w:t>Context for Decision</w:t>
      </w:r>
    </w:p>
    <w:p w14:paraId="68F5AEEA" w14:textId="77777777" w:rsidR="001422CB" w:rsidRDefault="001422CB" w:rsidP="001422CB">
      <w:pPr>
        <w:pStyle w:val="3-BodyText"/>
        <w:numPr>
          <w:ilvl w:val="0"/>
          <w:numId w:val="0"/>
        </w:numPr>
        <w:ind w:left="720"/>
      </w:pPr>
      <w: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44415E" w14:textId="17BC0754" w:rsidR="001422CB" w:rsidRDefault="001422CB" w:rsidP="001422CB">
      <w:pPr>
        <w:pStyle w:val="2-SectionHeading"/>
      </w:pPr>
      <w:r>
        <w:t>Sponsor’s Comment</w:t>
      </w:r>
    </w:p>
    <w:p w14:paraId="4B4B1D64" w14:textId="5DD910CD" w:rsidR="001422CB" w:rsidRDefault="001422CB" w:rsidP="001422CB">
      <w:pPr>
        <w:pStyle w:val="3-BodyText"/>
        <w:numPr>
          <w:ilvl w:val="0"/>
          <w:numId w:val="0"/>
        </w:numPr>
        <w:ind w:left="720"/>
      </w:pPr>
      <w:r>
        <w:t>The sponsor had no comment.</w:t>
      </w:r>
    </w:p>
    <w:sectPr w:rsidR="001422C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E64D" w14:textId="77777777" w:rsidR="001149A2" w:rsidRDefault="001149A2">
      <w:r>
        <w:separator/>
      </w:r>
    </w:p>
    <w:p w14:paraId="6413037E" w14:textId="77777777" w:rsidR="001149A2" w:rsidRDefault="001149A2"/>
  </w:endnote>
  <w:endnote w:type="continuationSeparator" w:id="0">
    <w:p w14:paraId="08577742" w14:textId="77777777" w:rsidR="001149A2" w:rsidRDefault="001149A2">
      <w:r>
        <w:continuationSeparator/>
      </w:r>
    </w:p>
    <w:p w14:paraId="1E86CE69" w14:textId="77777777" w:rsidR="001149A2" w:rsidRDefault="00114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5C7F" w14:textId="77777777" w:rsidR="001149A2" w:rsidRDefault="0011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22D1C" w14:textId="77777777" w:rsidR="001149A2" w:rsidRDefault="001149A2">
    <w:pPr>
      <w:ind w:left="709"/>
      <w:contextualSpacing/>
      <w:jc w:val="center"/>
      <w:rPr>
        <w:rFonts w:eastAsia="Calibri"/>
        <w:szCs w:val="22"/>
      </w:rPr>
    </w:pPr>
  </w:p>
  <w:p w14:paraId="5CE92CF7" w14:textId="52D60558" w:rsidR="001149A2" w:rsidRDefault="001149A2">
    <w:pPr>
      <w:ind w:left="709"/>
      <w:contextualSpacing/>
      <w:jc w:val="center"/>
      <w:rPr>
        <w:rFonts w:ascii="Arial" w:hAnsi="Arial"/>
        <w:b/>
        <w:bCs/>
        <w:sz w:val="22"/>
        <w:szCs w:val="22"/>
      </w:rPr>
    </w:pPr>
    <w:r>
      <w:rPr>
        <w:rFonts w:ascii="Arial" w:hAnsi="Arial"/>
        <w:b/>
        <w:bCs/>
        <w:sz w:val="22"/>
        <w:szCs w:val="22"/>
      </w:rPr>
      <w:fldChar w:fldCharType="begin"/>
    </w:r>
    <w:r>
      <w:rPr>
        <w:rFonts w:ascii="Arial" w:hAnsi="Arial"/>
        <w:b/>
        <w:bCs/>
        <w:sz w:val="22"/>
        <w:szCs w:val="22"/>
      </w:rPr>
      <w:instrText xml:space="preserve"> PAGE   \* MERGEFORMAT </w:instrText>
    </w:r>
    <w:r>
      <w:rPr>
        <w:rFonts w:ascii="Arial" w:hAnsi="Arial"/>
        <w:b/>
        <w:bCs/>
        <w:sz w:val="22"/>
        <w:szCs w:val="22"/>
      </w:rPr>
      <w:fldChar w:fldCharType="separate"/>
    </w:r>
    <w:r>
      <w:rPr>
        <w:rFonts w:ascii="Arial" w:hAnsi="Arial"/>
        <w:b/>
        <w:bCs/>
        <w:noProof/>
        <w:sz w:val="22"/>
        <w:szCs w:val="22"/>
      </w:rPr>
      <w:t>14</w:t>
    </w:r>
    <w:r>
      <w:rPr>
        <w:rFonts w:ascii="Arial" w:hAnsi="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F91E" w14:textId="77777777" w:rsidR="001149A2" w:rsidRDefault="0011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B5FBD" w14:textId="77777777" w:rsidR="001149A2" w:rsidRDefault="001149A2">
      <w:r>
        <w:separator/>
      </w:r>
    </w:p>
    <w:p w14:paraId="6114BDE2" w14:textId="77777777" w:rsidR="001149A2" w:rsidRDefault="001149A2"/>
  </w:footnote>
  <w:footnote w:type="continuationSeparator" w:id="0">
    <w:p w14:paraId="79F34361" w14:textId="77777777" w:rsidR="001149A2" w:rsidRDefault="001149A2">
      <w:r>
        <w:continuationSeparator/>
      </w:r>
    </w:p>
    <w:p w14:paraId="046CD01C" w14:textId="77777777" w:rsidR="001149A2" w:rsidRDefault="00114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2066" w14:textId="77777777" w:rsidR="001149A2" w:rsidRDefault="00114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17DB" w14:textId="2035C75D" w:rsidR="001149A2" w:rsidRDefault="001149A2">
    <w:pPr>
      <w:jc w:val="center"/>
      <w:rPr>
        <w:rFonts w:eastAsia="Calibri"/>
        <w:i/>
        <w:iCs/>
        <w:szCs w:val="22"/>
      </w:rPr>
    </w:pPr>
    <w:r>
      <w:rPr>
        <w:rFonts w:eastAsia="Calibri"/>
        <w:i/>
        <w:iCs/>
        <w:szCs w:val="22"/>
      </w:rPr>
      <w:t>Public Summary Document – March 2022 PBAC meeting</w:t>
    </w:r>
  </w:p>
  <w:p w14:paraId="4DA55D7A" w14:textId="77777777" w:rsidR="001149A2" w:rsidRDefault="001149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CE4F" w14:textId="77777777" w:rsidR="001149A2" w:rsidRDefault="0011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1E3F26"/>
    <w:multiLevelType w:val="hybridMultilevel"/>
    <w:tmpl w:val="B020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231EE"/>
    <w:multiLevelType w:val="hybridMultilevel"/>
    <w:tmpl w:val="8FDC89A4"/>
    <w:lvl w:ilvl="0" w:tplc="6B668F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90AF6"/>
    <w:multiLevelType w:val="hybridMultilevel"/>
    <w:tmpl w:val="6AB05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A87341"/>
    <w:multiLevelType w:val="hybridMultilevel"/>
    <w:tmpl w:val="E4EA65AC"/>
    <w:lvl w:ilvl="0" w:tplc="0C09000F">
      <w:start w:val="1"/>
      <w:numFmt w:val="decimal"/>
      <w:lvlText w:val="%1."/>
      <w:lvlJc w:val="left"/>
      <w:pPr>
        <w:ind w:left="360" w:hanging="360"/>
      </w:pPr>
      <w:rPr>
        <w:rFonts w:hint="default"/>
      </w:rPr>
    </w:lvl>
    <w:lvl w:ilvl="1" w:tplc="0CF8FC3A">
      <w:start w:val="1"/>
      <w:numFmt w:val="bullet"/>
      <w:lvlText w:val=""/>
      <w:lvlJc w:val="left"/>
      <w:pPr>
        <w:ind w:left="1080" w:hanging="360"/>
      </w:pPr>
      <w:rPr>
        <w:rFonts w:ascii="Symbol" w:hAnsi="Symbol" w:hint="default"/>
        <w:sz w:val="16"/>
        <w:szCs w:val="16"/>
      </w:rPr>
    </w:lvl>
    <w:lvl w:ilvl="2" w:tplc="EF60C104">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D95701"/>
    <w:multiLevelType w:val="hybridMultilevel"/>
    <w:tmpl w:val="51AA75A8"/>
    <w:lvl w:ilvl="0" w:tplc="15BC5692">
      <w:start w:val="1"/>
      <w:numFmt w:val="decimal"/>
      <w:lvlText w:val="%1."/>
      <w:lvlJc w:val="left"/>
      <w:pPr>
        <w:ind w:left="353" w:hanging="360"/>
      </w:pPr>
      <w:rPr>
        <w:rFonts w:hint="default"/>
        <w:sz w:val="18"/>
        <w:szCs w:val="16"/>
      </w:rPr>
    </w:lvl>
    <w:lvl w:ilvl="1" w:tplc="0C090019">
      <w:start w:val="1"/>
      <w:numFmt w:val="lowerLetter"/>
      <w:lvlText w:val="%2."/>
      <w:lvlJc w:val="left"/>
      <w:pPr>
        <w:ind w:left="1073" w:hanging="360"/>
      </w:pPr>
    </w:lvl>
    <w:lvl w:ilvl="2" w:tplc="0C09001B" w:tentative="1">
      <w:start w:val="1"/>
      <w:numFmt w:val="lowerRoman"/>
      <w:lvlText w:val="%3."/>
      <w:lvlJc w:val="right"/>
      <w:pPr>
        <w:ind w:left="1793" w:hanging="180"/>
      </w:pPr>
    </w:lvl>
    <w:lvl w:ilvl="3" w:tplc="0C09000F" w:tentative="1">
      <w:start w:val="1"/>
      <w:numFmt w:val="decimal"/>
      <w:lvlText w:val="%4."/>
      <w:lvlJc w:val="left"/>
      <w:pPr>
        <w:ind w:left="2513" w:hanging="360"/>
      </w:pPr>
    </w:lvl>
    <w:lvl w:ilvl="4" w:tplc="0C090019" w:tentative="1">
      <w:start w:val="1"/>
      <w:numFmt w:val="lowerLetter"/>
      <w:lvlText w:val="%5."/>
      <w:lvlJc w:val="left"/>
      <w:pPr>
        <w:ind w:left="3233" w:hanging="360"/>
      </w:pPr>
    </w:lvl>
    <w:lvl w:ilvl="5" w:tplc="0C09001B" w:tentative="1">
      <w:start w:val="1"/>
      <w:numFmt w:val="lowerRoman"/>
      <w:lvlText w:val="%6."/>
      <w:lvlJc w:val="right"/>
      <w:pPr>
        <w:ind w:left="3953" w:hanging="180"/>
      </w:pPr>
    </w:lvl>
    <w:lvl w:ilvl="6" w:tplc="0C09000F" w:tentative="1">
      <w:start w:val="1"/>
      <w:numFmt w:val="decimal"/>
      <w:lvlText w:val="%7."/>
      <w:lvlJc w:val="left"/>
      <w:pPr>
        <w:ind w:left="4673" w:hanging="360"/>
      </w:pPr>
    </w:lvl>
    <w:lvl w:ilvl="7" w:tplc="0C090019" w:tentative="1">
      <w:start w:val="1"/>
      <w:numFmt w:val="lowerLetter"/>
      <w:lvlText w:val="%8."/>
      <w:lvlJc w:val="left"/>
      <w:pPr>
        <w:ind w:left="5393" w:hanging="360"/>
      </w:pPr>
    </w:lvl>
    <w:lvl w:ilvl="8" w:tplc="0C09001B" w:tentative="1">
      <w:start w:val="1"/>
      <w:numFmt w:val="lowerRoman"/>
      <w:lvlText w:val="%9."/>
      <w:lvlJc w:val="right"/>
      <w:pPr>
        <w:ind w:left="6113" w:hanging="180"/>
      </w:pPr>
    </w:lvl>
  </w:abstractNum>
  <w:abstractNum w:abstractNumId="11" w15:restartNumberingAfterBreak="0">
    <w:nsid w:val="28C300A7"/>
    <w:multiLevelType w:val="hybridMultilevel"/>
    <w:tmpl w:val="8A24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339C1"/>
    <w:multiLevelType w:val="hybridMultilevel"/>
    <w:tmpl w:val="D9C8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63872"/>
    <w:multiLevelType w:val="hybridMultilevel"/>
    <w:tmpl w:val="3E2C748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13E9D"/>
    <w:multiLevelType w:val="hybridMultilevel"/>
    <w:tmpl w:val="7846A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346AD7"/>
    <w:multiLevelType w:val="hybridMultilevel"/>
    <w:tmpl w:val="4D60B55C"/>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9621CFF"/>
    <w:multiLevelType w:val="hybridMultilevel"/>
    <w:tmpl w:val="9D3A545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6A0C64"/>
    <w:multiLevelType w:val="hybridMultilevel"/>
    <w:tmpl w:val="C47C4866"/>
    <w:lvl w:ilvl="0" w:tplc="0C090001">
      <w:start w:val="1"/>
      <w:numFmt w:val="bullet"/>
      <w:lvlText w:val=""/>
      <w:lvlJc w:val="left"/>
      <w:pPr>
        <w:ind w:left="720" w:hanging="360"/>
      </w:pPr>
      <w:rPr>
        <w:rFonts w:ascii="Symbol" w:hAnsi="Symbol" w:hint="default"/>
      </w:rPr>
    </w:lvl>
    <w:lvl w:ilvl="1" w:tplc="37228788">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21997"/>
    <w:multiLevelType w:val="hybridMultilevel"/>
    <w:tmpl w:val="BB647AAC"/>
    <w:lvl w:ilvl="0" w:tplc="7A707D6C">
      <w:start w:val="1"/>
      <w:numFmt w:val="bullet"/>
      <w:lvlText w:val="•"/>
      <w:lvlJc w:val="left"/>
      <w:pPr>
        <w:tabs>
          <w:tab w:val="num" w:pos="720"/>
        </w:tabs>
        <w:ind w:left="720" w:hanging="360"/>
      </w:pPr>
      <w:rPr>
        <w:rFonts w:ascii="Arial" w:hAnsi="Arial" w:hint="default"/>
      </w:rPr>
    </w:lvl>
    <w:lvl w:ilvl="1" w:tplc="2C16AF64" w:tentative="1">
      <w:start w:val="1"/>
      <w:numFmt w:val="bullet"/>
      <w:lvlText w:val="•"/>
      <w:lvlJc w:val="left"/>
      <w:pPr>
        <w:tabs>
          <w:tab w:val="num" w:pos="1440"/>
        </w:tabs>
        <w:ind w:left="1440" w:hanging="360"/>
      </w:pPr>
      <w:rPr>
        <w:rFonts w:ascii="Arial" w:hAnsi="Arial" w:hint="default"/>
      </w:rPr>
    </w:lvl>
    <w:lvl w:ilvl="2" w:tplc="0D2A5E50" w:tentative="1">
      <w:start w:val="1"/>
      <w:numFmt w:val="bullet"/>
      <w:lvlText w:val="•"/>
      <w:lvlJc w:val="left"/>
      <w:pPr>
        <w:tabs>
          <w:tab w:val="num" w:pos="2160"/>
        </w:tabs>
        <w:ind w:left="2160" w:hanging="360"/>
      </w:pPr>
      <w:rPr>
        <w:rFonts w:ascii="Arial" w:hAnsi="Arial" w:hint="default"/>
      </w:rPr>
    </w:lvl>
    <w:lvl w:ilvl="3" w:tplc="999A4920" w:tentative="1">
      <w:start w:val="1"/>
      <w:numFmt w:val="bullet"/>
      <w:lvlText w:val="•"/>
      <w:lvlJc w:val="left"/>
      <w:pPr>
        <w:tabs>
          <w:tab w:val="num" w:pos="2880"/>
        </w:tabs>
        <w:ind w:left="2880" w:hanging="360"/>
      </w:pPr>
      <w:rPr>
        <w:rFonts w:ascii="Arial" w:hAnsi="Arial" w:hint="default"/>
      </w:rPr>
    </w:lvl>
    <w:lvl w:ilvl="4" w:tplc="DA823C9A" w:tentative="1">
      <w:start w:val="1"/>
      <w:numFmt w:val="bullet"/>
      <w:lvlText w:val="•"/>
      <w:lvlJc w:val="left"/>
      <w:pPr>
        <w:tabs>
          <w:tab w:val="num" w:pos="3600"/>
        </w:tabs>
        <w:ind w:left="3600" w:hanging="360"/>
      </w:pPr>
      <w:rPr>
        <w:rFonts w:ascii="Arial" w:hAnsi="Arial" w:hint="default"/>
      </w:rPr>
    </w:lvl>
    <w:lvl w:ilvl="5" w:tplc="485C3D38" w:tentative="1">
      <w:start w:val="1"/>
      <w:numFmt w:val="bullet"/>
      <w:lvlText w:val="•"/>
      <w:lvlJc w:val="left"/>
      <w:pPr>
        <w:tabs>
          <w:tab w:val="num" w:pos="4320"/>
        </w:tabs>
        <w:ind w:left="4320" w:hanging="360"/>
      </w:pPr>
      <w:rPr>
        <w:rFonts w:ascii="Arial" w:hAnsi="Arial" w:hint="default"/>
      </w:rPr>
    </w:lvl>
    <w:lvl w:ilvl="6" w:tplc="0D7822FA" w:tentative="1">
      <w:start w:val="1"/>
      <w:numFmt w:val="bullet"/>
      <w:lvlText w:val="•"/>
      <w:lvlJc w:val="left"/>
      <w:pPr>
        <w:tabs>
          <w:tab w:val="num" w:pos="5040"/>
        </w:tabs>
        <w:ind w:left="5040" w:hanging="360"/>
      </w:pPr>
      <w:rPr>
        <w:rFonts w:ascii="Arial" w:hAnsi="Arial" w:hint="default"/>
      </w:rPr>
    </w:lvl>
    <w:lvl w:ilvl="7" w:tplc="307080B6" w:tentative="1">
      <w:start w:val="1"/>
      <w:numFmt w:val="bullet"/>
      <w:lvlText w:val="•"/>
      <w:lvlJc w:val="left"/>
      <w:pPr>
        <w:tabs>
          <w:tab w:val="num" w:pos="5760"/>
        </w:tabs>
        <w:ind w:left="5760" w:hanging="360"/>
      </w:pPr>
      <w:rPr>
        <w:rFonts w:ascii="Arial" w:hAnsi="Arial" w:hint="default"/>
      </w:rPr>
    </w:lvl>
    <w:lvl w:ilvl="8" w:tplc="4A82D0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D5013D"/>
    <w:multiLevelType w:val="hybridMultilevel"/>
    <w:tmpl w:val="4E14D9E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1" w15:restartNumberingAfterBreak="0">
    <w:nsid w:val="3E89400E"/>
    <w:multiLevelType w:val="hybridMultilevel"/>
    <w:tmpl w:val="D0C0F806"/>
    <w:lvl w:ilvl="0" w:tplc="B434BF0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F668A"/>
    <w:multiLevelType w:val="hybridMultilevel"/>
    <w:tmpl w:val="0DCA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B7FB5"/>
    <w:multiLevelType w:val="hybridMultilevel"/>
    <w:tmpl w:val="BCE8C712"/>
    <w:lvl w:ilvl="0" w:tplc="53E83DEC">
      <w:start w:val="1"/>
      <w:numFmt w:val="bullet"/>
      <w:lvlText w:val=""/>
      <w:lvlJc w:val="left"/>
      <w:pPr>
        <w:ind w:left="360" w:hanging="360"/>
      </w:pPr>
      <w:rPr>
        <w:rFonts w:ascii="Symbol" w:hAnsi="Symbol" w:hint="default"/>
        <w:sz w:val="18"/>
        <w:szCs w:val="16"/>
      </w:rPr>
    </w:lvl>
    <w:lvl w:ilvl="1" w:tplc="3634C966">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207BF3"/>
    <w:multiLevelType w:val="hybridMultilevel"/>
    <w:tmpl w:val="4CC245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8E2FF9"/>
    <w:multiLevelType w:val="hybridMultilevel"/>
    <w:tmpl w:val="95208E22"/>
    <w:lvl w:ilvl="0" w:tplc="53E83DEC">
      <w:start w:val="1"/>
      <w:numFmt w:val="bullet"/>
      <w:lvlText w:val=""/>
      <w:lvlJc w:val="left"/>
      <w:pPr>
        <w:ind w:left="720" w:hanging="360"/>
      </w:pPr>
      <w:rPr>
        <w:rFonts w:ascii="Symbol" w:hAnsi="Symbol" w:hint="default"/>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31" w15:restartNumberingAfterBreak="0">
    <w:nsid w:val="51E45388"/>
    <w:multiLevelType w:val="hybridMultilevel"/>
    <w:tmpl w:val="17C8A63E"/>
    <w:lvl w:ilvl="0" w:tplc="0C090001">
      <w:start w:val="1"/>
      <w:numFmt w:val="bullet"/>
      <w:lvlText w:val=""/>
      <w:lvlJc w:val="left"/>
      <w:pPr>
        <w:ind w:left="360" w:hanging="360"/>
      </w:pPr>
      <w:rPr>
        <w:rFonts w:ascii="Symbol" w:hAnsi="Symbol" w:hint="default"/>
      </w:rPr>
    </w:lvl>
    <w:lvl w:ilvl="1" w:tplc="3634C966">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19375C"/>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D5702"/>
    <w:multiLevelType w:val="hybridMultilevel"/>
    <w:tmpl w:val="718EF7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05D1466"/>
    <w:multiLevelType w:val="hybridMultilevel"/>
    <w:tmpl w:val="49F6E5E6"/>
    <w:lvl w:ilvl="0" w:tplc="0C09000F">
      <w:start w:val="1"/>
      <w:numFmt w:val="decimal"/>
      <w:lvlText w:val="%1."/>
      <w:lvlJc w:val="left"/>
      <w:pPr>
        <w:ind w:left="360" w:hanging="360"/>
      </w:pPr>
      <w:rPr>
        <w:rFonts w:hint="default"/>
      </w:rPr>
    </w:lvl>
    <w:lvl w:ilvl="1" w:tplc="0CF8FC3A">
      <w:start w:val="1"/>
      <w:numFmt w:val="bullet"/>
      <w:lvlText w:val=""/>
      <w:lvlJc w:val="left"/>
      <w:pPr>
        <w:ind w:left="1080" w:hanging="360"/>
      </w:pPr>
      <w:rPr>
        <w:rFonts w:ascii="Symbol" w:hAnsi="Symbol" w:hint="default"/>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873460D"/>
    <w:multiLevelType w:val="hybridMultilevel"/>
    <w:tmpl w:val="4656A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886CA9"/>
    <w:multiLevelType w:val="hybridMultilevel"/>
    <w:tmpl w:val="49F6E5E6"/>
    <w:lvl w:ilvl="0" w:tplc="0C09000F">
      <w:start w:val="1"/>
      <w:numFmt w:val="decimal"/>
      <w:lvlText w:val="%1."/>
      <w:lvlJc w:val="left"/>
      <w:pPr>
        <w:ind w:left="360" w:hanging="360"/>
      </w:pPr>
      <w:rPr>
        <w:rFonts w:hint="default"/>
      </w:rPr>
    </w:lvl>
    <w:lvl w:ilvl="1" w:tplc="0CF8FC3A">
      <w:start w:val="1"/>
      <w:numFmt w:val="bullet"/>
      <w:lvlText w:val=""/>
      <w:lvlJc w:val="left"/>
      <w:pPr>
        <w:ind w:left="1080" w:hanging="360"/>
      </w:pPr>
      <w:rPr>
        <w:rFonts w:ascii="Symbol" w:hAnsi="Symbol" w:hint="default"/>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4D033C"/>
    <w:multiLevelType w:val="multilevel"/>
    <w:tmpl w:val="3D0EA5F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25"/>
  </w:num>
  <w:num w:numId="4">
    <w:abstractNumId w:val="0"/>
  </w:num>
  <w:num w:numId="5">
    <w:abstractNumId w:val="40"/>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1"/>
  </w:num>
  <w:num w:numId="9">
    <w:abstractNumId w:val="27"/>
  </w:num>
  <w:num w:numId="10">
    <w:abstractNumId w:val="22"/>
  </w:num>
  <w:num w:numId="11">
    <w:abstractNumId w:val="34"/>
  </w:num>
  <w:num w:numId="12">
    <w:abstractNumId w:val="12"/>
  </w:num>
  <w:num w:numId="13">
    <w:abstractNumId w:val="36"/>
  </w:num>
  <w:num w:numId="14">
    <w:abstractNumId w:val="38"/>
  </w:num>
  <w:num w:numId="15">
    <w:abstractNumId w:val="10"/>
  </w:num>
  <w:num w:numId="16">
    <w:abstractNumId w:val="9"/>
  </w:num>
  <w:num w:numId="17">
    <w:abstractNumId w:val="29"/>
  </w:num>
  <w:num w:numId="18">
    <w:abstractNumId w:val="26"/>
  </w:num>
  <w:num w:numId="19">
    <w:abstractNumId w:val="31"/>
  </w:num>
  <w:num w:numId="20">
    <w:abstractNumId w:val="37"/>
  </w:num>
  <w:num w:numId="21">
    <w:abstractNumId w:val="18"/>
  </w:num>
  <w:num w:numId="22">
    <w:abstractNumId w:val="2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1"/>
  </w:num>
  <w:num w:numId="26">
    <w:abstractNumId w:val="33"/>
  </w:num>
  <w:num w:numId="27">
    <w:abstractNumId w:val="15"/>
  </w:num>
  <w:num w:numId="28">
    <w:abstractNumId w:val="24"/>
  </w:num>
  <w:num w:numId="29">
    <w:abstractNumId w:val="11"/>
  </w:num>
  <w:num w:numId="30">
    <w:abstractNumId w:val="2"/>
  </w:num>
  <w:num w:numId="31">
    <w:abstractNumId w:val="4"/>
  </w:num>
  <w:num w:numId="32">
    <w:abstractNumId w:val="5"/>
  </w:num>
  <w:num w:numId="33">
    <w:abstractNumId w:val="17"/>
  </w:num>
  <w:num w:numId="34">
    <w:abstractNumId w:val="30"/>
  </w:num>
  <w:num w:numId="35">
    <w:abstractNumId w:val="40"/>
  </w:num>
  <w:num w:numId="36">
    <w:abstractNumId w:val="16"/>
  </w:num>
  <w:num w:numId="37">
    <w:abstractNumId w:val="40"/>
  </w:num>
  <w:num w:numId="38">
    <w:abstractNumId w:val="40"/>
  </w:num>
  <w:num w:numId="39">
    <w:abstractNumId w:val="14"/>
  </w:num>
  <w:num w:numId="40">
    <w:abstractNumId w:val="3"/>
  </w:num>
  <w:num w:numId="41">
    <w:abstractNumId w:val="1"/>
  </w:num>
  <w:num w:numId="42">
    <w:abstractNumId w:val="8"/>
  </w:num>
  <w:num w:numId="43">
    <w:abstractNumId w:val="7"/>
  </w:num>
  <w:num w:numId="44">
    <w:abstractNumId w:val="13"/>
  </w:num>
  <w:num w:numId="45">
    <w:abstractNumId w:val="39"/>
  </w:num>
  <w:num w:numId="46">
    <w:abstractNumId w:val="32"/>
  </w:num>
  <w:num w:numId="4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40"/>
  </w:num>
  <w:num w:numId="5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98"/>
    <w:rsid w:val="000A2F6D"/>
    <w:rsid w:val="000C7E27"/>
    <w:rsid w:val="001149A2"/>
    <w:rsid w:val="001422CB"/>
    <w:rsid w:val="00233BA3"/>
    <w:rsid w:val="00477027"/>
    <w:rsid w:val="004D6E31"/>
    <w:rsid w:val="005235AD"/>
    <w:rsid w:val="008479E0"/>
    <w:rsid w:val="00877108"/>
    <w:rsid w:val="008D00DB"/>
    <w:rsid w:val="00B27274"/>
    <w:rsid w:val="00C40BD0"/>
    <w:rsid w:val="00CA76F0"/>
    <w:rsid w:val="00CC371E"/>
    <w:rsid w:val="00D63E98"/>
    <w:rsid w:val="00D765EA"/>
    <w:rsid w:val="00E0388A"/>
    <w:rsid w:val="00E63C10"/>
    <w:rsid w:val="00E81BB0"/>
    <w:rsid w:val="00E97A64"/>
    <w:rsid w:val="00EF78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94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alibri" w:hAnsi="Calibri" w:cs="Arial"/>
      <w:sz w:val="24"/>
      <w:szCs w:val="24"/>
    </w:rPr>
  </w:style>
  <w:style w:type="paragraph" w:styleId="Heading1">
    <w:name w:val="heading 1"/>
    <w:basedOn w:val="Normal"/>
    <w:next w:val="Normal"/>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aliases w:val="3.7.1"/>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uiPriority w:val="9"/>
    <w:pPr>
      <w:spacing w:before="240" w:after="60"/>
      <w:outlineLvl w:val="4"/>
    </w:pPr>
    <w:rPr>
      <w:b/>
      <w:bCs/>
      <w:iCs/>
      <w:sz w:val="26"/>
      <w:szCs w:val="26"/>
    </w:rPr>
  </w:style>
  <w:style w:type="paragraph" w:styleId="Heading6">
    <w:name w:val="heading 6"/>
    <w:basedOn w:val="Normal"/>
    <w:next w:val="Normal"/>
    <w:uiPriority w:val="9"/>
    <w:pPr>
      <w:spacing w:before="240" w:after="60"/>
      <w:outlineLvl w:val="5"/>
    </w:pPr>
    <w:rPr>
      <w:b/>
      <w:bCs/>
      <w:i/>
    </w:rPr>
  </w:style>
  <w:style w:type="paragraph" w:styleId="Heading7">
    <w:name w:val="heading 7"/>
    <w:basedOn w:val="Normal"/>
    <w:next w:val="Normal"/>
    <w:link w:val="Heading7Char"/>
    <w:uiPriority w:val="9"/>
    <w:pPr>
      <w:keepNext/>
      <w:jc w:val="center"/>
      <w:outlineLvl w:val="6"/>
    </w:pPr>
    <w:rPr>
      <w:b/>
      <w:sz w:val="20"/>
    </w:rPr>
  </w:style>
  <w:style w:type="paragraph" w:styleId="Heading8">
    <w:name w:val="heading 8"/>
    <w:basedOn w:val="Normal"/>
    <w:next w:val="Normal"/>
    <w:link w:val="Heading8Char"/>
    <w:uiPriority w:val="9"/>
    <w:pPr>
      <w:keepNext/>
      <w:jc w:val="right"/>
      <w:outlineLvl w:val="7"/>
    </w:pPr>
    <w:rPr>
      <w:b/>
    </w:rPr>
  </w:style>
  <w:style w:type="paragraph" w:styleId="Heading9">
    <w:name w:val="heading 9"/>
    <w:basedOn w:val="Normal"/>
    <w:next w:val="Normal"/>
    <w:link w:val="Heading9Char"/>
    <w:uiPriority w:val="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
    <w:basedOn w:val="TableFigureHeading"/>
    <w:next w:val="Normal"/>
    <w:link w:val="CaptionChar"/>
    <w:uiPriority w:val="35"/>
    <w:unhideWhenUsed/>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Pr>
      <w:rFonts w:ascii="Arial Narrow" w:eastAsiaTheme="majorEastAsia" w:hAnsi="Arial Narrow" w:cstheme="majorBidi"/>
      <w:b/>
      <w:bCs/>
      <w:szCs w:val="24"/>
    </w:rPr>
  </w:style>
  <w:style w:type="paragraph" w:styleId="Title">
    <w:name w:val="Title"/>
    <w:basedOn w:val="Normal"/>
    <w:next w:val="Normal"/>
    <w:link w:val="TitleChar"/>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hAnsi="Cambria"/>
      <w:b/>
      <w:bCs/>
      <w:snapToGrid w:val="0"/>
      <w:kern w:val="28"/>
      <w:sz w:val="32"/>
      <w:szCs w:val="32"/>
      <w:lang w:eastAsia="en-US"/>
    </w:rPr>
  </w:style>
  <w:style w:type="paragraph" w:styleId="BodyText">
    <w:name w:val="Body Text"/>
    <w:basedOn w:val="Normal"/>
    <w:link w:val="BodyTextChar"/>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pPr>
      <w:numPr>
        <w:numId w:val="3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Pr>
      <w:rFonts w:ascii="Calibri" w:hAnsi="Calibri"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Pr>
      <w:rFonts w:ascii="Arial Narrow" w:hAnsi="Arial Narrow"/>
      <w:b/>
      <w:sz w:val="20"/>
      <w:szCs w:val="16"/>
    </w:rPr>
  </w:style>
  <w:style w:type="paragraph" w:customStyle="1" w:styleId="Tabletext">
    <w:name w:val="Table text"/>
    <w:basedOn w:val="Normal"/>
    <w:link w:val="TabletextChar"/>
    <w:pPr>
      <w:jc w:val="left"/>
    </w:pPr>
    <w:rPr>
      <w:rFonts w:ascii="Arial Narrow" w:hAnsi="Arial Narrow" w:cs="Times New Roman"/>
      <w:snapToGrid w:val="0"/>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cs="Times New Roman"/>
      <w:snapToGrid w:val="0"/>
      <w:lang w:val="en-US"/>
    </w:rPr>
  </w:style>
  <w:style w:type="paragraph" w:styleId="NormalWeb">
    <w:name w:val="Normal (Web)"/>
    <w:basedOn w:val="Normal"/>
    <w:uiPriority w:val="99"/>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tabs>
        <w:tab w:val="left" w:pos="440"/>
        <w:tab w:val="right" w:leader="dot" w:pos="9016"/>
      </w:tabs>
      <w:spacing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pPr>
      <w:numPr>
        <w:numId w:val="2"/>
      </w:numPr>
      <w:contextualSpacing/>
    </w:pPr>
  </w:style>
  <w:style w:type="paragraph" w:customStyle="1" w:styleId="TableName">
    <w:name w:val="TableName"/>
    <w:basedOn w:val="Normal"/>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rPr>
      <w:rFonts w:ascii="Times New Roman" w:hAnsi="Times New Roman" w:cs="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Text0">
    <w:name w:val="Table Text"/>
    <w:link w:val="TableTextChar0"/>
    <w:qFormat/>
    <w:pPr>
      <w:keepNext/>
    </w:pPr>
    <w:rPr>
      <w:rFonts w:ascii="Arial Narrow" w:eastAsiaTheme="majorEastAsia" w:hAnsi="Arial Narrow" w:cstheme="majorBidi"/>
      <w:bCs/>
      <w:szCs w:val="24"/>
    </w:rPr>
  </w:style>
  <w:style w:type="paragraph" w:customStyle="1" w:styleId="V50Tablename">
    <w:name w:val="V5.0 Table name"/>
    <w:basedOn w:val="Normal"/>
    <w:link w:val="V50TablenameChar"/>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Pr>
      <w:rFonts w:asciiTheme="minorHAnsi" w:eastAsiaTheme="minorHAnsi" w:hAnsiTheme="minorHAnsi" w:cstheme="minorBidi"/>
      <w:b/>
      <w:szCs w:val="24"/>
      <w:lang w:val="en-US" w:eastAsia="en-US"/>
    </w:rPr>
  </w:style>
  <w:style w:type="paragraph" w:customStyle="1" w:styleId="GeneralHeading">
    <w:name w:val="General Heading"/>
    <w:qFormat/>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pPr>
      <w:keepNext/>
    </w:pPr>
    <w:rPr>
      <w:rFonts w:ascii="Arial Narrow" w:eastAsiaTheme="majorEastAsia" w:hAnsi="Arial Narrow"/>
      <w:b/>
      <w:szCs w:val="24"/>
      <w:lang w:val="en-US"/>
    </w:rPr>
  </w:style>
  <w:style w:type="paragraph" w:customStyle="1" w:styleId="2-SectionHeading">
    <w:name w:val="2-Section Heading"/>
    <w:qFormat/>
    <w:pPr>
      <w:keepNext/>
      <w:numPr>
        <w:numId w:val="3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Pr>
      <w:rFonts w:ascii="Arial Narrow" w:eastAsiaTheme="majorEastAsia" w:hAnsi="Arial Narrow" w:cstheme="majorBidi"/>
      <w:b/>
      <w:bCs/>
      <w:szCs w:val="24"/>
    </w:rPr>
  </w:style>
  <w:style w:type="paragraph" w:customStyle="1" w:styleId="3-BodyText">
    <w:name w:val="3-Body Text"/>
    <w:link w:val="3-BodyTextChar"/>
    <w:qFormat/>
    <w:pPr>
      <w:numPr>
        <w:ilvl w:val="1"/>
        <w:numId w:val="38"/>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Pr>
      <w:rFonts w:ascii="Calibri" w:hAnsi="Calibri" w:cs="Arial"/>
      <w:b/>
      <w:sz w:val="24"/>
      <w:szCs w:val="24"/>
    </w:rPr>
  </w:style>
  <w:style w:type="paragraph" w:customStyle="1" w:styleId="TableFigureFooter">
    <w:name w:val="Table/Figure Footer"/>
    <w:basedOn w:val="Normal"/>
    <w:link w:val="TableFigureFooterChar"/>
    <w:qFormat/>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pPr>
      <w:numPr>
        <w:numId w:val="4"/>
      </w:numPr>
      <w:contextualSpacing/>
    </w:pPr>
  </w:style>
  <w:style w:type="character" w:customStyle="1" w:styleId="TableTextChar0">
    <w:name w:val="Table Text Char"/>
    <w:basedOn w:val="DefaultParagraphFont"/>
    <w:link w:val="TableText0"/>
    <w:rPr>
      <w:rFonts w:ascii="Arial Narrow" w:eastAsiaTheme="majorEastAsia" w:hAnsi="Arial Narrow" w:cstheme="majorBidi"/>
      <w:bCs/>
      <w:szCs w:val="24"/>
    </w:rPr>
  </w:style>
  <w:style w:type="table" w:customStyle="1" w:styleId="Summarybox5">
    <w:name w:val="Summary box5"/>
    <w:basedOn w:val="TableNormal"/>
    <w:next w:val="TableGrid"/>
    <w:uiPriority w:val="5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0">
    <w:name w:val="Table Gridbeth10"/>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4">
    <w:name w:val="Table Gridbeth1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rPr>
  </w:style>
  <w:style w:type="character" w:styleId="FootnoteReference">
    <w:name w:val="footnote reference"/>
    <w:basedOn w:val="DefaultParagraphFont"/>
    <w:semiHidden/>
    <w:unhideWhenUsed/>
    <w:rPr>
      <w:vertAlign w:val="superscript"/>
    </w:rPr>
  </w:style>
  <w:style w:type="paragraph" w:customStyle="1" w:styleId="Default">
    <w:name w:val="Default"/>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509">
      <w:bodyDiv w:val="1"/>
      <w:marLeft w:val="0"/>
      <w:marRight w:val="0"/>
      <w:marTop w:val="0"/>
      <w:marBottom w:val="0"/>
      <w:divBdr>
        <w:top w:val="none" w:sz="0" w:space="0" w:color="auto"/>
        <w:left w:val="none" w:sz="0" w:space="0" w:color="auto"/>
        <w:bottom w:val="none" w:sz="0" w:space="0" w:color="auto"/>
        <w:right w:val="none" w:sz="0" w:space="0" w:color="auto"/>
      </w:divBdr>
    </w:div>
    <w:div w:id="1716349571">
      <w:bodyDiv w:val="1"/>
      <w:marLeft w:val="0"/>
      <w:marRight w:val="0"/>
      <w:marTop w:val="0"/>
      <w:marBottom w:val="0"/>
      <w:divBdr>
        <w:top w:val="none" w:sz="0" w:space="0" w:color="auto"/>
        <w:left w:val="none" w:sz="0" w:space="0" w:color="auto"/>
        <w:bottom w:val="none" w:sz="0" w:space="0" w:color="auto"/>
        <w:right w:val="none" w:sz="0" w:space="0" w:color="auto"/>
      </w:divBdr>
      <w:divsChild>
        <w:div w:id="747000380">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F1B0-A70C-4A84-A5B3-157D0190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4806</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2022-06-22T04:01:00Z</dcterms:created>
  <dcterms:modified xsi:type="dcterms:W3CDTF">2022-06-22T05:11:00Z</dcterms:modified>
</cp:coreProperties>
</file>