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0CD5F6A6" w:rsidR="00B60939" w:rsidRDefault="00AB4652" w:rsidP="004A6040">
      <w:pPr>
        <w:pStyle w:val="1-MainHeading"/>
      </w:pPr>
      <w:r>
        <w:t>5</w:t>
      </w:r>
      <w:r w:rsidR="00433044" w:rsidRPr="00746BBB">
        <w:t>.</w:t>
      </w:r>
      <w:r>
        <w:t>11</w:t>
      </w:r>
      <w:r w:rsidR="00163F66" w:rsidRPr="00746BBB">
        <w:tab/>
      </w:r>
      <w:r w:rsidR="00DD733D" w:rsidRPr="00746BBB">
        <w:t>PEGCETACOPLAN</w:t>
      </w:r>
      <w:r w:rsidR="00163F66" w:rsidRPr="00746BBB">
        <w:t>,</w:t>
      </w:r>
      <w:r w:rsidR="00163F66" w:rsidRPr="00746BBB">
        <w:br/>
      </w:r>
      <w:r w:rsidR="00F772F6" w:rsidRPr="00746BBB">
        <w:t>Solution for subcutaneous infusion</w:t>
      </w:r>
      <w:r w:rsidR="00163F66" w:rsidRPr="00746BBB">
        <w:t>,</w:t>
      </w:r>
      <w:r w:rsidR="00132ABE">
        <w:t xml:space="preserve"> </w:t>
      </w:r>
      <w:r w:rsidR="00163F66" w:rsidRPr="00746BBB">
        <w:br/>
      </w:r>
      <w:r w:rsidR="004F64E7" w:rsidRPr="00746BBB">
        <w:t>1,080 mg in 20 mL</w:t>
      </w:r>
      <w:r w:rsidR="00163F66" w:rsidRPr="00746BBB">
        <w:t>,</w:t>
      </w:r>
      <w:r w:rsidR="00163F66" w:rsidRPr="00746BBB">
        <w:br/>
      </w:r>
      <w:proofErr w:type="spellStart"/>
      <w:r w:rsidR="004F64E7" w:rsidRPr="00746BBB">
        <w:t>Empaveli</w:t>
      </w:r>
      <w:proofErr w:type="spellEnd"/>
      <w:r w:rsidR="00D50E1A" w:rsidRPr="00746BBB">
        <w:t>™</w:t>
      </w:r>
      <w:r w:rsidR="004A6040" w:rsidRPr="00746BBB">
        <w:t>,</w:t>
      </w:r>
      <w:r w:rsidR="004A6040" w:rsidRPr="00746BBB">
        <w:br/>
      </w:r>
      <w:r w:rsidR="004F64E7" w:rsidRPr="00746BBB">
        <w:t xml:space="preserve">Swedish Orphan </w:t>
      </w:r>
      <w:proofErr w:type="spellStart"/>
      <w:r w:rsidR="004F64E7" w:rsidRPr="00746BBB">
        <w:t>Biovitrum</w:t>
      </w:r>
      <w:proofErr w:type="spellEnd"/>
      <w:r w:rsidR="004F64E7" w:rsidRPr="00746BBB">
        <w:t xml:space="preserve"> Australia Pty Ltd</w:t>
      </w:r>
    </w:p>
    <w:p w14:paraId="11C00795" w14:textId="674C8111" w:rsidR="00B50DB8" w:rsidRPr="00746BBB" w:rsidRDefault="00B50DB8" w:rsidP="004A6040">
      <w:pPr>
        <w:pStyle w:val="2-SectionHeading"/>
      </w:pPr>
      <w:bookmarkStart w:id="0" w:name="_Toc93497065"/>
      <w:r w:rsidRPr="00746BBB">
        <w:t xml:space="preserve">Purpose of </w:t>
      </w:r>
      <w:r w:rsidR="00CD7193" w:rsidRPr="00746BBB">
        <w:t>s</w:t>
      </w:r>
      <w:r w:rsidR="00BB3A45" w:rsidRPr="00746BBB">
        <w:t>ubmission</w:t>
      </w:r>
      <w:bookmarkEnd w:id="0"/>
    </w:p>
    <w:p w14:paraId="19414AA1" w14:textId="6A5A9B41" w:rsidR="002C2775" w:rsidRPr="00746BBB" w:rsidRDefault="007170DA" w:rsidP="004B4081">
      <w:pPr>
        <w:pStyle w:val="ExecSumBodyText"/>
        <w:spacing w:after="160"/>
      </w:pPr>
      <w:r w:rsidRPr="00746BBB">
        <w:t>The</w:t>
      </w:r>
      <w:r w:rsidR="00555F36">
        <w:t xml:space="preserve"> Category 2</w:t>
      </w:r>
      <w:r w:rsidRPr="00746BBB">
        <w:t xml:space="preserve"> submission requested </w:t>
      </w:r>
      <w:r w:rsidR="00C61A60">
        <w:t xml:space="preserve">a Section 100, Authority Required listing for </w:t>
      </w:r>
      <w:proofErr w:type="spellStart"/>
      <w:r w:rsidR="00C61A60">
        <w:t>pegcetacoplan</w:t>
      </w:r>
      <w:proofErr w:type="spellEnd"/>
      <w:r w:rsidR="00C61A60">
        <w:t xml:space="preserve"> for the treatment of adults with paroxysmal nocturnal haemo</w:t>
      </w:r>
      <w:r w:rsidR="00156B9C">
        <w:t>globinuria (PNH) who have inadequate</w:t>
      </w:r>
      <w:r w:rsidR="006F1993">
        <w:t xml:space="preserve"> clinical response to C5 inhibitor treatment</w:t>
      </w:r>
      <w:r w:rsidR="008B1757" w:rsidRPr="00746BBB">
        <w:t xml:space="preserve">. </w:t>
      </w:r>
    </w:p>
    <w:p w14:paraId="4E9FBCB5" w14:textId="37441266" w:rsidR="00C2778B" w:rsidRPr="00A05B02" w:rsidRDefault="005750C5" w:rsidP="004B4081">
      <w:pPr>
        <w:pStyle w:val="ExecSumBodyText"/>
        <w:spacing w:after="160"/>
      </w:pPr>
      <w:r w:rsidRPr="00746BBB">
        <w:t xml:space="preserve">Listing was requested </w:t>
      </w:r>
      <w:proofErr w:type="gramStart"/>
      <w:r w:rsidRPr="00746BBB">
        <w:t>on the basis of</w:t>
      </w:r>
      <w:proofErr w:type="gramEnd"/>
      <w:r w:rsidRPr="00746BBB">
        <w:t xml:space="preserve"> a</w:t>
      </w:r>
      <w:r w:rsidR="00B97230">
        <w:t xml:space="preserve"> clinical comparison of </w:t>
      </w:r>
      <w:proofErr w:type="spellStart"/>
      <w:r w:rsidR="00B97230">
        <w:t>pegcetacoplan</w:t>
      </w:r>
      <w:proofErr w:type="spellEnd"/>
      <w:r w:rsidR="00B97230">
        <w:t xml:space="preserve"> versus eculizumab, a</w:t>
      </w:r>
      <w:r w:rsidRPr="00746BBB">
        <w:t xml:space="preserve"> cost-effectiveness analysis versus</w:t>
      </w:r>
      <w:r w:rsidR="00B97230">
        <w:t xml:space="preserve"> </w:t>
      </w:r>
      <w:proofErr w:type="spellStart"/>
      <w:r w:rsidR="00B97230">
        <w:t>ravulizumab</w:t>
      </w:r>
      <w:proofErr w:type="spellEnd"/>
      <w:r w:rsidR="00B97230">
        <w:t xml:space="preserve"> (using eculizumab</w:t>
      </w:r>
      <w:r w:rsidR="00A94361">
        <w:t>’</w:t>
      </w:r>
      <w:r w:rsidR="00B97230">
        <w:t>s clinical data as a proxy)</w:t>
      </w:r>
      <w:r w:rsidR="002742E4">
        <w:t xml:space="preserve"> and financial estimates assuming that </w:t>
      </w:r>
      <w:proofErr w:type="spellStart"/>
      <w:r w:rsidR="002742E4">
        <w:t>ravulizumab</w:t>
      </w:r>
      <w:proofErr w:type="spellEnd"/>
      <w:r w:rsidR="002742E4">
        <w:t xml:space="preserve"> will be PBS-listed and eculizumab would remain on the</w:t>
      </w:r>
      <w:r w:rsidR="00E63629">
        <w:t xml:space="preserve"> Life Saving Drugs Program</w:t>
      </w:r>
      <w:r w:rsidR="002742E4">
        <w:t xml:space="preserve"> </w:t>
      </w:r>
      <w:r w:rsidR="00E63629">
        <w:t>(</w:t>
      </w:r>
      <w:r w:rsidR="002742E4">
        <w:t>LSDP</w:t>
      </w:r>
      <w:r w:rsidR="00E63629">
        <w:t>)</w:t>
      </w:r>
      <w:r w:rsidR="002742E4">
        <w:t>.</w:t>
      </w:r>
      <w:r w:rsidRPr="00746BBB">
        <w:t xml:space="preserve"> </w:t>
      </w:r>
      <w:r w:rsidR="003F456B" w:rsidRPr="00A05B02">
        <w:t xml:space="preserve">This </w:t>
      </w:r>
      <w:r w:rsidR="002234C2" w:rsidRPr="00A05B02">
        <w:t>wa</w:t>
      </w:r>
      <w:r w:rsidR="003F456B" w:rsidRPr="00A05B02">
        <w:t xml:space="preserve">s inconsistent with the July 2021 PBAC </w:t>
      </w:r>
      <w:r w:rsidR="002234C2" w:rsidRPr="00A05B02">
        <w:t>outcome</w:t>
      </w:r>
      <w:r w:rsidR="003F456B" w:rsidRPr="00A05B02">
        <w:t xml:space="preserve"> </w:t>
      </w:r>
      <w:r w:rsidR="002234C2" w:rsidRPr="00A05B02">
        <w:t xml:space="preserve">for </w:t>
      </w:r>
      <w:proofErr w:type="spellStart"/>
      <w:r w:rsidR="002234C2" w:rsidRPr="00A05B02">
        <w:t>ravulizumab</w:t>
      </w:r>
      <w:proofErr w:type="spellEnd"/>
      <w:r w:rsidR="002234C2" w:rsidRPr="00A05B02">
        <w:t xml:space="preserve"> which also recommended </w:t>
      </w:r>
      <w:r w:rsidR="003F456B" w:rsidRPr="00A05B02">
        <w:t xml:space="preserve">that eculizumab be moved from the LSDP </w:t>
      </w:r>
      <w:r w:rsidR="00887DCB" w:rsidRPr="00A05B02">
        <w:t>to the PBS</w:t>
      </w:r>
      <w:r w:rsidR="003F456B" w:rsidRPr="00A05B02">
        <w:t xml:space="preserve"> </w:t>
      </w:r>
      <w:r w:rsidR="003F456B" w:rsidRPr="00A05B02">
        <w:rPr>
          <w:snapToGrid/>
        </w:rPr>
        <w:t xml:space="preserve">(para 7.2, </w:t>
      </w:r>
      <w:proofErr w:type="spellStart"/>
      <w:r w:rsidR="003F456B" w:rsidRPr="00A05B02">
        <w:rPr>
          <w:snapToGrid/>
        </w:rPr>
        <w:t>ravulizumab</w:t>
      </w:r>
      <w:proofErr w:type="spellEnd"/>
      <w:r w:rsidR="003F456B" w:rsidRPr="00A05B02">
        <w:rPr>
          <w:snapToGrid/>
        </w:rPr>
        <w:t xml:space="preserve"> </w:t>
      </w:r>
      <w:r w:rsidR="00174709">
        <w:rPr>
          <w:snapToGrid/>
        </w:rPr>
        <w:t>public summary document (</w:t>
      </w:r>
      <w:r w:rsidR="003F456B" w:rsidRPr="00A05B02">
        <w:rPr>
          <w:snapToGrid/>
        </w:rPr>
        <w:t>PSD</w:t>
      </w:r>
      <w:r w:rsidR="00174709">
        <w:rPr>
          <w:snapToGrid/>
        </w:rPr>
        <w:t>)</w:t>
      </w:r>
      <w:r w:rsidR="003F456B" w:rsidRPr="00A05B02">
        <w:rPr>
          <w:snapToGrid/>
        </w:rPr>
        <w:t>, July 2021 PBAC meeting)</w:t>
      </w:r>
      <w:r w:rsidR="003F456B" w:rsidRPr="00A05B02">
        <w:t>.</w:t>
      </w:r>
      <w:r w:rsidR="00BC591F" w:rsidRPr="00A05B02">
        <w:rPr>
          <w:color w:val="0066FF"/>
        </w:rPr>
        <w:t xml:space="preserve">  </w:t>
      </w:r>
    </w:p>
    <w:p w14:paraId="3718DE61" w14:textId="7F242EA3" w:rsidR="008B1757" w:rsidRPr="00746BBB" w:rsidRDefault="008B1757" w:rsidP="00230DB1">
      <w:pPr>
        <w:pStyle w:val="TableFigureCaption"/>
      </w:pPr>
      <w:r w:rsidRPr="00746BBB">
        <w:t xml:space="preserve">Table </w:t>
      </w:r>
      <w:fldSimple w:instr=" SEQ Table \* ARABIC ">
        <w:r w:rsidR="000A62F7">
          <w:rPr>
            <w:noProof/>
          </w:rPr>
          <w:t>1</w:t>
        </w:r>
      </w:fldSimple>
      <w:r w:rsidRPr="00746BBB">
        <w:t>:</w:t>
      </w:r>
      <w:r w:rsidR="00BC591F" w:rsidRPr="00746BBB">
        <w:t xml:space="preserve"> </w:t>
      </w:r>
      <w:r w:rsidRPr="00746BBB">
        <w:t xml:space="preserve">Key components of the clinical issue addressed </w:t>
      </w:r>
      <w:r w:rsidR="00CE059C">
        <w:t>in</w:t>
      </w:r>
      <w:r w:rsidRPr="00746BBB">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746BBB" w14:paraId="569F5103" w14:textId="77777777" w:rsidTr="002A2ADE">
        <w:trPr>
          <w:cantSplit/>
          <w:tblHeader/>
        </w:trPr>
        <w:tc>
          <w:tcPr>
            <w:tcW w:w="924" w:type="pct"/>
            <w:shd w:val="clear" w:color="auto" w:fill="auto"/>
          </w:tcPr>
          <w:p w14:paraId="501803FB" w14:textId="77777777" w:rsidR="008B1757" w:rsidRPr="00746BBB" w:rsidRDefault="008B1757" w:rsidP="004A6040">
            <w:pPr>
              <w:pStyle w:val="Tableheadingrow"/>
              <w:rPr>
                <w:szCs w:val="20"/>
                <w:lang w:val="en-AU"/>
              </w:rPr>
            </w:pPr>
            <w:r w:rsidRPr="00746BBB">
              <w:rPr>
                <w:lang w:val="en-AU"/>
              </w:rPr>
              <w:t>Component</w:t>
            </w:r>
          </w:p>
        </w:tc>
        <w:tc>
          <w:tcPr>
            <w:tcW w:w="4076" w:type="pct"/>
            <w:shd w:val="clear" w:color="auto" w:fill="auto"/>
          </w:tcPr>
          <w:p w14:paraId="445D9EBB" w14:textId="77777777" w:rsidR="008B1757" w:rsidRPr="00746BBB" w:rsidRDefault="008B1757" w:rsidP="004A6040">
            <w:pPr>
              <w:pStyle w:val="Tableheadingrow"/>
              <w:rPr>
                <w:lang w:val="en-AU"/>
              </w:rPr>
            </w:pPr>
            <w:r w:rsidRPr="00746BBB">
              <w:rPr>
                <w:lang w:val="en-AU"/>
              </w:rPr>
              <w:t>Description</w:t>
            </w:r>
          </w:p>
        </w:tc>
      </w:tr>
      <w:tr w:rsidR="00CE059C" w:rsidRPr="00746BBB" w14:paraId="2EB546E2" w14:textId="77777777" w:rsidTr="003F456B">
        <w:trPr>
          <w:cantSplit/>
        </w:trPr>
        <w:tc>
          <w:tcPr>
            <w:tcW w:w="924" w:type="pct"/>
            <w:shd w:val="clear" w:color="auto" w:fill="auto"/>
            <w:vAlign w:val="center"/>
          </w:tcPr>
          <w:p w14:paraId="38F3BB34" w14:textId="5361FEEA" w:rsidR="00CE059C" w:rsidRPr="00746BBB" w:rsidRDefault="00CE059C" w:rsidP="00CE059C">
            <w:pPr>
              <w:pStyle w:val="TableText"/>
            </w:pPr>
            <w:r w:rsidRPr="00746BBB">
              <w:t>Population</w:t>
            </w:r>
          </w:p>
        </w:tc>
        <w:tc>
          <w:tcPr>
            <w:tcW w:w="4076" w:type="pct"/>
            <w:shd w:val="clear" w:color="auto" w:fill="auto"/>
            <w:vAlign w:val="center"/>
          </w:tcPr>
          <w:p w14:paraId="79618EEE" w14:textId="717D2B99" w:rsidR="00CE059C" w:rsidRPr="00746BBB" w:rsidRDefault="00CE059C" w:rsidP="00CE059C">
            <w:pPr>
              <w:pStyle w:val="TableText"/>
              <w:rPr>
                <w:szCs w:val="20"/>
              </w:rPr>
            </w:pPr>
            <w:r w:rsidRPr="00746BBB">
              <w:t xml:space="preserve">Patients with paroxysmal nocturnal haemoglobinuria (PNH) and inadequate clinical response to C5 inhibitor treatment (haemoglobin level &lt;10.5 g/dL after ≥3 months of stable treatment)  </w:t>
            </w:r>
          </w:p>
        </w:tc>
      </w:tr>
      <w:tr w:rsidR="00CE059C" w:rsidRPr="00746BBB" w14:paraId="0CA523AF" w14:textId="77777777" w:rsidTr="003F456B">
        <w:trPr>
          <w:cantSplit/>
        </w:trPr>
        <w:tc>
          <w:tcPr>
            <w:tcW w:w="924" w:type="pct"/>
            <w:shd w:val="clear" w:color="auto" w:fill="auto"/>
            <w:vAlign w:val="center"/>
          </w:tcPr>
          <w:p w14:paraId="7B6D20D8" w14:textId="69FE8F8E" w:rsidR="00CE059C" w:rsidRPr="00746BBB" w:rsidRDefault="00CE059C" w:rsidP="00CE059C">
            <w:pPr>
              <w:pStyle w:val="TableText"/>
            </w:pPr>
            <w:r w:rsidRPr="00746BBB">
              <w:t>Intervention</w:t>
            </w:r>
          </w:p>
        </w:tc>
        <w:tc>
          <w:tcPr>
            <w:tcW w:w="4076" w:type="pct"/>
            <w:shd w:val="clear" w:color="auto" w:fill="auto"/>
            <w:vAlign w:val="center"/>
          </w:tcPr>
          <w:p w14:paraId="2491E905" w14:textId="65D627E8" w:rsidR="00CE059C" w:rsidRPr="00746BBB" w:rsidRDefault="00CE059C" w:rsidP="00CE059C">
            <w:pPr>
              <w:pStyle w:val="TableText"/>
            </w:pPr>
            <w:proofErr w:type="spellStart"/>
            <w:r w:rsidRPr="00746BBB">
              <w:t>Pegcetacoplan</w:t>
            </w:r>
            <w:proofErr w:type="spellEnd"/>
            <w:r w:rsidRPr="00746BBB">
              <w:t xml:space="preserve"> 1,080 mg in 20 mL twice weekly subcutaneous infusion via a commercially available infusion pump </w:t>
            </w:r>
            <w:r w:rsidRPr="00746BBB">
              <w:rPr>
                <w:vertAlign w:val="superscript"/>
              </w:rPr>
              <w:t>a</w:t>
            </w:r>
            <w:r w:rsidRPr="00746BBB">
              <w:t xml:space="preserve"> </w:t>
            </w:r>
          </w:p>
        </w:tc>
      </w:tr>
      <w:tr w:rsidR="00CE059C" w:rsidRPr="00746BBB" w14:paraId="0F81EBE4" w14:textId="77777777" w:rsidTr="003F456B">
        <w:trPr>
          <w:cantSplit/>
        </w:trPr>
        <w:tc>
          <w:tcPr>
            <w:tcW w:w="924" w:type="pct"/>
            <w:shd w:val="clear" w:color="auto" w:fill="auto"/>
            <w:vAlign w:val="center"/>
          </w:tcPr>
          <w:p w14:paraId="3656B343" w14:textId="63C5C9A5" w:rsidR="00CE059C" w:rsidRPr="00746BBB" w:rsidRDefault="00CE059C" w:rsidP="00CE059C">
            <w:pPr>
              <w:pStyle w:val="TableText"/>
            </w:pPr>
            <w:r w:rsidRPr="00746BBB">
              <w:t>Comparators</w:t>
            </w:r>
          </w:p>
        </w:tc>
        <w:tc>
          <w:tcPr>
            <w:tcW w:w="4076" w:type="pct"/>
            <w:shd w:val="clear" w:color="auto" w:fill="auto"/>
            <w:vAlign w:val="center"/>
          </w:tcPr>
          <w:p w14:paraId="3727DE24" w14:textId="35D59B07" w:rsidR="00CE059C" w:rsidRPr="00746BBB" w:rsidRDefault="00CE059C" w:rsidP="00CE059C">
            <w:pPr>
              <w:pStyle w:val="TableText"/>
            </w:pPr>
            <w:r w:rsidRPr="00746BBB">
              <w:t xml:space="preserve">Eculizumab 900 mg every 2 weeks intravenous infusion (maintenance dose) and </w:t>
            </w:r>
            <w:proofErr w:type="spellStart"/>
            <w:r w:rsidRPr="00746BBB">
              <w:t>ravulizumab</w:t>
            </w:r>
            <w:proofErr w:type="spellEnd"/>
            <w:r w:rsidRPr="00746BBB">
              <w:t xml:space="preserve"> 3,300 mg every 8 weeks intravenous infusion (maintenance dose)</w:t>
            </w:r>
          </w:p>
        </w:tc>
      </w:tr>
      <w:tr w:rsidR="00CE059C" w:rsidRPr="00746BBB" w14:paraId="02F86F0D" w14:textId="77777777" w:rsidTr="003F456B">
        <w:trPr>
          <w:cantSplit/>
        </w:trPr>
        <w:tc>
          <w:tcPr>
            <w:tcW w:w="924" w:type="pct"/>
            <w:shd w:val="clear" w:color="auto" w:fill="auto"/>
            <w:vAlign w:val="center"/>
          </w:tcPr>
          <w:p w14:paraId="06433105" w14:textId="5EA93E72" w:rsidR="00CE059C" w:rsidRPr="00746BBB" w:rsidRDefault="00CE059C" w:rsidP="00CE059C">
            <w:pPr>
              <w:pStyle w:val="TableText"/>
            </w:pPr>
            <w:r w:rsidRPr="00746BBB">
              <w:t>Outcomes</w:t>
            </w:r>
          </w:p>
        </w:tc>
        <w:tc>
          <w:tcPr>
            <w:tcW w:w="4076" w:type="pct"/>
            <w:shd w:val="clear" w:color="auto" w:fill="auto"/>
            <w:vAlign w:val="center"/>
          </w:tcPr>
          <w:p w14:paraId="5ABC4037" w14:textId="1DCD92A1" w:rsidR="00CE059C" w:rsidRPr="00746BBB" w:rsidRDefault="00CE059C" w:rsidP="00CE059C">
            <w:pPr>
              <w:pStyle w:val="TableText"/>
              <w:rPr>
                <w:rFonts w:eastAsia="Times New Roman" w:cs="Arial"/>
                <w:bCs w:val="0"/>
                <w:snapToGrid w:val="0"/>
                <w:color w:val="0066FF"/>
                <w:szCs w:val="20"/>
              </w:rPr>
            </w:pPr>
            <w:r w:rsidRPr="00746BBB">
              <w:t>Improved haemoglobin level and transfusion avoidance, leading to improvements in quality of life</w:t>
            </w:r>
          </w:p>
        </w:tc>
      </w:tr>
      <w:tr w:rsidR="00CE059C" w:rsidRPr="00746BBB" w14:paraId="22223890" w14:textId="77777777" w:rsidTr="003F456B">
        <w:trPr>
          <w:cantSplit/>
        </w:trPr>
        <w:tc>
          <w:tcPr>
            <w:tcW w:w="924" w:type="pct"/>
            <w:shd w:val="clear" w:color="auto" w:fill="auto"/>
            <w:vAlign w:val="center"/>
          </w:tcPr>
          <w:p w14:paraId="0FC8FCE0" w14:textId="727EDD96" w:rsidR="00CE059C" w:rsidRPr="00746BBB" w:rsidRDefault="00CE059C" w:rsidP="00CE059C">
            <w:pPr>
              <w:pStyle w:val="TableText"/>
            </w:pPr>
            <w:r w:rsidRPr="00746BBB">
              <w:t>Clinical claim</w:t>
            </w:r>
          </w:p>
        </w:tc>
        <w:tc>
          <w:tcPr>
            <w:tcW w:w="4076" w:type="pct"/>
            <w:shd w:val="clear" w:color="auto" w:fill="auto"/>
            <w:vAlign w:val="center"/>
          </w:tcPr>
          <w:p w14:paraId="2C99C4DE" w14:textId="0807BF0D" w:rsidR="00CE059C" w:rsidRPr="00746BBB" w:rsidRDefault="00CE059C" w:rsidP="00CE059C">
            <w:pPr>
              <w:pStyle w:val="TableText"/>
              <w:rPr>
                <w:rFonts w:eastAsia="Times New Roman" w:cs="Arial"/>
                <w:bCs w:val="0"/>
                <w:snapToGrid w:val="0"/>
                <w:color w:val="0066FF"/>
                <w:szCs w:val="20"/>
              </w:rPr>
            </w:pPr>
            <w:proofErr w:type="spellStart"/>
            <w:r w:rsidRPr="00746BBB">
              <w:t>Pegcetacoplan</w:t>
            </w:r>
            <w:proofErr w:type="spellEnd"/>
            <w:r w:rsidRPr="00746BBB">
              <w:t xml:space="preserve"> is superior in terms of improvements in haemoglobin level and at least non-inferior in terms of efficacy and safety compared to eculizumab and </w:t>
            </w:r>
            <w:proofErr w:type="spellStart"/>
            <w:r w:rsidRPr="00746BBB">
              <w:t>ravulizumab</w:t>
            </w:r>
            <w:proofErr w:type="spellEnd"/>
          </w:p>
        </w:tc>
      </w:tr>
    </w:tbl>
    <w:p w14:paraId="527CA7F0" w14:textId="357CD907" w:rsidR="004E43B2" w:rsidRDefault="008B1757" w:rsidP="004A6040">
      <w:pPr>
        <w:pStyle w:val="TableFigureFooter"/>
      </w:pPr>
      <w:r w:rsidRPr="00746BBB">
        <w:t xml:space="preserve">Source: </w:t>
      </w:r>
      <w:r w:rsidR="00CE059C" w:rsidRPr="00746BBB">
        <w:t>Table 1-1, p 13 of the submission</w:t>
      </w:r>
    </w:p>
    <w:p w14:paraId="119EAAE7" w14:textId="08A7D2FD" w:rsidR="00CE059C" w:rsidRPr="00CE059C" w:rsidRDefault="00CE059C" w:rsidP="004A6040">
      <w:pPr>
        <w:pStyle w:val="TableFigureFooter"/>
      </w:pPr>
      <w:r w:rsidRPr="00746BBB">
        <w:rPr>
          <w:vertAlign w:val="superscript"/>
        </w:rPr>
        <w:t xml:space="preserve">a </w:t>
      </w:r>
      <w:r w:rsidRPr="00746BBB">
        <w:t>Dosing frequency may be increased to 1,080 mg every third day if a patient’s lactate dehydrogenase (LDH) level is greater than 2 x upper limit of normal (ULN)</w:t>
      </w:r>
    </w:p>
    <w:p w14:paraId="6B4AB6C2" w14:textId="19A7E6B0" w:rsidR="005C25FF" w:rsidRPr="00746BBB" w:rsidRDefault="005C25FF" w:rsidP="004A6040">
      <w:pPr>
        <w:pStyle w:val="2-SectionHeading"/>
      </w:pPr>
      <w:bookmarkStart w:id="1" w:name="_Toc93497066"/>
      <w:r w:rsidRPr="00746BBB">
        <w:t>Background</w:t>
      </w:r>
      <w:bookmarkEnd w:id="1"/>
    </w:p>
    <w:p w14:paraId="2C521D6D" w14:textId="78CF03EE" w:rsidR="005C25FF" w:rsidRPr="00746BBB" w:rsidRDefault="005C25FF" w:rsidP="004A6040">
      <w:pPr>
        <w:pStyle w:val="3-SubsectionHeading"/>
      </w:pPr>
      <w:bookmarkStart w:id="2" w:name="_Toc22897638"/>
      <w:bookmarkStart w:id="3" w:name="_Toc93497067"/>
      <w:r w:rsidRPr="00746BBB">
        <w:t>Registration status</w:t>
      </w:r>
      <w:bookmarkEnd w:id="2"/>
      <w:bookmarkEnd w:id="3"/>
    </w:p>
    <w:p w14:paraId="123CA646" w14:textId="0A62F471" w:rsidR="00423F13" w:rsidRPr="005E52D3" w:rsidRDefault="00C0083F" w:rsidP="00423F13">
      <w:pPr>
        <w:pStyle w:val="3-BodyText"/>
        <w:numPr>
          <w:ilvl w:val="1"/>
          <w:numId w:val="1"/>
        </w:numPr>
      </w:pPr>
      <w:proofErr w:type="spellStart"/>
      <w:r w:rsidRPr="005E52D3">
        <w:t>Pegcetacoplan</w:t>
      </w:r>
      <w:proofErr w:type="spellEnd"/>
      <w:r w:rsidRPr="005E52D3">
        <w:t xml:space="preserve"> was submitted under the TGA/PBAC parallel process</w:t>
      </w:r>
      <w:r w:rsidR="00423F13" w:rsidRPr="005E52D3">
        <w:t>.</w:t>
      </w:r>
      <w:r w:rsidRPr="005E52D3">
        <w:t xml:space="preserve"> </w:t>
      </w:r>
      <w:r w:rsidR="00423F13" w:rsidRPr="005E52D3">
        <w:t>During</w:t>
      </w:r>
      <w:r w:rsidRPr="005E52D3">
        <w:t xml:space="preserve"> the evaluation </w:t>
      </w:r>
      <w:r w:rsidR="00423F13" w:rsidRPr="005E52D3">
        <w:t>the TGA Delegate’s overview became available</w:t>
      </w:r>
      <w:r w:rsidRPr="005E52D3">
        <w:t xml:space="preserve">. </w:t>
      </w:r>
      <w:r w:rsidR="00423F13" w:rsidRPr="005E52D3">
        <w:t xml:space="preserve">The TGA approved the registration of </w:t>
      </w:r>
      <w:proofErr w:type="spellStart"/>
      <w:r w:rsidR="00423F13" w:rsidRPr="005E52D3">
        <w:t>pegcetacoplan</w:t>
      </w:r>
      <w:proofErr w:type="spellEnd"/>
      <w:r w:rsidR="00423F13" w:rsidRPr="005E52D3">
        <w:t xml:space="preserve"> on </w:t>
      </w:r>
      <w:r w:rsidR="005E52D3">
        <w:t>28 January</w:t>
      </w:r>
      <w:r w:rsidR="00423F13" w:rsidRPr="005E52D3">
        <w:t xml:space="preserve"> 2022. </w:t>
      </w:r>
    </w:p>
    <w:p w14:paraId="5719DD22" w14:textId="3F54ABFD" w:rsidR="00423F13" w:rsidRPr="00937F6D" w:rsidRDefault="00423F13" w:rsidP="00423F13">
      <w:pPr>
        <w:pStyle w:val="3-BodyText"/>
        <w:numPr>
          <w:ilvl w:val="1"/>
          <w:numId w:val="1"/>
        </w:numPr>
        <w:rPr>
          <w:iCs/>
        </w:rPr>
      </w:pPr>
      <w:r w:rsidRPr="00937F6D">
        <w:rPr>
          <w:iCs/>
        </w:rPr>
        <w:t xml:space="preserve">The approved TGA indication is as follows: </w:t>
      </w:r>
    </w:p>
    <w:p w14:paraId="2E56E6CC" w14:textId="2714C72A" w:rsidR="00423F13" w:rsidRPr="00937F6D" w:rsidRDefault="00423F13" w:rsidP="00423F13">
      <w:pPr>
        <w:pStyle w:val="3-BodyText"/>
        <w:ind w:firstLine="0"/>
        <w:rPr>
          <w:iCs/>
        </w:rPr>
      </w:pPr>
      <w:r w:rsidRPr="00937F6D">
        <w:rPr>
          <w:iCs/>
        </w:rPr>
        <w:lastRenderedPageBreak/>
        <w:t>‘EMPAVELI is indicated in the treatment of adult patients with paroxysmal nocturnal haemoglobinuria (PNH) who have an inadequate response to, or are intolerant of, a C5 inhibitor’.</w:t>
      </w:r>
    </w:p>
    <w:p w14:paraId="4DEB6EF3" w14:textId="6444D97F" w:rsidR="00135F5F" w:rsidRPr="00135F5F" w:rsidRDefault="001D18E3" w:rsidP="00DE667B">
      <w:pPr>
        <w:pStyle w:val="ExecSumBodyText"/>
        <w:spacing w:after="160"/>
      </w:pPr>
      <w:r w:rsidRPr="001D18E3">
        <w:t xml:space="preserve">The product information indicates that </w:t>
      </w:r>
      <w:proofErr w:type="spellStart"/>
      <w:r w:rsidRPr="001D18E3">
        <w:t>pegcetacoplan</w:t>
      </w:r>
      <w:proofErr w:type="spellEnd"/>
      <w:r w:rsidRPr="001D18E3">
        <w:t xml:space="preserve"> is to be included in the Black Triangle Scheme</w:t>
      </w:r>
      <w:r>
        <w:t xml:space="preserve"> and includes a boxed warning regarding the risk </w:t>
      </w:r>
      <w:r w:rsidRPr="00746BBB">
        <w:t xml:space="preserve">of serious infections caused by encapsulated bacteria, such as </w:t>
      </w:r>
      <w:r w:rsidRPr="00135F5F">
        <w:rPr>
          <w:i/>
          <w:iCs/>
        </w:rPr>
        <w:t xml:space="preserve">Streptococcus pneumoniae, Neisseria meningitidis, </w:t>
      </w:r>
      <w:r w:rsidRPr="00135F5F">
        <w:t>and</w:t>
      </w:r>
      <w:r w:rsidRPr="00135F5F">
        <w:rPr>
          <w:i/>
          <w:iCs/>
        </w:rPr>
        <w:t xml:space="preserve"> Haemophilus influenzae</w:t>
      </w:r>
      <w:r w:rsidRPr="00746BBB">
        <w:t xml:space="preserve"> type B</w:t>
      </w:r>
      <w:r w:rsidR="004D168E">
        <w:t xml:space="preserve"> (HIB)</w:t>
      </w:r>
      <w:r w:rsidR="003A31C1">
        <w:t xml:space="preserve">, with recommendations to vaccinate against these bacteria prior to initiation of </w:t>
      </w:r>
      <w:proofErr w:type="spellStart"/>
      <w:r w:rsidR="003A31C1">
        <w:t>pegcetacoplan</w:t>
      </w:r>
      <w:proofErr w:type="spellEnd"/>
      <w:r w:rsidR="003A31C1">
        <w:t xml:space="preserve"> treatment. </w:t>
      </w:r>
      <w:r w:rsidR="00C60C3A" w:rsidRPr="00937F6D">
        <w:t xml:space="preserve">The ESC noted that ATAGI advice </w:t>
      </w:r>
      <w:r w:rsidR="00023EC8" w:rsidRPr="00937F6D">
        <w:t>was required to</w:t>
      </w:r>
      <w:r w:rsidR="00C60C3A" w:rsidRPr="00937F6D">
        <w:t xml:space="preserve"> extend </w:t>
      </w:r>
      <w:r w:rsidR="00D90192" w:rsidRPr="00937F6D">
        <w:t xml:space="preserve">access on the </w:t>
      </w:r>
      <w:r w:rsidR="00C60C3A" w:rsidRPr="00937F6D">
        <w:t>National Immunisation Program (NIP) to these vaccines for this purpose.</w:t>
      </w:r>
      <w:r w:rsidR="00B352C5">
        <w:t xml:space="preserve"> </w:t>
      </w:r>
      <w:r w:rsidR="004D168E">
        <w:t xml:space="preserve">The PBAC noted ATAGI advice dated 3 March 2022 </w:t>
      </w:r>
      <w:r w:rsidR="00135F5F">
        <w:t xml:space="preserve">which stated </w:t>
      </w:r>
      <w:r w:rsidR="00135F5F" w:rsidRPr="00135F5F">
        <w:t xml:space="preserve">it would be reasonable to recommend vaccination prior to </w:t>
      </w:r>
      <w:proofErr w:type="spellStart"/>
      <w:r w:rsidR="00135F5F" w:rsidRPr="00135F5F">
        <w:t>pegcetacoplan</w:t>
      </w:r>
      <w:proofErr w:type="spellEnd"/>
      <w:r w:rsidR="00135F5F" w:rsidRPr="00135F5F">
        <w:t xml:space="preserve"> including against </w:t>
      </w:r>
      <w:r w:rsidR="00135F5F" w:rsidRPr="00135F5F">
        <w:rPr>
          <w:i/>
          <w:iCs/>
        </w:rPr>
        <w:t xml:space="preserve">S. pneumoniae; N. meningitidis A, C, W, Y, </w:t>
      </w:r>
      <w:r w:rsidR="00135F5F" w:rsidRPr="00135F5F">
        <w:t>and</w:t>
      </w:r>
      <w:r w:rsidR="00135F5F" w:rsidRPr="00135F5F">
        <w:rPr>
          <w:i/>
          <w:iCs/>
        </w:rPr>
        <w:t xml:space="preserve"> B; </w:t>
      </w:r>
      <w:r w:rsidR="00135F5F" w:rsidRPr="00135F5F">
        <w:t>and</w:t>
      </w:r>
      <w:r w:rsidR="00135F5F" w:rsidRPr="00135F5F">
        <w:rPr>
          <w:i/>
          <w:iCs/>
        </w:rPr>
        <w:t xml:space="preserve"> H. influenzae</w:t>
      </w:r>
      <w:r w:rsidR="00135F5F" w:rsidRPr="00135F5F">
        <w:t xml:space="preserve">. </w:t>
      </w:r>
      <w:r w:rsidR="00DE667B">
        <w:t>I</w:t>
      </w:r>
      <w:r w:rsidR="00135F5F" w:rsidRPr="00135F5F">
        <w:t>f the therapy is ongoing, noting some treatment courses can be months/years, this will lead to persistent complement deficiency, so ongoing vaccination will be required to provide ongoing protection from these encapsulated bacteria.</w:t>
      </w:r>
      <w:r w:rsidR="00DE667B">
        <w:t xml:space="preserve"> </w:t>
      </w:r>
      <w:r w:rsidR="00135F5F" w:rsidRPr="00135F5F">
        <w:t xml:space="preserve">The </w:t>
      </w:r>
      <w:r w:rsidR="00DE667B">
        <w:t xml:space="preserve">ATAGI advice stated the </w:t>
      </w:r>
      <w:r w:rsidR="00135F5F" w:rsidRPr="00135F5F">
        <w:t xml:space="preserve">required number of vaccines would be: </w:t>
      </w:r>
    </w:p>
    <w:p w14:paraId="5C0C42CF" w14:textId="77777777" w:rsidR="00135F5F" w:rsidRPr="00135F5F" w:rsidRDefault="00135F5F" w:rsidP="00DE667B">
      <w:pPr>
        <w:pStyle w:val="ExecSumBodyText"/>
        <w:numPr>
          <w:ilvl w:val="0"/>
          <w:numId w:val="9"/>
        </w:numPr>
        <w:spacing w:after="0"/>
        <w:ind w:left="1077" w:hanging="357"/>
      </w:pPr>
      <w:r w:rsidRPr="00135F5F">
        <w:t>HIB – single dose</w:t>
      </w:r>
    </w:p>
    <w:p w14:paraId="5D6BD391" w14:textId="77777777" w:rsidR="00135F5F" w:rsidRPr="00135F5F" w:rsidRDefault="00135F5F" w:rsidP="00DE667B">
      <w:pPr>
        <w:pStyle w:val="ExecSumBodyText"/>
        <w:numPr>
          <w:ilvl w:val="0"/>
          <w:numId w:val="9"/>
        </w:numPr>
        <w:spacing w:after="0"/>
        <w:ind w:left="1077" w:hanging="357"/>
      </w:pPr>
      <w:r w:rsidRPr="00135F5F">
        <w:t>Conjugate pneumococcal vaccine (PCV13) single dose</w:t>
      </w:r>
    </w:p>
    <w:p w14:paraId="0CA04FC0" w14:textId="77777777" w:rsidR="00135F5F" w:rsidRPr="00135F5F" w:rsidRDefault="00135F5F" w:rsidP="00EB40F2">
      <w:pPr>
        <w:pStyle w:val="ExecSumBodyText"/>
        <w:numPr>
          <w:ilvl w:val="1"/>
          <w:numId w:val="9"/>
        </w:numPr>
        <w:spacing w:after="0"/>
        <w:ind w:left="1474" w:hanging="357"/>
      </w:pPr>
      <w:r w:rsidRPr="00135F5F">
        <w:t>PPV23 max 2 doses (1st at min 8-weeks following PCV13); 2nd min 4 years later</w:t>
      </w:r>
    </w:p>
    <w:p w14:paraId="7D2025B4" w14:textId="77777777" w:rsidR="00135F5F" w:rsidRPr="00135F5F" w:rsidRDefault="00135F5F" w:rsidP="00DE667B">
      <w:pPr>
        <w:pStyle w:val="ExecSumBodyText"/>
        <w:numPr>
          <w:ilvl w:val="0"/>
          <w:numId w:val="9"/>
        </w:numPr>
        <w:spacing w:after="0"/>
        <w:ind w:left="1077" w:hanging="357"/>
      </w:pPr>
      <w:r w:rsidRPr="00135F5F">
        <w:t>Men ACWY- single dose with a booster recommended every 5 years</w:t>
      </w:r>
    </w:p>
    <w:p w14:paraId="555369FE" w14:textId="77777777" w:rsidR="00135F5F" w:rsidRPr="00135F5F" w:rsidRDefault="00135F5F" w:rsidP="00DE667B">
      <w:pPr>
        <w:pStyle w:val="ExecSumBodyText"/>
        <w:numPr>
          <w:ilvl w:val="0"/>
          <w:numId w:val="9"/>
        </w:numPr>
        <w:spacing w:after="0"/>
        <w:ind w:left="1077" w:hanging="357"/>
      </w:pPr>
      <w:r w:rsidRPr="00135F5F">
        <w:t xml:space="preserve">Men B vaccine: 2 doses minimum 8-weeks apart </w:t>
      </w:r>
    </w:p>
    <w:p w14:paraId="7C161BFF" w14:textId="77777777" w:rsidR="00135F5F" w:rsidRPr="00135F5F" w:rsidRDefault="00135F5F" w:rsidP="00EB40F2">
      <w:pPr>
        <w:pStyle w:val="ExecSumBodyText"/>
        <w:numPr>
          <w:ilvl w:val="1"/>
          <w:numId w:val="9"/>
        </w:numPr>
        <w:spacing w:after="0"/>
        <w:ind w:left="1474" w:hanging="357"/>
      </w:pPr>
      <w:r w:rsidRPr="00135F5F">
        <w:t>Booster dose 3-years after the previous dose if aged ≤6 years at completion of primary course and at 5 years after the previous dose if aged ≥7 years at completion of primary</w:t>
      </w:r>
    </w:p>
    <w:p w14:paraId="38313AA1" w14:textId="6234EEC2" w:rsidR="00934577" w:rsidRPr="00934577" w:rsidRDefault="00934577" w:rsidP="00934577">
      <w:pPr>
        <w:pStyle w:val="ExecSumBodyText"/>
        <w:numPr>
          <w:ilvl w:val="0"/>
          <w:numId w:val="0"/>
        </w:numPr>
        <w:spacing w:after="160"/>
        <w:ind w:left="720"/>
        <w:rPr>
          <w:i/>
          <w:iCs/>
        </w:rPr>
      </w:pPr>
      <w:bookmarkStart w:id="4" w:name="_Hlk76375324"/>
      <w:r w:rsidRPr="00934577">
        <w:rPr>
          <w:i/>
          <w:iCs/>
        </w:rPr>
        <w:t>For more detail on PBAC’s view, see section 7 PBAC outcome.</w:t>
      </w:r>
      <w:bookmarkEnd w:id="4"/>
    </w:p>
    <w:p w14:paraId="76E4EF3C" w14:textId="20EBA614" w:rsidR="00B60939" w:rsidRPr="00D90192" w:rsidRDefault="00B50DB8" w:rsidP="004E18E9">
      <w:pPr>
        <w:pStyle w:val="2-SectionHeading"/>
      </w:pPr>
      <w:bookmarkStart w:id="5" w:name="_Toc93497068"/>
      <w:r w:rsidRPr="00D90192">
        <w:t>Requested listing</w:t>
      </w:r>
      <w:bookmarkEnd w:id="5"/>
    </w:p>
    <w:p w14:paraId="0B4F181F" w14:textId="12079B69" w:rsidR="00A05B02" w:rsidRPr="00F86028" w:rsidRDefault="00621CBD" w:rsidP="00621CBD">
      <w:pPr>
        <w:pStyle w:val="3-BodyText"/>
        <w:numPr>
          <w:ilvl w:val="1"/>
          <w:numId w:val="1"/>
        </w:numPr>
      </w:pPr>
      <w:r w:rsidRPr="00621CBD">
        <w:t>Suggestions and additions proposed by the Secretariat are added in italics and suggested deletions are crossed out with strikethrough</w:t>
      </w:r>
      <w:r w:rsidR="00A05B02" w:rsidRPr="00621CBD">
        <w:rPr>
          <w:i/>
          <w:iCs/>
        </w:rPr>
        <w:t xml:space="preserve">. </w:t>
      </w:r>
    </w:p>
    <w:p w14:paraId="15B3D4D2" w14:textId="2EF84B91" w:rsidR="00F86028" w:rsidRDefault="00F86028">
      <w:pPr>
        <w:jc w:val="left"/>
        <w:rPr>
          <w:rFonts w:asciiTheme="minorHAnsi" w:hAnsiTheme="minorHAnsi"/>
          <w:i/>
          <w:iCs/>
          <w:snapToGrid w:val="0"/>
        </w:rPr>
      </w:pPr>
      <w:r>
        <w:rPr>
          <w:i/>
          <w:iCs/>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850"/>
        <w:gridCol w:w="992"/>
        <w:gridCol w:w="851"/>
        <w:gridCol w:w="1276"/>
        <w:gridCol w:w="1842"/>
      </w:tblGrid>
      <w:tr w:rsidR="00621CBD" w:rsidRPr="00D60E79" w14:paraId="6C96F305" w14:textId="77777777" w:rsidTr="00621CBD">
        <w:trPr>
          <w:cantSplit/>
          <w:trHeight w:val="471"/>
        </w:trPr>
        <w:tc>
          <w:tcPr>
            <w:tcW w:w="2405" w:type="dxa"/>
          </w:tcPr>
          <w:p w14:paraId="491A9A9E" w14:textId="77777777" w:rsidR="00621CBD" w:rsidRPr="00621CBD" w:rsidRDefault="00621CBD" w:rsidP="00BA32A1">
            <w:pPr>
              <w:keepNext/>
              <w:ind w:left="-57"/>
              <w:rPr>
                <w:rFonts w:ascii="Arial Narrow" w:eastAsia="Calibri" w:hAnsi="Arial Narrow"/>
                <w:b/>
                <w:bCs/>
                <w:sz w:val="18"/>
                <w:szCs w:val="18"/>
              </w:rPr>
            </w:pPr>
            <w:r w:rsidRPr="00621CBD">
              <w:rPr>
                <w:rFonts w:ascii="Arial Narrow" w:eastAsia="Calibri" w:hAnsi="Arial Narrow"/>
                <w:b/>
                <w:bCs/>
                <w:sz w:val="18"/>
                <w:szCs w:val="18"/>
              </w:rPr>
              <w:lastRenderedPageBreak/>
              <w:t>MEDICINAL PRODUCT</w:t>
            </w:r>
          </w:p>
          <w:p w14:paraId="1CAA6DED" w14:textId="77777777" w:rsidR="00621CBD" w:rsidRPr="00621CBD" w:rsidRDefault="00621CBD" w:rsidP="00BA32A1">
            <w:pPr>
              <w:keepNext/>
              <w:ind w:left="-57"/>
              <w:rPr>
                <w:rFonts w:ascii="Arial Narrow" w:eastAsia="Calibri" w:hAnsi="Arial Narrow"/>
                <w:b/>
                <w:sz w:val="18"/>
                <w:szCs w:val="18"/>
              </w:rPr>
            </w:pPr>
            <w:r w:rsidRPr="00621CBD">
              <w:rPr>
                <w:rFonts w:ascii="Arial Narrow" w:eastAsia="Calibri" w:hAnsi="Arial Narrow"/>
                <w:b/>
                <w:bCs/>
                <w:sz w:val="18"/>
                <w:szCs w:val="18"/>
              </w:rPr>
              <w:t>medicinal product pack</w:t>
            </w:r>
          </w:p>
        </w:tc>
        <w:tc>
          <w:tcPr>
            <w:tcW w:w="851" w:type="dxa"/>
          </w:tcPr>
          <w:p w14:paraId="5147DE5C" w14:textId="77777777" w:rsidR="00621CBD" w:rsidRPr="00621CBD" w:rsidRDefault="00621CBD" w:rsidP="00BA32A1">
            <w:pPr>
              <w:keepNext/>
              <w:ind w:left="-108"/>
              <w:jc w:val="center"/>
              <w:rPr>
                <w:rFonts w:ascii="Arial Narrow" w:eastAsia="Calibri" w:hAnsi="Arial Narrow"/>
                <w:b/>
                <w:sz w:val="18"/>
                <w:szCs w:val="18"/>
              </w:rPr>
            </w:pPr>
            <w:r w:rsidRPr="00621CBD">
              <w:rPr>
                <w:rFonts w:ascii="Arial Narrow" w:eastAsia="Calibri" w:hAnsi="Arial Narrow"/>
                <w:b/>
                <w:sz w:val="18"/>
                <w:szCs w:val="18"/>
              </w:rPr>
              <w:t>PBS item code</w:t>
            </w:r>
          </w:p>
        </w:tc>
        <w:tc>
          <w:tcPr>
            <w:tcW w:w="850" w:type="dxa"/>
          </w:tcPr>
          <w:p w14:paraId="4D2A5147" w14:textId="77777777" w:rsidR="00621CBD" w:rsidRPr="00621CBD" w:rsidRDefault="00621CBD" w:rsidP="00BA32A1">
            <w:pPr>
              <w:keepNext/>
              <w:ind w:left="-108"/>
              <w:jc w:val="center"/>
              <w:rPr>
                <w:rFonts w:ascii="Arial Narrow" w:eastAsia="Calibri" w:hAnsi="Arial Narrow"/>
                <w:b/>
                <w:sz w:val="18"/>
                <w:szCs w:val="18"/>
              </w:rPr>
            </w:pPr>
            <w:r w:rsidRPr="00621CBD">
              <w:rPr>
                <w:rFonts w:ascii="Arial Narrow" w:eastAsia="Calibri" w:hAnsi="Arial Narrow"/>
                <w:b/>
                <w:sz w:val="18"/>
                <w:szCs w:val="18"/>
              </w:rPr>
              <w:t>Max. qty packs</w:t>
            </w:r>
          </w:p>
        </w:tc>
        <w:tc>
          <w:tcPr>
            <w:tcW w:w="992" w:type="dxa"/>
          </w:tcPr>
          <w:p w14:paraId="6B7CF32C" w14:textId="77777777" w:rsidR="00621CBD" w:rsidRPr="00621CBD" w:rsidRDefault="00621CBD" w:rsidP="00BA32A1">
            <w:pPr>
              <w:keepNext/>
              <w:ind w:left="-108"/>
              <w:jc w:val="center"/>
              <w:rPr>
                <w:rFonts w:ascii="Arial Narrow" w:eastAsia="Calibri" w:hAnsi="Arial Narrow"/>
                <w:b/>
                <w:sz w:val="18"/>
                <w:szCs w:val="18"/>
              </w:rPr>
            </w:pPr>
            <w:r w:rsidRPr="00621CBD">
              <w:rPr>
                <w:rFonts w:ascii="Arial Narrow" w:eastAsia="Calibri" w:hAnsi="Arial Narrow"/>
                <w:b/>
                <w:sz w:val="18"/>
                <w:szCs w:val="18"/>
              </w:rPr>
              <w:t>Max. qty units</w:t>
            </w:r>
          </w:p>
        </w:tc>
        <w:tc>
          <w:tcPr>
            <w:tcW w:w="851" w:type="dxa"/>
          </w:tcPr>
          <w:p w14:paraId="3D1C8B6B" w14:textId="5AA9D8BD" w:rsidR="00621CBD" w:rsidRPr="00621CBD" w:rsidRDefault="00621CBD" w:rsidP="00BA32A1">
            <w:pPr>
              <w:keepNext/>
              <w:ind w:left="-108"/>
              <w:jc w:val="center"/>
              <w:rPr>
                <w:rFonts w:ascii="Arial Narrow" w:eastAsia="Calibri" w:hAnsi="Arial Narrow"/>
                <w:b/>
                <w:sz w:val="18"/>
                <w:szCs w:val="18"/>
              </w:rPr>
            </w:pPr>
            <w:proofErr w:type="gramStart"/>
            <w:r w:rsidRPr="00621CBD">
              <w:rPr>
                <w:rFonts w:ascii="Arial Narrow" w:eastAsia="Calibri" w:hAnsi="Arial Narrow"/>
                <w:b/>
                <w:sz w:val="18"/>
                <w:szCs w:val="18"/>
              </w:rPr>
              <w:t>№.of</w:t>
            </w:r>
            <w:proofErr w:type="gramEnd"/>
            <w:r w:rsidRPr="00621CBD">
              <w:rPr>
                <w:rFonts w:ascii="Arial Narrow" w:eastAsia="Calibri" w:hAnsi="Arial Narrow"/>
                <w:b/>
                <w:sz w:val="18"/>
                <w:szCs w:val="18"/>
              </w:rPr>
              <w:t xml:space="preserve"> </w:t>
            </w:r>
            <w:r>
              <w:rPr>
                <w:rFonts w:ascii="Arial Narrow" w:eastAsia="Calibri" w:hAnsi="Arial Narrow"/>
                <w:b/>
                <w:sz w:val="18"/>
                <w:szCs w:val="18"/>
              </w:rPr>
              <w:br/>
            </w:r>
            <w:proofErr w:type="spellStart"/>
            <w:r w:rsidRPr="00621CBD">
              <w:rPr>
                <w:rFonts w:ascii="Arial Narrow" w:eastAsia="Calibri" w:hAnsi="Arial Narrow"/>
                <w:b/>
                <w:sz w:val="18"/>
                <w:szCs w:val="18"/>
              </w:rPr>
              <w:t>Rpts</w:t>
            </w:r>
            <w:proofErr w:type="spellEnd"/>
          </w:p>
        </w:tc>
        <w:tc>
          <w:tcPr>
            <w:tcW w:w="1276" w:type="dxa"/>
          </w:tcPr>
          <w:p w14:paraId="485B879B" w14:textId="0C177867" w:rsidR="00621CBD" w:rsidRPr="00621CBD" w:rsidRDefault="00621CBD" w:rsidP="00BA32A1">
            <w:pPr>
              <w:keepNext/>
              <w:ind w:left="-108"/>
              <w:jc w:val="center"/>
              <w:rPr>
                <w:rFonts w:ascii="Arial Narrow" w:eastAsia="Calibri" w:hAnsi="Arial Narrow"/>
                <w:b/>
                <w:sz w:val="18"/>
                <w:szCs w:val="18"/>
              </w:rPr>
            </w:pPr>
            <w:r>
              <w:rPr>
                <w:rFonts w:ascii="Arial Narrow" w:eastAsia="Calibri" w:hAnsi="Arial Narrow"/>
                <w:b/>
                <w:sz w:val="18"/>
                <w:szCs w:val="18"/>
              </w:rPr>
              <w:t>Dispensed price for maximum quantity</w:t>
            </w:r>
          </w:p>
        </w:tc>
        <w:tc>
          <w:tcPr>
            <w:tcW w:w="1842" w:type="dxa"/>
          </w:tcPr>
          <w:p w14:paraId="7A6E17E0" w14:textId="77777777" w:rsidR="00621CBD" w:rsidRPr="00621CBD" w:rsidRDefault="00621CBD" w:rsidP="00BA32A1">
            <w:pPr>
              <w:keepNext/>
              <w:rPr>
                <w:rFonts w:ascii="Arial Narrow" w:eastAsia="Calibri" w:hAnsi="Arial Narrow"/>
                <w:b/>
                <w:sz w:val="18"/>
                <w:szCs w:val="18"/>
                <w:lang w:val="fr-FR"/>
              </w:rPr>
            </w:pPr>
            <w:r w:rsidRPr="00621CBD">
              <w:rPr>
                <w:rFonts w:ascii="Arial Narrow" w:eastAsia="Calibri" w:hAnsi="Arial Narrow"/>
                <w:b/>
                <w:sz w:val="18"/>
                <w:szCs w:val="18"/>
              </w:rPr>
              <w:t>Available brands</w:t>
            </w:r>
          </w:p>
        </w:tc>
      </w:tr>
      <w:tr w:rsidR="00621CBD" w:rsidRPr="00D60E79" w14:paraId="7714039E" w14:textId="77777777" w:rsidTr="00BA32A1">
        <w:trPr>
          <w:cantSplit/>
          <w:trHeight w:val="224"/>
        </w:trPr>
        <w:tc>
          <w:tcPr>
            <w:tcW w:w="9067" w:type="dxa"/>
            <w:gridSpan w:val="7"/>
          </w:tcPr>
          <w:p w14:paraId="75F5F063" w14:textId="77777777" w:rsidR="00621CBD" w:rsidRPr="00621CBD" w:rsidRDefault="00621CBD" w:rsidP="00BA32A1">
            <w:pPr>
              <w:keepNext/>
              <w:ind w:left="-57"/>
              <w:rPr>
                <w:rFonts w:ascii="Arial Narrow" w:eastAsia="Calibri" w:hAnsi="Arial Narrow"/>
                <w:sz w:val="18"/>
                <w:szCs w:val="18"/>
              </w:rPr>
            </w:pPr>
            <w:r w:rsidRPr="00621CBD">
              <w:rPr>
                <w:rFonts w:ascii="Arial Narrow" w:eastAsia="Calibri" w:hAnsi="Arial Narrow" w:cs="Times New Roman"/>
                <w:sz w:val="18"/>
                <w:szCs w:val="18"/>
              </w:rPr>
              <w:t>PEGCETACOPLAN</w:t>
            </w:r>
          </w:p>
        </w:tc>
      </w:tr>
      <w:tr w:rsidR="00621CBD" w:rsidRPr="00D60E79" w14:paraId="4DE35899" w14:textId="77777777" w:rsidTr="00EB40F2">
        <w:trPr>
          <w:cantSplit/>
          <w:trHeight w:val="355"/>
        </w:trPr>
        <w:tc>
          <w:tcPr>
            <w:tcW w:w="2405" w:type="dxa"/>
          </w:tcPr>
          <w:p w14:paraId="68D8F34C" w14:textId="7B982C71" w:rsidR="00621CBD" w:rsidRPr="00EB40F2" w:rsidRDefault="00621CBD" w:rsidP="00EB40F2">
            <w:pPr>
              <w:keepNext/>
              <w:ind w:left="-57"/>
              <w:rPr>
                <w:rFonts w:ascii="Arial Narrow" w:eastAsia="Calibri" w:hAnsi="Arial Narrow" w:cs="Times New Roman"/>
                <w:sz w:val="18"/>
                <w:szCs w:val="18"/>
              </w:rPr>
            </w:pPr>
            <w:proofErr w:type="spellStart"/>
            <w:r w:rsidRPr="00621CBD">
              <w:rPr>
                <w:rFonts w:ascii="Arial Narrow" w:eastAsia="Calibri" w:hAnsi="Arial Narrow" w:cs="Times New Roman"/>
                <w:sz w:val="18"/>
                <w:szCs w:val="18"/>
              </w:rPr>
              <w:t>Pegcetacoplan</w:t>
            </w:r>
            <w:proofErr w:type="spellEnd"/>
            <w:r w:rsidRPr="00621CBD">
              <w:rPr>
                <w:rFonts w:ascii="Arial Narrow" w:eastAsia="Calibri" w:hAnsi="Arial Narrow" w:cs="Times New Roman"/>
                <w:sz w:val="18"/>
                <w:szCs w:val="18"/>
              </w:rPr>
              <w:t xml:space="preserve"> 1,080 mg/20 mL; 20 mL</w:t>
            </w:r>
          </w:p>
        </w:tc>
        <w:tc>
          <w:tcPr>
            <w:tcW w:w="851" w:type="dxa"/>
          </w:tcPr>
          <w:p w14:paraId="65FA954E" w14:textId="77777777" w:rsidR="00621CBD" w:rsidRPr="00621CBD" w:rsidRDefault="00621CBD" w:rsidP="00BA32A1">
            <w:pPr>
              <w:keepNext/>
              <w:jc w:val="center"/>
              <w:rPr>
                <w:rFonts w:ascii="Arial Narrow" w:eastAsia="Calibri" w:hAnsi="Arial Narrow"/>
                <w:sz w:val="18"/>
                <w:szCs w:val="18"/>
              </w:rPr>
            </w:pPr>
            <w:r w:rsidRPr="00621CBD">
              <w:rPr>
                <w:rFonts w:ascii="Arial Narrow" w:eastAsia="Calibri" w:hAnsi="Arial Narrow" w:cs="Times New Roman"/>
                <w:sz w:val="18"/>
                <w:szCs w:val="18"/>
              </w:rPr>
              <w:t>NEW</w:t>
            </w:r>
          </w:p>
        </w:tc>
        <w:tc>
          <w:tcPr>
            <w:tcW w:w="850" w:type="dxa"/>
          </w:tcPr>
          <w:p w14:paraId="593EC45A" w14:textId="77777777" w:rsidR="00621CBD" w:rsidRPr="00621CBD" w:rsidRDefault="00621CBD" w:rsidP="00BA32A1">
            <w:pPr>
              <w:keepNext/>
              <w:jc w:val="center"/>
              <w:rPr>
                <w:rFonts w:ascii="Arial Narrow" w:eastAsia="Calibri" w:hAnsi="Arial Narrow"/>
                <w:sz w:val="18"/>
                <w:szCs w:val="18"/>
              </w:rPr>
            </w:pPr>
            <w:r w:rsidRPr="00621CBD">
              <w:rPr>
                <w:rFonts w:ascii="Arial Narrow" w:eastAsia="Calibri" w:hAnsi="Arial Narrow" w:cs="Times New Roman"/>
                <w:sz w:val="18"/>
                <w:szCs w:val="18"/>
              </w:rPr>
              <w:t>1</w:t>
            </w:r>
          </w:p>
        </w:tc>
        <w:tc>
          <w:tcPr>
            <w:tcW w:w="992" w:type="dxa"/>
          </w:tcPr>
          <w:p w14:paraId="57FF8391" w14:textId="77777777" w:rsidR="00621CBD" w:rsidRPr="00621CBD" w:rsidRDefault="00621CBD" w:rsidP="00BA32A1">
            <w:pPr>
              <w:keepNext/>
              <w:jc w:val="center"/>
              <w:rPr>
                <w:rFonts w:ascii="Arial Narrow" w:eastAsia="Calibri" w:hAnsi="Arial Narrow"/>
                <w:strike/>
                <w:sz w:val="18"/>
                <w:szCs w:val="18"/>
              </w:rPr>
            </w:pPr>
            <w:r w:rsidRPr="00621CBD">
              <w:rPr>
                <w:rFonts w:ascii="Arial Narrow" w:eastAsia="Calibri" w:hAnsi="Arial Narrow" w:cs="Times New Roman"/>
                <w:i/>
                <w:iCs/>
                <w:sz w:val="18"/>
                <w:szCs w:val="18"/>
              </w:rPr>
              <w:t>1</w:t>
            </w:r>
            <w:r w:rsidRPr="00621CBD">
              <w:rPr>
                <w:rFonts w:ascii="Arial Narrow" w:eastAsia="Calibri" w:hAnsi="Arial Narrow" w:cs="Times New Roman"/>
                <w:strike/>
                <w:sz w:val="18"/>
                <w:szCs w:val="18"/>
              </w:rPr>
              <w:t>8</w:t>
            </w:r>
          </w:p>
        </w:tc>
        <w:tc>
          <w:tcPr>
            <w:tcW w:w="851" w:type="dxa"/>
          </w:tcPr>
          <w:p w14:paraId="54CB1612" w14:textId="77777777" w:rsidR="00621CBD" w:rsidRPr="00621CBD" w:rsidRDefault="00621CBD" w:rsidP="00BA32A1">
            <w:pPr>
              <w:keepNext/>
              <w:jc w:val="center"/>
              <w:rPr>
                <w:rFonts w:ascii="Arial Narrow" w:eastAsia="Calibri" w:hAnsi="Arial Narrow"/>
                <w:sz w:val="18"/>
                <w:szCs w:val="18"/>
              </w:rPr>
            </w:pPr>
            <w:r w:rsidRPr="00621CBD">
              <w:rPr>
                <w:rFonts w:ascii="Arial Narrow" w:eastAsia="Calibri" w:hAnsi="Arial Narrow" w:cs="Times New Roman"/>
                <w:sz w:val="18"/>
                <w:szCs w:val="18"/>
              </w:rPr>
              <w:t>0</w:t>
            </w:r>
          </w:p>
        </w:tc>
        <w:tc>
          <w:tcPr>
            <w:tcW w:w="1276" w:type="dxa"/>
          </w:tcPr>
          <w:p w14:paraId="00672779" w14:textId="0EB59CC5" w:rsidR="00621CBD" w:rsidRPr="00621CBD" w:rsidRDefault="00621CBD" w:rsidP="00BA32A1">
            <w:pPr>
              <w:keepNext/>
              <w:jc w:val="center"/>
              <w:rPr>
                <w:rFonts w:ascii="Arial Narrow" w:eastAsia="Calibri" w:hAnsi="Arial Narrow"/>
                <w:sz w:val="18"/>
                <w:szCs w:val="18"/>
              </w:rPr>
            </w:pPr>
            <w:r>
              <w:rPr>
                <w:rFonts w:ascii="Arial Narrow" w:eastAsia="Calibri" w:hAnsi="Arial Narrow"/>
                <w:sz w:val="18"/>
                <w:szCs w:val="18"/>
              </w:rPr>
              <w:t>$</w:t>
            </w:r>
            <w:r w:rsidR="005126B1" w:rsidRPr="000A62F7">
              <w:rPr>
                <w:rFonts w:ascii="Arial Narrow" w:eastAsia="Calibri" w:hAnsi="Arial Narrow" w:hint="eastAsia"/>
                <w:color w:val="000000"/>
                <w:w w:val="15"/>
                <w:sz w:val="18"/>
                <w:szCs w:val="18"/>
                <w:shd w:val="solid" w:color="000000" w:fill="000000"/>
                <w:fitText w:val="8" w:id="-1500841472"/>
                <w14:textFill>
                  <w14:solidFill>
                    <w14:srgbClr w14:val="000000">
                      <w14:alpha w14:val="100000"/>
                    </w14:srgbClr>
                  </w14:solidFill>
                </w14:textFill>
              </w:rPr>
              <w:t xml:space="preserve">　</w:t>
            </w:r>
            <w:r w:rsidR="005126B1" w:rsidRPr="000A62F7">
              <w:rPr>
                <w:rFonts w:ascii="Arial Narrow" w:eastAsia="Calibri" w:hAnsi="Arial Narrow"/>
                <w:color w:val="000000"/>
                <w:w w:val="15"/>
                <w:sz w:val="18"/>
                <w:szCs w:val="18"/>
                <w:shd w:val="solid" w:color="000000" w:fill="000000"/>
                <w:fitText w:val="8" w:id="-1500841472"/>
                <w14:textFill>
                  <w14:solidFill>
                    <w14:srgbClr w14:val="000000">
                      <w14:alpha w14:val="100000"/>
                    </w14:srgbClr>
                  </w14:solidFill>
                </w14:textFill>
              </w:rPr>
              <w:t>|</w:t>
            </w:r>
            <w:r w:rsidR="005126B1" w:rsidRPr="000A62F7">
              <w:rPr>
                <w:rFonts w:ascii="Arial Narrow" w:eastAsia="Calibri" w:hAnsi="Arial Narrow" w:hint="eastAsia"/>
                <w:color w:val="000000"/>
                <w:spacing w:val="-51"/>
                <w:w w:val="15"/>
                <w:sz w:val="18"/>
                <w:szCs w:val="18"/>
                <w:shd w:val="solid" w:color="000000" w:fill="000000"/>
                <w:fitText w:val="8" w:id="-1500841472"/>
                <w14:textFill>
                  <w14:solidFill>
                    <w14:srgbClr w14:val="000000">
                      <w14:alpha w14:val="100000"/>
                    </w14:srgbClr>
                  </w14:solidFill>
                </w14:textFill>
              </w:rPr>
              <w:t xml:space="preserve">　</w:t>
            </w:r>
            <w:r>
              <w:rPr>
                <w:rFonts w:ascii="Arial Narrow" w:eastAsia="Calibri" w:hAnsi="Arial Narrow"/>
                <w:sz w:val="18"/>
                <w:szCs w:val="18"/>
              </w:rPr>
              <w:t xml:space="preserve"> </w:t>
            </w:r>
            <w:r>
              <w:rPr>
                <w:rFonts w:ascii="Arial Narrow" w:eastAsia="Calibri" w:hAnsi="Arial Narrow"/>
                <w:sz w:val="18"/>
                <w:szCs w:val="18"/>
              </w:rPr>
              <w:br/>
              <w:t>published price</w:t>
            </w:r>
          </w:p>
        </w:tc>
        <w:tc>
          <w:tcPr>
            <w:tcW w:w="1842" w:type="dxa"/>
          </w:tcPr>
          <w:p w14:paraId="1061FF9D" w14:textId="77777777" w:rsidR="00621CBD" w:rsidRPr="00621CBD" w:rsidRDefault="00621CBD" w:rsidP="00BA32A1">
            <w:pPr>
              <w:keepNext/>
              <w:rPr>
                <w:rFonts w:ascii="Arial Narrow" w:eastAsia="Calibri" w:hAnsi="Arial Narrow" w:cs="Times New Roman"/>
                <w:sz w:val="18"/>
                <w:szCs w:val="18"/>
              </w:rPr>
            </w:pPr>
            <w:proofErr w:type="spellStart"/>
            <w:r w:rsidRPr="00621CBD">
              <w:rPr>
                <w:rFonts w:ascii="Arial Narrow" w:eastAsia="Calibri" w:hAnsi="Arial Narrow" w:cs="Times New Roman"/>
                <w:sz w:val="18"/>
                <w:szCs w:val="18"/>
              </w:rPr>
              <w:t>Empaveli</w:t>
            </w:r>
            <w:proofErr w:type="spellEnd"/>
          </w:p>
          <w:p w14:paraId="1A97D56C" w14:textId="77777777" w:rsidR="00621CBD" w:rsidRPr="00621CBD" w:rsidRDefault="00621CBD" w:rsidP="00BA32A1">
            <w:pPr>
              <w:keepNext/>
              <w:rPr>
                <w:rFonts w:ascii="Arial Narrow" w:eastAsia="Calibri" w:hAnsi="Arial Narrow"/>
                <w:sz w:val="18"/>
                <w:szCs w:val="18"/>
              </w:rPr>
            </w:pPr>
            <w:r w:rsidRPr="00621CBD">
              <w:rPr>
                <w:rFonts w:ascii="Arial Narrow" w:eastAsia="Calibri" w:hAnsi="Arial Narrow" w:cs="Times New Roman"/>
                <w:sz w:val="18"/>
                <w:szCs w:val="18"/>
              </w:rPr>
              <w:t>SOBI AU</w:t>
            </w:r>
          </w:p>
        </w:tc>
      </w:tr>
      <w:tr w:rsidR="00621CBD" w:rsidRPr="00D60E79" w14:paraId="2C1EAEE6"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30259054" w14:textId="77777777" w:rsidR="00621CBD" w:rsidRPr="00621CBD" w:rsidRDefault="00621CBD" w:rsidP="00BA32A1">
            <w:pPr>
              <w:rPr>
                <w:rFonts w:ascii="Arial Narrow" w:eastAsia="Calibri" w:hAnsi="Arial Narrow"/>
                <w:b/>
                <w:sz w:val="18"/>
                <w:szCs w:val="18"/>
              </w:rPr>
            </w:pPr>
          </w:p>
        </w:tc>
      </w:tr>
      <w:tr w:rsidR="00621CBD" w:rsidRPr="00D60E79" w14:paraId="5A9CD73B"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53CC2B10" w14:textId="0190EDF5" w:rsidR="00621CBD" w:rsidRPr="00621CBD" w:rsidRDefault="00621CBD" w:rsidP="00EB40F2">
            <w:pPr>
              <w:rPr>
                <w:rFonts w:ascii="Arial Narrow" w:eastAsia="Calibri" w:hAnsi="Arial Narrow"/>
                <w:sz w:val="18"/>
                <w:szCs w:val="18"/>
              </w:rPr>
            </w:pPr>
            <w:r w:rsidRPr="00621CBD">
              <w:rPr>
                <w:rFonts w:ascii="Arial Narrow" w:eastAsia="Calibri" w:hAnsi="Arial Narrow"/>
                <w:b/>
                <w:sz w:val="18"/>
                <w:szCs w:val="18"/>
              </w:rPr>
              <w:t xml:space="preserve">Category / Program: </w:t>
            </w:r>
            <w:r w:rsidRPr="00621CBD">
              <w:rPr>
                <w:rFonts w:ascii="Arial Narrow" w:eastAsia="Calibri" w:hAnsi="Arial Narrow"/>
                <w:sz w:val="18"/>
                <w:szCs w:val="18"/>
              </w:rPr>
              <w:t>Section 100 – Highly Specialised Drugs Program (Public and Private)</w:t>
            </w:r>
          </w:p>
        </w:tc>
      </w:tr>
      <w:tr w:rsidR="00621CBD" w:rsidRPr="00D60E79" w14:paraId="3A5208CA" w14:textId="77777777" w:rsidTr="00EB40F2">
        <w:tblPrEx>
          <w:tblCellMar>
            <w:top w:w="15" w:type="dxa"/>
            <w:left w:w="15" w:type="dxa"/>
            <w:bottom w:w="15" w:type="dxa"/>
            <w:right w:w="15" w:type="dxa"/>
          </w:tblCellMar>
          <w:tblLook w:val="04A0" w:firstRow="1" w:lastRow="0" w:firstColumn="1" w:lastColumn="0" w:noHBand="0" w:noVBand="1"/>
        </w:tblPrEx>
        <w:trPr>
          <w:trHeight w:val="86"/>
        </w:trPr>
        <w:tc>
          <w:tcPr>
            <w:tcW w:w="9067" w:type="dxa"/>
            <w:gridSpan w:val="7"/>
            <w:tcBorders>
              <w:top w:val="single" w:sz="4" w:space="0" w:color="auto"/>
              <w:left w:val="single" w:sz="4" w:space="0" w:color="auto"/>
              <w:bottom w:val="single" w:sz="4" w:space="0" w:color="auto"/>
              <w:right w:val="single" w:sz="4" w:space="0" w:color="auto"/>
            </w:tcBorders>
          </w:tcPr>
          <w:p w14:paraId="07BEB5D3" w14:textId="77777777" w:rsidR="00621CBD" w:rsidRPr="00621CBD" w:rsidRDefault="00621CBD" w:rsidP="00BA32A1">
            <w:pPr>
              <w:rPr>
                <w:rFonts w:ascii="Arial Narrow" w:eastAsia="Calibri" w:hAnsi="Arial Narrow"/>
                <w:b/>
                <w:sz w:val="18"/>
                <w:szCs w:val="18"/>
              </w:rPr>
            </w:pPr>
            <w:r w:rsidRPr="00621CBD">
              <w:rPr>
                <w:rFonts w:ascii="Arial Narrow" w:eastAsia="Calibri" w:hAnsi="Arial Narrow"/>
                <w:b/>
                <w:sz w:val="18"/>
                <w:szCs w:val="18"/>
              </w:rPr>
              <w:t>Prescriber type:</w:t>
            </w:r>
            <w:r w:rsidRPr="00621CBD">
              <w:rPr>
                <w:rFonts w:ascii="Arial Narrow" w:eastAsia="Calibri" w:hAnsi="Arial Narrow"/>
                <w:sz w:val="18"/>
                <w:szCs w:val="18"/>
              </w:rPr>
              <w:t xml:space="preserve">    </w:t>
            </w:r>
            <w:r w:rsidRPr="00621CBD">
              <w:rPr>
                <w:rFonts w:ascii="Arial Narrow" w:eastAsia="Calibri" w:hAnsi="Arial Narrow"/>
                <w:sz w:val="18"/>
                <w:szCs w:val="18"/>
              </w:rPr>
              <w:fldChar w:fldCharType="begin">
                <w:ffData>
                  <w:name w:val=""/>
                  <w:enabled/>
                  <w:calcOnExit w:val="0"/>
                  <w:checkBox>
                    <w:sizeAuto/>
                    <w:default w:val="1"/>
                  </w:checkBox>
                </w:ffData>
              </w:fldChar>
            </w:r>
            <w:r w:rsidRPr="00621CBD">
              <w:rPr>
                <w:rFonts w:ascii="Arial Narrow" w:eastAsia="Calibri" w:hAnsi="Arial Narrow"/>
                <w:sz w:val="18"/>
                <w:szCs w:val="18"/>
              </w:rPr>
              <w:instrText xml:space="preserve"> FORMCHECKBOX </w:instrText>
            </w:r>
            <w:r w:rsidR="000A62F7">
              <w:rPr>
                <w:rFonts w:ascii="Arial Narrow" w:eastAsia="Calibri" w:hAnsi="Arial Narrow"/>
                <w:sz w:val="18"/>
                <w:szCs w:val="18"/>
              </w:rPr>
            </w:r>
            <w:r w:rsidR="000A62F7">
              <w:rPr>
                <w:rFonts w:ascii="Arial Narrow" w:eastAsia="Calibri" w:hAnsi="Arial Narrow"/>
                <w:sz w:val="18"/>
                <w:szCs w:val="18"/>
              </w:rPr>
              <w:fldChar w:fldCharType="separate"/>
            </w:r>
            <w:r w:rsidRPr="00621CBD">
              <w:rPr>
                <w:rFonts w:ascii="Arial Narrow" w:eastAsia="Calibri" w:hAnsi="Arial Narrow"/>
                <w:sz w:val="18"/>
                <w:szCs w:val="18"/>
              </w:rPr>
              <w:fldChar w:fldCharType="end"/>
            </w:r>
            <w:r w:rsidRPr="00621CBD">
              <w:rPr>
                <w:rFonts w:ascii="Arial Narrow" w:eastAsia="Calibri" w:hAnsi="Arial Narrow"/>
                <w:sz w:val="18"/>
                <w:szCs w:val="18"/>
              </w:rPr>
              <w:t xml:space="preserve">Medical Practitioners    </w:t>
            </w:r>
          </w:p>
        </w:tc>
      </w:tr>
      <w:tr w:rsidR="00621CBD" w:rsidRPr="00D60E79" w14:paraId="3CF6FA97"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310ED9E0" w14:textId="77777777" w:rsidR="00621CBD" w:rsidRPr="00621CBD" w:rsidRDefault="00621CBD" w:rsidP="00BA32A1">
            <w:pPr>
              <w:rPr>
                <w:rFonts w:ascii="Arial Narrow" w:eastAsia="Calibri" w:hAnsi="Arial Narrow"/>
                <w:b/>
                <w:sz w:val="18"/>
                <w:szCs w:val="18"/>
              </w:rPr>
            </w:pPr>
            <w:r w:rsidRPr="00621CBD">
              <w:rPr>
                <w:rFonts w:ascii="Arial Narrow" w:eastAsia="Calibri" w:hAnsi="Arial Narrow"/>
                <w:b/>
                <w:sz w:val="18"/>
                <w:szCs w:val="18"/>
              </w:rPr>
              <w:t xml:space="preserve">Restriction type: </w:t>
            </w:r>
          </w:p>
          <w:p w14:paraId="21C92757" w14:textId="77777777" w:rsidR="00621CBD" w:rsidRPr="00621CBD" w:rsidRDefault="00621CBD" w:rsidP="00BA32A1">
            <w:pPr>
              <w:rPr>
                <w:rFonts w:ascii="Arial Narrow" w:eastAsia="Calibri" w:hAnsi="Arial Narrow"/>
                <w:color w:val="FF00FF"/>
                <w:sz w:val="18"/>
                <w:szCs w:val="18"/>
              </w:rPr>
            </w:pPr>
            <w:r w:rsidRPr="00621CBD">
              <w:rPr>
                <w:rFonts w:ascii="Arial Narrow" w:eastAsia="Calibri" w:hAnsi="Arial Narrow"/>
                <w:sz w:val="18"/>
                <w:szCs w:val="18"/>
              </w:rPr>
              <w:fldChar w:fldCharType="begin">
                <w:ffData>
                  <w:name w:val=""/>
                  <w:enabled/>
                  <w:calcOnExit w:val="0"/>
                  <w:checkBox>
                    <w:sizeAuto/>
                    <w:default w:val="1"/>
                  </w:checkBox>
                </w:ffData>
              </w:fldChar>
            </w:r>
            <w:r w:rsidRPr="00621CBD">
              <w:rPr>
                <w:rFonts w:ascii="Arial Narrow" w:eastAsia="Calibri" w:hAnsi="Arial Narrow"/>
                <w:sz w:val="18"/>
                <w:szCs w:val="18"/>
              </w:rPr>
              <w:instrText xml:space="preserve"> FORMCHECKBOX </w:instrText>
            </w:r>
            <w:r w:rsidR="000A62F7">
              <w:rPr>
                <w:rFonts w:ascii="Arial Narrow" w:eastAsia="Calibri" w:hAnsi="Arial Narrow"/>
                <w:sz w:val="18"/>
                <w:szCs w:val="18"/>
              </w:rPr>
            </w:r>
            <w:r w:rsidR="000A62F7">
              <w:rPr>
                <w:rFonts w:ascii="Arial Narrow" w:eastAsia="Calibri" w:hAnsi="Arial Narrow"/>
                <w:sz w:val="18"/>
                <w:szCs w:val="18"/>
              </w:rPr>
              <w:fldChar w:fldCharType="separate"/>
            </w:r>
            <w:r w:rsidRPr="00621CBD">
              <w:rPr>
                <w:rFonts w:ascii="Arial Narrow" w:eastAsia="Calibri" w:hAnsi="Arial Narrow"/>
                <w:sz w:val="18"/>
                <w:szCs w:val="18"/>
              </w:rPr>
              <w:fldChar w:fldCharType="end"/>
            </w:r>
            <w:r w:rsidRPr="00621CBD">
              <w:rPr>
                <w:rFonts w:ascii="Arial Narrow" w:eastAsia="Calibri" w:hAnsi="Arial Narrow"/>
                <w:sz w:val="18"/>
                <w:szCs w:val="18"/>
              </w:rPr>
              <w:t xml:space="preserve">Authority Required – non-immediate/delayed assessment by Services Australia (In-writing only via mail/postal service or electronic submission) </w:t>
            </w:r>
          </w:p>
        </w:tc>
      </w:tr>
      <w:tr w:rsidR="00621CBD" w:rsidRPr="00D60E79" w14:paraId="7F55DA66" w14:textId="77777777" w:rsidTr="00621CBD">
        <w:tblPrEx>
          <w:tblCellMar>
            <w:top w:w="15" w:type="dxa"/>
            <w:left w:w="15" w:type="dxa"/>
            <w:bottom w:w="15" w:type="dxa"/>
            <w:right w:w="15" w:type="dxa"/>
          </w:tblCellMar>
          <w:tblLook w:val="04A0" w:firstRow="1" w:lastRow="0" w:firstColumn="1" w:lastColumn="0" w:noHBand="0" w:noVBand="1"/>
        </w:tblPrEx>
        <w:trPr>
          <w:trHeight w:val="260"/>
        </w:trPr>
        <w:tc>
          <w:tcPr>
            <w:tcW w:w="9067" w:type="dxa"/>
            <w:gridSpan w:val="7"/>
            <w:vAlign w:val="center"/>
            <w:hideMark/>
          </w:tcPr>
          <w:p w14:paraId="55537FAC" w14:textId="77777777" w:rsidR="00621CBD" w:rsidRPr="00621CBD" w:rsidRDefault="00621CBD" w:rsidP="00BA32A1">
            <w:pPr>
              <w:rPr>
                <w:rFonts w:ascii="Arial Narrow" w:hAnsi="Arial Narrow" w:cs="Times New Roman"/>
                <w:color w:val="333333"/>
                <w:sz w:val="18"/>
                <w:szCs w:val="18"/>
              </w:rPr>
            </w:pPr>
            <w:r w:rsidRPr="00621CBD">
              <w:rPr>
                <w:rFonts w:ascii="Arial Narrow" w:eastAsia="Calibri" w:hAnsi="Arial Narrow" w:cs="Times New Roman"/>
                <w:b/>
                <w:bCs/>
                <w:color w:val="333333"/>
                <w:sz w:val="18"/>
                <w:szCs w:val="18"/>
              </w:rPr>
              <w:t>Indication:</w:t>
            </w:r>
            <w:r w:rsidRPr="00621CBD">
              <w:rPr>
                <w:rFonts w:ascii="Arial Narrow" w:eastAsia="Calibri" w:hAnsi="Arial Narrow" w:cs="Times New Roman"/>
                <w:color w:val="333333"/>
                <w:sz w:val="18"/>
                <w:szCs w:val="18"/>
              </w:rPr>
              <w:t xml:space="preserve"> </w:t>
            </w:r>
            <w:r w:rsidRPr="00621CBD">
              <w:rPr>
                <w:rFonts w:ascii="Arial Narrow" w:eastAsia="Calibri" w:hAnsi="Arial Narrow" w:cs="Times New Roman"/>
                <w:sz w:val="18"/>
                <w:szCs w:val="18"/>
              </w:rPr>
              <w:t>Paroxysmal nocturnal haemoglobinuria (PNH)</w:t>
            </w:r>
          </w:p>
        </w:tc>
      </w:tr>
      <w:tr w:rsidR="00621CBD" w:rsidRPr="00D60E79" w14:paraId="2CB2226B"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28039685" w14:textId="77777777" w:rsidR="00621CBD" w:rsidRPr="00621CBD" w:rsidRDefault="00621CBD" w:rsidP="00BA32A1">
            <w:pPr>
              <w:rPr>
                <w:rFonts w:ascii="Arial Narrow" w:hAnsi="Arial Narrow" w:cs="Times New Roman"/>
                <w:color w:val="FF00FF"/>
                <w:sz w:val="18"/>
                <w:szCs w:val="18"/>
              </w:rPr>
            </w:pPr>
            <w:r w:rsidRPr="00621CBD">
              <w:rPr>
                <w:rFonts w:ascii="Arial Narrow" w:hAnsi="Arial Narrow" w:cs="Times New Roman"/>
                <w:b/>
                <w:bCs/>
                <w:color w:val="333333"/>
                <w:sz w:val="18"/>
                <w:szCs w:val="18"/>
              </w:rPr>
              <w:t>Treatment Phase:</w:t>
            </w:r>
            <w:r w:rsidRPr="00621CBD">
              <w:rPr>
                <w:rFonts w:ascii="Arial Narrow" w:hAnsi="Arial Narrow" w:cs="Times New Roman"/>
                <w:color w:val="333333"/>
                <w:sz w:val="18"/>
                <w:szCs w:val="18"/>
              </w:rPr>
              <w:t xml:space="preserve"> Initial treatment </w:t>
            </w:r>
          </w:p>
        </w:tc>
      </w:tr>
      <w:tr w:rsidR="00621CBD" w:rsidRPr="00D60E79" w14:paraId="0A3E69AA"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tcPr>
          <w:p w14:paraId="323DDC6F" w14:textId="77777777" w:rsidR="00621CBD" w:rsidRPr="00621CBD" w:rsidRDefault="00621CBD" w:rsidP="00BA32A1">
            <w:pPr>
              <w:rPr>
                <w:rFonts w:ascii="Arial Narrow" w:hAnsi="Arial Narrow" w:cs="Times New Roman"/>
                <w:b/>
                <w:bCs/>
                <w:color w:val="333333"/>
                <w:sz w:val="18"/>
                <w:szCs w:val="18"/>
              </w:rPr>
            </w:pPr>
            <w:r w:rsidRPr="00621CBD">
              <w:rPr>
                <w:rFonts w:ascii="Arial Narrow" w:eastAsia="Calibri" w:hAnsi="Arial Narrow" w:cs="Times New Roman"/>
                <w:b/>
                <w:sz w:val="18"/>
                <w:szCs w:val="18"/>
              </w:rPr>
              <w:t>Clinical criteria:</w:t>
            </w:r>
          </w:p>
        </w:tc>
      </w:tr>
      <w:tr w:rsidR="00621CBD" w:rsidRPr="00D60E79" w14:paraId="5F5A5879"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A919DAB" w14:textId="77777777" w:rsidR="00621CBD" w:rsidRPr="00621CBD" w:rsidRDefault="00621CBD" w:rsidP="00BA32A1">
            <w:pPr>
              <w:rPr>
                <w:rFonts w:ascii="Arial Narrow" w:hAnsi="Arial Narrow" w:cs="Times New Roman"/>
                <w:b/>
                <w:bCs/>
                <w:i/>
                <w:iCs/>
                <w:color w:val="333333"/>
                <w:sz w:val="18"/>
                <w:szCs w:val="18"/>
              </w:rPr>
            </w:pPr>
            <w:r w:rsidRPr="00621CBD">
              <w:rPr>
                <w:rFonts w:ascii="Arial Narrow" w:hAnsi="Arial Narrow" w:cs="Times New Roman"/>
                <w:i/>
                <w:iCs/>
                <w:color w:val="333333"/>
                <w:sz w:val="18"/>
                <w:szCs w:val="18"/>
              </w:rPr>
              <w:t>Patient must not have received prior treatment with this drug for this condition.</w:t>
            </w:r>
          </w:p>
        </w:tc>
      </w:tr>
      <w:tr w:rsidR="00621CBD" w:rsidRPr="00D60E79" w14:paraId="13FE5770"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C2A7604" w14:textId="77777777" w:rsidR="00621CBD" w:rsidRPr="00621CBD" w:rsidRDefault="00621CBD" w:rsidP="00BA32A1">
            <w:pPr>
              <w:rPr>
                <w:rFonts w:ascii="Arial Narrow" w:hAnsi="Arial Narrow" w:cs="Times New Roman"/>
                <w:b/>
                <w:bCs/>
                <w:color w:val="333333"/>
                <w:sz w:val="18"/>
                <w:szCs w:val="18"/>
              </w:rPr>
            </w:pPr>
            <w:r w:rsidRPr="00621CBD">
              <w:rPr>
                <w:rFonts w:ascii="Arial Narrow" w:hAnsi="Arial Narrow" w:cs="Times New Roman"/>
                <w:b/>
                <w:bCs/>
                <w:color w:val="333333"/>
                <w:sz w:val="18"/>
                <w:szCs w:val="18"/>
              </w:rPr>
              <w:t>AND</w:t>
            </w:r>
          </w:p>
        </w:tc>
      </w:tr>
      <w:tr w:rsidR="00621CBD" w:rsidRPr="00D60E79" w14:paraId="7CEA1AB0"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hideMark/>
          </w:tcPr>
          <w:p w14:paraId="3B09AACC" w14:textId="77777777" w:rsidR="00621CBD" w:rsidRPr="00621CBD" w:rsidRDefault="00621CBD" w:rsidP="00BA32A1">
            <w:pPr>
              <w:rPr>
                <w:rFonts w:ascii="Arial Narrow" w:hAnsi="Arial Narrow" w:cs="Times New Roman"/>
                <w:color w:val="FF00FF"/>
                <w:sz w:val="18"/>
                <w:szCs w:val="18"/>
              </w:rPr>
            </w:pPr>
            <w:r w:rsidRPr="00621CBD">
              <w:rPr>
                <w:rFonts w:ascii="Arial Narrow" w:eastAsia="Calibri" w:hAnsi="Arial Narrow" w:cs="Times New Roman"/>
                <w:b/>
                <w:sz w:val="18"/>
                <w:szCs w:val="18"/>
              </w:rPr>
              <w:t>Clinical criteria:</w:t>
            </w:r>
          </w:p>
        </w:tc>
      </w:tr>
      <w:tr w:rsidR="00621CBD" w:rsidRPr="00D60E79" w14:paraId="2E55551B"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203BB9D8" w14:textId="77777777" w:rsidR="00621CBD" w:rsidRPr="00621CBD" w:rsidRDefault="00621CBD" w:rsidP="00BA32A1">
            <w:pPr>
              <w:rPr>
                <w:rFonts w:ascii="Arial Narrow" w:hAnsi="Arial Narrow" w:cs="Times New Roman"/>
                <w:color w:val="333333"/>
                <w:sz w:val="18"/>
                <w:szCs w:val="18"/>
              </w:rPr>
            </w:pPr>
            <w:r w:rsidRPr="00621CBD">
              <w:rPr>
                <w:rFonts w:ascii="Arial Narrow" w:hAnsi="Arial Narrow" w:cs="Times New Roman"/>
                <w:color w:val="333333"/>
                <w:sz w:val="18"/>
                <w:szCs w:val="18"/>
              </w:rPr>
              <w:t>Patient must have a haemoglobin level of less than 10.5 g/dL</w:t>
            </w:r>
          </w:p>
        </w:tc>
      </w:tr>
      <w:tr w:rsidR="00621CBD" w:rsidRPr="00D60E79" w14:paraId="1E11E4A7"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3EB41838" w14:textId="77777777" w:rsidR="00621CBD" w:rsidRPr="00621CBD" w:rsidRDefault="00621CBD" w:rsidP="00BA32A1">
            <w:pPr>
              <w:rPr>
                <w:rFonts w:ascii="Arial Narrow" w:hAnsi="Arial Narrow" w:cs="Times New Roman"/>
                <w:color w:val="333333"/>
                <w:sz w:val="18"/>
                <w:szCs w:val="18"/>
              </w:rPr>
            </w:pPr>
            <w:r w:rsidRPr="00621CBD">
              <w:rPr>
                <w:rFonts w:ascii="Arial Narrow" w:hAnsi="Arial Narrow" w:cs="Times New Roman"/>
                <w:b/>
                <w:bCs/>
                <w:color w:val="333333"/>
                <w:sz w:val="18"/>
                <w:szCs w:val="18"/>
              </w:rPr>
              <w:t>AND</w:t>
            </w:r>
          </w:p>
        </w:tc>
      </w:tr>
      <w:tr w:rsidR="00621CBD" w:rsidRPr="00D60E79" w14:paraId="0DD77313"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0063C05D" w14:textId="77777777" w:rsidR="00621CBD" w:rsidRPr="00621CBD" w:rsidRDefault="00621CBD" w:rsidP="00BA32A1">
            <w:pPr>
              <w:rPr>
                <w:rFonts w:ascii="Arial Narrow" w:hAnsi="Arial Narrow" w:cs="Times New Roman"/>
                <w:color w:val="333333"/>
                <w:sz w:val="18"/>
                <w:szCs w:val="18"/>
              </w:rPr>
            </w:pPr>
            <w:r w:rsidRPr="00621CBD">
              <w:rPr>
                <w:rFonts w:ascii="Arial Narrow" w:hAnsi="Arial Narrow" w:cs="Times New Roman"/>
                <w:b/>
                <w:bCs/>
                <w:color w:val="333333"/>
                <w:sz w:val="18"/>
                <w:szCs w:val="18"/>
              </w:rPr>
              <w:t>Clinical criteria:</w:t>
            </w:r>
          </w:p>
        </w:tc>
      </w:tr>
      <w:tr w:rsidR="00621CBD" w:rsidRPr="00D60E79" w14:paraId="7575E0A4"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7A4048C6" w14:textId="77777777" w:rsidR="00621CBD" w:rsidRPr="00621CBD" w:rsidRDefault="00621CBD" w:rsidP="00BA32A1">
            <w:pPr>
              <w:pStyle w:val="TableText"/>
              <w:rPr>
                <w:rFonts w:cstheme="minorHAnsi"/>
                <w:strike/>
                <w:sz w:val="18"/>
                <w:szCs w:val="18"/>
              </w:rPr>
            </w:pPr>
            <w:r w:rsidRPr="00621CBD">
              <w:rPr>
                <w:rFonts w:cstheme="minorHAnsi"/>
                <w:strike/>
                <w:sz w:val="18"/>
                <w:szCs w:val="18"/>
              </w:rPr>
              <w:t>Patient must be receiving supply of eculizumab under the Australian Government’s LSDP eligibility criteria for this condition for at least 3 months, OR</w:t>
            </w:r>
          </w:p>
          <w:p w14:paraId="0F34CDEB" w14:textId="77777777" w:rsidR="00621CBD" w:rsidRPr="00621CBD" w:rsidRDefault="00621CBD" w:rsidP="00BA32A1">
            <w:pPr>
              <w:rPr>
                <w:rFonts w:ascii="Arial Narrow" w:hAnsi="Arial Narrow" w:cstheme="minorHAnsi"/>
                <w:strike/>
                <w:sz w:val="18"/>
                <w:szCs w:val="18"/>
              </w:rPr>
            </w:pPr>
            <w:r w:rsidRPr="00621CBD">
              <w:rPr>
                <w:rFonts w:ascii="Arial Narrow" w:hAnsi="Arial Narrow" w:cstheme="minorHAnsi"/>
                <w:strike/>
                <w:sz w:val="18"/>
                <w:szCs w:val="18"/>
              </w:rPr>
              <w:t xml:space="preserve">Patient must be receiving supply of </w:t>
            </w:r>
            <w:proofErr w:type="spellStart"/>
            <w:r w:rsidRPr="00621CBD">
              <w:rPr>
                <w:rFonts w:ascii="Arial Narrow" w:hAnsi="Arial Narrow" w:cstheme="minorHAnsi"/>
                <w:strike/>
                <w:sz w:val="18"/>
                <w:szCs w:val="18"/>
              </w:rPr>
              <w:t>ravulizumab</w:t>
            </w:r>
            <w:proofErr w:type="spellEnd"/>
            <w:r w:rsidRPr="00621CBD">
              <w:rPr>
                <w:rFonts w:ascii="Arial Narrow" w:hAnsi="Arial Narrow" w:cstheme="minorHAnsi"/>
                <w:strike/>
                <w:sz w:val="18"/>
                <w:szCs w:val="18"/>
              </w:rPr>
              <w:t xml:space="preserve"> under the PBS for this condition for at least 3 months</w:t>
            </w:r>
          </w:p>
          <w:p w14:paraId="77CC58C1" w14:textId="77777777" w:rsidR="00621CBD" w:rsidRPr="00621CBD" w:rsidRDefault="00621CBD" w:rsidP="00BA32A1">
            <w:pPr>
              <w:rPr>
                <w:rFonts w:ascii="Arial Narrow" w:hAnsi="Arial Narrow" w:cs="Times New Roman"/>
                <w:i/>
                <w:color w:val="333333"/>
                <w:sz w:val="18"/>
                <w:szCs w:val="18"/>
              </w:rPr>
            </w:pPr>
            <w:r w:rsidRPr="00621CBD">
              <w:rPr>
                <w:rFonts w:ascii="Arial Narrow" w:hAnsi="Arial Narrow" w:cs="Times New Roman"/>
                <w:i/>
                <w:sz w:val="18"/>
                <w:szCs w:val="18"/>
              </w:rPr>
              <w:t>Patient must have received treatment with a C5 inhibitor for at least 3 months before initiating treatment with this drug.</w:t>
            </w:r>
          </w:p>
        </w:tc>
      </w:tr>
      <w:tr w:rsidR="00621CBD" w:rsidRPr="00D60E79" w14:paraId="719152E5"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6AEF18A5" w14:textId="77777777" w:rsidR="00621CBD" w:rsidRPr="00621CBD" w:rsidRDefault="00621CBD" w:rsidP="00BA32A1">
            <w:pPr>
              <w:rPr>
                <w:rFonts w:ascii="Arial Narrow" w:hAnsi="Arial Narrow" w:cs="Times New Roman"/>
                <w:color w:val="333333"/>
                <w:sz w:val="18"/>
                <w:szCs w:val="18"/>
              </w:rPr>
            </w:pPr>
            <w:r w:rsidRPr="00621CBD">
              <w:rPr>
                <w:rFonts w:ascii="Arial Narrow" w:hAnsi="Arial Narrow" w:cs="Times New Roman"/>
                <w:b/>
                <w:bCs/>
                <w:color w:val="333333"/>
                <w:sz w:val="18"/>
                <w:szCs w:val="18"/>
              </w:rPr>
              <w:t>AND</w:t>
            </w:r>
          </w:p>
        </w:tc>
      </w:tr>
      <w:tr w:rsidR="00621CBD" w:rsidRPr="00D60E79" w14:paraId="7CF16D7E"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tcPr>
          <w:p w14:paraId="243AC056" w14:textId="77777777" w:rsidR="00621CBD" w:rsidRPr="00621CBD" w:rsidRDefault="00621CBD" w:rsidP="00BA32A1">
            <w:pPr>
              <w:rPr>
                <w:rFonts w:ascii="Arial Narrow" w:eastAsia="Calibri" w:hAnsi="Arial Narrow" w:cs="Times New Roman"/>
                <w:sz w:val="18"/>
                <w:szCs w:val="18"/>
              </w:rPr>
            </w:pPr>
            <w:r w:rsidRPr="00621CBD">
              <w:rPr>
                <w:rFonts w:ascii="Arial Narrow" w:eastAsia="Calibri" w:hAnsi="Arial Narrow" w:cs="Times New Roman"/>
                <w:b/>
                <w:bCs/>
                <w:sz w:val="18"/>
                <w:szCs w:val="18"/>
              </w:rPr>
              <w:t>Clinical criteria:</w:t>
            </w:r>
          </w:p>
        </w:tc>
      </w:tr>
      <w:tr w:rsidR="00621CBD" w:rsidRPr="00D60E79" w14:paraId="56F0AA93"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tcPr>
          <w:p w14:paraId="5B3D3A41" w14:textId="77777777" w:rsidR="00621CBD" w:rsidRPr="00621CBD" w:rsidRDefault="00621CBD" w:rsidP="00BA32A1">
            <w:pPr>
              <w:rPr>
                <w:rFonts w:ascii="Arial Narrow" w:eastAsia="Calibri" w:hAnsi="Arial Narrow" w:cs="Times New Roman"/>
                <w:i/>
                <w:iCs/>
                <w:sz w:val="18"/>
                <w:szCs w:val="18"/>
              </w:rPr>
            </w:pPr>
            <w:r w:rsidRPr="00621CBD">
              <w:rPr>
                <w:rFonts w:ascii="Arial Narrow" w:eastAsia="Calibri" w:hAnsi="Arial Narrow" w:cs="Times New Roman"/>
                <w:i/>
                <w:iCs/>
                <w:sz w:val="18"/>
                <w:szCs w:val="18"/>
              </w:rPr>
              <w:t>The treatment must be in combination with a PBS-subsidised C5 inhibitor for a period of 4 weeks during initiation of therapy.</w:t>
            </w:r>
          </w:p>
        </w:tc>
      </w:tr>
      <w:tr w:rsidR="00621CBD" w:rsidRPr="00D60E79" w14:paraId="5957DDE8"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6D90714F" w14:textId="77777777" w:rsidR="00621CBD" w:rsidRPr="00621CBD" w:rsidRDefault="00621CBD" w:rsidP="00BA32A1">
            <w:pPr>
              <w:rPr>
                <w:rFonts w:ascii="Arial Narrow" w:hAnsi="Arial Narrow" w:cs="Times New Roman"/>
                <w:color w:val="333333"/>
                <w:sz w:val="18"/>
                <w:szCs w:val="18"/>
              </w:rPr>
            </w:pPr>
            <w:r w:rsidRPr="00621CBD">
              <w:rPr>
                <w:rFonts w:ascii="Arial Narrow" w:hAnsi="Arial Narrow" w:cs="Times New Roman"/>
                <w:b/>
                <w:bCs/>
                <w:color w:val="333333"/>
                <w:sz w:val="18"/>
                <w:szCs w:val="18"/>
              </w:rPr>
              <w:t>Treatment criteria:</w:t>
            </w:r>
          </w:p>
        </w:tc>
      </w:tr>
      <w:tr w:rsidR="00621CBD" w:rsidRPr="00D60E79" w14:paraId="50C380C8"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7572D0DC" w14:textId="77777777" w:rsidR="00621CBD" w:rsidRPr="00621CBD" w:rsidRDefault="00621CBD" w:rsidP="00BA32A1">
            <w:pPr>
              <w:autoSpaceDE w:val="0"/>
              <w:autoSpaceDN w:val="0"/>
              <w:adjustRightInd w:val="0"/>
              <w:rPr>
                <w:rFonts w:ascii="Arial Narrow" w:eastAsia="Calibri" w:hAnsi="Arial Narrow" w:cs="Arial Narrow"/>
                <w:sz w:val="18"/>
                <w:szCs w:val="18"/>
              </w:rPr>
            </w:pPr>
            <w:r w:rsidRPr="00621CBD">
              <w:rPr>
                <w:rFonts w:ascii="Arial Narrow" w:eastAsia="Calibri" w:hAnsi="Arial Narrow" w:cs="Arial Narrow"/>
                <w:sz w:val="18"/>
                <w:szCs w:val="18"/>
              </w:rPr>
              <w:t xml:space="preserve">Must be treated by a haematologist </w:t>
            </w:r>
            <w:r w:rsidRPr="00621CBD">
              <w:rPr>
                <w:rFonts w:ascii="Arial Narrow" w:eastAsia="Calibri" w:hAnsi="Arial Narrow" w:cs="Arial Narrow"/>
                <w:strike/>
                <w:sz w:val="18"/>
                <w:szCs w:val="18"/>
              </w:rPr>
              <w:t>or in consultation with a haematologist</w:t>
            </w:r>
            <w:r w:rsidRPr="00621CBD">
              <w:rPr>
                <w:rFonts w:ascii="Arial Narrow" w:eastAsia="Calibri" w:hAnsi="Arial Narrow" w:cs="Arial Narrow"/>
                <w:sz w:val="18"/>
                <w:szCs w:val="18"/>
              </w:rPr>
              <w:t xml:space="preserve">; </w:t>
            </w:r>
            <w:r w:rsidRPr="00621CBD">
              <w:rPr>
                <w:rFonts w:ascii="Arial Narrow" w:eastAsia="Calibri" w:hAnsi="Arial Narrow" w:cs="Arial Narrow"/>
                <w:b/>
                <w:bCs/>
                <w:sz w:val="18"/>
                <w:szCs w:val="18"/>
              </w:rPr>
              <w:t>OR</w:t>
            </w:r>
          </w:p>
        </w:tc>
      </w:tr>
      <w:tr w:rsidR="00621CBD" w:rsidRPr="00D60E79" w14:paraId="09C79A40"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3C86496" w14:textId="77777777" w:rsidR="00621CBD" w:rsidRPr="00621CBD" w:rsidRDefault="00621CBD" w:rsidP="00BA32A1">
            <w:pPr>
              <w:autoSpaceDE w:val="0"/>
              <w:autoSpaceDN w:val="0"/>
              <w:adjustRightInd w:val="0"/>
              <w:rPr>
                <w:rFonts w:ascii="Arial Narrow" w:eastAsia="Calibri" w:hAnsi="Arial Narrow" w:cs="Arial Narrow"/>
                <w:sz w:val="18"/>
                <w:szCs w:val="18"/>
              </w:rPr>
            </w:pPr>
            <w:r w:rsidRPr="00621CBD">
              <w:rPr>
                <w:rFonts w:ascii="Arial Narrow" w:eastAsia="Calibri" w:hAnsi="Arial Narrow" w:cs="Arial Narrow"/>
                <w:sz w:val="18"/>
                <w:szCs w:val="18"/>
              </w:rPr>
              <w:t>Must be treated by a non-specialist medical physician who has consulted a haematologist on the patient’s drug treatment details</w:t>
            </w:r>
          </w:p>
        </w:tc>
      </w:tr>
      <w:tr w:rsidR="00621CBD" w:rsidRPr="00D60E79" w14:paraId="509A0724"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F93B52B" w14:textId="77777777" w:rsidR="00621CBD" w:rsidRPr="00621CBD" w:rsidRDefault="00621CBD" w:rsidP="00BA32A1">
            <w:pPr>
              <w:autoSpaceDE w:val="0"/>
              <w:autoSpaceDN w:val="0"/>
              <w:adjustRightInd w:val="0"/>
              <w:rPr>
                <w:rFonts w:ascii="Arial Narrow" w:eastAsia="Calibri" w:hAnsi="Arial Narrow" w:cs="Arial Narrow"/>
                <w:strike/>
                <w:sz w:val="18"/>
                <w:szCs w:val="18"/>
              </w:rPr>
            </w:pPr>
            <w:r w:rsidRPr="00621CBD">
              <w:rPr>
                <w:rFonts w:ascii="Arial Narrow" w:eastAsia="Calibri" w:hAnsi="Arial Narrow" w:cs="Arial Narrow"/>
                <w:strike/>
                <w:sz w:val="18"/>
                <w:szCs w:val="18"/>
              </w:rPr>
              <w:t xml:space="preserve">Patient or carer of patient may self-/administer </w:t>
            </w:r>
            <w:proofErr w:type="spellStart"/>
            <w:r w:rsidRPr="00621CBD">
              <w:rPr>
                <w:rFonts w:ascii="Arial Narrow" w:eastAsia="Calibri" w:hAnsi="Arial Narrow" w:cs="Arial Narrow"/>
                <w:strike/>
                <w:sz w:val="18"/>
                <w:szCs w:val="18"/>
              </w:rPr>
              <w:t>pegcetacoplan</w:t>
            </w:r>
            <w:proofErr w:type="spellEnd"/>
            <w:r w:rsidRPr="00621CBD">
              <w:rPr>
                <w:rFonts w:ascii="Arial Narrow" w:eastAsia="Calibri" w:hAnsi="Arial Narrow" w:cs="Arial Narrow"/>
                <w:strike/>
                <w:sz w:val="18"/>
                <w:szCs w:val="18"/>
              </w:rPr>
              <w:t xml:space="preserve"> on the basis that the haematologist deems it appropriate and that the patient or carer or patient complete training on subcutaneous injection by a suitable health care professional.</w:t>
            </w:r>
          </w:p>
        </w:tc>
      </w:tr>
      <w:tr w:rsidR="00621CBD" w:rsidRPr="00D60E79" w14:paraId="26036B83"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5E7E1549" w14:textId="77777777" w:rsidR="00621CBD" w:rsidRPr="00621CBD" w:rsidRDefault="00621CBD" w:rsidP="00BA32A1">
            <w:pPr>
              <w:rPr>
                <w:rFonts w:ascii="Arial Narrow" w:hAnsi="Arial Narrow" w:cs="Times New Roman"/>
                <w:color w:val="333333"/>
                <w:sz w:val="18"/>
                <w:szCs w:val="18"/>
              </w:rPr>
            </w:pPr>
            <w:r w:rsidRPr="00621CBD">
              <w:rPr>
                <w:rFonts w:ascii="Arial Narrow" w:hAnsi="Arial Narrow" w:cs="Times New Roman"/>
                <w:b/>
                <w:bCs/>
                <w:color w:val="333333"/>
                <w:sz w:val="18"/>
                <w:szCs w:val="18"/>
              </w:rPr>
              <w:t>Population criteria:</w:t>
            </w:r>
          </w:p>
        </w:tc>
      </w:tr>
      <w:tr w:rsidR="00621CBD" w:rsidRPr="00D60E79" w14:paraId="138AD4E1"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hideMark/>
          </w:tcPr>
          <w:p w14:paraId="76F797E3" w14:textId="77777777" w:rsidR="00621CBD" w:rsidRPr="00621CBD" w:rsidRDefault="00621CBD" w:rsidP="00BA32A1">
            <w:pPr>
              <w:rPr>
                <w:rFonts w:ascii="Arial Narrow" w:hAnsi="Arial Narrow" w:cs="Times New Roman"/>
                <w:color w:val="333333"/>
                <w:sz w:val="18"/>
                <w:szCs w:val="18"/>
              </w:rPr>
            </w:pPr>
            <w:r w:rsidRPr="00621CBD">
              <w:rPr>
                <w:rFonts w:ascii="Arial Narrow" w:eastAsia="Calibri" w:hAnsi="Arial Narrow" w:cs="Times New Roman"/>
                <w:sz w:val="18"/>
                <w:szCs w:val="18"/>
              </w:rPr>
              <w:t xml:space="preserve">Patients must be </w:t>
            </w:r>
            <w:r w:rsidRPr="00621CBD">
              <w:rPr>
                <w:rFonts w:ascii="Arial Narrow" w:eastAsia="Calibri" w:hAnsi="Arial Narrow" w:cs="Times New Roman"/>
                <w:iCs/>
                <w:sz w:val="18"/>
                <w:szCs w:val="18"/>
              </w:rPr>
              <w:t>aged 18</w:t>
            </w:r>
            <w:r w:rsidRPr="00621CBD">
              <w:rPr>
                <w:rFonts w:ascii="Arial Narrow" w:eastAsia="Calibri" w:hAnsi="Arial Narrow" w:cs="Times New Roman"/>
                <w:sz w:val="18"/>
                <w:szCs w:val="18"/>
              </w:rPr>
              <w:t xml:space="preserve"> years or older</w:t>
            </w:r>
          </w:p>
        </w:tc>
      </w:tr>
      <w:tr w:rsidR="00621CBD" w:rsidRPr="00D60E79" w14:paraId="1065E160"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64FBB8C0" w14:textId="77777777" w:rsidR="00621CBD" w:rsidRPr="00621CBD" w:rsidRDefault="00621CBD" w:rsidP="00BA32A1">
            <w:pPr>
              <w:rPr>
                <w:rFonts w:ascii="Arial Narrow" w:hAnsi="Arial Narrow" w:cs="Times New Roman"/>
                <w:i/>
                <w:iCs/>
                <w:color w:val="FF00FF"/>
                <w:sz w:val="18"/>
                <w:szCs w:val="18"/>
              </w:rPr>
            </w:pPr>
            <w:r w:rsidRPr="00621CBD">
              <w:rPr>
                <w:rFonts w:ascii="Arial Narrow" w:hAnsi="Arial Narrow" w:cs="Times New Roman"/>
                <w:b/>
                <w:bCs/>
                <w:i/>
                <w:iCs/>
                <w:color w:val="333333"/>
                <w:sz w:val="18"/>
                <w:szCs w:val="18"/>
              </w:rPr>
              <w:t xml:space="preserve">Prescribing Instructions: </w:t>
            </w:r>
            <w:r w:rsidRPr="00621CBD">
              <w:rPr>
                <w:rFonts w:ascii="Arial Narrow" w:eastAsia="Calibri" w:hAnsi="Arial Narrow" w:cs="Times New Roman"/>
                <w:i/>
                <w:iCs/>
                <w:sz w:val="18"/>
                <w:szCs w:val="18"/>
              </w:rPr>
              <w:t xml:space="preserve">At the time of the authority application, medical practitioners should request the appropriate number of vials for one </w:t>
            </w:r>
            <w:proofErr w:type="spellStart"/>
            <w:r w:rsidRPr="00621CBD">
              <w:rPr>
                <w:rFonts w:ascii="Arial Narrow" w:eastAsia="Calibri" w:hAnsi="Arial Narrow" w:cs="Times New Roman"/>
                <w:i/>
                <w:iCs/>
                <w:sz w:val="18"/>
                <w:szCs w:val="18"/>
              </w:rPr>
              <w:t>months</w:t>
            </w:r>
            <w:proofErr w:type="spellEnd"/>
            <w:r w:rsidRPr="00621CBD">
              <w:rPr>
                <w:rFonts w:ascii="Arial Narrow" w:eastAsia="Calibri" w:hAnsi="Arial Narrow" w:cs="Times New Roman"/>
                <w:i/>
                <w:iCs/>
                <w:sz w:val="18"/>
                <w:szCs w:val="18"/>
              </w:rPr>
              <w:t xml:space="preserve"> supply as per the Product Information. </w:t>
            </w:r>
          </w:p>
          <w:p w14:paraId="27EB7EA2" w14:textId="77777777" w:rsidR="00621CBD" w:rsidRPr="00621CBD" w:rsidRDefault="00621CBD" w:rsidP="00BA32A1">
            <w:pPr>
              <w:rPr>
                <w:rFonts w:ascii="Arial Narrow" w:hAnsi="Arial Narrow" w:cs="Times New Roman"/>
                <w:i/>
                <w:iCs/>
                <w:color w:val="333333"/>
                <w:sz w:val="18"/>
                <w:szCs w:val="18"/>
              </w:rPr>
            </w:pPr>
          </w:p>
        </w:tc>
      </w:tr>
      <w:tr w:rsidR="00621CBD" w:rsidRPr="00D60E79" w14:paraId="4A1DC6A9"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EAEFC9B" w14:textId="77777777" w:rsidR="00621CBD" w:rsidRPr="00621CBD" w:rsidRDefault="00621CBD" w:rsidP="00BA32A1">
            <w:pPr>
              <w:spacing w:line="276" w:lineRule="auto"/>
              <w:rPr>
                <w:rFonts w:ascii="Arial Narrow" w:hAnsi="Arial Narrow" w:cs="Times New Roman"/>
                <w:b/>
                <w:bCs/>
                <w:i/>
                <w:iCs/>
                <w:color w:val="333333"/>
                <w:sz w:val="18"/>
                <w:szCs w:val="18"/>
              </w:rPr>
            </w:pPr>
            <w:r w:rsidRPr="00621CBD">
              <w:rPr>
                <w:rFonts w:ascii="Arial Narrow" w:hAnsi="Arial Narrow" w:cs="Times New Roman"/>
                <w:b/>
                <w:bCs/>
                <w:i/>
                <w:iCs/>
                <w:color w:val="333333"/>
                <w:sz w:val="18"/>
                <w:szCs w:val="18"/>
              </w:rPr>
              <w:t xml:space="preserve">Prescribing Instructions: </w:t>
            </w:r>
            <w:r w:rsidRPr="00621CBD">
              <w:rPr>
                <w:rFonts w:ascii="Arial Narrow" w:hAnsi="Arial Narrow" w:cs="Times New Roman"/>
                <w:i/>
                <w:iCs/>
                <w:color w:val="333333"/>
                <w:sz w:val="18"/>
                <w:szCs w:val="18"/>
              </w:rPr>
              <w:t xml:space="preserve">C5 inhibitor defined as eculizumab or </w:t>
            </w:r>
            <w:proofErr w:type="spellStart"/>
            <w:r w:rsidRPr="00621CBD">
              <w:rPr>
                <w:rFonts w:ascii="Arial Narrow" w:hAnsi="Arial Narrow" w:cs="Times New Roman"/>
                <w:i/>
                <w:iCs/>
                <w:color w:val="333333"/>
                <w:sz w:val="18"/>
                <w:szCs w:val="18"/>
              </w:rPr>
              <w:t>ravulizumab</w:t>
            </w:r>
            <w:proofErr w:type="spellEnd"/>
            <w:r w:rsidRPr="00621CBD">
              <w:rPr>
                <w:rFonts w:ascii="Arial Narrow" w:hAnsi="Arial Narrow" w:cs="Times New Roman"/>
                <w:b/>
                <w:bCs/>
                <w:i/>
                <w:iCs/>
                <w:color w:val="333333"/>
                <w:sz w:val="18"/>
                <w:szCs w:val="18"/>
              </w:rPr>
              <w:t xml:space="preserve"> </w:t>
            </w:r>
          </w:p>
        </w:tc>
      </w:tr>
      <w:tr w:rsidR="00621CBD" w:rsidRPr="00D60E79" w14:paraId="7E4942A5"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A10D463" w14:textId="77777777" w:rsidR="00621CBD" w:rsidRPr="00621CBD" w:rsidRDefault="00621CBD" w:rsidP="00BA32A1">
            <w:pPr>
              <w:spacing w:line="276" w:lineRule="auto"/>
              <w:rPr>
                <w:rFonts w:ascii="Arial Narrow" w:hAnsi="Arial Narrow" w:cs="Times New Roman"/>
                <w:b/>
                <w:bCs/>
                <w:i/>
                <w:iCs/>
                <w:color w:val="333333"/>
                <w:sz w:val="18"/>
                <w:szCs w:val="18"/>
              </w:rPr>
            </w:pPr>
            <w:r w:rsidRPr="00621CBD">
              <w:rPr>
                <w:rFonts w:ascii="Arial Narrow" w:hAnsi="Arial Narrow" w:cs="Times New Roman"/>
                <w:b/>
                <w:bCs/>
                <w:i/>
                <w:iCs/>
                <w:color w:val="333333"/>
                <w:sz w:val="18"/>
                <w:szCs w:val="18"/>
              </w:rPr>
              <w:t xml:space="preserve">Prescribing Instructions: </w:t>
            </w:r>
          </w:p>
          <w:p w14:paraId="42B07E75" w14:textId="77777777" w:rsidR="00621CBD" w:rsidRPr="00621CBD" w:rsidRDefault="00621CBD" w:rsidP="00BA32A1">
            <w:pPr>
              <w:spacing w:line="276" w:lineRule="auto"/>
              <w:rPr>
                <w:rFonts w:ascii="Arial Narrow" w:eastAsia="Calibri" w:hAnsi="Arial Narrow" w:cs="Times New Roman"/>
                <w:i/>
                <w:iCs/>
                <w:sz w:val="18"/>
                <w:szCs w:val="18"/>
              </w:rPr>
            </w:pPr>
            <w:r w:rsidRPr="00621CBD">
              <w:rPr>
                <w:rFonts w:ascii="Arial Narrow" w:eastAsia="Calibri" w:hAnsi="Arial Narrow" w:cs="Times New Roman"/>
                <w:i/>
                <w:iCs/>
                <w:sz w:val="18"/>
                <w:szCs w:val="18"/>
              </w:rPr>
              <w:t>At the time of the authority application, details (result and date of result) of the following monitoring requirements must be provided:</w:t>
            </w:r>
          </w:p>
          <w:p w14:paraId="07F01397" w14:textId="77777777"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Haemoglobin (g/L)</w:t>
            </w:r>
          </w:p>
          <w:p w14:paraId="202C4D77" w14:textId="77777777"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Platelets (x109/L)</w:t>
            </w:r>
          </w:p>
          <w:p w14:paraId="5EA49E41" w14:textId="77777777"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White Cell Count (x109/L)</w:t>
            </w:r>
          </w:p>
          <w:p w14:paraId="6C57FD26" w14:textId="77777777"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Reticulocytes (x109/L)</w:t>
            </w:r>
          </w:p>
          <w:p w14:paraId="06979D55" w14:textId="77777777"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Neutrophils (x109/L)</w:t>
            </w:r>
          </w:p>
          <w:p w14:paraId="017B898B" w14:textId="77777777"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Granulocyte clone size (%)</w:t>
            </w:r>
          </w:p>
          <w:p w14:paraId="7B584DCB" w14:textId="1340CDC1" w:rsidR="00621CBD" w:rsidRPr="00621CBD"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 xml:space="preserve">Lactate </w:t>
            </w:r>
            <w:r w:rsidR="00975C9B" w:rsidRPr="00621CBD">
              <w:rPr>
                <w:rFonts w:ascii="Arial Narrow" w:eastAsia="Calibri" w:hAnsi="Arial Narrow" w:cs="Times New Roman"/>
                <w:i/>
                <w:iCs/>
                <w:sz w:val="18"/>
                <w:szCs w:val="18"/>
              </w:rPr>
              <w:t>Dehydrogenase</w:t>
            </w:r>
            <w:r w:rsidRPr="00621CBD">
              <w:rPr>
                <w:rFonts w:ascii="Arial Narrow" w:eastAsia="Calibri" w:hAnsi="Arial Narrow" w:cs="Times New Roman"/>
                <w:i/>
                <w:iCs/>
                <w:sz w:val="18"/>
                <w:szCs w:val="18"/>
              </w:rPr>
              <w:t xml:space="preserve"> (LDH) and the upper limit of normal (ULN) for the reporting laboratory</w:t>
            </w:r>
          </w:p>
          <w:p w14:paraId="66CA69C9" w14:textId="439D1598" w:rsidR="00621CBD" w:rsidRPr="00EB40F2" w:rsidRDefault="00621CBD" w:rsidP="00BA32A1">
            <w:pPr>
              <w:numPr>
                <w:ilvl w:val="0"/>
                <w:numId w:val="11"/>
              </w:numPr>
              <w:spacing w:line="276" w:lineRule="auto"/>
              <w:jc w:val="left"/>
              <w:rPr>
                <w:rFonts w:ascii="Arial Narrow" w:eastAsia="Calibri" w:hAnsi="Arial Narrow" w:cs="Times New Roman"/>
                <w:i/>
                <w:iCs/>
                <w:sz w:val="18"/>
                <w:szCs w:val="18"/>
              </w:rPr>
            </w:pPr>
            <w:r w:rsidRPr="00621CBD">
              <w:rPr>
                <w:rFonts w:ascii="Arial Narrow" w:eastAsia="Calibri" w:hAnsi="Arial Narrow" w:cs="Times New Roman"/>
                <w:i/>
                <w:iCs/>
                <w:sz w:val="18"/>
                <w:szCs w:val="18"/>
              </w:rPr>
              <w:t>Multiple of LDH ULN</w:t>
            </w:r>
          </w:p>
        </w:tc>
      </w:tr>
      <w:tr w:rsidR="00621CBD" w:rsidRPr="00D60E79" w14:paraId="45932BEE"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134CAF61" w14:textId="77777777" w:rsidR="00621CBD" w:rsidRPr="00621CBD" w:rsidRDefault="00621CBD" w:rsidP="00BA32A1">
            <w:pPr>
              <w:spacing w:line="276" w:lineRule="auto"/>
              <w:rPr>
                <w:rFonts w:ascii="Arial Narrow" w:eastAsia="Calibri" w:hAnsi="Arial Narrow" w:cs="Times New Roman"/>
                <w:b/>
                <w:sz w:val="18"/>
                <w:szCs w:val="18"/>
              </w:rPr>
            </w:pPr>
            <w:r w:rsidRPr="00621CBD">
              <w:rPr>
                <w:rFonts w:ascii="Arial Narrow" w:eastAsia="Calibri" w:hAnsi="Arial Narrow" w:cs="Times New Roman"/>
                <w:b/>
                <w:sz w:val="18"/>
                <w:szCs w:val="18"/>
              </w:rPr>
              <w:t>Administrative advice:</w:t>
            </w:r>
          </w:p>
          <w:p w14:paraId="7FF0CCF0"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Any queries concerning the arrangements to prescribe may be directed to Services Australia on 1800 700 270 (hours of operation 8 a.m. to 5 p.m. EST Monday to Friday).</w:t>
            </w:r>
          </w:p>
          <w:p w14:paraId="53F315F0"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Prescribing information (including Authority Application forms and other relevant documentation as applicable) is available on the Services Australia website at www.servicesaustralia.gov.au</w:t>
            </w:r>
          </w:p>
          <w:p w14:paraId="2F9D70AE"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lastRenderedPageBreak/>
              <w:t>Applications for authority to prescribe should be submitted online using the form upload facility in Health Professional Online Services (HPOS) at www.servicesaustralia.gov.au/hpos</w:t>
            </w:r>
          </w:p>
          <w:p w14:paraId="45F88A8B"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Or mailed to:</w:t>
            </w:r>
          </w:p>
          <w:p w14:paraId="6AE7CD56"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Services Australia</w:t>
            </w:r>
          </w:p>
          <w:p w14:paraId="59BD4A16"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Complex Drugs</w:t>
            </w:r>
          </w:p>
          <w:p w14:paraId="4DD012EC"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Reply Paid 9826</w:t>
            </w:r>
          </w:p>
          <w:p w14:paraId="4272B4E9" w14:textId="77777777" w:rsidR="00621CBD" w:rsidRPr="00621CBD" w:rsidRDefault="00621CBD" w:rsidP="00BA32A1">
            <w:pPr>
              <w:rPr>
                <w:rFonts w:ascii="Arial Narrow" w:hAnsi="Arial Narrow" w:cs="Times New Roman"/>
                <w:color w:val="333333"/>
                <w:sz w:val="18"/>
                <w:szCs w:val="18"/>
              </w:rPr>
            </w:pPr>
            <w:r w:rsidRPr="00621CBD">
              <w:rPr>
                <w:rFonts w:ascii="Arial Narrow" w:eastAsia="Calibri" w:hAnsi="Arial Narrow" w:cs="Times New Roman"/>
                <w:sz w:val="18"/>
                <w:szCs w:val="18"/>
              </w:rPr>
              <w:t>HOBART TAS 7001</w:t>
            </w:r>
          </w:p>
        </w:tc>
      </w:tr>
      <w:tr w:rsidR="00621CBD" w:rsidRPr="00D60E79" w14:paraId="6F984F59"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hideMark/>
          </w:tcPr>
          <w:p w14:paraId="0C6DE935" w14:textId="77777777" w:rsidR="00621CBD" w:rsidRPr="00621CBD" w:rsidRDefault="00621CBD" w:rsidP="00BA32A1">
            <w:pPr>
              <w:rPr>
                <w:rFonts w:ascii="Arial Narrow" w:hAnsi="Arial Narrow" w:cs="Times New Roman"/>
                <w:color w:val="333333"/>
                <w:sz w:val="18"/>
                <w:szCs w:val="18"/>
              </w:rPr>
            </w:pPr>
            <w:r w:rsidRPr="00621CBD">
              <w:rPr>
                <w:rFonts w:ascii="Arial Narrow" w:eastAsia="Calibri" w:hAnsi="Arial Narrow" w:cs="Times New Roman"/>
                <w:b/>
                <w:sz w:val="18"/>
                <w:szCs w:val="18"/>
              </w:rPr>
              <w:lastRenderedPageBreak/>
              <w:t>Administrative advice:</w:t>
            </w:r>
            <w:r w:rsidRPr="00621CBD">
              <w:rPr>
                <w:rFonts w:ascii="Arial Narrow" w:eastAsia="Calibri" w:hAnsi="Arial Narrow" w:cs="Times New Roman"/>
                <w:sz w:val="18"/>
                <w:szCs w:val="18"/>
              </w:rPr>
              <w:t xml:space="preserve"> No increase in the maximum number of repeats may be authorised.</w:t>
            </w:r>
          </w:p>
        </w:tc>
      </w:tr>
      <w:tr w:rsidR="00621CBD" w:rsidRPr="00D60E79" w14:paraId="35792E68" w14:textId="77777777" w:rsidTr="00621CB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E402354"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b/>
                <w:sz w:val="18"/>
                <w:szCs w:val="18"/>
              </w:rPr>
              <w:t>Caution:</w:t>
            </w:r>
          </w:p>
          <w:p w14:paraId="7D983FED" w14:textId="77777777" w:rsidR="00621CBD" w:rsidRPr="00621CBD" w:rsidRDefault="00621CBD" w:rsidP="00BA32A1">
            <w:pPr>
              <w:spacing w:line="276" w:lineRule="auto"/>
              <w:rPr>
                <w:rFonts w:ascii="Arial Narrow" w:eastAsia="Calibri" w:hAnsi="Arial Narrow"/>
                <w:sz w:val="18"/>
                <w:szCs w:val="18"/>
              </w:rPr>
            </w:pPr>
            <w:r w:rsidRPr="00621CBD">
              <w:rPr>
                <w:rFonts w:ascii="Arial Narrow" w:eastAsia="Calibri" w:hAnsi="Arial Narrow" w:cs="Times New Roman"/>
                <w:sz w:val="18"/>
                <w:szCs w:val="18"/>
              </w:rPr>
              <w:t xml:space="preserve">WARNING: </w:t>
            </w:r>
            <w:r w:rsidRPr="00621CBD">
              <w:rPr>
                <w:rFonts w:ascii="Arial Narrow" w:eastAsia="Calibri" w:hAnsi="Arial Narrow"/>
                <w:sz w:val="18"/>
                <w:szCs w:val="18"/>
              </w:rPr>
              <w:t>This drug increases the risk of encapsulated bacterial infections.</w:t>
            </w:r>
          </w:p>
          <w:p w14:paraId="54D97563" w14:textId="77777777" w:rsidR="00621CBD" w:rsidRPr="00621CBD" w:rsidRDefault="00621CBD" w:rsidP="00BA32A1">
            <w:pPr>
              <w:spacing w:line="276" w:lineRule="auto"/>
              <w:rPr>
                <w:rFonts w:ascii="Arial Narrow" w:eastAsia="Calibri" w:hAnsi="Arial Narrow" w:cs="Times New Roman"/>
                <w:sz w:val="18"/>
                <w:szCs w:val="18"/>
              </w:rPr>
            </w:pPr>
            <w:r w:rsidRPr="00621CBD">
              <w:rPr>
                <w:rFonts w:ascii="Arial Narrow" w:eastAsia="Calibri" w:hAnsi="Arial Narrow" w:cs="Times New Roman"/>
                <w:sz w:val="18"/>
                <w:szCs w:val="18"/>
              </w:rPr>
              <w:t xml:space="preserve">Consult the approved PI for information about vaccination again meningococcal, pneumococcal and </w:t>
            </w:r>
            <w:r w:rsidRPr="00621CBD">
              <w:rPr>
                <w:rFonts w:ascii="Arial Narrow" w:eastAsia="Calibri" w:hAnsi="Arial Narrow" w:cs="Times New Roman"/>
                <w:i/>
                <w:iCs/>
                <w:sz w:val="18"/>
                <w:szCs w:val="18"/>
              </w:rPr>
              <w:t>Haemophilus influenzae</w:t>
            </w:r>
            <w:r w:rsidRPr="00621CBD">
              <w:rPr>
                <w:rFonts w:ascii="Arial Narrow" w:eastAsia="Calibri" w:hAnsi="Arial Narrow" w:cs="Times New Roman"/>
                <w:sz w:val="18"/>
                <w:szCs w:val="18"/>
              </w:rPr>
              <w:t xml:space="preserve"> type B (Hib) infection.</w:t>
            </w:r>
          </w:p>
        </w:tc>
      </w:tr>
    </w:tbl>
    <w:p w14:paraId="71E8B81D" w14:textId="4582D4E0" w:rsidR="00621CBD" w:rsidRDefault="00621CBD" w:rsidP="00621CB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850"/>
        <w:gridCol w:w="993"/>
        <w:gridCol w:w="1134"/>
        <w:gridCol w:w="992"/>
        <w:gridCol w:w="1303"/>
        <w:gridCol w:w="1248"/>
      </w:tblGrid>
      <w:tr w:rsidR="001504EE" w:rsidRPr="00D60E79" w14:paraId="0D1B20FA" w14:textId="77777777" w:rsidTr="001504EE">
        <w:trPr>
          <w:cantSplit/>
          <w:trHeight w:val="471"/>
        </w:trPr>
        <w:tc>
          <w:tcPr>
            <w:tcW w:w="2547" w:type="dxa"/>
          </w:tcPr>
          <w:p w14:paraId="07EC1924" w14:textId="77777777" w:rsidR="001504EE" w:rsidRPr="001504EE" w:rsidRDefault="001504EE" w:rsidP="00BA32A1">
            <w:pPr>
              <w:keepNext/>
              <w:ind w:left="-57"/>
              <w:rPr>
                <w:rFonts w:ascii="Arial Narrow" w:eastAsia="Calibri" w:hAnsi="Arial Narrow"/>
                <w:b/>
                <w:bCs/>
                <w:sz w:val="18"/>
                <w:szCs w:val="18"/>
              </w:rPr>
            </w:pPr>
            <w:r w:rsidRPr="001504EE">
              <w:rPr>
                <w:rFonts w:ascii="Arial Narrow" w:eastAsia="Calibri" w:hAnsi="Arial Narrow"/>
                <w:b/>
                <w:bCs/>
                <w:sz w:val="18"/>
                <w:szCs w:val="18"/>
              </w:rPr>
              <w:t>MEDICINAL PRODUCT</w:t>
            </w:r>
          </w:p>
          <w:p w14:paraId="078D1D13" w14:textId="77777777" w:rsidR="001504EE" w:rsidRPr="001504EE" w:rsidRDefault="001504EE" w:rsidP="00BA32A1">
            <w:pPr>
              <w:keepNext/>
              <w:ind w:left="-57"/>
              <w:rPr>
                <w:rFonts w:ascii="Arial Narrow" w:eastAsia="Calibri" w:hAnsi="Arial Narrow"/>
                <w:b/>
                <w:sz w:val="18"/>
                <w:szCs w:val="18"/>
              </w:rPr>
            </w:pPr>
            <w:r w:rsidRPr="001504EE">
              <w:rPr>
                <w:rFonts w:ascii="Arial Narrow" w:eastAsia="Calibri" w:hAnsi="Arial Narrow"/>
                <w:b/>
                <w:bCs/>
                <w:sz w:val="18"/>
                <w:szCs w:val="18"/>
              </w:rPr>
              <w:t>medicinal product pack</w:t>
            </w:r>
          </w:p>
        </w:tc>
        <w:tc>
          <w:tcPr>
            <w:tcW w:w="850" w:type="dxa"/>
          </w:tcPr>
          <w:p w14:paraId="4BA10EB6" w14:textId="77777777" w:rsidR="001504EE" w:rsidRPr="001504EE" w:rsidRDefault="001504EE" w:rsidP="00BA32A1">
            <w:pPr>
              <w:keepNext/>
              <w:ind w:left="-108"/>
              <w:jc w:val="center"/>
              <w:rPr>
                <w:rFonts w:ascii="Arial Narrow" w:eastAsia="Calibri" w:hAnsi="Arial Narrow"/>
                <w:b/>
                <w:sz w:val="18"/>
                <w:szCs w:val="18"/>
              </w:rPr>
            </w:pPr>
            <w:r w:rsidRPr="001504EE">
              <w:rPr>
                <w:rFonts w:ascii="Arial Narrow" w:eastAsia="Calibri" w:hAnsi="Arial Narrow"/>
                <w:b/>
                <w:sz w:val="18"/>
                <w:szCs w:val="18"/>
              </w:rPr>
              <w:t>PBS item code</w:t>
            </w:r>
          </w:p>
        </w:tc>
        <w:tc>
          <w:tcPr>
            <w:tcW w:w="993" w:type="dxa"/>
          </w:tcPr>
          <w:p w14:paraId="7CBE276B" w14:textId="77777777" w:rsidR="001504EE" w:rsidRPr="001504EE" w:rsidRDefault="001504EE" w:rsidP="00BA32A1">
            <w:pPr>
              <w:keepNext/>
              <w:ind w:left="-108"/>
              <w:jc w:val="center"/>
              <w:rPr>
                <w:rFonts w:ascii="Arial Narrow" w:eastAsia="Calibri" w:hAnsi="Arial Narrow"/>
                <w:b/>
                <w:sz w:val="18"/>
                <w:szCs w:val="18"/>
              </w:rPr>
            </w:pPr>
            <w:r w:rsidRPr="001504EE">
              <w:rPr>
                <w:rFonts w:ascii="Arial Narrow" w:eastAsia="Calibri" w:hAnsi="Arial Narrow"/>
                <w:b/>
                <w:sz w:val="18"/>
                <w:szCs w:val="18"/>
              </w:rPr>
              <w:t>Max. qty packs</w:t>
            </w:r>
          </w:p>
        </w:tc>
        <w:tc>
          <w:tcPr>
            <w:tcW w:w="1134" w:type="dxa"/>
          </w:tcPr>
          <w:p w14:paraId="25FB22C4" w14:textId="77777777" w:rsidR="001504EE" w:rsidRPr="001504EE" w:rsidRDefault="001504EE" w:rsidP="00BA32A1">
            <w:pPr>
              <w:keepNext/>
              <w:ind w:left="-108"/>
              <w:jc w:val="center"/>
              <w:rPr>
                <w:rFonts w:ascii="Arial Narrow" w:eastAsia="Calibri" w:hAnsi="Arial Narrow"/>
                <w:b/>
                <w:sz w:val="18"/>
                <w:szCs w:val="18"/>
              </w:rPr>
            </w:pPr>
            <w:r w:rsidRPr="001504EE">
              <w:rPr>
                <w:rFonts w:ascii="Arial Narrow" w:eastAsia="Calibri" w:hAnsi="Arial Narrow"/>
                <w:b/>
                <w:sz w:val="18"/>
                <w:szCs w:val="18"/>
              </w:rPr>
              <w:t>Max. qty units</w:t>
            </w:r>
          </w:p>
        </w:tc>
        <w:tc>
          <w:tcPr>
            <w:tcW w:w="992" w:type="dxa"/>
          </w:tcPr>
          <w:p w14:paraId="1ABFE248" w14:textId="47342FC5" w:rsidR="001504EE" w:rsidRPr="001504EE" w:rsidRDefault="001504EE" w:rsidP="00BA32A1">
            <w:pPr>
              <w:keepNext/>
              <w:ind w:left="-108"/>
              <w:jc w:val="center"/>
              <w:rPr>
                <w:rFonts w:ascii="Arial Narrow" w:eastAsia="Calibri" w:hAnsi="Arial Narrow"/>
                <w:b/>
                <w:sz w:val="18"/>
                <w:szCs w:val="18"/>
              </w:rPr>
            </w:pPr>
            <w:proofErr w:type="gramStart"/>
            <w:r w:rsidRPr="001504EE">
              <w:rPr>
                <w:rFonts w:ascii="Arial Narrow" w:eastAsia="Calibri" w:hAnsi="Arial Narrow"/>
                <w:b/>
                <w:sz w:val="18"/>
                <w:szCs w:val="18"/>
              </w:rPr>
              <w:t>№.of</w:t>
            </w:r>
            <w:proofErr w:type="gramEnd"/>
            <w:r w:rsidRPr="001504EE">
              <w:rPr>
                <w:rFonts w:ascii="Arial Narrow" w:eastAsia="Calibri" w:hAnsi="Arial Narrow"/>
                <w:b/>
                <w:sz w:val="18"/>
                <w:szCs w:val="18"/>
              </w:rPr>
              <w:br/>
            </w:r>
            <w:proofErr w:type="spellStart"/>
            <w:r w:rsidRPr="001504EE">
              <w:rPr>
                <w:rFonts w:ascii="Arial Narrow" w:eastAsia="Calibri" w:hAnsi="Arial Narrow"/>
                <w:b/>
                <w:sz w:val="18"/>
                <w:szCs w:val="18"/>
              </w:rPr>
              <w:t>Rpts</w:t>
            </w:r>
            <w:proofErr w:type="spellEnd"/>
          </w:p>
        </w:tc>
        <w:tc>
          <w:tcPr>
            <w:tcW w:w="1303" w:type="dxa"/>
          </w:tcPr>
          <w:p w14:paraId="5525EA0C" w14:textId="61B5DD53" w:rsidR="001504EE" w:rsidRPr="001504EE" w:rsidRDefault="001504EE" w:rsidP="00BA32A1">
            <w:pPr>
              <w:keepNext/>
              <w:ind w:left="-108"/>
              <w:jc w:val="center"/>
              <w:rPr>
                <w:rFonts w:ascii="Arial Narrow" w:eastAsia="Calibri" w:hAnsi="Arial Narrow"/>
                <w:b/>
                <w:sz w:val="18"/>
                <w:szCs w:val="18"/>
              </w:rPr>
            </w:pPr>
            <w:r w:rsidRPr="001504EE">
              <w:rPr>
                <w:rFonts w:ascii="Arial Narrow" w:eastAsia="Calibri" w:hAnsi="Arial Narrow"/>
                <w:b/>
                <w:sz w:val="18"/>
                <w:szCs w:val="18"/>
              </w:rPr>
              <w:t>Dispensed price for maximum quantity</w:t>
            </w:r>
          </w:p>
        </w:tc>
        <w:tc>
          <w:tcPr>
            <w:tcW w:w="1248" w:type="dxa"/>
          </w:tcPr>
          <w:p w14:paraId="2A90B922" w14:textId="77777777" w:rsidR="001504EE" w:rsidRPr="001504EE" w:rsidRDefault="001504EE" w:rsidP="00BA32A1">
            <w:pPr>
              <w:keepNext/>
              <w:rPr>
                <w:rFonts w:ascii="Arial Narrow" w:eastAsia="Calibri" w:hAnsi="Arial Narrow"/>
                <w:b/>
                <w:sz w:val="18"/>
                <w:szCs w:val="18"/>
                <w:lang w:val="fr-FR"/>
              </w:rPr>
            </w:pPr>
            <w:r w:rsidRPr="001504EE">
              <w:rPr>
                <w:rFonts w:ascii="Arial Narrow" w:eastAsia="Calibri" w:hAnsi="Arial Narrow"/>
                <w:b/>
                <w:sz w:val="18"/>
                <w:szCs w:val="18"/>
              </w:rPr>
              <w:t>Available brands</w:t>
            </w:r>
          </w:p>
        </w:tc>
      </w:tr>
      <w:tr w:rsidR="00621CBD" w:rsidRPr="00D60E79" w14:paraId="1DD02A6D" w14:textId="77777777" w:rsidTr="00BA32A1">
        <w:trPr>
          <w:cantSplit/>
          <w:trHeight w:val="224"/>
        </w:trPr>
        <w:tc>
          <w:tcPr>
            <w:tcW w:w="9067" w:type="dxa"/>
            <w:gridSpan w:val="7"/>
          </w:tcPr>
          <w:p w14:paraId="64CCBF34" w14:textId="77777777" w:rsidR="00621CBD" w:rsidRPr="001504EE" w:rsidRDefault="00621CBD" w:rsidP="00BA32A1">
            <w:pPr>
              <w:keepNext/>
              <w:ind w:left="-57"/>
              <w:rPr>
                <w:rFonts w:ascii="Arial Narrow" w:eastAsia="Calibri" w:hAnsi="Arial Narrow"/>
                <w:sz w:val="18"/>
                <w:szCs w:val="18"/>
              </w:rPr>
            </w:pPr>
            <w:r w:rsidRPr="001504EE">
              <w:rPr>
                <w:rFonts w:ascii="Arial Narrow" w:eastAsia="Calibri" w:hAnsi="Arial Narrow" w:cs="Times New Roman"/>
                <w:sz w:val="18"/>
                <w:szCs w:val="18"/>
              </w:rPr>
              <w:t>PEGCETACOPLAN</w:t>
            </w:r>
          </w:p>
        </w:tc>
      </w:tr>
      <w:tr w:rsidR="001504EE" w:rsidRPr="00D60E79" w14:paraId="6018F319" w14:textId="77777777" w:rsidTr="00EB40F2">
        <w:trPr>
          <w:cantSplit/>
          <w:trHeight w:val="456"/>
        </w:trPr>
        <w:tc>
          <w:tcPr>
            <w:tcW w:w="2547" w:type="dxa"/>
          </w:tcPr>
          <w:p w14:paraId="30BE3114" w14:textId="28BAC3C2" w:rsidR="001504EE" w:rsidRPr="00EB40F2" w:rsidRDefault="001504EE" w:rsidP="00EB40F2">
            <w:pPr>
              <w:keepNext/>
              <w:ind w:left="-57"/>
              <w:rPr>
                <w:rFonts w:ascii="Arial Narrow" w:eastAsia="Calibri" w:hAnsi="Arial Narrow" w:cs="Times New Roman"/>
                <w:sz w:val="18"/>
                <w:szCs w:val="18"/>
              </w:rPr>
            </w:pPr>
            <w:proofErr w:type="spellStart"/>
            <w:r w:rsidRPr="001504EE">
              <w:rPr>
                <w:rFonts w:ascii="Arial Narrow" w:eastAsia="Calibri" w:hAnsi="Arial Narrow" w:cs="Times New Roman"/>
                <w:sz w:val="18"/>
                <w:szCs w:val="18"/>
              </w:rPr>
              <w:t>Pegcetacoplan</w:t>
            </w:r>
            <w:proofErr w:type="spellEnd"/>
            <w:r w:rsidRPr="001504EE">
              <w:rPr>
                <w:rFonts w:ascii="Arial Narrow" w:eastAsia="Calibri" w:hAnsi="Arial Narrow" w:cs="Times New Roman"/>
                <w:sz w:val="18"/>
                <w:szCs w:val="18"/>
              </w:rPr>
              <w:t xml:space="preserve"> 1,080 mg/20 mL; 20 mL</w:t>
            </w:r>
          </w:p>
        </w:tc>
        <w:tc>
          <w:tcPr>
            <w:tcW w:w="850" w:type="dxa"/>
          </w:tcPr>
          <w:p w14:paraId="0B6D8823" w14:textId="77777777" w:rsidR="001504EE" w:rsidRPr="001504EE" w:rsidRDefault="001504EE" w:rsidP="00BA32A1">
            <w:pPr>
              <w:keepNext/>
              <w:jc w:val="center"/>
              <w:rPr>
                <w:rFonts w:ascii="Arial Narrow" w:eastAsia="Calibri" w:hAnsi="Arial Narrow"/>
                <w:sz w:val="18"/>
                <w:szCs w:val="18"/>
              </w:rPr>
            </w:pPr>
            <w:r w:rsidRPr="001504EE">
              <w:rPr>
                <w:rFonts w:ascii="Arial Narrow" w:eastAsia="Calibri" w:hAnsi="Arial Narrow" w:cs="Times New Roman"/>
                <w:sz w:val="18"/>
                <w:szCs w:val="18"/>
              </w:rPr>
              <w:t>NEW</w:t>
            </w:r>
          </w:p>
        </w:tc>
        <w:tc>
          <w:tcPr>
            <w:tcW w:w="993" w:type="dxa"/>
          </w:tcPr>
          <w:p w14:paraId="040C5F37" w14:textId="77777777" w:rsidR="001504EE" w:rsidRPr="001504EE" w:rsidRDefault="001504EE" w:rsidP="00BA32A1">
            <w:pPr>
              <w:keepNext/>
              <w:jc w:val="center"/>
              <w:rPr>
                <w:rFonts w:ascii="Arial Narrow" w:eastAsia="Calibri" w:hAnsi="Arial Narrow"/>
                <w:sz w:val="18"/>
                <w:szCs w:val="18"/>
              </w:rPr>
            </w:pPr>
            <w:r w:rsidRPr="001504EE">
              <w:rPr>
                <w:rFonts w:ascii="Arial Narrow" w:eastAsia="Calibri" w:hAnsi="Arial Narrow" w:cs="Times New Roman"/>
                <w:sz w:val="18"/>
                <w:szCs w:val="18"/>
              </w:rPr>
              <w:t>1</w:t>
            </w:r>
          </w:p>
        </w:tc>
        <w:tc>
          <w:tcPr>
            <w:tcW w:w="1134" w:type="dxa"/>
          </w:tcPr>
          <w:p w14:paraId="69AD72CE" w14:textId="77777777" w:rsidR="001504EE" w:rsidRPr="001504EE" w:rsidRDefault="001504EE" w:rsidP="00BA32A1">
            <w:pPr>
              <w:keepNext/>
              <w:jc w:val="center"/>
              <w:rPr>
                <w:rFonts w:ascii="Arial Narrow" w:eastAsia="Calibri" w:hAnsi="Arial Narrow"/>
                <w:i/>
                <w:iCs/>
                <w:strike/>
                <w:sz w:val="18"/>
                <w:szCs w:val="18"/>
              </w:rPr>
            </w:pPr>
            <w:r w:rsidRPr="001504EE">
              <w:rPr>
                <w:rFonts w:ascii="Arial Narrow" w:eastAsia="Calibri" w:hAnsi="Arial Narrow" w:cs="Times New Roman"/>
                <w:i/>
                <w:iCs/>
                <w:sz w:val="18"/>
                <w:szCs w:val="18"/>
              </w:rPr>
              <w:t>1</w:t>
            </w:r>
            <w:r w:rsidRPr="001504EE">
              <w:rPr>
                <w:rFonts w:ascii="Arial Narrow" w:eastAsia="Calibri" w:hAnsi="Arial Narrow" w:cs="Times New Roman"/>
                <w:strike/>
                <w:sz w:val="18"/>
                <w:szCs w:val="18"/>
              </w:rPr>
              <w:t>8</w:t>
            </w:r>
          </w:p>
        </w:tc>
        <w:tc>
          <w:tcPr>
            <w:tcW w:w="992" w:type="dxa"/>
          </w:tcPr>
          <w:p w14:paraId="146C64CD" w14:textId="77777777" w:rsidR="001504EE" w:rsidRPr="001504EE" w:rsidRDefault="001504EE" w:rsidP="00BA32A1">
            <w:pPr>
              <w:keepNext/>
              <w:jc w:val="center"/>
              <w:rPr>
                <w:rFonts w:ascii="Arial Narrow" w:eastAsia="Calibri" w:hAnsi="Arial Narrow"/>
                <w:sz w:val="18"/>
                <w:szCs w:val="18"/>
              </w:rPr>
            </w:pPr>
            <w:r w:rsidRPr="001504EE">
              <w:rPr>
                <w:rFonts w:ascii="Arial Narrow" w:eastAsia="Calibri" w:hAnsi="Arial Narrow" w:cs="Times New Roman"/>
                <w:sz w:val="18"/>
                <w:szCs w:val="18"/>
              </w:rPr>
              <w:t>5</w:t>
            </w:r>
          </w:p>
        </w:tc>
        <w:tc>
          <w:tcPr>
            <w:tcW w:w="1303" w:type="dxa"/>
          </w:tcPr>
          <w:p w14:paraId="3E1A4105" w14:textId="01882E86" w:rsidR="001504EE" w:rsidRPr="001504EE" w:rsidRDefault="001504EE" w:rsidP="00BA32A1">
            <w:pPr>
              <w:keepNext/>
              <w:jc w:val="center"/>
              <w:rPr>
                <w:rFonts w:ascii="Arial Narrow" w:eastAsia="Calibri" w:hAnsi="Arial Narrow"/>
                <w:sz w:val="18"/>
                <w:szCs w:val="18"/>
              </w:rPr>
            </w:pPr>
            <w:r>
              <w:rPr>
                <w:rFonts w:ascii="Arial Narrow" w:eastAsia="Calibri" w:hAnsi="Arial Narrow"/>
                <w:sz w:val="18"/>
                <w:szCs w:val="18"/>
              </w:rPr>
              <w:t>$</w:t>
            </w:r>
            <w:r w:rsidR="005126B1" w:rsidRPr="005126B1">
              <w:rPr>
                <w:rFonts w:ascii="Arial Narrow" w:eastAsia="Calibri" w:hAnsi="Arial Narrow"/>
                <w:color w:val="000000"/>
                <w:sz w:val="18"/>
                <w:szCs w:val="18"/>
                <w:shd w:val="solid" w:color="000000" w:fill="000000"/>
                <w14:textFill>
                  <w14:solidFill>
                    <w14:srgbClr w14:val="000000">
                      <w14:alpha w14:val="100000"/>
                    </w14:srgbClr>
                  </w14:solidFill>
                </w14:textFill>
              </w:rPr>
              <w:t>|</w:t>
            </w:r>
            <w:r>
              <w:rPr>
                <w:rFonts w:ascii="Arial Narrow" w:eastAsia="Calibri" w:hAnsi="Arial Narrow"/>
                <w:sz w:val="18"/>
                <w:szCs w:val="18"/>
              </w:rPr>
              <w:t xml:space="preserve"> </w:t>
            </w:r>
            <w:r>
              <w:rPr>
                <w:rFonts w:ascii="Arial Narrow" w:eastAsia="Calibri" w:hAnsi="Arial Narrow"/>
                <w:sz w:val="18"/>
                <w:szCs w:val="18"/>
              </w:rPr>
              <w:br/>
              <w:t>published price</w:t>
            </w:r>
          </w:p>
        </w:tc>
        <w:tc>
          <w:tcPr>
            <w:tcW w:w="1248" w:type="dxa"/>
          </w:tcPr>
          <w:p w14:paraId="103D4425" w14:textId="77777777" w:rsidR="001504EE" w:rsidRPr="001504EE" w:rsidRDefault="001504EE" w:rsidP="00BA32A1">
            <w:pPr>
              <w:keepNext/>
              <w:rPr>
                <w:rFonts w:ascii="Arial Narrow" w:eastAsia="Calibri" w:hAnsi="Arial Narrow" w:cs="Times New Roman"/>
                <w:sz w:val="18"/>
                <w:szCs w:val="18"/>
              </w:rPr>
            </w:pPr>
            <w:proofErr w:type="spellStart"/>
            <w:r w:rsidRPr="001504EE">
              <w:rPr>
                <w:rFonts w:ascii="Arial Narrow" w:eastAsia="Calibri" w:hAnsi="Arial Narrow" w:cs="Times New Roman"/>
                <w:sz w:val="18"/>
                <w:szCs w:val="18"/>
              </w:rPr>
              <w:t>Empaveli</w:t>
            </w:r>
            <w:proofErr w:type="spellEnd"/>
          </w:p>
          <w:p w14:paraId="196C056D" w14:textId="77777777" w:rsidR="001504EE" w:rsidRPr="001504EE" w:rsidRDefault="001504EE" w:rsidP="00BA32A1">
            <w:pPr>
              <w:keepNext/>
              <w:rPr>
                <w:rFonts w:ascii="Arial Narrow" w:eastAsia="Calibri" w:hAnsi="Arial Narrow"/>
                <w:sz w:val="18"/>
                <w:szCs w:val="18"/>
              </w:rPr>
            </w:pPr>
            <w:r w:rsidRPr="001504EE">
              <w:rPr>
                <w:rFonts w:ascii="Arial Narrow" w:eastAsia="Calibri" w:hAnsi="Arial Narrow" w:cs="Times New Roman"/>
                <w:sz w:val="18"/>
                <w:szCs w:val="18"/>
              </w:rPr>
              <w:t>SOBI AU</w:t>
            </w:r>
          </w:p>
        </w:tc>
      </w:tr>
      <w:tr w:rsidR="001504EE" w:rsidRPr="00D60E79" w14:paraId="6710BECD"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179C6D10" w14:textId="77777777" w:rsidR="001504EE" w:rsidRPr="001504EE" w:rsidRDefault="001504EE" w:rsidP="00BA32A1">
            <w:pPr>
              <w:rPr>
                <w:rFonts w:ascii="Arial Narrow" w:eastAsia="Calibri" w:hAnsi="Arial Narrow"/>
                <w:b/>
                <w:sz w:val="18"/>
                <w:szCs w:val="18"/>
              </w:rPr>
            </w:pPr>
          </w:p>
        </w:tc>
      </w:tr>
      <w:tr w:rsidR="001504EE" w:rsidRPr="00D60E79" w14:paraId="09EA2911"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131AE5AF" w14:textId="5E9BBED4" w:rsidR="001504EE" w:rsidRPr="001504EE" w:rsidRDefault="001504EE" w:rsidP="00EB40F2">
            <w:pPr>
              <w:rPr>
                <w:rFonts w:ascii="Arial Narrow" w:eastAsia="Calibri" w:hAnsi="Arial Narrow"/>
                <w:sz w:val="18"/>
                <w:szCs w:val="18"/>
              </w:rPr>
            </w:pPr>
            <w:r w:rsidRPr="001504EE">
              <w:rPr>
                <w:rFonts w:ascii="Arial Narrow" w:eastAsia="Calibri" w:hAnsi="Arial Narrow"/>
                <w:b/>
                <w:sz w:val="18"/>
                <w:szCs w:val="18"/>
              </w:rPr>
              <w:t xml:space="preserve">Category / Program: </w:t>
            </w:r>
            <w:r w:rsidRPr="001504EE">
              <w:rPr>
                <w:rFonts w:ascii="Arial Narrow" w:eastAsia="Calibri" w:hAnsi="Arial Narrow"/>
                <w:sz w:val="18"/>
                <w:szCs w:val="18"/>
              </w:rPr>
              <w:t>Section 100 – Highly Specialised Drugs Program (</w:t>
            </w:r>
            <w:r w:rsidR="00A966BF" w:rsidRPr="00A966BF">
              <w:rPr>
                <w:rFonts w:ascii="Arial Narrow" w:eastAsia="Calibri" w:hAnsi="Arial Narrow"/>
                <w:i/>
                <w:iCs/>
                <w:sz w:val="18"/>
                <w:szCs w:val="18"/>
              </w:rPr>
              <w:t>Public and Private</w:t>
            </w:r>
            <w:r w:rsidRPr="001504EE">
              <w:rPr>
                <w:rFonts w:ascii="Arial Narrow" w:eastAsia="Calibri" w:hAnsi="Arial Narrow"/>
                <w:sz w:val="18"/>
                <w:szCs w:val="18"/>
              </w:rPr>
              <w:t>)</w:t>
            </w:r>
          </w:p>
        </w:tc>
      </w:tr>
      <w:tr w:rsidR="001504EE" w:rsidRPr="00D60E79" w14:paraId="34C307A9" w14:textId="77777777" w:rsidTr="00EB40F2">
        <w:tblPrEx>
          <w:tblCellMar>
            <w:top w:w="15" w:type="dxa"/>
            <w:left w:w="15" w:type="dxa"/>
            <w:bottom w:w="15" w:type="dxa"/>
            <w:right w:w="15" w:type="dxa"/>
          </w:tblCellMar>
          <w:tblLook w:val="04A0" w:firstRow="1" w:lastRow="0" w:firstColumn="1" w:lastColumn="0" w:noHBand="0" w:noVBand="1"/>
        </w:tblPrEx>
        <w:trPr>
          <w:trHeight w:val="55"/>
        </w:trPr>
        <w:tc>
          <w:tcPr>
            <w:tcW w:w="9067" w:type="dxa"/>
            <w:gridSpan w:val="7"/>
            <w:tcBorders>
              <w:top w:val="single" w:sz="4" w:space="0" w:color="auto"/>
              <w:left w:val="single" w:sz="4" w:space="0" w:color="auto"/>
              <w:bottom w:val="single" w:sz="4" w:space="0" w:color="auto"/>
              <w:right w:val="single" w:sz="4" w:space="0" w:color="auto"/>
            </w:tcBorders>
          </w:tcPr>
          <w:p w14:paraId="75F78C01" w14:textId="77777777" w:rsidR="001504EE" w:rsidRPr="001504EE" w:rsidRDefault="001504EE" w:rsidP="00BA32A1">
            <w:pPr>
              <w:rPr>
                <w:rFonts w:ascii="Arial Narrow" w:eastAsia="Calibri" w:hAnsi="Arial Narrow"/>
                <w:b/>
                <w:sz w:val="18"/>
                <w:szCs w:val="18"/>
              </w:rPr>
            </w:pPr>
            <w:r w:rsidRPr="001504EE">
              <w:rPr>
                <w:rFonts w:ascii="Arial Narrow" w:eastAsia="Calibri" w:hAnsi="Arial Narrow"/>
                <w:b/>
                <w:sz w:val="18"/>
                <w:szCs w:val="18"/>
              </w:rPr>
              <w:t>Prescriber type:</w:t>
            </w:r>
            <w:r w:rsidRPr="001504EE">
              <w:rPr>
                <w:rFonts w:ascii="Arial Narrow" w:eastAsia="Calibri" w:hAnsi="Arial Narrow"/>
                <w:sz w:val="18"/>
                <w:szCs w:val="18"/>
              </w:rPr>
              <w:t xml:space="preserve">    </w:t>
            </w:r>
            <w:r w:rsidRPr="001504EE">
              <w:rPr>
                <w:rFonts w:ascii="Arial Narrow" w:eastAsia="Calibri" w:hAnsi="Arial Narrow"/>
                <w:sz w:val="18"/>
                <w:szCs w:val="18"/>
              </w:rPr>
              <w:fldChar w:fldCharType="begin">
                <w:ffData>
                  <w:name w:val=""/>
                  <w:enabled/>
                  <w:calcOnExit w:val="0"/>
                  <w:checkBox>
                    <w:sizeAuto/>
                    <w:default w:val="1"/>
                  </w:checkBox>
                </w:ffData>
              </w:fldChar>
            </w:r>
            <w:r w:rsidRPr="001504EE">
              <w:rPr>
                <w:rFonts w:ascii="Arial Narrow" w:eastAsia="Calibri" w:hAnsi="Arial Narrow"/>
                <w:sz w:val="18"/>
                <w:szCs w:val="18"/>
              </w:rPr>
              <w:instrText xml:space="preserve"> FORMCHECKBOX </w:instrText>
            </w:r>
            <w:r w:rsidR="000A62F7">
              <w:rPr>
                <w:rFonts w:ascii="Arial Narrow" w:eastAsia="Calibri" w:hAnsi="Arial Narrow"/>
                <w:sz w:val="18"/>
                <w:szCs w:val="18"/>
              </w:rPr>
            </w:r>
            <w:r w:rsidR="000A62F7">
              <w:rPr>
                <w:rFonts w:ascii="Arial Narrow" w:eastAsia="Calibri" w:hAnsi="Arial Narrow"/>
                <w:sz w:val="18"/>
                <w:szCs w:val="18"/>
              </w:rPr>
              <w:fldChar w:fldCharType="separate"/>
            </w:r>
            <w:r w:rsidRPr="001504EE">
              <w:rPr>
                <w:rFonts w:ascii="Arial Narrow" w:eastAsia="Calibri" w:hAnsi="Arial Narrow"/>
                <w:sz w:val="18"/>
                <w:szCs w:val="18"/>
              </w:rPr>
              <w:fldChar w:fldCharType="end"/>
            </w:r>
            <w:r w:rsidRPr="001504EE">
              <w:rPr>
                <w:rFonts w:ascii="Arial Narrow" w:eastAsia="Calibri" w:hAnsi="Arial Narrow"/>
                <w:sz w:val="18"/>
                <w:szCs w:val="18"/>
              </w:rPr>
              <w:t xml:space="preserve">Medical Practitioners    </w:t>
            </w:r>
          </w:p>
        </w:tc>
      </w:tr>
      <w:tr w:rsidR="001504EE" w:rsidRPr="00D60E79" w14:paraId="22374360"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45BC9E28" w14:textId="77777777" w:rsidR="001504EE" w:rsidRPr="001504EE" w:rsidRDefault="001504EE" w:rsidP="00BA32A1">
            <w:pPr>
              <w:rPr>
                <w:rFonts w:ascii="Arial Narrow" w:eastAsia="Calibri" w:hAnsi="Arial Narrow"/>
                <w:b/>
                <w:sz w:val="18"/>
                <w:szCs w:val="18"/>
              </w:rPr>
            </w:pPr>
            <w:r w:rsidRPr="001504EE">
              <w:rPr>
                <w:rFonts w:ascii="Arial Narrow" w:eastAsia="Calibri" w:hAnsi="Arial Narrow"/>
                <w:b/>
                <w:sz w:val="18"/>
                <w:szCs w:val="18"/>
              </w:rPr>
              <w:t xml:space="preserve">Restriction type: </w:t>
            </w:r>
          </w:p>
          <w:p w14:paraId="700C481C" w14:textId="77777777" w:rsidR="001504EE" w:rsidRPr="001504EE" w:rsidRDefault="001504EE" w:rsidP="00BA32A1">
            <w:pPr>
              <w:rPr>
                <w:rFonts w:ascii="Arial Narrow" w:eastAsia="Calibri" w:hAnsi="Arial Narrow"/>
                <w:color w:val="FF00FF"/>
                <w:sz w:val="18"/>
                <w:szCs w:val="18"/>
              </w:rPr>
            </w:pPr>
            <w:r w:rsidRPr="001504EE">
              <w:rPr>
                <w:rFonts w:ascii="Arial Narrow" w:eastAsia="Calibri" w:hAnsi="Arial Narrow"/>
                <w:sz w:val="18"/>
                <w:szCs w:val="18"/>
              </w:rPr>
              <w:fldChar w:fldCharType="begin">
                <w:ffData>
                  <w:name w:val=""/>
                  <w:enabled/>
                  <w:calcOnExit w:val="0"/>
                  <w:checkBox>
                    <w:sizeAuto/>
                    <w:default w:val="1"/>
                  </w:checkBox>
                </w:ffData>
              </w:fldChar>
            </w:r>
            <w:r w:rsidRPr="001504EE">
              <w:rPr>
                <w:rFonts w:ascii="Arial Narrow" w:eastAsia="Calibri" w:hAnsi="Arial Narrow"/>
                <w:sz w:val="18"/>
                <w:szCs w:val="18"/>
              </w:rPr>
              <w:instrText xml:space="preserve"> FORMCHECKBOX </w:instrText>
            </w:r>
            <w:r w:rsidR="000A62F7">
              <w:rPr>
                <w:rFonts w:ascii="Arial Narrow" w:eastAsia="Calibri" w:hAnsi="Arial Narrow"/>
                <w:sz w:val="18"/>
                <w:szCs w:val="18"/>
              </w:rPr>
            </w:r>
            <w:r w:rsidR="000A62F7">
              <w:rPr>
                <w:rFonts w:ascii="Arial Narrow" w:eastAsia="Calibri" w:hAnsi="Arial Narrow"/>
                <w:sz w:val="18"/>
                <w:szCs w:val="18"/>
              </w:rPr>
              <w:fldChar w:fldCharType="separate"/>
            </w:r>
            <w:r w:rsidRPr="001504EE">
              <w:rPr>
                <w:rFonts w:ascii="Arial Narrow" w:eastAsia="Calibri" w:hAnsi="Arial Narrow"/>
                <w:sz w:val="18"/>
                <w:szCs w:val="18"/>
              </w:rPr>
              <w:fldChar w:fldCharType="end"/>
            </w:r>
            <w:r w:rsidRPr="001504EE">
              <w:rPr>
                <w:rFonts w:ascii="Arial Narrow" w:eastAsia="Calibri" w:hAnsi="Arial Narrow"/>
                <w:sz w:val="18"/>
                <w:szCs w:val="18"/>
              </w:rPr>
              <w:t xml:space="preserve">Authority Required – non-immediate/delayed assessment by Services Australia (In-writing only via mail/postal service or electronic submission) </w:t>
            </w:r>
          </w:p>
        </w:tc>
      </w:tr>
      <w:tr w:rsidR="001504EE" w:rsidRPr="00D60E79" w14:paraId="63AFE90E" w14:textId="77777777" w:rsidTr="001504EE">
        <w:tblPrEx>
          <w:tblCellMar>
            <w:top w:w="15" w:type="dxa"/>
            <w:left w:w="15" w:type="dxa"/>
            <w:bottom w:w="15" w:type="dxa"/>
            <w:right w:w="15" w:type="dxa"/>
          </w:tblCellMar>
          <w:tblLook w:val="04A0" w:firstRow="1" w:lastRow="0" w:firstColumn="1" w:lastColumn="0" w:noHBand="0" w:noVBand="1"/>
        </w:tblPrEx>
        <w:trPr>
          <w:trHeight w:val="260"/>
        </w:trPr>
        <w:tc>
          <w:tcPr>
            <w:tcW w:w="9067" w:type="dxa"/>
            <w:gridSpan w:val="7"/>
            <w:vAlign w:val="center"/>
            <w:hideMark/>
          </w:tcPr>
          <w:p w14:paraId="50979EB2" w14:textId="77777777" w:rsidR="001504EE" w:rsidRPr="001504EE" w:rsidRDefault="001504EE" w:rsidP="00BA32A1">
            <w:pPr>
              <w:rPr>
                <w:rFonts w:ascii="Arial Narrow" w:hAnsi="Arial Narrow" w:cs="Times New Roman"/>
                <w:color w:val="333333"/>
                <w:sz w:val="18"/>
                <w:szCs w:val="18"/>
              </w:rPr>
            </w:pPr>
            <w:r w:rsidRPr="001504EE">
              <w:rPr>
                <w:rFonts w:ascii="Arial Narrow" w:eastAsia="Calibri" w:hAnsi="Arial Narrow" w:cs="Times New Roman"/>
                <w:b/>
                <w:bCs/>
                <w:color w:val="333333"/>
                <w:sz w:val="18"/>
                <w:szCs w:val="18"/>
              </w:rPr>
              <w:t>Indication:</w:t>
            </w:r>
            <w:r w:rsidRPr="001504EE">
              <w:rPr>
                <w:rFonts w:ascii="Arial Narrow" w:eastAsia="Calibri" w:hAnsi="Arial Narrow" w:cs="Times New Roman"/>
                <w:color w:val="333333"/>
                <w:sz w:val="18"/>
                <w:szCs w:val="18"/>
              </w:rPr>
              <w:t xml:space="preserve"> </w:t>
            </w:r>
            <w:r w:rsidRPr="001504EE">
              <w:rPr>
                <w:rFonts w:ascii="Arial Narrow" w:eastAsia="Calibri" w:hAnsi="Arial Narrow" w:cs="Times New Roman"/>
                <w:sz w:val="18"/>
                <w:szCs w:val="18"/>
              </w:rPr>
              <w:t>Paroxysmal nocturnal haemoglobinuria (PNH)</w:t>
            </w:r>
          </w:p>
        </w:tc>
      </w:tr>
      <w:tr w:rsidR="001504EE" w:rsidRPr="00D60E79" w14:paraId="1BFE38DF"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25287431" w14:textId="77777777" w:rsidR="001504EE" w:rsidRPr="001504EE" w:rsidRDefault="001504EE" w:rsidP="00BA32A1">
            <w:pPr>
              <w:rPr>
                <w:rFonts w:ascii="Arial Narrow" w:hAnsi="Arial Narrow" w:cs="Times New Roman"/>
                <w:color w:val="FF00FF"/>
                <w:sz w:val="18"/>
                <w:szCs w:val="18"/>
              </w:rPr>
            </w:pPr>
            <w:r w:rsidRPr="001504EE">
              <w:rPr>
                <w:rFonts w:ascii="Arial Narrow" w:hAnsi="Arial Narrow" w:cs="Times New Roman"/>
                <w:b/>
                <w:bCs/>
                <w:color w:val="333333"/>
                <w:sz w:val="18"/>
                <w:szCs w:val="18"/>
              </w:rPr>
              <w:t>Treatment Phase:</w:t>
            </w:r>
            <w:r w:rsidRPr="001504EE">
              <w:rPr>
                <w:rFonts w:ascii="Arial Narrow" w:hAnsi="Arial Narrow" w:cs="Times New Roman"/>
                <w:color w:val="333333"/>
                <w:sz w:val="18"/>
                <w:szCs w:val="18"/>
              </w:rPr>
              <w:t xml:space="preserve"> Continuing treatment </w:t>
            </w:r>
          </w:p>
        </w:tc>
      </w:tr>
      <w:tr w:rsidR="001504EE" w:rsidRPr="00D60E79" w14:paraId="68C0B9F1"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Pr>
          <w:p w14:paraId="457D08A0" w14:textId="77777777" w:rsidR="001504EE" w:rsidRPr="001504EE" w:rsidRDefault="001504EE" w:rsidP="00BA32A1">
            <w:pPr>
              <w:rPr>
                <w:rFonts w:ascii="Arial Narrow" w:eastAsia="Calibri" w:hAnsi="Arial Narrow" w:cs="Times New Roman"/>
                <w:b/>
                <w:strike/>
                <w:sz w:val="18"/>
                <w:szCs w:val="18"/>
              </w:rPr>
            </w:pPr>
            <w:r w:rsidRPr="001504EE">
              <w:rPr>
                <w:rFonts w:ascii="Arial Narrow" w:eastAsia="Calibri" w:hAnsi="Arial Narrow" w:cs="Times New Roman"/>
                <w:b/>
                <w:strike/>
                <w:sz w:val="18"/>
                <w:szCs w:val="18"/>
              </w:rPr>
              <w:t>Clinical criteria:</w:t>
            </w:r>
          </w:p>
        </w:tc>
      </w:tr>
      <w:tr w:rsidR="001504EE" w:rsidRPr="00D60E79" w14:paraId="5AC36662"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Pr>
          <w:p w14:paraId="523BCA0E" w14:textId="77777777" w:rsidR="001504EE" w:rsidRPr="001504EE" w:rsidRDefault="001504EE" w:rsidP="00BA32A1">
            <w:pPr>
              <w:rPr>
                <w:rFonts w:ascii="Arial Narrow" w:eastAsia="Calibri" w:hAnsi="Arial Narrow" w:cs="Times New Roman"/>
                <w:bCs/>
                <w:strike/>
                <w:sz w:val="18"/>
                <w:szCs w:val="18"/>
              </w:rPr>
            </w:pPr>
            <w:r w:rsidRPr="001504EE">
              <w:rPr>
                <w:rFonts w:ascii="Arial Narrow" w:eastAsia="Calibri" w:hAnsi="Arial Narrow" w:cs="Times New Roman"/>
                <w:bCs/>
                <w:strike/>
                <w:sz w:val="18"/>
                <w:szCs w:val="18"/>
              </w:rPr>
              <w:t>Patient must not be currently participating in a clinical trial.</w:t>
            </w:r>
          </w:p>
        </w:tc>
      </w:tr>
      <w:tr w:rsidR="001504EE" w:rsidRPr="00D60E79" w14:paraId="52230B79"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Pr>
          <w:p w14:paraId="2ACE947B" w14:textId="77777777" w:rsidR="001504EE" w:rsidRPr="001504EE" w:rsidRDefault="001504EE" w:rsidP="00BA32A1">
            <w:pPr>
              <w:rPr>
                <w:rFonts w:ascii="Arial Narrow" w:eastAsia="Calibri" w:hAnsi="Arial Narrow" w:cs="Times New Roman"/>
                <w:b/>
                <w:sz w:val="18"/>
                <w:szCs w:val="18"/>
              </w:rPr>
            </w:pPr>
            <w:r w:rsidRPr="001504EE">
              <w:rPr>
                <w:rFonts w:ascii="Arial Narrow" w:eastAsia="Calibri" w:hAnsi="Arial Narrow" w:cs="Times New Roman"/>
                <w:b/>
                <w:sz w:val="18"/>
                <w:szCs w:val="18"/>
              </w:rPr>
              <w:t>Clinical criteria:</w:t>
            </w:r>
          </w:p>
        </w:tc>
      </w:tr>
      <w:tr w:rsidR="001504EE" w:rsidRPr="00D60E79" w14:paraId="3EEAC761"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1B8859E" w14:textId="77777777" w:rsidR="001504EE" w:rsidRPr="001504EE" w:rsidRDefault="001504EE" w:rsidP="00BA32A1">
            <w:pPr>
              <w:rPr>
                <w:rFonts w:ascii="Arial Narrow" w:hAnsi="Arial Narrow" w:cs="Times New Roman"/>
                <w:b/>
                <w:bCs/>
                <w:i/>
                <w:iCs/>
                <w:color w:val="333333"/>
                <w:sz w:val="18"/>
                <w:szCs w:val="18"/>
              </w:rPr>
            </w:pPr>
            <w:r w:rsidRPr="001504EE">
              <w:rPr>
                <w:rFonts w:ascii="Arial Narrow" w:hAnsi="Arial Narrow" w:cs="Times New Roman"/>
                <w:i/>
                <w:iCs/>
                <w:color w:val="333333"/>
                <w:sz w:val="18"/>
                <w:szCs w:val="18"/>
              </w:rPr>
              <w:t>Patient must have had PBS-subsidised treatment with this drug for this condition under the initial treatment phase.</w:t>
            </w:r>
          </w:p>
        </w:tc>
      </w:tr>
      <w:tr w:rsidR="001504EE" w:rsidRPr="00D60E79" w14:paraId="39E79F2B"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387D4C5F"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AND</w:t>
            </w:r>
          </w:p>
        </w:tc>
      </w:tr>
      <w:tr w:rsidR="001504EE" w:rsidRPr="00D60E79" w14:paraId="66E7D373"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68282387"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Clinical criteria:</w:t>
            </w:r>
          </w:p>
        </w:tc>
      </w:tr>
      <w:tr w:rsidR="001504EE" w:rsidRPr="00D60E79" w14:paraId="605E6B7E"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hideMark/>
          </w:tcPr>
          <w:p w14:paraId="4CBF4247" w14:textId="77777777" w:rsidR="001504EE" w:rsidRPr="001504EE" w:rsidRDefault="001504EE" w:rsidP="00BA32A1">
            <w:pPr>
              <w:rPr>
                <w:rFonts w:ascii="Arial Narrow" w:hAnsi="Arial Narrow" w:cs="Times New Roman"/>
                <w:iCs/>
                <w:color w:val="333333"/>
                <w:sz w:val="18"/>
                <w:szCs w:val="18"/>
              </w:rPr>
            </w:pPr>
            <w:r w:rsidRPr="001504EE">
              <w:rPr>
                <w:rFonts w:ascii="Arial Narrow" w:hAnsi="Arial Narrow"/>
                <w:sz w:val="18"/>
                <w:szCs w:val="18"/>
              </w:rPr>
              <w:t xml:space="preserve">Patient must </w:t>
            </w:r>
            <w:r w:rsidRPr="001504EE">
              <w:rPr>
                <w:rFonts w:ascii="Arial Narrow" w:hAnsi="Arial Narrow"/>
                <w:i/>
                <w:iCs/>
                <w:sz w:val="18"/>
                <w:szCs w:val="18"/>
              </w:rPr>
              <w:t>have</w:t>
            </w:r>
            <w:r w:rsidRPr="001504EE">
              <w:rPr>
                <w:rFonts w:ascii="Arial Narrow" w:hAnsi="Arial Narrow"/>
                <w:sz w:val="18"/>
                <w:szCs w:val="18"/>
              </w:rPr>
              <w:t xml:space="preserve"> demonstrated clinical improvement or stabilisation of condition </w:t>
            </w:r>
            <w:r w:rsidRPr="001504EE">
              <w:rPr>
                <w:rFonts w:ascii="Arial Narrow" w:hAnsi="Arial Narrow"/>
                <w:strike/>
                <w:sz w:val="18"/>
                <w:szCs w:val="18"/>
              </w:rPr>
              <w:t>based on clinical data on the following monitoring requirements provided every 12 months</w:t>
            </w:r>
          </w:p>
        </w:tc>
      </w:tr>
      <w:tr w:rsidR="001504EE" w:rsidRPr="00D60E79" w14:paraId="21B760EB"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61A212C8"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AND</w:t>
            </w:r>
          </w:p>
        </w:tc>
      </w:tr>
      <w:tr w:rsidR="001504EE" w:rsidRPr="00D60E79" w14:paraId="3248BE0C"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Pr>
          <w:p w14:paraId="16115724" w14:textId="77777777" w:rsidR="001504EE" w:rsidRPr="001504EE" w:rsidRDefault="001504EE" w:rsidP="00BA32A1">
            <w:pPr>
              <w:rPr>
                <w:rFonts w:ascii="Arial Narrow" w:eastAsia="Calibri" w:hAnsi="Arial Narrow" w:cs="Times New Roman"/>
                <w:sz w:val="18"/>
                <w:szCs w:val="18"/>
              </w:rPr>
            </w:pPr>
            <w:r w:rsidRPr="001504EE">
              <w:rPr>
                <w:rFonts w:ascii="Arial Narrow" w:eastAsia="Calibri" w:hAnsi="Arial Narrow" w:cs="Times New Roman"/>
                <w:b/>
                <w:bCs/>
                <w:sz w:val="18"/>
                <w:szCs w:val="18"/>
              </w:rPr>
              <w:t>Clinical criteria:</w:t>
            </w:r>
          </w:p>
        </w:tc>
      </w:tr>
      <w:tr w:rsidR="001504EE" w:rsidRPr="00D60E79" w14:paraId="11A589C4"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tcPr>
          <w:p w14:paraId="08ED4610" w14:textId="3813BB7A" w:rsidR="001504EE" w:rsidRPr="001504EE" w:rsidRDefault="001504EE" w:rsidP="00BA32A1">
            <w:pPr>
              <w:rPr>
                <w:rFonts w:ascii="Arial Narrow" w:eastAsia="Calibri" w:hAnsi="Arial Narrow" w:cs="Times New Roman"/>
                <w:sz w:val="18"/>
                <w:szCs w:val="18"/>
              </w:rPr>
            </w:pPr>
            <w:r w:rsidRPr="001504EE">
              <w:rPr>
                <w:rFonts w:ascii="Arial Narrow" w:eastAsia="Calibri" w:hAnsi="Arial Narrow" w:cs="Times New Roman"/>
                <w:sz w:val="18"/>
                <w:szCs w:val="18"/>
              </w:rPr>
              <w:t xml:space="preserve">The treatment must not be in combination with a PBS-subsidised C5 inhibitor </w:t>
            </w:r>
          </w:p>
        </w:tc>
      </w:tr>
      <w:tr w:rsidR="001504EE" w:rsidRPr="00D60E79" w14:paraId="66EF06BC"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7EF70E5D"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Treatment criteria:</w:t>
            </w:r>
          </w:p>
        </w:tc>
      </w:tr>
      <w:tr w:rsidR="001504EE" w:rsidRPr="00D60E79" w14:paraId="704E8D75"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56720C4B" w14:textId="77777777" w:rsidR="001504EE" w:rsidRPr="001504EE" w:rsidRDefault="001504EE" w:rsidP="00BA32A1">
            <w:pPr>
              <w:autoSpaceDE w:val="0"/>
              <w:autoSpaceDN w:val="0"/>
              <w:adjustRightInd w:val="0"/>
              <w:rPr>
                <w:rFonts w:ascii="Arial Narrow" w:eastAsia="Calibri" w:hAnsi="Arial Narrow" w:cs="Arial Narrow"/>
                <w:sz w:val="18"/>
                <w:szCs w:val="18"/>
              </w:rPr>
            </w:pPr>
            <w:r w:rsidRPr="001504EE">
              <w:rPr>
                <w:rFonts w:ascii="Arial Narrow" w:eastAsia="Calibri" w:hAnsi="Arial Narrow" w:cs="Arial Narrow"/>
                <w:sz w:val="18"/>
                <w:szCs w:val="18"/>
              </w:rPr>
              <w:t xml:space="preserve">Must be treated by a haematologist </w:t>
            </w:r>
            <w:r w:rsidRPr="001504EE">
              <w:rPr>
                <w:rFonts w:ascii="Arial Narrow" w:eastAsia="Calibri" w:hAnsi="Arial Narrow" w:cs="Arial Narrow"/>
                <w:strike/>
                <w:sz w:val="18"/>
                <w:szCs w:val="18"/>
              </w:rPr>
              <w:t>or in consultation with a haematologist</w:t>
            </w:r>
            <w:r w:rsidRPr="001504EE">
              <w:rPr>
                <w:rFonts w:ascii="Arial Narrow" w:eastAsia="Calibri" w:hAnsi="Arial Narrow" w:cs="Arial Narrow"/>
                <w:sz w:val="18"/>
                <w:szCs w:val="18"/>
              </w:rPr>
              <w:t xml:space="preserve">; </w:t>
            </w:r>
            <w:r w:rsidRPr="001504EE">
              <w:rPr>
                <w:rFonts w:ascii="Arial Narrow" w:eastAsia="Calibri" w:hAnsi="Arial Narrow" w:cs="Arial Narrow"/>
                <w:b/>
                <w:bCs/>
                <w:sz w:val="18"/>
                <w:szCs w:val="18"/>
              </w:rPr>
              <w:t>OR</w:t>
            </w:r>
          </w:p>
        </w:tc>
      </w:tr>
      <w:tr w:rsidR="001504EE" w:rsidRPr="00D60E79" w14:paraId="3DB4B225"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A9FC0CF" w14:textId="77777777" w:rsidR="001504EE" w:rsidRPr="001504EE" w:rsidRDefault="001504EE" w:rsidP="00BA32A1">
            <w:pPr>
              <w:autoSpaceDE w:val="0"/>
              <w:autoSpaceDN w:val="0"/>
              <w:adjustRightInd w:val="0"/>
              <w:rPr>
                <w:rFonts w:ascii="Arial Narrow" w:eastAsia="Calibri" w:hAnsi="Arial Narrow" w:cs="Arial Narrow"/>
                <w:sz w:val="18"/>
                <w:szCs w:val="18"/>
              </w:rPr>
            </w:pPr>
            <w:r w:rsidRPr="001504EE">
              <w:rPr>
                <w:rFonts w:ascii="Arial Narrow" w:eastAsia="Calibri" w:hAnsi="Arial Narrow" w:cs="Arial Narrow"/>
                <w:sz w:val="18"/>
                <w:szCs w:val="18"/>
              </w:rPr>
              <w:t>Must be treated by a non-specialist medical physician who has consulted a haematologist on the patient’s drug treatment details</w:t>
            </w:r>
          </w:p>
        </w:tc>
      </w:tr>
      <w:tr w:rsidR="001504EE" w:rsidRPr="00D60E79" w14:paraId="1D3DB2F5"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4A947D8" w14:textId="77777777" w:rsidR="001504EE" w:rsidRPr="001504EE" w:rsidRDefault="001504EE" w:rsidP="00BA32A1">
            <w:pPr>
              <w:pStyle w:val="TableText"/>
              <w:rPr>
                <w:rFonts w:eastAsia="Calibri" w:cs="Arial Narrow"/>
                <w:strike/>
                <w:sz w:val="18"/>
                <w:szCs w:val="18"/>
              </w:rPr>
            </w:pPr>
            <w:r w:rsidRPr="001504EE">
              <w:rPr>
                <w:rFonts w:eastAsia="Calibri" w:cs="Arial Narrow"/>
                <w:strike/>
                <w:sz w:val="18"/>
                <w:szCs w:val="18"/>
              </w:rPr>
              <w:t>AND The treatment must be the sole PBS subsidised treatment for this condition</w:t>
            </w:r>
          </w:p>
          <w:p w14:paraId="7D360A7F" w14:textId="77777777" w:rsidR="001504EE" w:rsidRPr="001504EE" w:rsidRDefault="001504EE" w:rsidP="00BA32A1">
            <w:pPr>
              <w:pStyle w:val="TableText"/>
              <w:rPr>
                <w:rFonts w:cstheme="minorHAnsi"/>
                <w:sz w:val="18"/>
                <w:szCs w:val="18"/>
              </w:rPr>
            </w:pPr>
            <w:r w:rsidRPr="001504EE">
              <w:rPr>
                <w:rFonts w:eastAsia="Calibri" w:cs="Arial Narrow"/>
                <w:strike/>
                <w:sz w:val="18"/>
                <w:szCs w:val="18"/>
              </w:rPr>
              <w:t xml:space="preserve">Patient or carer of patient may self-/administer </w:t>
            </w:r>
            <w:proofErr w:type="spellStart"/>
            <w:r w:rsidRPr="001504EE">
              <w:rPr>
                <w:rFonts w:eastAsia="Calibri" w:cs="Arial Narrow"/>
                <w:strike/>
                <w:sz w:val="18"/>
                <w:szCs w:val="18"/>
              </w:rPr>
              <w:t>pegcetacoplan</w:t>
            </w:r>
            <w:proofErr w:type="spellEnd"/>
            <w:r w:rsidRPr="001504EE">
              <w:rPr>
                <w:rFonts w:eastAsia="Calibri" w:cs="Arial Narrow"/>
                <w:strike/>
                <w:sz w:val="18"/>
                <w:szCs w:val="18"/>
              </w:rPr>
              <w:t xml:space="preserve"> on the basis that the haematologist deems it appropriate and that the patient or carer or patient complete training on subcutaneous injection by a suitable health care professional.</w:t>
            </w:r>
          </w:p>
        </w:tc>
      </w:tr>
      <w:tr w:rsidR="001504EE" w:rsidRPr="00D60E79" w14:paraId="66FF6266"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2591D75A"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Population criteria:</w:t>
            </w:r>
          </w:p>
        </w:tc>
      </w:tr>
      <w:tr w:rsidR="001504EE" w:rsidRPr="00D60E79" w14:paraId="4F913264"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hideMark/>
          </w:tcPr>
          <w:p w14:paraId="29DE4887" w14:textId="77777777" w:rsidR="001504EE" w:rsidRPr="001504EE" w:rsidRDefault="001504EE" w:rsidP="00BA32A1">
            <w:pPr>
              <w:rPr>
                <w:rFonts w:ascii="Arial Narrow" w:hAnsi="Arial Narrow" w:cs="Times New Roman"/>
                <w:color w:val="333333"/>
                <w:sz w:val="18"/>
                <w:szCs w:val="18"/>
              </w:rPr>
            </w:pPr>
            <w:r w:rsidRPr="001504EE">
              <w:rPr>
                <w:rFonts w:ascii="Arial Narrow" w:eastAsia="Calibri" w:hAnsi="Arial Narrow" w:cs="Times New Roman"/>
                <w:sz w:val="18"/>
                <w:szCs w:val="18"/>
              </w:rPr>
              <w:t xml:space="preserve">Patients must be </w:t>
            </w:r>
            <w:r w:rsidRPr="001504EE">
              <w:rPr>
                <w:rFonts w:ascii="Arial Narrow" w:eastAsia="Calibri" w:hAnsi="Arial Narrow" w:cs="Times New Roman"/>
                <w:iCs/>
                <w:sz w:val="18"/>
                <w:szCs w:val="18"/>
              </w:rPr>
              <w:t>aged 18</w:t>
            </w:r>
            <w:r w:rsidRPr="001504EE">
              <w:rPr>
                <w:rFonts w:ascii="Arial Narrow" w:eastAsia="Calibri" w:hAnsi="Arial Narrow" w:cs="Times New Roman"/>
                <w:sz w:val="18"/>
                <w:szCs w:val="18"/>
              </w:rPr>
              <w:t xml:space="preserve"> years or older</w:t>
            </w:r>
          </w:p>
        </w:tc>
      </w:tr>
      <w:tr w:rsidR="001504EE" w:rsidRPr="00D60E79" w14:paraId="22B0298C"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10EC4BA1" w14:textId="77777777" w:rsidR="001504EE" w:rsidRPr="001504EE" w:rsidRDefault="001504EE" w:rsidP="00BA32A1">
            <w:pPr>
              <w:rPr>
                <w:rFonts w:ascii="Arial Narrow" w:hAnsi="Arial Narrow" w:cs="Times New Roman"/>
                <w:i/>
                <w:iCs/>
                <w:color w:val="FF00FF"/>
                <w:sz w:val="18"/>
                <w:szCs w:val="18"/>
              </w:rPr>
            </w:pPr>
            <w:r w:rsidRPr="001504EE">
              <w:rPr>
                <w:rFonts w:ascii="Arial Narrow" w:hAnsi="Arial Narrow" w:cs="Times New Roman"/>
                <w:b/>
                <w:bCs/>
                <w:i/>
                <w:iCs/>
                <w:color w:val="333333"/>
                <w:sz w:val="18"/>
                <w:szCs w:val="18"/>
              </w:rPr>
              <w:t xml:space="preserve">Prescribing Instructions: </w:t>
            </w:r>
            <w:r w:rsidRPr="001504EE">
              <w:rPr>
                <w:rFonts w:ascii="Arial Narrow" w:eastAsia="Calibri" w:hAnsi="Arial Narrow" w:cs="Times New Roman"/>
                <w:i/>
                <w:iCs/>
                <w:sz w:val="18"/>
                <w:szCs w:val="18"/>
              </w:rPr>
              <w:t xml:space="preserve">At the time of the authority application, medical practitioners should request the appropriate number of vials for one </w:t>
            </w:r>
            <w:proofErr w:type="spellStart"/>
            <w:r w:rsidRPr="001504EE">
              <w:rPr>
                <w:rFonts w:ascii="Arial Narrow" w:eastAsia="Calibri" w:hAnsi="Arial Narrow" w:cs="Times New Roman"/>
                <w:i/>
                <w:iCs/>
                <w:sz w:val="18"/>
                <w:szCs w:val="18"/>
              </w:rPr>
              <w:t>months</w:t>
            </w:r>
            <w:proofErr w:type="spellEnd"/>
            <w:r w:rsidRPr="001504EE">
              <w:rPr>
                <w:rFonts w:ascii="Arial Narrow" w:eastAsia="Calibri" w:hAnsi="Arial Narrow" w:cs="Times New Roman"/>
                <w:i/>
                <w:iCs/>
                <w:sz w:val="18"/>
                <w:szCs w:val="18"/>
              </w:rPr>
              <w:t xml:space="preserve"> supply as per the Product Information. </w:t>
            </w:r>
          </w:p>
          <w:p w14:paraId="541E1FA0" w14:textId="77777777" w:rsidR="001504EE" w:rsidRPr="001504EE" w:rsidRDefault="001504EE" w:rsidP="00BA32A1">
            <w:pPr>
              <w:rPr>
                <w:rFonts w:ascii="Arial Narrow" w:hAnsi="Arial Narrow" w:cs="Times New Roman"/>
                <w:i/>
                <w:iCs/>
                <w:color w:val="333333"/>
                <w:sz w:val="18"/>
                <w:szCs w:val="18"/>
              </w:rPr>
            </w:pPr>
          </w:p>
        </w:tc>
      </w:tr>
      <w:tr w:rsidR="001504EE" w:rsidRPr="00D60E79" w14:paraId="491158B6"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C8A84B1" w14:textId="77777777" w:rsidR="001504EE" w:rsidRPr="001504EE" w:rsidRDefault="001504EE" w:rsidP="00BA32A1">
            <w:pPr>
              <w:spacing w:line="276" w:lineRule="auto"/>
              <w:rPr>
                <w:rFonts w:ascii="Arial Narrow" w:hAnsi="Arial Narrow" w:cs="Times New Roman"/>
                <w:b/>
                <w:bCs/>
                <w:i/>
                <w:iCs/>
                <w:color w:val="333333"/>
                <w:sz w:val="18"/>
                <w:szCs w:val="18"/>
              </w:rPr>
            </w:pPr>
            <w:r w:rsidRPr="001504EE">
              <w:rPr>
                <w:rFonts w:ascii="Arial Narrow" w:hAnsi="Arial Narrow" w:cs="Times New Roman"/>
                <w:b/>
                <w:bCs/>
                <w:i/>
                <w:iCs/>
                <w:color w:val="333333"/>
                <w:sz w:val="18"/>
                <w:szCs w:val="18"/>
              </w:rPr>
              <w:t xml:space="preserve">Prescribing Instructions: </w:t>
            </w:r>
            <w:r w:rsidRPr="001504EE">
              <w:rPr>
                <w:rFonts w:ascii="Arial Narrow" w:hAnsi="Arial Narrow" w:cs="Times New Roman"/>
                <w:i/>
                <w:iCs/>
                <w:color w:val="333333"/>
                <w:sz w:val="18"/>
                <w:szCs w:val="18"/>
              </w:rPr>
              <w:t xml:space="preserve">C5 inhibitor defined as eculizumab or </w:t>
            </w:r>
            <w:proofErr w:type="spellStart"/>
            <w:r w:rsidRPr="001504EE">
              <w:rPr>
                <w:rFonts w:ascii="Arial Narrow" w:hAnsi="Arial Narrow" w:cs="Times New Roman"/>
                <w:i/>
                <w:iCs/>
                <w:color w:val="333333"/>
                <w:sz w:val="18"/>
                <w:szCs w:val="18"/>
              </w:rPr>
              <w:t>ravulizumab</w:t>
            </w:r>
            <w:proofErr w:type="spellEnd"/>
            <w:r w:rsidRPr="001504EE">
              <w:rPr>
                <w:rFonts w:ascii="Arial Narrow" w:hAnsi="Arial Narrow" w:cs="Times New Roman"/>
                <w:b/>
                <w:bCs/>
                <w:i/>
                <w:iCs/>
                <w:color w:val="333333"/>
                <w:sz w:val="18"/>
                <w:szCs w:val="18"/>
              </w:rPr>
              <w:t xml:space="preserve"> </w:t>
            </w:r>
          </w:p>
        </w:tc>
      </w:tr>
      <w:tr w:rsidR="001504EE" w:rsidRPr="00D60E79" w14:paraId="68C7D8F2"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1316C78" w14:textId="77777777" w:rsidR="001504EE" w:rsidRPr="001504EE" w:rsidRDefault="001504EE" w:rsidP="00BA32A1">
            <w:pPr>
              <w:spacing w:line="276" w:lineRule="auto"/>
              <w:rPr>
                <w:rFonts w:ascii="Arial Narrow" w:hAnsi="Arial Narrow" w:cs="Times New Roman"/>
                <w:i/>
                <w:iCs/>
                <w:color w:val="333333"/>
                <w:sz w:val="18"/>
                <w:szCs w:val="18"/>
              </w:rPr>
            </w:pPr>
            <w:r w:rsidRPr="001504EE">
              <w:rPr>
                <w:rFonts w:ascii="Arial Narrow" w:hAnsi="Arial Narrow" w:cs="Times New Roman"/>
                <w:b/>
                <w:bCs/>
                <w:i/>
                <w:iCs/>
                <w:color w:val="333333"/>
                <w:sz w:val="18"/>
                <w:szCs w:val="18"/>
              </w:rPr>
              <w:t>Prescribing Instructions:</w:t>
            </w:r>
            <w:r w:rsidRPr="001504EE">
              <w:rPr>
                <w:rFonts w:ascii="Arial Narrow" w:hAnsi="Arial Narrow" w:cs="Times New Roman"/>
                <w:i/>
                <w:iCs/>
                <w:color w:val="333333"/>
                <w:sz w:val="18"/>
                <w:szCs w:val="18"/>
              </w:rPr>
              <w:t xml:space="preserve"> At the time of the authority application, details (result and date of result) of the following monitoring requirements must be provided:</w:t>
            </w:r>
          </w:p>
          <w:p w14:paraId="201B1CAD" w14:textId="77777777"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Haemoglobin (g/L)</w:t>
            </w:r>
          </w:p>
          <w:p w14:paraId="4B27CD99" w14:textId="77777777"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Platelets (x109/L)</w:t>
            </w:r>
          </w:p>
          <w:p w14:paraId="51073BA0" w14:textId="77777777"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lastRenderedPageBreak/>
              <w:t>White Cell Count (x109/L)</w:t>
            </w:r>
          </w:p>
          <w:p w14:paraId="1D87492F" w14:textId="77777777"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Reticulocytes (x109/L)</w:t>
            </w:r>
          </w:p>
          <w:p w14:paraId="6A0F64AB" w14:textId="77777777"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Neutrophils (x109/L)</w:t>
            </w:r>
          </w:p>
          <w:p w14:paraId="6B95D0BB" w14:textId="77777777"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Granulocyte clone size (%)</w:t>
            </w:r>
          </w:p>
          <w:p w14:paraId="6D758340" w14:textId="1118B362" w:rsidR="001504EE" w:rsidRPr="001504EE"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 xml:space="preserve">Lactate </w:t>
            </w:r>
            <w:r w:rsidR="00975C9B" w:rsidRPr="001504EE">
              <w:rPr>
                <w:rFonts w:ascii="Arial Narrow" w:hAnsi="Arial Narrow" w:cs="Times New Roman"/>
                <w:i/>
                <w:iCs/>
                <w:color w:val="333333"/>
                <w:sz w:val="18"/>
                <w:szCs w:val="18"/>
              </w:rPr>
              <w:t>Dehydrogenase</w:t>
            </w:r>
            <w:r w:rsidRPr="001504EE">
              <w:rPr>
                <w:rFonts w:ascii="Arial Narrow" w:hAnsi="Arial Narrow" w:cs="Times New Roman"/>
                <w:i/>
                <w:iCs/>
                <w:color w:val="333333"/>
                <w:sz w:val="18"/>
                <w:szCs w:val="18"/>
              </w:rPr>
              <w:t xml:space="preserve"> (LDH) and the upper limit of normal (ULN) for the reporting laboratory</w:t>
            </w:r>
          </w:p>
          <w:p w14:paraId="3CCEE8DA" w14:textId="0F2F2851" w:rsidR="001504EE" w:rsidRPr="00EB40F2" w:rsidRDefault="001504EE" w:rsidP="00BA32A1">
            <w:pPr>
              <w:numPr>
                <w:ilvl w:val="0"/>
                <w:numId w:val="12"/>
              </w:numPr>
              <w:spacing w:line="276" w:lineRule="auto"/>
              <w:jc w:val="left"/>
              <w:rPr>
                <w:rFonts w:ascii="Arial Narrow" w:hAnsi="Arial Narrow" w:cs="Times New Roman"/>
                <w:i/>
                <w:iCs/>
                <w:color w:val="333333"/>
                <w:sz w:val="18"/>
                <w:szCs w:val="18"/>
              </w:rPr>
            </w:pPr>
            <w:r w:rsidRPr="001504EE">
              <w:rPr>
                <w:rFonts w:ascii="Arial Narrow" w:hAnsi="Arial Narrow" w:cs="Times New Roman"/>
                <w:i/>
                <w:iCs/>
                <w:color w:val="333333"/>
                <w:sz w:val="18"/>
                <w:szCs w:val="18"/>
              </w:rPr>
              <w:t>Multiple of LDH ULN</w:t>
            </w:r>
          </w:p>
        </w:tc>
      </w:tr>
      <w:tr w:rsidR="001504EE" w:rsidRPr="00D60E79" w14:paraId="461F0E21"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2A7715B8" w14:textId="77777777" w:rsidR="001504EE" w:rsidRPr="001504EE" w:rsidRDefault="001504EE" w:rsidP="00BA32A1">
            <w:pPr>
              <w:spacing w:line="276" w:lineRule="auto"/>
              <w:rPr>
                <w:rFonts w:ascii="Arial Narrow" w:eastAsia="Calibri" w:hAnsi="Arial Narrow" w:cs="Times New Roman"/>
                <w:b/>
                <w:sz w:val="18"/>
                <w:szCs w:val="18"/>
              </w:rPr>
            </w:pPr>
            <w:r w:rsidRPr="001504EE">
              <w:rPr>
                <w:rFonts w:ascii="Arial Narrow" w:eastAsia="Calibri" w:hAnsi="Arial Narrow" w:cs="Times New Roman"/>
                <w:b/>
                <w:sz w:val="18"/>
                <w:szCs w:val="18"/>
              </w:rPr>
              <w:lastRenderedPageBreak/>
              <w:t>Administrative advice:</w:t>
            </w:r>
          </w:p>
          <w:p w14:paraId="3588F09D"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Any queries concerning the arrangements to prescribe may be directed to Services Australia on 1800 700 270 (hours of operation 8 a.m. to 5 p.m. EST Monday to Friday).</w:t>
            </w:r>
          </w:p>
          <w:p w14:paraId="6183766C"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Prescribing information (including Authority Application forms and other relevant documentation as applicable) is available on the Services Australia website at www.servicesaustralia.gov.au</w:t>
            </w:r>
          </w:p>
          <w:p w14:paraId="0B6300B4"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Applications for authority to prescribe should be submitted online using the form upload facility in Health Professional Online Services (HPOS) at www.servicesaustralia.gov.au/hpos</w:t>
            </w:r>
          </w:p>
          <w:p w14:paraId="701EA958"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Or mailed to:</w:t>
            </w:r>
          </w:p>
          <w:p w14:paraId="63537866"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Services Australia</w:t>
            </w:r>
          </w:p>
          <w:p w14:paraId="143EBC65"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Complex Drugs</w:t>
            </w:r>
          </w:p>
          <w:p w14:paraId="45CE3247"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Reply Paid 9826</w:t>
            </w:r>
          </w:p>
          <w:p w14:paraId="126BA17E" w14:textId="77777777" w:rsidR="001504EE" w:rsidRPr="001504EE" w:rsidRDefault="001504EE" w:rsidP="00BA32A1">
            <w:pPr>
              <w:rPr>
                <w:rFonts w:ascii="Arial Narrow" w:hAnsi="Arial Narrow" w:cs="Times New Roman"/>
                <w:color w:val="333333"/>
                <w:sz w:val="18"/>
                <w:szCs w:val="18"/>
              </w:rPr>
            </w:pPr>
            <w:r w:rsidRPr="001504EE">
              <w:rPr>
                <w:rFonts w:ascii="Arial Narrow" w:eastAsia="Calibri" w:hAnsi="Arial Narrow" w:cs="Times New Roman"/>
                <w:sz w:val="18"/>
                <w:szCs w:val="18"/>
              </w:rPr>
              <w:t>HOBART TAS 7001</w:t>
            </w:r>
          </w:p>
        </w:tc>
      </w:tr>
      <w:tr w:rsidR="001504EE" w:rsidRPr="00D60E79" w14:paraId="50655BB3"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hideMark/>
          </w:tcPr>
          <w:p w14:paraId="01526124" w14:textId="77777777" w:rsidR="001504EE" w:rsidRPr="001504EE" w:rsidRDefault="001504EE" w:rsidP="00BA32A1">
            <w:pPr>
              <w:rPr>
                <w:rFonts w:ascii="Arial Narrow" w:hAnsi="Arial Narrow" w:cs="Times New Roman"/>
                <w:color w:val="333333"/>
                <w:sz w:val="18"/>
                <w:szCs w:val="18"/>
              </w:rPr>
            </w:pPr>
            <w:r w:rsidRPr="001504EE">
              <w:rPr>
                <w:rFonts w:ascii="Arial Narrow" w:eastAsia="Calibri" w:hAnsi="Arial Narrow" w:cs="Times New Roman"/>
                <w:b/>
                <w:sz w:val="18"/>
                <w:szCs w:val="18"/>
              </w:rPr>
              <w:t>Administrative advice:</w:t>
            </w:r>
            <w:r w:rsidRPr="001504EE">
              <w:rPr>
                <w:rFonts w:ascii="Arial Narrow" w:eastAsia="Calibri" w:hAnsi="Arial Narrow" w:cs="Times New Roman"/>
                <w:sz w:val="18"/>
                <w:szCs w:val="18"/>
              </w:rPr>
              <w:t xml:space="preserve"> No increase in the maximum number of repeats may be authorised.</w:t>
            </w:r>
          </w:p>
        </w:tc>
      </w:tr>
      <w:tr w:rsidR="001504EE" w:rsidRPr="00D60E79" w14:paraId="13E1CED2" w14:textId="77777777" w:rsidTr="001504E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330E85DE"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b/>
                <w:sz w:val="18"/>
                <w:szCs w:val="18"/>
              </w:rPr>
              <w:t>Caution:</w:t>
            </w:r>
          </w:p>
          <w:p w14:paraId="4F325437" w14:textId="77777777" w:rsidR="001504EE" w:rsidRPr="001504EE" w:rsidRDefault="001504EE" w:rsidP="00BA32A1">
            <w:pPr>
              <w:spacing w:line="276" w:lineRule="auto"/>
              <w:rPr>
                <w:rFonts w:ascii="Arial Narrow" w:eastAsia="Calibri" w:hAnsi="Arial Narrow"/>
                <w:sz w:val="18"/>
                <w:szCs w:val="18"/>
              </w:rPr>
            </w:pPr>
            <w:r w:rsidRPr="001504EE">
              <w:rPr>
                <w:rFonts w:ascii="Arial Narrow" w:eastAsia="Calibri" w:hAnsi="Arial Narrow" w:cs="Times New Roman"/>
                <w:sz w:val="18"/>
                <w:szCs w:val="18"/>
              </w:rPr>
              <w:t xml:space="preserve">WARNING: </w:t>
            </w:r>
            <w:r w:rsidRPr="001504EE">
              <w:rPr>
                <w:rFonts w:ascii="Arial Narrow" w:eastAsia="Calibri" w:hAnsi="Arial Narrow"/>
                <w:sz w:val="18"/>
                <w:szCs w:val="18"/>
              </w:rPr>
              <w:t>This drug increases the risk of encapsulated bacterial infections.</w:t>
            </w:r>
          </w:p>
          <w:p w14:paraId="58D58F28" w14:textId="77777777" w:rsidR="001504EE" w:rsidRPr="001504EE" w:rsidRDefault="001504EE" w:rsidP="00BA32A1">
            <w:pPr>
              <w:spacing w:line="276" w:lineRule="auto"/>
              <w:rPr>
                <w:rFonts w:ascii="Arial Narrow" w:eastAsia="Calibri" w:hAnsi="Arial Narrow" w:cs="Times New Roman"/>
                <w:sz w:val="18"/>
                <w:szCs w:val="18"/>
              </w:rPr>
            </w:pPr>
            <w:r w:rsidRPr="001504EE">
              <w:rPr>
                <w:rFonts w:ascii="Arial Narrow" w:eastAsia="Calibri" w:hAnsi="Arial Narrow" w:cs="Times New Roman"/>
                <w:sz w:val="18"/>
                <w:szCs w:val="18"/>
              </w:rPr>
              <w:t xml:space="preserve">Consult the approved PI for information about vaccination again meningococcal, pneumococcal and </w:t>
            </w:r>
            <w:r w:rsidRPr="001504EE">
              <w:rPr>
                <w:rFonts w:ascii="Arial Narrow" w:eastAsia="Calibri" w:hAnsi="Arial Narrow" w:cs="Times New Roman"/>
                <w:i/>
                <w:iCs/>
                <w:sz w:val="18"/>
                <w:szCs w:val="18"/>
              </w:rPr>
              <w:t>Haemophilus influenzae</w:t>
            </w:r>
            <w:r w:rsidRPr="001504EE">
              <w:rPr>
                <w:rFonts w:ascii="Arial Narrow" w:eastAsia="Calibri" w:hAnsi="Arial Narrow" w:cs="Times New Roman"/>
                <w:sz w:val="18"/>
                <w:szCs w:val="18"/>
              </w:rPr>
              <w:t xml:space="preserve"> type B (Hib) infection.</w:t>
            </w:r>
          </w:p>
        </w:tc>
      </w:tr>
    </w:tbl>
    <w:p w14:paraId="58C8073C" w14:textId="77777777" w:rsidR="00621CBD" w:rsidRDefault="00621CBD" w:rsidP="00621CB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1504EE" w:rsidRPr="00D60E79" w14:paraId="424513BF" w14:textId="77777777" w:rsidTr="001504EE">
        <w:tc>
          <w:tcPr>
            <w:tcW w:w="9067" w:type="dxa"/>
            <w:tcBorders>
              <w:top w:val="single" w:sz="4" w:space="0" w:color="auto"/>
              <w:left w:val="single" w:sz="4" w:space="0" w:color="auto"/>
              <w:bottom w:val="single" w:sz="4" w:space="0" w:color="auto"/>
              <w:right w:val="single" w:sz="4" w:space="0" w:color="auto"/>
            </w:tcBorders>
          </w:tcPr>
          <w:p w14:paraId="7CFE490B" w14:textId="4E5CBF3F" w:rsidR="001504EE" w:rsidRPr="001504EE" w:rsidRDefault="001504EE" w:rsidP="00EB40F2">
            <w:pPr>
              <w:rPr>
                <w:rFonts w:ascii="Arial Narrow" w:eastAsia="Calibri" w:hAnsi="Arial Narrow"/>
                <w:sz w:val="18"/>
                <w:szCs w:val="18"/>
              </w:rPr>
            </w:pPr>
            <w:r w:rsidRPr="001504EE">
              <w:rPr>
                <w:rFonts w:ascii="Arial Narrow" w:eastAsia="Calibri" w:hAnsi="Arial Narrow"/>
                <w:b/>
                <w:sz w:val="18"/>
                <w:szCs w:val="18"/>
              </w:rPr>
              <w:t>Category / Program:</w:t>
            </w:r>
            <w:r w:rsidR="00EB40F2">
              <w:rPr>
                <w:rFonts w:ascii="Arial Narrow" w:eastAsia="Calibri" w:hAnsi="Arial Narrow"/>
                <w:b/>
                <w:sz w:val="18"/>
                <w:szCs w:val="18"/>
              </w:rPr>
              <w:t xml:space="preserve"> </w:t>
            </w:r>
            <w:r w:rsidRPr="001504EE">
              <w:rPr>
                <w:rFonts w:ascii="Arial Narrow" w:eastAsia="Calibri" w:hAnsi="Arial Narrow"/>
                <w:sz w:val="18"/>
                <w:szCs w:val="18"/>
              </w:rPr>
              <w:t>Section 100 – Highly Specialised Drugs Program (Public and Private)</w:t>
            </w:r>
          </w:p>
        </w:tc>
      </w:tr>
      <w:tr w:rsidR="001504EE" w:rsidRPr="00D60E79" w14:paraId="7E8EB00F" w14:textId="77777777" w:rsidTr="001504EE">
        <w:trPr>
          <w:trHeight w:val="240"/>
        </w:trPr>
        <w:tc>
          <w:tcPr>
            <w:tcW w:w="9067" w:type="dxa"/>
            <w:tcBorders>
              <w:top w:val="single" w:sz="4" w:space="0" w:color="auto"/>
              <w:left w:val="single" w:sz="4" w:space="0" w:color="auto"/>
              <w:bottom w:val="single" w:sz="4" w:space="0" w:color="auto"/>
              <w:right w:val="single" w:sz="4" w:space="0" w:color="auto"/>
            </w:tcBorders>
          </w:tcPr>
          <w:p w14:paraId="550366E1" w14:textId="77777777" w:rsidR="001504EE" w:rsidRPr="001504EE" w:rsidRDefault="001504EE" w:rsidP="00BA32A1">
            <w:pPr>
              <w:rPr>
                <w:rFonts w:ascii="Arial Narrow" w:eastAsia="Calibri" w:hAnsi="Arial Narrow"/>
                <w:b/>
                <w:sz w:val="18"/>
                <w:szCs w:val="18"/>
              </w:rPr>
            </w:pPr>
            <w:r w:rsidRPr="001504EE">
              <w:rPr>
                <w:rFonts w:ascii="Arial Narrow" w:eastAsia="Calibri" w:hAnsi="Arial Narrow"/>
                <w:b/>
                <w:sz w:val="18"/>
                <w:szCs w:val="18"/>
              </w:rPr>
              <w:t>Prescriber type:</w:t>
            </w:r>
            <w:r w:rsidRPr="001504EE">
              <w:rPr>
                <w:rFonts w:ascii="Arial Narrow" w:eastAsia="Calibri" w:hAnsi="Arial Narrow"/>
                <w:sz w:val="18"/>
                <w:szCs w:val="18"/>
              </w:rPr>
              <w:t xml:space="preserve">    </w:t>
            </w:r>
            <w:r w:rsidRPr="001504EE">
              <w:rPr>
                <w:rFonts w:ascii="Arial Narrow" w:eastAsia="Calibri" w:hAnsi="Arial Narrow"/>
                <w:sz w:val="18"/>
                <w:szCs w:val="18"/>
              </w:rPr>
              <w:fldChar w:fldCharType="begin">
                <w:ffData>
                  <w:name w:val=""/>
                  <w:enabled/>
                  <w:calcOnExit w:val="0"/>
                  <w:checkBox>
                    <w:sizeAuto/>
                    <w:default w:val="1"/>
                  </w:checkBox>
                </w:ffData>
              </w:fldChar>
            </w:r>
            <w:r w:rsidRPr="001504EE">
              <w:rPr>
                <w:rFonts w:ascii="Arial Narrow" w:eastAsia="Calibri" w:hAnsi="Arial Narrow"/>
                <w:sz w:val="18"/>
                <w:szCs w:val="18"/>
              </w:rPr>
              <w:instrText xml:space="preserve"> FORMCHECKBOX </w:instrText>
            </w:r>
            <w:r w:rsidR="000A62F7">
              <w:rPr>
                <w:rFonts w:ascii="Arial Narrow" w:eastAsia="Calibri" w:hAnsi="Arial Narrow"/>
                <w:sz w:val="18"/>
                <w:szCs w:val="18"/>
              </w:rPr>
            </w:r>
            <w:r w:rsidR="000A62F7">
              <w:rPr>
                <w:rFonts w:ascii="Arial Narrow" w:eastAsia="Calibri" w:hAnsi="Arial Narrow"/>
                <w:sz w:val="18"/>
                <w:szCs w:val="18"/>
              </w:rPr>
              <w:fldChar w:fldCharType="separate"/>
            </w:r>
            <w:r w:rsidRPr="001504EE">
              <w:rPr>
                <w:rFonts w:ascii="Arial Narrow" w:eastAsia="Calibri" w:hAnsi="Arial Narrow"/>
                <w:sz w:val="18"/>
                <w:szCs w:val="18"/>
              </w:rPr>
              <w:fldChar w:fldCharType="end"/>
            </w:r>
            <w:r w:rsidRPr="001504EE">
              <w:rPr>
                <w:rFonts w:ascii="Arial Narrow" w:eastAsia="Calibri" w:hAnsi="Arial Narrow"/>
                <w:sz w:val="18"/>
                <w:szCs w:val="18"/>
              </w:rPr>
              <w:t xml:space="preserve">Medical Practitioners    </w:t>
            </w:r>
          </w:p>
        </w:tc>
      </w:tr>
      <w:tr w:rsidR="001504EE" w:rsidRPr="00D60E79" w14:paraId="003F0B7E" w14:textId="77777777" w:rsidTr="001504EE">
        <w:tc>
          <w:tcPr>
            <w:tcW w:w="9067" w:type="dxa"/>
            <w:tcBorders>
              <w:top w:val="single" w:sz="4" w:space="0" w:color="auto"/>
              <w:left w:val="single" w:sz="4" w:space="0" w:color="auto"/>
              <w:bottom w:val="single" w:sz="4" w:space="0" w:color="auto"/>
              <w:right w:val="single" w:sz="4" w:space="0" w:color="auto"/>
            </w:tcBorders>
          </w:tcPr>
          <w:p w14:paraId="378F1C2C" w14:textId="77777777" w:rsidR="001504EE" w:rsidRPr="001504EE" w:rsidRDefault="001504EE" w:rsidP="00BA32A1">
            <w:pPr>
              <w:rPr>
                <w:rFonts w:ascii="Arial Narrow" w:eastAsia="Calibri" w:hAnsi="Arial Narrow"/>
                <w:b/>
                <w:sz w:val="18"/>
                <w:szCs w:val="18"/>
              </w:rPr>
            </w:pPr>
            <w:r w:rsidRPr="001504EE">
              <w:rPr>
                <w:rFonts w:ascii="Arial Narrow" w:eastAsia="Calibri" w:hAnsi="Arial Narrow"/>
                <w:b/>
                <w:sz w:val="18"/>
                <w:szCs w:val="18"/>
              </w:rPr>
              <w:t xml:space="preserve">Restriction type: </w:t>
            </w:r>
          </w:p>
          <w:p w14:paraId="0838A5D8" w14:textId="77777777" w:rsidR="001504EE" w:rsidRPr="001504EE" w:rsidRDefault="001504EE" w:rsidP="00BA32A1">
            <w:pPr>
              <w:rPr>
                <w:rFonts w:ascii="Arial Narrow" w:eastAsia="Calibri" w:hAnsi="Arial Narrow"/>
                <w:color w:val="FF00FF"/>
                <w:sz w:val="18"/>
                <w:szCs w:val="18"/>
              </w:rPr>
            </w:pPr>
            <w:r w:rsidRPr="001504EE">
              <w:rPr>
                <w:rFonts w:ascii="Arial Narrow" w:eastAsia="Calibri" w:hAnsi="Arial Narrow"/>
                <w:sz w:val="18"/>
                <w:szCs w:val="18"/>
              </w:rPr>
              <w:fldChar w:fldCharType="begin">
                <w:ffData>
                  <w:name w:val=""/>
                  <w:enabled/>
                  <w:calcOnExit w:val="0"/>
                  <w:checkBox>
                    <w:sizeAuto/>
                    <w:default w:val="1"/>
                  </w:checkBox>
                </w:ffData>
              </w:fldChar>
            </w:r>
            <w:r w:rsidRPr="001504EE">
              <w:rPr>
                <w:rFonts w:ascii="Arial Narrow" w:eastAsia="Calibri" w:hAnsi="Arial Narrow"/>
                <w:sz w:val="18"/>
                <w:szCs w:val="18"/>
              </w:rPr>
              <w:instrText xml:space="preserve"> FORMCHECKBOX </w:instrText>
            </w:r>
            <w:r w:rsidR="000A62F7">
              <w:rPr>
                <w:rFonts w:ascii="Arial Narrow" w:eastAsia="Calibri" w:hAnsi="Arial Narrow"/>
                <w:sz w:val="18"/>
                <w:szCs w:val="18"/>
              </w:rPr>
            </w:r>
            <w:r w:rsidR="000A62F7">
              <w:rPr>
                <w:rFonts w:ascii="Arial Narrow" w:eastAsia="Calibri" w:hAnsi="Arial Narrow"/>
                <w:sz w:val="18"/>
                <w:szCs w:val="18"/>
              </w:rPr>
              <w:fldChar w:fldCharType="separate"/>
            </w:r>
            <w:r w:rsidRPr="001504EE">
              <w:rPr>
                <w:rFonts w:ascii="Arial Narrow" w:eastAsia="Calibri" w:hAnsi="Arial Narrow"/>
                <w:sz w:val="18"/>
                <w:szCs w:val="18"/>
              </w:rPr>
              <w:fldChar w:fldCharType="end"/>
            </w:r>
            <w:r w:rsidRPr="001504EE">
              <w:rPr>
                <w:rFonts w:ascii="Arial Narrow" w:eastAsia="Calibri" w:hAnsi="Arial Narrow"/>
                <w:sz w:val="18"/>
                <w:szCs w:val="18"/>
              </w:rPr>
              <w:t xml:space="preserve">Authority Required – non-immediate/delayed assessment by Services Australia (In-writing only via mail/postal service or electronic submission) </w:t>
            </w:r>
          </w:p>
        </w:tc>
      </w:tr>
      <w:tr w:rsidR="001504EE" w:rsidRPr="00D60E79" w14:paraId="01914ED3" w14:textId="77777777" w:rsidTr="001504EE">
        <w:trPr>
          <w:trHeight w:val="260"/>
        </w:trPr>
        <w:tc>
          <w:tcPr>
            <w:tcW w:w="9067" w:type="dxa"/>
            <w:vAlign w:val="center"/>
            <w:hideMark/>
          </w:tcPr>
          <w:p w14:paraId="36E81C45" w14:textId="77777777" w:rsidR="001504EE" w:rsidRPr="001504EE" w:rsidRDefault="001504EE" w:rsidP="00BA32A1">
            <w:pPr>
              <w:rPr>
                <w:rFonts w:ascii="Arial Narrow" w:hAnsi="Arial Narrow" w:cs="Times New Roman"/>
                <w:color w:val="333333"/>
                <w:sz w:val="18"/>
                <w:szCs w:val="18"/>
              </w:rPr>
            </w:pPr>
            <w:r w:rsidRPr="001504EE">
              <w:rPr>
                <w:rFonts w:ascii="Arial Narrow" w:eastAsia="Calibri" w:hAnsi="Arial Narrow" w:cs="Times New Roman"/>
                <w:b/>
                <w:bCs/>
                <w:color w:val="333333"/>
                <w:sz w:val="18"/>
                <w:szCs w:val="18"/>
              </w:rPr>
              <w:t>Indication:</w:t>
            </w:r>
            <w:r w:rsidRPr="001504EE">
              <w:rPr>
                <w:rFonts w:ascii="Arial Narrow" w:eastAsia="Calibri" w:hAnsi="Arial Narrow" w:cs="Times New Roman"/>
                <w:color w:val="333333"/>
                <w:sz w:val="18"/>
                <w:szCs w:val="18"/>
              </w:rPr>
              <w:t xml:space="preserve"> </w:t>
            </w:r>
            <w:r w:rsidRPr="001504EE">
              <w:rPr>
                <w:rFonts w:ascii="Arial Narrow" w:eastAsia="Calibri" w:hAnsi="Arial Narrow" w:cs="Times New Roman"/>
                <w:sz w:val="18"/>
                <w:szCs w:val="18"/>
              </w:rPr>
              <w:t>Paroxysmal nocturnal haemoglobinuria (PNH)</w:t>
            </w:r>
          </w:p>
        </w:tc>
      </w:tr>
      <w:tr w:rsidR="001504EE" w:rsidRPr="00D60E79" w14:paraId="75C67179" w14:textId="77777777" w:rsidTr="001504EE">
        <w:tc>
          <w:tcPr>
            <w:tcW w:w="9067" w:type="dxa"/>
            <w:vAlign w:val="center"/>
            <w:hideMark/>
          </w:tcPr>
          <w:p w14:paraId="3FF00396" w14:textId="77777777" w:rsidR="001504EE" w:rsidRPr="001504EE" w:rsidRDefault="001504EE" w:rsidP="00BA32A1">
            <w:pPr>
              <w:rPr>
                <w:rFonts w:ascii="Arial Narrow" w:hAnsi="Arial Narrow" w:cs="Times New Roman"/>
                <w:color w:val="FF00FF"/>
                <w:sz w:val="18"/>
                <w:szCs w:val="18"/>
              </w:rPr>
            </w:pPr>
            <w:r w:rsidRPr="001504EE">
              <w:rPr>
                <w:rFonts w:ascii="Arial Narrow" w:hAnsi="Arial Narrow" w:cs="Times New Roman"/>
                <w:b/>
                <w:bCs/>
                <w:color w:val="333333"/>
                <w:sz w:val="18"/>
                <w:szCs w:val="18"/>
              </w:rPr>
              <w:t>Treatment Phase:</w:t>
            </w:r>
            <w:r w:rsidRPr="001504EE">
              <w:rPr>
                <w:rFonts w:ascii="Arial Narrow" w:hAnsi="Arial Narrow" w:cs="Times New Roman"/>
                <w:color w:val="333333"/>
                <w:sz w:val="18"/>
                <w:szCs w:val="18"/>
              </w:rPr>
              <w:t xml:space="preserve"> Grandfathered Treatment</w:t>
            </w:r>
          </w:p>
        </w:tc>
      </w:tr>
      <w:tr w:rsidR="001504EE" w:rsidRPr="00D60E79" w14:paraId="28686CE4" w14:textId="77777777" w:rsidTr="001504EE">
        <w:tc>
          <w:tcPr>
            <w:tcW w:w="9067" w:type="dxa"/>
          </w:tcPr>
          <w:p w14:paraId="5BD57EA5" w14:textId="77777777" w:rsidR="001504EE" w:rsidRPr="001504EE" w:rsidRDefault="001504EE" w:rsidP="00BA32A1">
            <w:pPr>
              <w:rPr>
                <w:rFonts w:ascii="Arial Narrow" w:hAnsi="Arial Narrow" w:cs="Times New Roman"/>
                <w:b/>
                <w:bCs/>
                <w:color w:val="333333"/>
                <w:sz w:val="18"/>
                <w:szCs w:val="18"/>
              </w:rPr>
            </w:pPr>
            <w:r w:rsidRPr="001504EE">
              <w:rPr>
                <w:rFonts w:ascii="Arial Narrow" w:eastAsia="Calibri" w:hAnsi="Arial Narrow" w:cs="Times New Roman"/>
                <w:b/>
                <w:sz w:val="18"/>
                <w:szCs w:val="18"/>
              </w:rPr>
              <w:t>Clinical criteria:</w:t>
            </w:r>
          </w:p>
        </w:tc>
      </w:tr>
      <w:tr w:rsidR="001504EE" w:rsidRPr="00D60E79" w14:paraId="4F372036" w14:textId="77777777" w:rsidTr="001504EE">
        <w:tc>
          <w:tcPr>
            <w:tcW w:w="9067" w:type="dxa"/>
            <w:vAlign w:val="center"/>
          </w:tcPr>
          <w:p w14:paraId="56672D06" w14:textId="77777777" w:rsidR="001504EE" w:rsidRPr="001504EE" w:rsidRDefault="001504EE" w:rsidP="00BA32A1">
            <w:pPr>
              <w:rPr>
                <w:rFonts w:ascii="Arial Narrow" w:hAnsi="Arial Narrow" w:cs="Times New Roman"/>
                <w:b/>
                <w:bCs/>
                <w:color w:val="333333"/>
                <w:sz w:val="18"/>
                <w:szCs w:val="18"/>
              </w:rPr>
            </w:pPr>
            <w:r w:rsidRPr="001504EE">
              <w:rPr>
                <w:rFonts w:ascii="Arial Narrow" w:hAnsi="Arial Narrow" w:cs="Times New Roman"/>
                <w:color w:val="333333"/>
                <w:sz w:val="18"/>
                <w:szCs w:val="18"/>
              </w:rPr>
              <w:t xml:space="preserve">Patient must have received non-PBS-subsidised treatment with this drug for this condition prior to </w:t>
            </w:r>
            <w:r w:rsidRPr="001504EE">
              <w:rPr>
                <w:rFonts w:ascii="Arial Narrow" w:hAnsi="Arial Narrow" w:cs="Times New Roman"/>
                <w:strike/>
                <w:color w:val="333333"/>
                <w:sz w:val="18"/>
                <w:szCs w:val="18"/>
              </w:rPr>
              <w:t>availability on the PBS</w:t>
            </w:r>
            <w:r w:rsidRPr="001504EE">
              <w:rPr>
                <w:rFonts w:ascii="Arial Narrow" w:hAnsi="Arial Narrow" w:cs="Times New Roman"/>
                <w:color w:val="333333"/>
                <w:sz w:val="18"/>
                <w:szCs w:val="18"/>
              </w:rPr>
              <w:t xml:space="preserve"> [listing date]</w:t>
            </w:r>
          </w:p>
        </w:tc>
      </w:tr>
      <w:tr w:rsidR="001504EE" w:rsidRPr="00D60E79" w14:paraId="0589B42B" w14:textId="77777777" w:rsidTr="001504EE">
        <w:tc>
          <w:tcPr>
            <w:tcW w:w="9067" w:type="dxa"/>
            <w:vAlign w:val="center"/>
          </w:tcPr>
          <w:p w14:paraId="53B2984D" w14:textId="77777777" w:rsidR="001504EE" w:rsidRPr="001504EE" w:rsidRDefault="001504EE" w:rsidP="00BA32A1">
            <w:pPr>
              <w:rPr>
                <w:rFonts w:ascii="Arial Narrow" w:hAnsi="Arial Narrow" w:cs="Times New Roman"/>
                <w:b/>
                <w:bCs/>
                <w:color w:val="333333"/>
                <w:sz w:val="18"/>
                <w:szCs w:val="18"/>
              </w:rPr>
            </w:pPr>
            <w:r w:rsidRPr="001504EE">
              <w:rPr>
                <w:rFonts w:ascii="Arial Narrow" w:hAnsi="Arial Narrow" w:cs="Times New Roman"/>
                <w:b/>
                <w:bCs/>
                <w:color w:val="333333"/>
                <w:sz w:val="18"/>
                <w:szCs w:val="18"/>
              </w:rPr>
              <w:t>AND</w:t>
            </w:r>
          </w:p>
        </w:tc>
      </w:tr>
      <w:tr w:rsidR="001504EE" w:rsidRPr="00D60E79" w14:paraId="4FE99890" w14:textId="77777777" w:rsidTr="001504EE">
        <w:tc>
          <w:tcPr>
            <w:tcW w:w="9067" w:type="dxa"/>
            <w:vAlign w:val="center"/>
          </w:tcPr>
          <w:p w14:paraId="167CE1A8" w14:textId="77777777" w:rsidR="001504EE" w:rsidRPr="001504EE" w:rsidRDefault="001504EE" w:rsidP="00BA32A1">
            <w:pPr>
              <w:rPr>
                <w:rFonts w:ascii="Arial Narrow" w:hAnsi="Arial Narrow" w:cs="Times New Roman"/>
                <w:b/>
                <w:bCs/>
                <w:strike/>
                <w:color w:val="333333"/>
                <w:sz w:val="18"/>
                <w:szCs w:val="18"/>
              </w:rPr>
            </w:pPr>
            <w:r w:rsidRPr="001504EE">
              <w:rPr>
                <w:rFonts w:ascii="Arial Narrow" w:eastAsia="Calibri" w:hAnsi="Arial Narrow" w:cs="Times New Roman"/>
                <w:b/>
                <w:strike/>
                <w:sz w:val="18"/>
                <w:szCs w:val="18"/>
              </w:rPr>
              <w:t>Clinical criteria:</w:t>
            </w:r>
          </w:p>
        </w:tc>
      </w:tr>
      <w:tr w:rsidR="001504EE" w:rsidRPr="00D60E79" w14:paraId="794431C1" w14:textId="77777777" w:rsidTr="001504EE">
        <w:tc>
          <w:tcPr>
            <w:tcW w:w="9067" w:type="dxa"/>
            <w:vAlign w:val="center"/>
          </w:tcPr>
          <w:p w14:paraId="2D60E529" w14:textId="77777777" w:rsidR="001504EE" w:rsidRPr="001504EE" w:rsidRDefault="001504EE" w:rsidP="00BA32A1">
            <w:pPr>
              <w:rPr>
                <w:rFonts w:ascii="Arial Narrow" w:hAnsi="Arial Narrow" w:cs="Times New Roman"/>
                <w:b/>
                <w:bCs/>
                <w:strike/>
                <w:color w:val="333333"/>
                <w:sz w:val="18"/>
                <w:szCs w:val="18"/>
              </w:rPr>
            </w:pPr>
            <w:r w:rsidRPr="001504EE">
              <w:rPr>
                <w:rFonts w:ascii="Arial Narrow" w:hAnsi="Arial Narrow" w:cs="Times New Roman"/>
                <w:strike/>
                <w:color w:val="333333"/>
                <w:sz w:val="18"/>
                <w:szCs w:val="18"/>
              </w:rPr>
              <w:t>The treatment must be the sole PBS subsidised treatment for this condition</w:t>
            </w:r>
          </w:p>
        </w:tc>
      </w:tr>
      <w:tr w:rsidR="001504EE" w:rsidRPr="00D60E79" w14:paraId="7AD05F9D" w14:textId="77777777" w:rsidTr="001504EE">
        <w:tc>
          <w:tcPr>
            <w:tcW w:w="9067" w:type="dxa"/>
            <w:vAlign w:val="center"/>
          </w:tcPr>
          <w:p w14:paraId="4E4CFE9B" w14:textId="77777777" w:rsidR="001504EE" w:rsidRPr="001504EE" w:rsidRDefault="001504EE" w:rsidP="00BA32A1">
            <w:pPr>
              <w:rPr>
                <w:rFonts w:ascii="Arial Narrow" w:hAnsi="Arial Narrow" w:cs="Times New Roman"/>
                <w:b/>
                <w:bCs/>
                <w:color w:val="333333"/>
                <w:sz w:val="18"/>
                <w:szCs w:val="18"/>
              </w:rPr>
            </w:pPr>
            <w:r w:rsidRPr="001504EE">
              <w:rPr>
                <w:rFonts w:ascii="Arial Narrow" w:hAnsi="Arial Narrow" w:cs="Times New Roman"/>
                <w:b/>
                <w:bCs/>
                <w:color w:val="333333"/>
                <w:sz w:val="18"/>
                <w:szCs w:val="18"/>
              </w:rPr>
              <w:t>AND</w:t>
            </w:r>
          </w:p>
        </w:tc>
      </w:tr>
      <w:tr w:rsidR="001504EE" w:rsidRPr="00D60E79" w14:paraId="08C46D05" w14:textId="77777777" w:rsidTr="001504EE">
        <w:tc>
          <w:tcPr>
            <w:tcW w:w="9067" w:type="dxa"/>
            <w:hideMark/>
          </w:tcPr>
          <w:p w14:paraId="086794CF" w14:textId="77777777" w:rsidR="001504EE" w:rsidRPr="001504EE" w:rsidRDefault="001504EE" w:rsidP="00BA32A1">
            <w:pPr>
              <w:rPr>
                <w:rFonts w:ascii="Arial Narrow" w:hAnsi="Arial Narrow" w:cs="Times New Roman"/>
                <w:color w:val="FF00FF"/>
                <w:sz w:val="18"/>
                <w:szCs w:val="18"/>
              </w:rPr>
            </w:pPr>
            <w:r w:rsidRPr="001504EE">
              <w:rPr>
                <w:rFonts w:ascii="Arial Narrow" w:eastAsia="Calibri" w:hAnsi="Arial Narrow" w:cs="Times New Roman"/>
                <w:b/>
                <w:sz w:val="18"/>
                <w:szCs w:val="18"/>
              </w:rPr>
              <w:t>Clinical criteria:</w:t>
            </w:r>
          </w:p>
        </w:tc>
      </w:tr>
      <w:tr w:rsidR="001504EE" w:rsidRPr="00D60E79" w14:paraId="30B4589A" w14:textId="77777777" w:rsidTr="001504EE">
        <w:tc>
          <w:tcPr>
            <w:tcW w:w="9067" w:type="dxa"/>
            <w:vAlign w:val="center"/>
            <w:hideMark/>
          </w:tcPr>
          <w:p w14:paraId="26BCB68F" w14:textId="77777777" w:rsidR="001504EE" w:rsidRPr="001504EE" w:rsidRDefault="001504EE" w:rsidP="00BA32A1">
            <w:pPr>
              <w:rPr>
                <w:rFonts w:ascii="Arial Narrow" w:hAnsi="Arial Narrow" w:cs="Times New Roman"/>
                <w:i/>
                <w:iCs/>
                <w:color w:val="333333"/>
                <w:sz w:val="18"/>
                <w:szCs w:val="18"/>
              </w:rPr>
            </w:pPr>
            <w:r w:rsidRPr="001504EE">
              <w:rPr>
                <w:rFonts w:ascii="Arial Narrow" w:hAnsi="Arial Narrow" w:cs="Times New Roman"/>
                <w:i/>
                <w:iCs/>
                <w:color w:val="333333"/>
                <w:sz w:val="18"/>
                <w:szCs w:val="18"/>
              </w:rPr>
              <w:t>Patient must have had a haemoglobin level of less than 10.5 g/dL prior to initiating non-PBS-subsidised treatment with this drug</w:t>
            </w:r>
          </w:p>
        </w:tc>
      </w:tr>
      <w:tr w:rsidR="001504EE" w:rsidRPr="00D60E79" w14:paraId="523FE4DC" w14:textId="77777777" w:rsidTr="001504EE">
        <w:tc>
          <w:tcPr>
            <w:tcW w:w="9067" w:type="dxa"/>
            <w:vAlign w:val="center"/>
            <w:hideMark/>
          </w:tcPr>
          <w:p w14:paraId="55EBCDB8"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AND</w:t>
            </w:r>
          </w:p>
        </w:tc>
      </w:tr>
      <w:tr w:rsidR="001504EE" w:rsidRPr="00D60E79" w14:paraId="3BD2FDF0" w14:textId="77777777" w:rsidTr="001504EE">
        <w:tc>
          <w:tcPr>
            <w:tcW w:w="9067" w:type="dxa"/>
            <w:vAlign w:val="center"/>
            <w:hideMark/>
          </w:tcPr>
          <w:p w14:paraId="221C897B"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t>Clinical criteria:</w:t>
            </w:r>
          </w:p>
        </w:tc>
      </w:tr>
      <w:tr w:rsidR="001504EE" w:rsidRPr="00D60E79" w14:paraId="234E050B" w14:textId="77777777" w:rsidTr="001504EE">
        <w:tc>
          <w:tcPr>
            <w:tcW w:w="9067" w:type="dxa"/>
            <w:vAlign w:val="center"/>
            <w:hideMark/>
          </w:tcPr>
          <w:p w14:paraId="3B4A0FD4" w14:textId="77777777" w:rsidR="001504EE" w:rsidRPr="001504EE" w:rsidRDefault="001504EE" w:rsidP="00BA32A1">
            <w:pPr>
              <w:rPr>
                <w:rFonts w:ascii="Arial Narrow" w:hAnsi="Arial Narrow" w:cs="Times New Roman"/>
                <w:i/>
                <w:color w:val="333333"/>
                <w:sz w:val="18"/>
                <w:szCs w:val="18"/>
              </w:rPr>
            </w:pPr>
            <w:r w:rsidRPr="001504EE">
              <w:rPr>
                <w:rFonts w:ascii="Arial Narrow" w:hAnsi="Arial Narrow" w:cs="Times New Roman"/>
                <w:i/>
                <w:sz w:val="18"/>
                <w:szCs w:val="18"/>
              </w:rPr>
              <w:t>Patient must have been receiving treatment with a C5 inhibitor for at least 3 months before initiating treatment with this drug</w:t>
            </w:r>
          </w:p>
        </w:tc>
      </w:tr>
      <w:tr w:rsidR="001504EE" w:rsidRPr="00D60E79" w14:paraId="4C2E1A35" w14:textId="77777777" w:rsidTr="001504EE">
        <w:tc>
          <w:tcPr>
            <w:tcW w:w="9067" w:type="dxa"/>
            <w:vAlign w:val="center"/>
            <w:hideMark/>
          </w:tcPr>
          <w:p w14:paraId="21AB8586" w14:textId="77777777" w:rsidR="001504EE" w:rsidRPr="001504EE" w:rsidRDefault="001504EE" w:rsidP="00BA32A1">
            <w:pPr>
              <w:rPr>
                <w:rFonts w:ascii="Arial Narrow" w:hAnsi="Arial Narrow" w:cs="Times New Roman"/>
                <w:strike/>
                <w:color w:val="333333"/>
                <w:sz w:val="18"/>
                <w:szCs w:val="18"/>
              </w:rPr>
            </w:pPr>
            <w:r w:rsidRPr="001504EE">
              <w:rPr>
                <w:rFonts w:ascii="Arial Narrow" w:hAnsi="Arial Narrow" w:cs="Times New Roman"/>
                <w:b/>
                <w:bCs/>
                <w:strike/>
                <w:color w:val="333333"/>
                <w:sz w:val="18"/>
                <w:szCs w:val="18"/>
              </w:rPr>
              <w:t>AND</w:t>
            </w:r>
          </w:p>
        </w:tc>
      </w:tr>
      <w:tr w:rsidR="001504EE" w:rsidRPr="00D60E79" w14:paraId="5F5058A7" w14:textId="77777777" w:rsidTr="001504EE">
        <w:tc>
          <w:tcPr>
            <w:tcW w:w="9067" w:type="dxa"/>
          </w:tcPr>
          <w:p w14:paraId="46BD180C" w14:textId="77777777" w:rsidR="001504EE" w:rsidRPr="001504EE" w:rsidRDefault="001504EE" w:rsidP="00BA32A1">
            <w:pPr>
              <w:rPr>
                <w:rFonts w:ascii="Arial Narrow" w:eastAsia="Calibri" w:hAnsi="Arial Narrow" w:cs="Times New Roman"/>
                <w:strike/>
                <w:sz w:val="18"/>
                <w:szCs w:val="18"/>
              </w:rPr>
            </w:pPr>
            <w:r w:rsidRPr="001504EE">
              <w:rPr>
                <w:rFonts w:ascii="Arial Narrow" w:eastAsia="Calibri" w:hAnsi="Arial Narrow" w:cs="Times New Roman"/>
                <w:b/>
                <w:bCs/>
                <w:strike/>
                <w:sz w:val="18"/>
                <w:szCs w:val="18"/>
              </w:rPr>
              <w:t>Clinical criteria:</w:t>
            </w:r>
          </w:p>
        </w:tc>
      </w:tr>
      <w:tr w:rsidR="001504EE" w:rsidRPr="00D60E79" w14:paraId="1050BB98" w14:textId="77777777" w:rsidTr="001504EE">
        <w:tc>
          <w:tcPr>
            <w:tcW w:w="9067" w:type="dxa"/>
          </w:tcPr>
          <w:p w14:paraId="682C8E01" w14:textId="77777777" w:rsidR="001504EE" w:rsidRPr="001504EE" w:rsidRDefault="001504EE" w:rsidP="00BA32A1">
            <w:pPr>
              <w:rPr>
                <w:rFonts w:ascii="Arial Narrow" w:eastAsia="Calibri" w:hAnsi="Arial Narrow" w:cs="Times New Roman"/>
                <w:strike/>
                <w:sz w:val="18"/>
                <w:szCs w:val="18"/>
              </w:rPr>
            </w:pPr>
            <w:r w:rsidRPr="001504EE">
              <w:rPr>
                <w:rFonts w:ascii="Arial Narrow" w:eastAsia="Calibri" w:hAnsi="Arial Narrow" w:cs="Times New Roman"/>
                <w:strike/>
                <w:sz w:val="18"/>
                <w:szCs w:val="18"/>
              </w:rPr>
              <w:t xml:space="preserve">Patient must have stable or responding disease </w:t>
            </w:r>
          </w:p>
        </w:tc>
      </w:tr>
      <w:tr w:rsidR="001504EE" w:rsidRPr="00D60E79" w14:paraId="47B51FCC" w14:textId="77777777" w:rsidTr="001504EE">
        <w:tc>
          <w:tcPr>
            <w:tcW w:w="9067" w:type="dxa"/>
            <w:vAlign w:val="center"/>
          </w:tcPr>
          <w:p w14:paraId="2C0B4725" w14:textId="77777777" w:rsidR="001504EE" w:rsidRPr="001504EE" w:rsidRDefault="001504EE" w:rsidP="00BA32A1">
            <w:pPr>
              <w:rPr>
                <w:rFonts w:ascii="Arial Narrow" w:eastAsia="Calibri" w:hAnsi="Arial Narrow" w:cs="Times New Roman"/>
                <w:sz w:val="18"/>
                <w:szCs w:val="18"/>
              </w:rPr>
            </w:pPr>
            <w:r w:rsidRPr="001504EE">
              <w:rPr>
                <w:rFonts w:ascii="Arial Narrow" w:hAnsi="Arial Narrow" w:cs="Times New Roman"/>
                <w:b/>
                <w:bCs/>
                <w:color w:val="333333"/>
                <w:sz w:val="18"/>
                <w:szCs w:val="18"/>
              </w:rPr>
              <w:t>AND</w:t>
            </w:r>
          </w:p>
        </w:tc>
      </w:tr>
      <w:tr w:rsidR="001504EE" w:rsidRPr="00D60E79" w14:paraId="20328066" w14:textId="77777777" w:rsidTr="001504EE">
        <w:tc>
          <w:tcPr>
            <w:tcW w:w="9067" w:type="dxa"/>
          </w:tcPr>
          <w:p w14:paraId="10F19D76" w14:textId="77777777" w:rsidR="001504EE" w:rsidRPr="001504EE" w:rsidRDefault="001504EE" w:rsidP="00BA32A1">
            <w:pPr>
              <w:rPr>
                <w:rFonts w:ascii="Arial Narrow" w:eastAsia="Calibri" w:hAnsi="Arial Narrow" w:cs="Times New Roman"/>
                <w:sz w:val="18"/>
                <w:szCs w:val="18"/>
              </w:rPr>
            </w:pPr>
            <w:r w:rsidRPr="001504EE">
              <w:rPr>
                <w:rFonts w:ascii="Arial Narrow" w:eastAsia="Calibri" w:hAnsi="Arial Narrow" w:cs="Times New Roman"/>
                <w:b/>
                <w:bCs/>
                <w:sz w:val="18"/>
                <w:szCs w:val="18"/>
              </w:rPr>
              <w:t>Clinical criteria:</w:t>
            </w:r>
          </w:p>
        </w:tc>
      </w:tr>
      <w:tr w:rsidR="001504EE" w:rsidRPr="00D60E79" w14:paraId="13521D4D" w14:textId="77777777" w:rsidTr="001504EE">
        <w:tc>
          <w:tcPr>
            <w:tcW w:w="9067" w:type="dxa"/>
          </w:tcPr>
          <w:p w14:paraId="309D083F" w14:textId="77777777" w:rsidR="001504EE" w:rsidRPr="001504EE" w:rsidRDefault="001504EE" w:rsidP="00BA32A1">
            <w:pPr>
              <w:rPr>
                <w:rFonts w:ascii="Arial Narrow" w:eastAsia="Calibri" w:hAnsi="Arial Narrow" w:cs="Times New Roman"/>
                <w:sz w:val="18"/>
                <w:szCs w:val="18"/>
              </w:rPr>
            </w:pPr>
            <w:r w:rsidRPr="001504EE">
              <w:rPr>
                <w:rFonts w:ascii="Arial Narrow" w:hAnsi="Arial Narrow"/>
                <w:sz w:val="18"/>
                <w:szCs w:val="18"/>
              </w:rPr>
              <w:t xml:space="preserve">Patient must </w:t>
            </w:r>
            <w:r w:rsidRPr="001504EE">
              <w:rPr>
                <w:rFonts w:ascii="Arial Narrow" w:hAnsi="Arial Narrow"/>
                <w:i/>
                <w:iCs/>
                <w:sz w:val="18"/>
                <w:szCs w:val="18"/>
              </w:rPr>
              <w:t>have</w:t>
            </w:r>
            <w:r w:rsidRPr="001504EE">
              <w:rPr>
                <w:rFonts w:ascii="Arial Narrow" w:hAnsi="Arial Narrow"/>
                <w:sz w:val="18"/>
                <w:szCs w:val="18"/>
              </w:rPr>
              <w:t xml:space="preserve"> demonstrated clinical improvement or stabilisation of condition </w:t>
            </w:r>
            <w:r w:rsidRPr="001504EE">
              <w:rPr>
                <w:rFonts w:ascii="Arial Narrow" w:hAnsi="Arial Narrow"/>
                <w:i/>
                <w:iCs/>
                <w:sz w:val="18"/>
                <w:szCs w:val="18"/>
              </w:rPr>
              <w:t>while receiving treatment with this drug for this condition</w:t>
            </w:r>
            <w:r w:rsidRPr="001504EE">
              <w:rPr>
                <w:rFonts w:ascii="Arial Narrow" w:hAnsi="Arial Narrow"/>
                <w:sz w:val="18"/>
                <w:szCs w:val="18"/>
              </w:rPr>
              <w:t xml:space="preserve"> </w:t>
            </w:r>
            <w:r w:rsidRPr="001504EE">
              <w:rPr>
                <w:rFonts w:ascii="Arial Narrow" w:hAnsi="Arial Narrow"/>
                <w:strike/>
                <w:sz w:val="18"/>
                <w:szCs w:val="18"/>
              </w:rPr>
              <w:t>based on clinical data on the following monitoring requirements provided every 12 months</w:t>
            </w:r>
          </w:p>
        </w:tc>
      </w:tr>
      <w:tr w:rsidR="001504EE" w:rsidRPr="00D60E79" w14:paraId="4675EF3E" w14:textId="77777777" w:rsidTr="001504EE">
        <w:tc>
          <w:tcPr>
            <w:tcW w:w="9067" w:type="dxa"/>
            <w:vAlign w:val="center"/>
            <w:hideMark/>
          </w:tcPr>
          <w:p w14:paraId="78ED662E" w14:textId="77777777" w:rsidR="001504EE" w:rsidRPr="001504EE" w:rsidRDefault="001504EE" w:rsidP="00BA32A1">
            <w:pPr>
              <w:rPr>
                <w:rFonts w:ascii="Arial Narrow" w:hAnsi="Arial Narrow" w:cs="Times New Roman"/>
                <w:i/>
                <w:iCs/>
                <w:color w:val="333333"/>
                <w:sz w:val="18"/>
                <w:szCs w:val="18"/>
              </w:rPr>
            </w:pPr>
            <w:r w:rsidRPr="001504EE">
              <w:rPr>
                <w:rFonts w:ascii="Arial Narrow" w:hAnsi="Arial Narrow" w:cs="Times New Roman"/>
                <w:b/>
                <w:bCs/>
                <w:i/>
                <w:iCs/>
                <w:color w:val="333333"/>
                <w:sz w:val="18"/>
                <w:szCs w:val="18"/>
              </w:rPr>
              <w:t>Treatment criteria:</w:t>
            </w:r>
          </w:p>
        </w:tc>
      </w:tr>
      <w:tr w:rsidR="001504EE" w:rsidRPr="00D60E79" w14:paraId="46114404" w14:textId="77777777" w:rsidTr="001504EE">
        <w:tc>
          <w:tcPr>
            <w:tcW w:w="9067" w:type="dxa"/>
            <w:vAlign w:val="center"/>
            <w:hideMark/>
          </w:tcPr>
          <w:p w14:paraId="6FE883B2" w14:textId="77777777" w:rsidR="001504EE" w:rsidRPr="001504EE" w:rsidRDefault="001504EE" w:rsidP="00BA32A1">
            <w:pPr>
              <w:autoSpaceDE w:val="0"/>
              <w:autoSpaceDN w:val="0"/>
              <w:adjustRightInd w:val="0"/>
              <w:rPr>
                <w:rFonts w:ascii="Arial Narrow" w:eastAsia="Calibri" w:hAnsi="Arial Narrow" w:cs="Arial Narrow"/>
                <w:i/>
                <w:iCs/>
                <w:sz w:val="18"/>
                <w:szCs w:val="18"/>
              </w:rPr>
            </w:pPr>
            <w:r w:rsidRPr="001504EE">
              <w:rPr>
                <w:rFonts w:ascii="Arial Narrow" w:eastAsia="Calibri" w:hAnsi="Arial Narrow" w:cs="Arial Narrow"/>
                <w:i/>
                <w:iCs/>
                <w:sz w:val="18"/>
                <w:szCs w:val="18"/>
              </w:rPr>
              <w:t xml:space="preserve">Must be treated by a haematologist; </w:t>
            </w:r>
            <w:r w:rsidRPr="001504EE">
              <w:rPr>
                <w:rFonts w:ascii="Arial Narrow" w:eastAsia="Calibri" w:hAnsi="Arial Narrow" w:cs="Arial Narrow"/>
                <w:b/>
                <w:bCs/>
                <w:i/>
                <w:iCs/>
                <w:sz w:val="18"/>
                <w:szCs w:val="18"/>
              </w:rPr>
              <w:t>OR</w:t>
            </w:r>
          </w:p>
        </w:tc>
      </w:tr>
      <w:tr w:rsidR="001504EE" w:rsidRPr="00D60E79" w14:paraId="7E62093B" w14:textId="77777777" w:rsidTr="001504EE">
        <w:tc>
          <w:tcPr>
            <w:tcW w:w="9067" w:type="dxa"/>
            <w:vAlign w:val="center"/>
          </w:tcPr>
          <w:p w14:paraId="6DAF6FD4" w14:textId="77777777" w:rsidR="001504EE" w:rsidRPr="001504EE" w:rsidRDefault="001504EE" w:rsidP="00BA32A1">
            <w:pPr>
              <w:autoSpaceDE w:val="0"/>
              <w:autoSpaceDN w:val="0"/>
              <w:adjustRightInd w:val="0"/>
              <w:rPr>
                <w:rFonts w:ascii="Arial Narrow" w:eastAsia="Calibri" w:hAnsi="Arial Narrow" w:cs="Arial Narrow"/>
                <w:i/>
                <w:iCs/>
                <w:sz w:val="18"/>
                <w:szCs w:val="18"/>
              </w:rPr>
            </w:pPr>
            <w:r w:rsidRPr="001504EE">
              <w:rPr>
                <w:rFonts w:ascii="Arial Narrow" w:eastAsia="Calibri" w:hAnsi="Arial Narrow" w:cs="Arial Narrow"/>
                <w:i/>
                <w:iCs/>
                <w:sz w:val="18"/>
                <w:szCs w:val="18"/>
              </w:rPr>
              <w:t>Must be treated by a non-specialist medical physician who has consulted a haematologist on the patient’s drug treatment details</w:t>
            </w:r>
          </w:p>
        </w:tc>
      </w:tr>
      <w:tr w:rsidR="001504EE" w:rsidRPr="00D60E79" w14:paraId="61D615E6" w14:textId="77777777" w:rsidTr="001504EE">
        <w:tc>
          <w:tcPr>
            <w:tcW w:w="9067" w:type="dxa"/>
            <w:vAlign w:val="center"/>
            <w:hideMark/>
          </w:tcPr>
          <w:p w14:paraId="7F830EA7" w14:textId="77777777" w:rsidR="001504EE" w:rsidRPr="001504EE" w:rsidRDefault="001504EE" w:rsidP="00BA32A1">
            <w:pPr>
              <w:rPr>
                <w:rFonts w:ascii="Arial Narrow" w:hAnsi="Arial Narrow" w:cs="Times New Roman"/>
                <w:color w:val="333333"/>
                <w:sz w:val="18"/>
                <w:szCs w:val="18"/>
              </w:rPr>
            </w:pPr>
            <w:r w:rsidRPr="001504EE">
              <w:rPr>
                <w:rFonts w:ascii="Arial Narrow" w:hAnsi="Arial Narrow" w:cs="Times New Roman"/>
                <w:b/>
                <w:bCs/>
                <w:color w:val="333333"/>
                <w:sz w:val="18"/>
                <w:szCs w:val="18"/>
              </w:rPr>
              <w:lastRenderedPageBreak/>
              <w:t>Population criteria:</w:t>
            </w:r>
          </w:p>
        </w:tc>
      </w:tr>
      <w:tr w:rsidR="001504EE" w:rsidRPr="00D60E79" w14:paraId="6F8AB507" w14:textId="77777777" w:rsidTr="001504EE">
        <w:tc>
          <w:tcPr>
            <w:tcW w:w="9067" w:type="dxa"/>
            <w:hideMark/>
          </w:tcPr>
          <w:p w14:paraId="101422E0" w14:textId="77777777" w:rsidR="001504EE" w:rsidRPr="001504EE" w:rsidRDefault="001504EE" w:rsidP="00BA32A1">
            <w:pPr>
              <w:rPr>
                <w:rFonts w:ascii="Arial Narrow" w:hAnsi="Arial Narrow" w:cs="Times New Roman"/>
                <w:color w:val="333333"/>
                <w:sz w:val="18"/>
                <w:szCs w:val="18"/>
              </w:rPr>
            </w:pPr>
            <w:r w:rsidRPr="001504EE">
              <w:rPr>
                <w:rFonts w:ascii="Arial Narrow" w:eastAsia="Calibri" w:hAnsi="Arial Narrow" w:cs="Times New Roman"/>
                <w:sz w:val="18"/>
                <w:szCs w:val="18"/>
              </w:rPr>
              <w:t xml:space="preserve">Patients must be </w:t>
            </w:r>
            <w:r w:rsidRPr="001504EE">
              <w:rPr>
                <w:rFonts w:ascii="Arial Narrow" w:eastAsia="Calibri" w:hAnsi="Arial Narrow" w:cs="Times New Roman"/>
                <w:iCs/>
                <w:sz w:val="18"/>
                <w:szCs w:val="18"/>
              </w:rPr>
              <w:t>aged 18</w:t>
            </w:r>
            <w:r w:rsidRPr="001504EE">
              <w:rPr>
                <w:rFonts w:ascii="Arial Narrow" w:eastAsia="Calibri" w:hAnsi="Arial Narrow" w:cs="Times New Roman"/>
                <w:sz w:val="18"/>
                <w:szCs w:val="18"/>
              </w:rPr>
              <w:t xml:space="preserve"> years or older</w:t>
            </w:r>
          </w:p>
        </w:tc>
      </w:tr>
      <w:tr w:rsidR="001504EE" w:rsidRPr="00D60E79" w14:paraId="352F8DAE" w14:textId="77777777" w:rsidTr="001504EE">
        <w:tc>
          <w:tcPr>
            <w:tcW w:w="9067" w:type="dxa"/>
            <w:vAlign w:val="center"/>
            <w:hideMark/>
          </w:tcPr>
          <w:p w14:paraId="0902A7D4" w14:textId="77777777" w:rsidR="001504EE" w:rsidRPr="001504EE" w:rsidRDefault="001504EE" w:rsidP="00BA32A1">
            <w:pPr>
              <w:rPr>
                <w:rFonts w:ascii="Arial Narrow" w:hAnsi="Arial Narrow" w:cs="Times New Roman"/>
                <w:i/>
                <w:iCs/>
                <w:color w:val="FF00FF"/>
                <w:sz w:val="18"/>
                <w:szCs w:val="18"/>
              </w:rPr>
            </w:pPr>
            <w:r w:rsidRPr="001504EE">
              <w:rPr>
                <w:rFonts w:ascii="Arial Narrow" w:hAnsi="Arial Narrow" w:cs="Times New Roman"/>
                <w:b/>
                <w:bCs/>
                <w:i/>
                <w:iCs/>
                <w:color w:val="333333"/>
                <w:sz w:val="18"/>
                <w:szCs w:val="18"/>
              </w:rPr>
              <w:t xml:space="preserve">Prescribing Instructions: </w:t>
            </w:r>
            <w:r w:rsidRPr="001504EE">
              <w:rPr>
                <w:rFonts w:ascii="Arial Narrow" w:eastAsia="Calibri" w:hAnsi="Arial Narrow" w:cs="Times New Roman"/>
                <w:i/>
                <w:iCs/>
                <w:sz w:val="18"/>
                <w:szCs w:val="18"/>
              </w:rPr>
              <w:t xml:space="preserve">At the time of the authority application, medical practitioners should request the appropriate number of vials for one </w:t>
            </w:r>
            <w:proofErr w:type="spellStart"/>
            <w:r w:rsidRPr="001504EE">
              <w:rPr>
                <w:rFonts w:ascii="Arial Narrow" w:eastAsia="Calibri" w:hAnsi="Arial Narrow" w:cs="Times New Roman"/>
                <w:i/>
                <w:iCs/>
                <w:sz w:val="18"/>
                <w:szCs w:val="18"/>
              </w:rPr>
              <w:t>months</w:t>
            </w:r>
            <w:proofErr w:type="spellEnd"/>
            <w:r w:rsidRPr="001504EE">
              <w:rPr>
                <w:rFonts w:ascii="Arial Narrow" w:eastAsia="Calibri" w:hAnsi="Arial Narrow" w:cs="Times New Roman"/>
                <w:i/>
                <w:iCs/>
                <w:sz w:val="18"/>
                <w:szCs w:val="18"/>
              </w:rPr>
              <w:t xml:space="preserve"> supply as per the Product Information. </w:t>
            </w:r>
          </w:p>
          <w:p w14:paraId="45ED219E" w14:textId="77777777" w:rsidR="001504EE" w:rsidRPr="001504EE" w:rsidRDefault="001504EE" w:rsidP="00BA32A1">
            <w:pPr>
              <w:rPr>
                <w:rFonts w:ascii="Arial Narrow" w:hAnsi="Arial Narrow" w:cs="Times New Roman"/>
                <w:color w:val="333333"/>
                <w:sz w:val="18"/>
                <w:szCs w:val="18"/>
              </w:rPr>
            </w:pPr>
          </w:p>
        </w:tc>
      </w:tr>
      <w:tr w:rsidR="001504EE" w:rsidRPr="00D60E79" w14:paraId="7940F269" w14:textId="77777777" w:rsidTr="001504EE">
        <w:tc>
          <w:tcPr>
            <w:tcW w:w="9067" w:type="dxa"/>
            <w:vAlign w:val="center"/>
          </w:tcPr>
          <w:p w14:paraId="4DEF87FE" w14:textId="77777777" w:rsidR="001504EE" w:rsidRPr="001504EE" w:rsidRDefault="001504EE" w:rsidP="00BA32A1">
            <w:pPr>
              <w:spacing w:line="276" w:lineRule="auto"/>
              <w:rPr>
                <w:rFonts w:ascii="Arial Narrow" w:hAnsi="Arial Narrow" w:cs="Times New Roman"/>
                <w:b/>
                <w:bCs/>
                <w:i/>
                <w:iCs/>
                <w:color w:val="333333"/>
                <w:sz w:val="18"/>
                <w:szCs w:val="18"/>
              </w:rPr>
            </w:pPr>
            <w:r w:rsidRPr="001504EE">
              <w:rPr>
                <w:rFonts w:ascii="Arial Narrow" w:hAnsi="Arial Narrow" w:cs="Times New Roman"/>
                <w:b/>
                <w:bCs/>
                <w:i/>
                <w:iCs/>
                <w:color w:val="333333"/>
                <w:sz w:val="18"/>
                <w:szCs w:val="18"/>
              </w:rPr>
              <w:t xml:space="preserve">Prescribing Instructions: </w:t>
            </w:r>
            <w:r w:rsidRPr="001504EE">
              <w:rPr>
                <w:rFonts w:ascii="Arial Narrow" w:hAnsi="Arial Narrow" w:cs="Times New Roman"/>
                <w:i/>
                <w:iCs/>
                <w:color w:val="333333"/>
                <w:sz w:val="18"/>
                <w:szCs w:val="18"/>
              </w:rPr>
              <w:t xml:space="preserve">C5 inhibitor defined as eculizumab or </w:t>
            </w:r>
            <w:proofErr w:type="spellStart"/>
            <w:r w:rsidRPr="001504EE">
              <w:rPr>
                <w:rFonts w:ascii="Arial Narrow" w:hAnsi="Arial Narrow" w:cs="Times New Roman"/>
                <w:i/>
                <w:iCs/>
                <w:color w:val="333333"/>
                <w:sz w:val="18"/>
                <w:szCs w:val="18"/>
              </w:rPr>
              <w:t>ravulizumab</w:t>
            </w:r>
            <w:proofErr w:type="spellEnd"/>
            <w:r w:rsidRPr="001504EE">
              <w:rPr>
                <w:rFonts w:ascii="Arial Narrow" w:hAnsi="Arial Narrow" w:cs="Times New Roman"/>
                <w:b/>
                <w:bCs/>
                <w:i/>
                <w:iCs/>
                <w:color w:val="333333"/>
                <w:sz w:val="18"/>
                <w:szCs w:val="18"/>
              </w:rPr>
              <w:t xml:space="preserve"> </w:t>
            </w:r>
          </w:p>
        </w:tc>
      </w:tr>
      <w:tr w:rsidR="001504EE" w:rsidRPr="00D60E79" w14:paraId="00937E1F" w14:textId="77777777" w:rsidTr="001504EE">
        <w:tc>
          <w:tcPr>
            <w:tcW w:w="9067" w:type="dxa"/>
            <w:vAlign w:val="center"/>
          </w:tcPr>
          <w:p w14:paraId="6E8785BA"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b/>
                <w:bCs/>
                <w:i/>
                <w:iCs/>
                <w:sz w:val="18"/>
                <w:szCs w:val="18"/>
              </w:rPr>
              <w:t>Prescribing Instructions:</w:t>
            </w:r>
            <w:r w:rsidRPr="001504EE">
              <w:rPr>
                <w:rFonts w:ascii="Arial Narrow" w:eastAsia="Calibri" w:hAnsi="Arial Narrow" w:cs="Times New Roman"/>
                <w:i/>
                <w:iCs/>
                <w:sz w:val="18"/>
                <w:szCs w:val="18"/>
              </w:rPr>
              <w:t xml:space="preserve"> At the time of the authority application, details (result and date of result) of the following monitoring requirements must be provided:</w:t>
            </w:r>
          </w:p>
          <w:p w14:paraId="6022259B" w14:textId="77777777"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Haemoglobin (g/L)</w:t>
            </w:r>
          </w:p>
          <w:p w14:paraId="1909A106" w14:textId="77777777"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Platelets (x109/L)</w:t>
            </w:r>
          </w:p>
          <w:p w14:paraId="2173245F" w14:textId="77777777"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White Cell Count (x109/L)</w:t>
            </w:r>
          </w:p>
          <w:p w14:paraId="59470509" w14:textId="77777777"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Reticulocytes (x109/L)</w:t>
            </w:r>
          </w:p>
          <w:p w14:paraId="149910C6" w14:textId="77777777"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Neutrophils (x109/L)</w:t>
            </w:r>
          </w:p>
          <w:p w14:paraId="4F2541FD" w14:textId="77777777"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Granulocyte clone size (%)</w:t>
            </w:r>
          </w:p>
          <w:p w14:paraId="63615A61" w14:textId="38DEC2D8" w:rsidR="001504EE" w:rsidRPr="001504EE"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 xml:space="preserve">Lactate </w:t>
            </w:r>
            <w:r w:rsidR="00975C9B" w:rsidRPr="001504EE">
              <w:rPr>
                <w:rFonts w:ascii="Arial Narrow" w:eastAsia="Calibri" w:hAnsi="Arial Narrow" w:cs="Times New Roman"/>
                <w:i/>
                <w:iCs/>
                <w:sz w:val="18"/>
                <w:szCs w:val="18"/>
              </w:rPr>
              <w:t>Dehydrogenase</w:t>
            </w:r>
            <w:r w:rsidRPr="001504EE">
              <w:rPr>
                <w:rFonts w:ascii="Arial Narrow" w:eastAsia="Calibri" w:hAnsi="Arial Narrow" w:cs="Times New Roman"/>
                <w:i/>
                <w:iCs/>
                <w:sz w:val="18"/>
                <w:szCs w:val="18"/>
              </w:rPr>
              <w:t xml:space="preserve"> (LDH) and the upper limit of normal (ULN) for the reporting laboratory</w:t>
            </w:r>
          </w:p>
          <w:p w14:paraId="13961AEC" w14:textId="374337A7" w:rsidR="001504EE" w:rsidRPr="00EB40F2" w:rsidRDefault="001504EE" w:rsidP="00BA32A1">
            <w:pPr>
              <w:numPr>
                <w:ilvl w:val="0"/>
                <w:numId w:val="13"/>
              </w:numPr>
              <w:spacing w:line="276" w:lineRule="auto"/>
              <w:jc w:val="left"/>
              <w:rPr>
                <w:rFonts w:ascii="Arial Narrow" w:eastAsia="Calibri" w:hAnsi="Arial Narrow" w:cs="Times New Roman"/>
                <w:i/>
                <w:iCs/>
                <w:sz w:val="18"/>
                <w:szCs w:val="18"/>
              </w:rPr>
            </w:pPr>
            <w:r w:rsidRPr="001504EE">
              <w:rPr>
                <w:rFonts w:ascii="Arial Narrow" w:eastAsia="Calibri" w:hAnsi="Arial Narrow" w:cs="Times New Roman"/>
                <w:i/>
                <w:iCs/>
                <w:sz w:val="18"/>
                <w:szCs w:val="18"/>
              </w:rPr>
              <w:t>Multiple of LDH ULN</w:t>
            </w:r>
          </w:p>
        </w:tc>
      </w:tr>
      <w:tr w:rsidR="001504EE" w:rsidRPr="00D60E79" w14:paraId="351E3215" w14:textId="77777777" w:rsidTr="001504EE">
        <w:tc>
          <w:tcPr>
            <w:tcW w:w="9067" w:type="dxa"/>
            <w:vAlign w:val="center"/>
            <w:hideMark/>
          </w:tcPr>
          <w:p w14:paraId="434D2ECE" w14:textId="77777777" w:rsidR="001504EE" w:rsidRPr="001504EE" w:rsidRDefault="001504EE" w:rsidP="00BA32A1">
            <w:pPr>
              <w:spacing w:line="276" w:lineRule="auto"/>
              <w:rPr>
                <w:rFonts w:ascii="Arial Narrow" w:eastAsia="Calibri" w:hAnsi="Arial Narrow" w:cs="Times New Roman"/>
                <w:b/>
                <w:i/>
                <w:iCs/>
                <w:sz w:val="18"/>
                <w:szCs w:val="18"/>
              </w:rPr>
            </w:pPr>
            <w:r w:rsidRPr="001504EE">
              <w:rPr>
                <w:rFonts w:ascii="Arial Narrow" w:eastAsia="Calibri" w:hAnsi="Arial Narrow" w:cs="Times New Roman"/>
                <w:b/>
                <w:i/>
                <w:iCs/>
                <w:sz w:val="18"/>
                <w:szCs w:val="18"/>
              </w:rPr>
              <w:t>Administrative advice:</w:t>
            </w:r>
          </w:p>
          <w:p w14:paraId="03095EA5"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Any queries concerning the arrangements to prescribe may be directed to Services Australia on 1800 700 270 (hours of operation 8 a.m. to 5 p.m. EST Monday to Friday).</w:t>
            </w:r>
          </w:p>
          <w:p w14:paraId="19809033"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Prescribing information (including Authority Application forms and other relevant documentation as applicable) is available on the Services Australia website at www.servicesaustralia.gov.au</w:t>
            </w:r>
          </w:p>
          <w:p w14:paraId="7428A71A"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Applications for authority to prescribe should be submitted online using the form upload facility in Health Professional Online Services (HPOS) at www.servicesaustralia.gov.au/hpos</w:t>
            </w:r>
          </w:p>
          <w:p w14:paraId="569F9897"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Or mailed to:</w:t>
            </w:r>
          </w:p>
          <w:p w14:paraId="43ADB458"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Services Australia</w:t>
            </w:r>
          </w:p>
          <w:p w14:paraId="79EC657D"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Complex Drugs</w:t>
            </w:r>
          </w:p>
          <w:p w14:paraId="7CFE5E39"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Reply Paid 9826</w:t>
            </w:r>
          </w:p>
          <w:p w14:paraId="4571AD9D" w14:textId="77777777" w:rsidR="001504EE" w:rsidRPr="001504EE" w:rsidRDefault="001504EE" w:rsidP="00BA32A1">
            <w:pPr>
              <w:rPr>
                <w:rFonts w:ascii="Arial Narrow" w:hAnsi="Arial Narrow" w:cs="Times New Roman"/>
                <w:i/>
                <w:iCs/>
                <w:color w:val="333333"/>
                <w:sz w:val="18"/>
                <w:szCs w:val="18"/>
              </w:rPr>
            </w:pPr>
            <w:r w:rsidRPr="001504EE">
              <w:rPr>
                <w:rFonts w:ascii="Arial Narrow" w:eastAsia="Calibri" w:hAnsi="Arial Narrow" w:cs="Times New Roman"/>
                <w:i/>
                <w:iCs/>
                <w:sz w:val="18"/>
                <w:szCs w:val="18"/>
              </w:rPr>
              <w:t>HOBART TAS 7001</w:t>
            </w:r>
          </w:p>
        </w:tc>
      </w:tr>
      <w:tr w:rsidR="001504EE" w:rsidRPr="00D60E79" w14:paraId="599AC7E3" w14:textId="77777777" w:rsidTr="001504EE">
        <w:tc>
          <w:tcPr>
            <w:tcW w:w="9067" w:type="dxa"/>
            <w:hideMark/>
          </w:tcPr>
          <w:p w14:paraId="1CCF591F" w14:textId="77777777" w:rsidR="001504EE" w:rsidRPr="001504EE" w:rsidRDefault="001504EE" w:rsidP="00BA32A1">
            <w:pPr>
              <w:rPr>
                <w:rFonts w:ascii="Arial Narrow" w:hAnsi="Arial Narrow" w:cs="Times New Roman"/>
                <w:i/>
                <w:iCs/>
                <w:color w:val="333333"/>
                <w:sz w:val="18"/>
                <w:szCs w:val="18"/>
              </w:rPr>
            </w:pPr>
            <w:r w:rsidRPr="001504EE">
              <w:rPr>
                <w:rFonts w:ascii="Arial Narrow" w:eastAsia="Calibri" w:hAnsi="Arial Narrow" w:cs="Times New Roman"/>
                <w:b/>
                <w:i/>
                <w:iCs/>
                <w:sz w:val="18"/>
                <w:szCs w:val="18"/>
              </w:rPr>
              <w:t>Administrative advice:</w:t>
            </w:r>
            <w:r w:rsidRPr="001504EE">
              <w:rPr>
                <w:rFonts w:ascii="Arial Narrow" w:eastAsia="Calibri" w:hAnsi="Arial Narrow" w:cs="Times New Roman"/>
                <w:i/>
                <w:iCs/>
                <w:sz w:val="18"/>
                <w:szCs w:val="18"/>
              </w:rPr>
              <w:t xml:space="preserve"> No increase in the maximum number of repeats may be authorised.</w:t>
            </w:r>
          </w:p>
        </w:tc>
      </w:tr>
      <w:tr w:rsidR="001504EE" w:rsidRPr="00D60E79" w14:paraId="5AE8CCC7" w14:textId="77777777" w:rsidTr="001504EE">
        <w:tc>
          <w:tcPr>
            <w:tcW w:w="9067" w:type="dxa"/>
          </w:tcPr>
          <w:p w14:paraId="098CDB1D" w14:textId="77777777" w:rsidR="001504EE" w:rsidRPr="001504EE" w:rsidRDefault="001504EE" w:rsidP="00BA32A1">
            <w:pPr>
              <w:rPr>
                <w:rFonts w:ascii="Arial Narrow" w:eastAsia="Calibri" w:hAnsi="Arial Narrow" w:cs="Times New Roman"/>
                <w:b/>
                <w:i/>
                <w:iCs/>
                <w:sz w:val="18"/>
                <w:szCs w:val="18"/>
              </w:rPr>
            </w:pPr>
            <w:r w:rsidRPr="001504EE">
              <w:rPr>
                <w:rFonts w:ascii="Arial Narrow" w:eastAsia="Calibri" w:hAnsi="Arial Narrow" w:cs="Times New Roman"/>
                <w:b/>
                <w:bCs/>
                <w:i/>
                <w:iCs/>
                <w:sz w:val="18"/>
                <w:szCs w:val="18"/>
                <w:u w:val="single"/>
              </w:rPr>
              <w:t>Note</w:t>
            </w:r>
          </w:p>
          <w:p w14:paraId="7BBE9F0E" w14:textId="77777777" w:rsidR="001504EE" w:rsidRPr="001504EE" w:rsidRDefault="001504EE" w:rsidP="00BA32A1">
            <w:pPr>
              <w:rPr>
                <w:rFonts w:ascii="Arial Narrow" w:eastAsia="Calibri" w:hAnsi="Arial Narrow" w:cs="Times New Roman"/>
                <w:i/>
                <w:iCs/>
                <w:sz w:val="18"/>
                <w:szCs w:val="18"/>
              </w:rPr>
            </w:pPr>
            <w:r w:rsidRPr="001504EE">
              <w:rPr>
                <w:rFonts w:ascii="Arial Narrow" w:eastAsia="Calibri" w:hAnsi="Arial Narrow" w:cs="Times New Roman"/>
                <w:i/>
                <w:iCs/>
                <w:sz w:val="18"/>
                <w:szCs w:val="18"/>
              </w:rPr>
              <w:t>Patients may qualify for PBS-subsidised treatment under this restriction once only. For continuing PBS-subsidised treatment, a 'Grandfathered' patient must qualify under the 'Continuing Treatment' criteria.</w:t>
            </w:r>
          </w:p>
        </w:tc>
      </w:tr>
      <w:tr w:rsidR="001504EE" w:rsidRPr="00D60E79" w14:paraId="24374B80" w14:textId="77777777" w:rsidTr="001504EE">
        <w:tc>
          <w:tcPr>
            <w:tcW w:w="9067" w:type="dxa"/>
            <w:vAlign w:val="center"/>
          </w:tcPr>
          <w:p w14:paraId="671C7F12"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b/>
                <w:i/>
                <w:iCs/>
                <w:sz w:val="18"/>
                <w:szCs w:val="18"/>
              </w:rPr>
              <w:t>Caution:</w:t>
            </w:r>
          </w:p>
          <w:p w14:paraId="4B43C7BB" w14:textId="77777777" w:rsidR="001504EE" w:rsidRPr="001504EE" w:rsidRDefault="001504EE" w:rsidP="00BA32A1">
            <w:pPr>
              <w:spacing w:line="276" w:lineRule="auto"/>
              <w:rPr>
                <w:rFonts w:ascii="Arial Narrow" w:eastAsia="Calibri" w:hAnsi="Arial Narrow"/>
                <w:i/>
                <w:iCs/>
                <w:sz w:val="18"/>
                <w:szCs w:val="18"/>
              </w:rPr>
            </w:pPr>
            <w:r w:rsidRPr="001504EE">
              <w:rPr>
                <w:rFonts w:ascii="Arial Narrow" w:eastAsia="Calibri" w:hAnsi="Arial Narrow" w:cs="Times New Roman"/>
                <w:i/>
                <w:iCs/>
                <w:sz w:val="18"/>
                <w:szCs w:val="18"/>
              </w:rPr>
              <w:t xml:space="preserve">WARNING: </w:t>
            </w:r>
            <w:r w:rsidRPr="001504EE">
              <w:rPr>
                <w:rFonts w:ascii="Arial Narrow" w:eastAsia="Calibri" w:hAnsi="Arial Narrow"/>
                <w:i/>
                <w:iCs/>
                <w:sz w:val="18"/>
                <w:szCs w:val="18"/>
              </w:rPr>
              <w:t>This drug increases the risk of encapsulated bacterial infections.</w:t>
            </w:r>
          </w:p>
          <w:p w14:paraId="025223E2" w14:textId="77777777" w:rsidR="001504EE" w:rsidRPr="001504EE" w:rsidRDefault="001504EE" w:rsidP="00BA32A1">
            <w:pPr>
              <w:spacing w:line="276" w:lineRule="auto"/>
              <w:rPr>
                <w:rFonts w:ascii="Arial Narrow" w:eastAsia="Calibri" w:hAnsi="Arial Narrow" w:cs="Times New Roman"/>
                <w:i/>
                <w:iCs/>
                <w:sz w:val="18"/>
                <w:szCs w:val="18"/>
              </w:rPr>
            </w:pPr>
            <w:r w:rsidRPr="001504EE">
              <w:rPr>
                <w:rFonts w:ascii="Arial Narrow" w:eastAsia="Calibri" w:hAnsi="Arial Narrow" w:cs="Times New Roman"/>
                <w:i/>
                <w:iCs/>
                <w:sz w:val="18"/>
                <w:szCs w:val="18"/>
              </w:rPr>
              <w:t>Consult the approved PI for information about vaccination again meningococcal, pneumococcal and Haemophilus influenzae type B (Hib) infection.</w:t>
            </w:r>
          </w:p>
        </w:tc>
      </w:tr>
    </w:tbl>
    <w:p w14:paraId="5548F4C8" w14:textId="77777777" w:rsidR="0046205D" w:rsidRPr="00746BBB" w:rsidRDefault="0046205D" w:rsidP="004B1CB4"/>
    <w:p w14:paraId="437D8935" w14:textId="6561F93B" w:rsidR="00C61A60" w:rsidRPr="00937F6D" w:rsidRDefault="00C61A60" w:rsidP="00D90192">
      <w:pPr>
        <w:pStyle w:val="ExecSumBodyText"/>
        <w:spacing w:after="160"/>
        <w:rPr>
          <w:color w:val="0066FF"/>
        </w:rPr>
      </w:pPr>
      <w:r w:rsidRPr="00746BBB">
        <w:t xml:space="preserve">The submission requested </w:t>
      </w:r>
      <w:r>
        <w:t xml:space="preserve">an Authority Required listing, under the Section 100 – HSD (Public/Private hospital) Program </w:t>
      </w:r>
      <w:r w:rsidRPr="00746BBB">
        <w:t>for the initial and grandfathering restrictions, and Section 100 – HSD (Community Access) Program for the continuing restriction</w:t>
      </w:r>
      <w:r>
        <w:t xml:space="preserve">. </w:t>
      </w:r>
      <w:r w:rsidR="00E825B2" w:rsidRPr="00A05B02">
        <w:t xml:space="preserve">The assumption that patients would receive initial treatment in a hospital setting was </w:t>
      </w:r>
      <w:r w:rsidR="00AD7612">
        <w:t>appropriate</w:t>
      </w:r>
      <w:r w:rsidR="00E825B2" w:rsidRPr="00A05B02">
        <w:t xml:space="preserve">, however, the method of administration for </w:t>
      </w:r>
      <w:proofErr w:type="spellStart"/>
      <w:r w:rsidR="00E825B2" w:rsidRPr="00A05B02">
        <w:t>pegcetacoplan</w:t>
      </w:r>
      <w:proofErr w:type="spellEnd"/>
      <w:r w:rsidR="00E825B2" w:rsidRPr="00A05B02">
        <w:t xml:space="preserve"> is complex and it is unclear what proportion of patients would self-administer treatment following the initial phase.</w:t>
      </w:r>
      <w:r w:rsidR="00BB4F3C" w:rsidRPr="00A05B02">
        <w:t xml:space="preserve"> </w:t>
      </w:r>
      <w:r w:rsidR="00733B39" w:rsidRPr="00937F6D">
        <w:t xml:space="preserve">The ESC </w:t>
      </w:r>
      <w:r w:rsidR="00023EC8" w:rsidRPr="00937F6D">
        <w:t xml:space="preserve">noted the </w:t>
      </w:r>
      <w:r w:rsidR="005F26A0" w:rsidRPr="00937F6D">
        <w:t>pre-subcommittee response (</w:t>
      </w:r>
      <w:r w:rsidR="00023EC8" w:rsidRPr="00937F6D">
        <w:t xml:space="preserve">PSCR) </w:t>
      </w:r>
      <w:r w:rsidR="00733B39" w:rsidRPr="00937F6D">
        <w:t xml:space="preserve">advised that </w:t>
      </w:r>
      <w:r w:rsidR="004C3D31" w:rsidRPr="00937F6D">
        <w:t>feedback from trial participants has been supportive of self-administration</w:t>
      </w:r>
      <w:r w:rsidR="002B50AD" w:rsidRPr="00937F6D">
        <w:t>.</w:t>
      </w:r>
      <w:r w:rsidR="003F062A" w:rsidRPr="00937F6D">
        <w:t xml:space="preserve"> </w:t>
      </w:r>
      <w:r w:rsidR="00B22713">
        <w:t xml:space="preserve">The PBAC advised that PNH </w:t>
      </w:r>
      <w:r w:rsidR="00462F43">
        <w:t>w</w:t>
      </w:r>
      <w:r w:rsidR="00B22713">
        <w:t xml:space="preserve">as managed by highly specialised haematologists and considered that the </w:t>
      </w:r>
      <w:proofErr w:type="spellStart"/>
      <w:r w:rsidR="00B22713">
        <w:t>pegcetacoplan</w:t>
      </w:r>
      <w:proofErr w:type="spellEnd"/>
      <w:r w:rsidR="00B22713">
        <w:t xml:space="preserve"> restriction should align with eculizumab and </w:t>
      </w:r>
      <w:proofErr w:type="spellStart"/>
      <w:r w:rsidR="00B22713">
        <w:t>ravulizumab</w:t>
      </w:r>
      <w:proofErr w:type="spellEnd"/>
      <w:r w:rsidR="00B22713">
        <w:t xml:space="preserve"> as a Section 100 – HSD (Public/Private hospital) Program listing and written authority. </w:t>
      </w:r>
      <w:r w:rsidR="00515893">
        <w:t xml:space="preserve">The PBAC </w:t>
      </w:r>
      <w:r w:rsidR="00897FE2">
        <w:t xml:space="preserve">noted the product is primarily intended to be administered in the home setting by the patient or caregiver after initial treatment. </w:t>
      </w:r>
      <w:r w:rsidR="00897FE2">
        <w:lastRenderedPageBreak/>
        <w:t xml:space="preserve">The PBAC </w:t>
      </w:r>
      <w:r w:rsidR="00BA32A1">
        <w:t xml:space="preserve">noted that </w:t>
      </w:r>
      <w:r w:rsidR="00B22713">
        <w:t>Complex Authority Required (CAR) drug</w:t>
      </w:r>
      <w:r w:rsidR="00897FE2">
        <w:t>s</w:t>
      </w:r>
      <w:r w:rsidR="00BA32A1">
        <w:t xml:space="preserve">, such as eculizumab or </w:t>
      </w:r>
      <w:proofErr w:type="spellStart"/>
      <w:r w:rsidR="00BA32A1">
        <w:t>ravulizumab</w:t>
      </w:r>
      <w:proofErr w:type="spellEnd"/>
      <w:r w:rsidR="00BA32A1">
        <w:t xml:space="preserve">, can also </w:t>
      </w:r>
      <w:r w:rsidR="00B22713">
        <w:t xml:space="preserve">be dispensed by an approved s90 Community Pharmacy </w:t>
      </w:r>
      <w:r w:rsidR="00BA32A1">
        <w:t xml:space="preserve">and considered a similar listing for </w:t>
      </w:r>
      <w:proofErr w:type="spellStart"/>
      <w:r w:rsidR="00BA32A1">
        <w:t>pegcetacoplan</w:t>
      </w:r>
      <w:proofErr w:type="spellEnd"/>
      <w:r w:rsidR="00BA32A1">
        <w:t xml:space="preserve"> should not be a barrier to self-administration</w:t>
      </w:r>
      <w:r w:rsidR="00515893">
        <w:t xml:space="preserve">. </w:t>
      </w:r>
    </w:p>
    <w:p w14:paraId="24212D29" w14:textId="677A9D29" w:rsidR="00721D46" w:rsidRPr="00F96450" w:rsidRDefault="00721D46" w:rsidP="004B4081">
      <w:pPr>
        <w:pStyle w:val="ExecSumBodyText"/>
        <w:spacing w:after="160"/>
      </w:pPr>
      <w:r w:rsidRPr="00F96450">
        <w:t xml:space="preserve">The sponsor proposed that </w:t>
      </w:r>
      <w:proofErr w:type="spellStart"/>
      <w:r w:rsidRPr="00F96450">
        <w:t>pegcetacoplan</w:t>
      </w:r>
      <w:proofErr w:type="spellEnd"/>
      <w:r w:rsidRPr="00F96450">
        <w:t xml:space="preserve"> be listed at </w:t>
      </w:r>
      <w:r w:rsidR="005126B1" w:rsidRPr="005126B1">
        <w:rPr>
          <w:color w:val="000000"/>
          <w:w w:val="61"/>
          <w:shd w:val="solid" w:color="000000" w:fill="000000"/>
          <w:fitText w:val="473" w:id="-1500841471"/>
          <w14:textFill>
            <w14:solidFill>
              <w14:srgbClr w14:val="000000">
                <w14:alpha w14:val="100000"/>
              </w14:srgbClr>
            </w14:solidFill>
          </w14:textFill>
        </w:rPr>
        <w:t>||</w:t>
      </w:r>
      <w:proofErr w:type="gramStart"/>
      <w:r w:rsidR="005126B1" w:rsidRPr="005126B1">
        <w:rPr>
          <w:color w:val="000000"/>
          <w:w w:val="61"/>
          <w:shd w:val="solid" w:color="000000" w:fill="000000"/>
          <w:fitText w:val="473" w:id="-1500841471"/>
          <w14:textFill>
            <w14:solidFill>
              <w14:srgbClr w14:val="000000">
                <w14:alpha w14:val="100000"/>
              </w14:srgbClr>
            </w14:solidFill>
          </w14:textFill>
        </w:rPr>
        <w:t>|  |</w:t>
      </w:r>
      <w:proofErr w:type="gramEnd"/>
      <w:r w:rsidR="005126B1" w:rsidRPr="005126B1">
        <w:rPr>
          <w:color w:val="000000"/>
          <w:w w:val="61"/>
          <w:shd w:val="solid" w:color="000000" w:fill="000000"/>
          <w:fitText w:val="473" w:id="-1500841471"/>
          <w14:textFill>
            <w14:solidFill>
              <w14:srgbClr w14:val="000000">
                <w14:alpha w14:val="100000"/>
              </w14:srgbClr>
            </w14:solidFill>
          </w14:textFill>
        </w:rPr>
        <w:t>|</w:t>
      </w:r>
      <w:r w:rsidR="005126B1" w:rsidRPr="005126B1">
        <w:rPr>
          <w:color w:val="000000"/>
          <w:spacing w:val="3"/>
          <w:w w:val="61"/>
          <w:shd w:val="solid" w:color="000000" w:fill="000000"/>
          <w:fitText w:val="473" w:id="-1500841471"/>
          <w14:textFill>
            <w14:solidFill>
              <w14:srgbClr w14:val="000000">
                <w14:alpha w14:val="100000"/>
              </w14:srgbClr>
            </w14:solidFill>
          </w14:textFill>
        </w:rPr>
        <w:t>|</w:t>
      </w:r>
      <w:r w:rsidR="005126B1" w:rsidRPr="005126B1">
        <w:t xml:space="preserve"> </w:t>
      </w:r>
      <w:r w:rsidR="005126B1" w:rsidRPr="005126B1">
        <w:rPr>
          <w:color w:val="000000"/>
          <w:w w:val="60"/>
          <w:shd w:val="solid" w:color="000000" w:fill="000000"/>
          <w:fitText w:val="465" w:id="-1500841470"/>
          <w14:textFill>
            <w14:solidFill>
              <w14:srgbClr w14:val="000000">
                <w14:alpha w14:val="100000"/>
              </w14:srgbClr>
            </w14:solidFill>
          </w14:textFill>
        </w:rPr>
        <w:t>|||  ||</w:t>
      </w:r>
      <w:r w:rsidR="005126B1" w:rsidRPr="005126B1">
        <w:rPr>
          <w:color w:val="000000"/>
          <w:spacing w:val="1"/>
          <w:w w:val="60"/>
          <w:shd w:val="solid" w:color="000000" w:fill="000000"/>
          <w:fitText w:val="465" w:id="-1500841470"/>
          <w14:textFill>
            <w14:solidFill>
              <w14:srgbClr w14:val="000000">
                <w14:alpha w14:val="100000"/>
              </w14:srgbClr>
            </w14:solidFill>
          </w14:textFill>
        </w:rPr>
        <w:t>|</w:t>
      </w:r>
      <w:r w:rsidRPr="00F96450">
        <w:t xml:space="preserve"> with </w:t>
      </w:r>
      <w:proofErr w:type="spellStart"/>
      <w:r w:rsidRPr="00F96450">
        <w:t>ravulizumab</w:t>
      </w:r>
      <w:proofErr w:type="spellEnd"/>
      <w:r w:rsidRPr="00F96450">
        <w:t xml:space="preserve"> and/or eculizumab. The proposed price was calculated based on the </w:t>
      </w:r>
      <w:r w:rsidR="005126B1" w:rsidRPr="000A62F7">
        <w:rPr>
          <w:color w:val="000000"/>
          <w:w w:val="15"/>
          <w:shd w:val="solid" w:color="000000" w:fill="000000"/>
          <w:fitText w:val="-20" w:id="-1500841469"/>
          <w14:textFill>
            <w14:solidFill>
              <w14:srgbClr w14:val="000000">
                <w14:alpha w14:val="100000"/>
              </w14:srgbClr>
            </w14:solidFill>
          </w14:textFill>
        </w:rPr>
        <w:t xml:space="preserve">|       </w:t>
      </w:r>
      <w:r w:rsidR="005126B1" w:rsidRPr="000A62F7">
        <w:rPr>
          <w:color w:val="000000"/>
          <w:spacing w:val="-109"/>
          <w:w w:val="15"/>
          <w:shd w:val="solid" w:color="000000" w:fill="000000"/>
          <w:fitText w:val="-20" w:id="-1500841469"/>
          <w14:textFill>
            <w14:solidFill>
              <w14:srgbClr w14:val="000000">
                <w14:alpha w14:val="100000"/>
              </w14:srgbClr>
            </w14:solidFill>
          </w14:textFill>
        </w:rPr>
        <w:t>|</w:t>
      </w:r>
      <w:r w:rsidR="005126B1" w:rsidRPr="005126B1">
        <w:t xml:space="preserve"> </w:t>
      </w:r>
      <w:proofErr w:type="gramStart"/>
      <w:r w:rsidR="005126B1" w:rsidRPr="000A62F7">
        <w:rPr>
          <w:color w:val="000000"/>
          <w:w w:val="15"/>
          <w:shd w:val="solid" w:color="000000" w:fill="000000"/>
          <w:fitText w:val="-20" w:id="-1500841468"/>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8"/>
          <w14:textFill>
            <w14:solidFill>
              <w14:srgbClr w14:val="000000">
                <w14:alpha w14:val="100000"/>
              </w14:srgbClr>
            </w14:solidFill>
          </w14:textFill>
        </w:rPr>
        <w:t>|</w:t>
      </w:r>
      <w:proofErr w:type="gramEnd"/>
      <w:r w:rsidR="005126B1" w:rsidRPr="005126B1">
        <w:t xml:space="preserve"> </w:t>
      </w:r>
      <w:r w:rsidR="005126B1" w:rsidRPr="000A62F7">
        <w:rPr>
          <w:color w:val="000000"/>
          <w:w w:val="15"/>
          <w:shd w:val="solid" w:color="000000" w:fill="000000"/>
          <w:fitText w:val="-20" w:id="-1500841467"/>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7"/>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6"/>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6"/>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5"/>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5"/>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4"/>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4"/>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3"/>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3"/>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2"/>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2"/>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1"/>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1"/>
          <w14:textFill>
            <w14:solidFill>
              <w14:srgbClr w14:val="000000">
                <w14:alpha w14:val="100000"/>
              </w14:srgbClr>
            </w14:solidFill>
          </w14:textFill>
        </w:rPr>
        <w:t>|</w:t>
      </w:r>
      <w:r w:rsidRPr="00F96450">
        <w:t xml:space="preserve"> on the PBS, as a proxy for the published price of eculizumab for PNH. The sponsor </w:t>
      </w:r>
      <w:r w:rsidR="00877073" w:rsidRPr="00F96450">
        <w:t xml:space="preserve">indicated it </w:t>
      </w:r>
      <w:r w:rsidRPr="00F96450">
        <w:t xml:space="preserve">is willing, in principle, to </w:t>
      </w:r>
      <w:proofErr w:type="gramStart"/>
      <w:r w:rsidRPr="00F96450">
        <w:t>enter into</w:t>
      </w:r>
      <w:proofErr w:type="gramEnd"/>
      <w:r w:rsidRPr="00F96450">
        <w:t xml:space="preserve"> a Special Pricing Arrangement to align with the confidential effective price of eculizumab and </w:t>
      </w:r>
      <w:proofErr w:type="spellStart"/>
      <w:r w:rsidRPr="00F96450">
        <w:t>ravulizumab</w:t>
      </w:r>
      <w:proofErr w:type="spellEnd"/>
      <w:r w:rsidRPr="00F96450">
        <w:t xml:space="preserve"> should they be listed on the PBS for PNH. </w:t>
      </w:r>
    </w:p>
    <w:p w14:paraId="68DC3CCA" w14:textId="4DA638C7" w:rsidR="00137D60" w:rsidRDefault="00137D60" w:rsidP="004B4081">
      <w:pPr>
        <w:pStyle w:val="ExecSumBodyText"/>
        <w:spacing w:after="160"/>
      </w:pPr>
      <w:r w:rsidRPr="00137D60">
        <w:t>To ensure no additional cost</w:t>
      </w:r>
      <w:r w:rsidR="00176275">
        <w:t xml:space="preserve"> is</w:t>
      </w:r>
      <w:r w:rsidRPr="00137D60">
        <w:t xml:space="preserve"> associated with patients switching from C5 inhibitor treatment to </w:t>
      </w:r>
      <w:proofErr w:type="spellStart"/>
      <w:r w:rsidRPr="00137D60">
        <w:t>pegcetacoplan</w:t>
      </w:r>
      <w:proofErr w:type="spellEnd"/>
      <w:r w:rsidRPr="00137D60">
        <w:t xml:space="preserve">, the sponsor proposed a </w:t>
      </w:r>
      <w:proofErr w:type="gramStart"/>
      <w:r w:rsidR="005126B1" w:rsidRPr="000A62F7">
        <w:rPr>
          <w:color w:val="000000"/>
          <w:w w:val="15"/>
          <w:shd w:val="solid" w:color="000000" w:fill="000000"/>
          <w:fitText w:val="-20" w:id="-1500841460"/>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0"/>
          <w14:textFill>
            <w14:solidFill>
              <w14:srgbClr w14:val="000000">
                <w14:alpha w14:val="100000"/>
              </w14:srgbClr>
            </w14:solidFill>
          </w14:textFill>
        </w:rPr>
        <w:t>|</w:t>
      </w:r>
      <w:proofErr w:type="gramEnd"/>
      <w:r w:rsidRPr="00137D60">
        <w:t>% price rebate (via Special Pricing Arrangement</w:t>
      </w:r>
      <w:r w:rsidRPr="00F96450">
        <w:t xml:space="preserve">) for the initial 4-week treatment phase when </w:t>
      </w:r>
      <w:proofErr w:type="spellStart"/>
      <w:r w:rsidRPr="00F96450">
        <w:t>pegcetacoplan</w:t>
      </w:r>
      <w:proofErr w:type="spellEnd"/>
      <w:r w:rsidRPr="00F96450">
        <w:t xml:space="preserve"> is </w:t>
      </w:r>
      <w:r w:rsidR="009D38BC" w:rsidRPr="00F96450">
        <w:t>co-administered with a</w:t>
      </w:r>
      <w:r w:rsidRPr="00F96450">
        <w:t xml:space="preserve"> C5 inhibitor treatment.</w:t>
      </w:r>
      <w:r w:rsidRPr="00137D60">
        <w:t xml:space="preserve"> </w:t>
      </w:r>
    </w:p>
    <w:p w14:paraId="76DD6F1A" w14:textId="2B43E466" w:rsidR="00CF1136" w:rsidRPr="00137D60" w:rsidRDefault="00CF1136" w:rsidP="004B4081">
      <w:pPr>
        <w:pStyle w:val="ExecSumBodyText"/>
        <w:spacing w:after="160"/>
      </w:pPr>
      <w:r>
        <w:t xml:space="preserve">The sponsor also proposed </w:t>
      </w:r>
      <w:r w:rsidRPr="00DF074C">
        <w:t xml:space="preserve">provision of the </w:t>
      </w:r>
      <w:r>
        <w:t xml:space="preserve">infusion </w:t>
      </w:r>
      <w:r w:rsidRPr="00DF074C">
        <w:t>pumps and monthly consumables to individual patients at no additional cost</w:t>
      </w:r>
      <w:r>
        <w:t xml:space="preserve"> via a patient support program (described </w:t>
      </w:r>
      <w:r w:rsidR="00176275">
        <w:t>in the</w:t>
      </w:r>
      <w:r>
        <w:t xml:space="preserve"> Quality Use of Medicines section below). </w:t>
      </w:r>
    </w:p>
    <w:p w14:paraId="4FE57527" w14:textId="4A062E93" w:rsidR="00721D46" w:rsidRPr="00A05B02" w:rsidRDefault="00E825B2" w:rsidP="00D96B76">
      <w:pPr>
        <w:pStyle w:val="ExecSumBodyText"/>
        <w:spacing w:after="160"/>
      </w:pPr>
      <w:r w:rsidRPr="00E825B2">
        <w:t xml:space="preserve">The proposed quantity in the essential elements allows for a maximum of </w:t>
      </w:r>
      <w:r w:rsidR="005126B1" w:rsidRPr="00F86028">
        <w:rPr>
          <w:color w:val="000000"/>
          <w:w w:val="61"/>
          <w:shd w:val="solid" w:color="000000" w:fill="000000"/>
          <w:fitText w:val="473" w:id="-1500841459"/>
          <w14:textFill>
            <w14:solidFill>
              <w14:srgbClr w14:val="000000">
                <w14:alpha w14:val="100000"/>
              </w14:srgbClr>
            </w14:solidFill>
          </w14:textFill>
        </w:rPr>
        <w:t>||</w:t>
      </w:r>
      <w:proofErr w:type="gramStart"/>
      <w:r w:rsidR="005126B1" w:rsidRPr="00F86028">
        <w:rPr>
          <w:color w:val="000000"/>
          <w:w w:val="61"/>
          <w:shd w:val="solid" w:color="000000" w:fill="000000"/>
          <w:fitText w:val="473" w:id="-1500841459"/>
          <w14:textFill>
            <w14:solidFill>
              <w14:srgbClr w14:val="000000">
                <w14:alpha w14:val="100000"/>
              </w14:srgbClr>
            </w14:solidFill>
          </w14:textFill>
        </w:rPr>
        <w:t>|  |</w:t>
      </w:r>
      <w:proofErr w:type="gramEnd"/>
      <w:r w:rsidR="005126B1" w:rsidRPr="00F86028">
        <w:rPr>
          <w:color w:val="000000"/>
          <w:w w:val="61"/>
          <w:shd w:val="solid" w:color="000000" w:fill="000000"/>
          <w:fitText w:val="473" w:id="-1500841459"/>
          <w14:textFill>
            <w14:solidFill>
              <w14:srgbClr w14:val="000000">
                <w14:alpha w14:val="100000"/>
              </w14:srgbClr>
            </w14:solidFill>
          </w14:textFill>
        </w:rPr>
        <w:t>|</w:t>
      </w:r>
      <w:r w:rsidR="005126B1" w:rsidRPr="00F86028">
        <w:rPr>
          <w:color w:val="000000"/>
          <w:spacing w:val="3"/>
          <w:w w:val="61"/>
          <w:shd w:val="solid" w:color="000000" w:fill="000000"/>
          <w:fitText w:val="473" w:id="-1500841459"/>
          <w14:textFill>
            <w14:solidFill>
              <w14:srgbClr w14:val="000000">
                <w14:alpha w14:val="100000"/>
              </w14:srgbClr>
            </w14:solidFill>
          </w14:textFill>
        </w:rPr>
        <w:t>|</w:t>
      </w:r>
      <w:r w:rsidRPr="00E825B2">
        <w:t xml:space="preserve"> vials to be supplied to patients with each script. </w:t>
      </w:r>
      <w:r w:rsidR="00814AE4" w:rsidRPr="00A05B02">
        <w:t xml:space="preserve">It may be appropriate to consider flexible rather than fixed quantities for the proposed initial and continuing restrictions, with potential flow-on consequences to </w:t>
      </w:r>
      <w:r w:rsidR="00176275" w:rsidRPr="00A05B02">
        <w:t xml:space="preserve">the </w:t>
      </w:r>
      <w:r w:rsidR="00814AE4" w:rsidRPr="00A05B02">
        <w:t xml:space="preserve">proposed rebate for the run-in period. In the current PBS listing for eculizumab for </w:t>
      </w:r>
      <w:proofErr w:type="spellStart"/>
      <w:r w:rsidR="00EA440A">
        <w:t>aHUS</w:t>
      </w:r>
      <w:proofErr w:type="spellEnd"/>
      <w:r w:rsidR="00814AE4" w:rsidRPr="00A05B02">
        <w:t>, medical practitioners must request the appropriate number of vials to provide sufficient drug for 4 weeks and up to 5 repeats according to the specified dosage in the product information.</w:t>
      </w:r>
    </w:p>
    <w:p w14:paraId="4A1BE4EC" w14:textId="7AA340F2" w:rsidR="003F2170" w:rsidRPr="00937F6D" w:rsidRDefault="003F2170" w:rsidP="004B4081">
      <w:pPr>
        <w:pStyle w:val="ExecSumBodyText"/>
        <w:spacing w:after="160"/>
      </w:pPr>
      <w:r w:rsidRPr="00A05B02">
        <w:t xml:space="preserve">The requested restriction is for </w:t>
      </w:r>
      <w:r w:rsidR="00086A6F">
        <w:t>second-</w:t>
      </w:r>
      <w:r w:rsidRPr="00A05B02">
        <w:t xml:space="preserve">line therapy in patients with a Hb level of &lt;10.5 g/dL despite C5 inhibitor treatment. </w:t>
      </w:r>
      <w:r w:rsidRPr="00937F6D">
        <w:t xml:space="preserve">The </w:t>
      </w:r>
      <w:r w:rsidR="002964A2" w:rsidRPr="00937F6D">
        <w:t xml:space="preserve">proposed </w:t>
      </w:r>
      <w:r w:rsidRPr="00937F6D">
        <w:t xml:space="preserve">restriction appeared </w:t>
      </w:r>
      <w:r w:rsidR="002964A2" w:rsidRPr="00937F6D">
        <w:t xml:space="preserve">narrower </w:t>
      </w:r>
      <w:r w:rsidRPr="00937F6D">
        <w:t xml:space="preserve">than the TGA indication for the treatment of adult patients with PNH who have an inadequate response, or are intolerant of, a C5 inhibitor; </w:t>
      </w:r>
      <w:r w:rsidR="002964A2" w:rsidRPr="00937F6D">
        <w:t>the ESC considered it would be reasonable for the PBS listing to include patients who are intolerant to C5 inhibitors to align with the TGA indication</w:t>
      </w:r>
      <w:r w:rsidRPr="00937F6D">
        <w:t xml:space="preserve">. </w:t>
      </w:r>
      <w:r w:rsidR="00D96B76">
        <w:t xml:space="preserve">The pre-PBAC response stated the sponsor was willing to update the proposed restriction wording to include these patients. </w:t>
      </w:r>
      <w:r w:rsidRPr="00937F6D">
        <w:t xml:space="preserve">   </w:t>
      </w:r>
    </w:p>
    <w:p w14:paraId="75431FE3" w14:textId="7843FB83" w:rsidR="003F2170" w:rsidRPr="00A05B02" w:rsidRDefault="003F2170" w:rsidP="004B4081">
      <w:pPr>
        <w:pStyle w:val="ExecSumBodyText"/>
        <w:spacing w:after="160"/>
      </w:pPr>
      <w:r w:rsidRPr="00A05B02">
        <w:t xml:space="preserve">The proposed clinical criteria were less specific than trial eligibility criteria, which specified that the dose of eculizumab should be stable for at least 3 months. The criteria were broad and may include patients who are failing C5 inhibitor treatment. </w:t>
      </w:r>
      <w:r w:rsidR="003D2D2B" w:rsidRPr="00937F6D">
        <w:t>The ESC noted more clarity was required regarding how</w:t>
      </w:r>
      <w:r w:rsidRPr="00937F6D">
        <w:t xml:space="preserve"> </w:t>
      </w:r>
      <w:r w:rsidRPr="00A05B02">
        <w:t xml:space="preserve">patients would be able to continue accessing therapy with eculizumab or </w:t>
      </w:r>
      <w:proofErr w:type="spellStart"/>
      <w:r w:rsidRPr="00A05B02">
        <w:t>ravulizumab</w:t>
      </w:r>
      <w:proofErr w:type="spellEnd"/>
      <w:r w:rsidRPr="00A05B02">
        <w:t xml:space="preserve"> during the 4-week initiation phase (co-administration of </w:t>
      </w:r>
      <w:proofErr w:type="spellStart"/>
      <w:r w:rsidRPr="00A05B02">
        <w:t>pegcetacoplan</w:t>
      </w:r>
      <w:proofErr w:type="spellEnd"/>
      <w:r w:rsidRPr="00A05B02">
        <w:t xml:space="preserve"> and a C5 inhibitor), depending on continuation criteria should they be listed on the PBS. This may be less of an issue for patients treated with </w:t>
      </w:r>
      <w:proofErr w:type="spellStart"/>
      <w:r w:rsidRPr="00A05B02">
        <w:t>ravulizumab</w:t>
      </w:r>
      <w:proofErr w:type="spellEnd"/>
      <w:r w:rsidRPr="00A05B02">
        <w:t xml:space="preserve"> (dosed every 8 weeks), with the submission claiming that patients should initiate </w:t>
      </w:r>
      <w:proofErr w:type="spellStart"/>
      <w:r w:rsidRPr="00A05B02">
        <w:t>pegcetacoplan</w:t>
      </w:r>
      <w:proofErr w:type="spellEnd"/>
      <w:r w:rsidRPr="00A05B02">
        <w:t xml:space="preserve"> at 4 weeks after their last </w:t>
      </w:r>
      <w:proofErr w:type="spellStart"/>
      <w:r w:rsidRPr="00A05B02">
        <w:lastRenderedPageBreak/>
        <w:t>ravulizumab</w:t>
      </w:r>
      <w:proofErr w:type="spellEnd"/>
      <w:r w:rsidRPr="00A05B02">
        <w:t xml:space="preserve"> dose. </w:t>
      </w:r>
      <w:r w:rsidR="000F467D">
        <w:t>The PBAC considered that with PBS listing</w:t>
      </w:r>
      <w:r w:rsidR="00B63A36">
        <w:t xml:space="preserve"> of C5 inhibitors,</w:t>
      </w:r>
      <w:r w:rsidR="000F467D">
        <w:t xml:space="preserve"> </w:t>
      </w:r>
      <w:proofErr w:type="spellStart"/>
      <w:r w:rsidR="000F467D">
        <w:t>ravulizumab</w:t>
      </w:r>
      <w:proofErr w:type="spellEnd"/>
      <w:r w:rsidR="000F467D">
        <w:t xml:space="preserve"> would become the treatment of choice for patients and clinicians.</w:t>
      </w:r>
    </w:p>
    <w:p w14:paraId="78AB9F79" w14:textId="433688C9" w:rsidR="009F0080" w:rsidRPr="00A05B02" w:rsidRDefault="00322D56" w:rsidP="004B4081">
      <w:pPr>
        <w:pStyle w:val="ExecSumBodyText"/>
        <w:spacing w:after="160"/>
      </w:pPr>
      <w:r w:rsidRPr="00A05B02">
        <w:t xml:space="preserve">The clinical criteria for continuing treatment </w:t>
      </w:r>
      <w:r w:rsidR="00400CFF" w:rsidRPr="00A05B02">
        <w:t>were</w:t>
      </w:r>
      <w:r w:rsidRPr="00A05B02">
        <w:t xml:space="preserve"> based on the current guidelines for the treatment of PNH through the </w:t>
      </w:r>
      <w:r w:rsidR="00012241" w:rsidRPr="00A05B02">
        <w:t>LSDP and</w:t>
      </w:r>
      <w:r w:rsidRPr="00A05B02">
        <w:t xml:space="preserve"> </w:t>
      </w:r>
      <w:r w:rsidR="00633A41" w:rsidRPr="00A05B02">
        <w:t>proposed</w:t>
      </w:r>
      <w:r w:rsidRPr="00A05B02">
        <w:t xml:space="preserve"> continuing criteria for </w:t>
      </w:r>
      <w:proofErr w:type="spellStart"/>
      <w:r w:rsidRPr="00A05B02">
        <w:t>ravulizumab</w:t>
      </w:r>
      <w:proofErr w:type="spellEnd"/>
      <w:r w:rsidRPr="00A05B02">
        <w:t xml:space="preserve"> for the treatment of PNH on the PBS. The submission stated that the sponsor is willing to work with the PBAC and Restrictions Working Group to refine treatment response criteria, which could include clinical and laboratory markers. The</w:t>
      </w:r>
      <w:r w:rsidR="003D2D2B">
        <w:t xml:space="preserve"> </w:t>
      </w:r>
      <w:r w:rsidR="00B63A36">
        <w:t>PBA</w:t>
      </w:r>
      <w:r w:rsidR="00B63A36" w:rsidRPr="00937F6D">
        <w:t xml:space="preserve">C </w:t>
      </w:r>
      <w:r w:rsidR="003D2D2B" w:rsidRPr="00937F6D">
        <w:t>advised</w:t>
      </w:r>
      <w:r w:rsidRPr="00A05B02">
        <w:t xml:space="preserve"> continuation criteria for </w:t>
      </w:r>
      <w:proofErr w:type="spellStart"/>
      <w:r w:rsidRPr="00A05B02">
        <w:t>pegcetacoplan</w:t>
      </w:r>
      <w:proofErr w:type="spellEnd"/>
      <w:r w:rsidRPr="00A05B02">
        <w:t xml:space="preserve"> should be aligned with eculizumab and </w:t>
      </w:r>
      <w:proofErr w:type="spellStart"/>
      <w:r w:rsidRPr="00A05B02">
        <w:t>ravulizumab</w:t>
      </w:r>
      <w:proofErr w:type="spellEnd"/>
      <w:r w:rsidRPr="00A05B02">
        <w:t xml:space="preserve"> if they are listed on the PBS.</w:t>
      </w:r>
    </w:p>
    <w:p w14:paraId="6556675D" w14:textId="5C091BA0" w:rsidR="00F078C3" w:rsidRPr="00A05B02" w:rsidRDefault="00F078C3" w:rsidP="004B4081">
      <w:pPr>
        <w:pStyle w:val="ExecSumBodyText"/>
        <w:spacing w:after="160"/>
      </w:pPr>
      <w:r w:rsidRPr="00A05B02">
        <w:t>No data were available in patients with higher body weights (BMI ≥35 kg/m</w:t>
      </w:r>
      <w:r w:rsidRPr="00A05B02">
        <w:rPr>
          <w:vertAlign w:val="superscript"/>
        </w:rPr>
        <w:t>2</w:t>
      </w:r>
      <w:r w:rsidRPr="00A05B02">
        <w:t xml:space="preserve">) as they were excluded from the key trial. </w:t>
      </w:r>
      <w:r w:rsidR="00C32E26" w:rsidRPr="00937F6D">
        <w:t>The evaluation considered i</w:t>
      </w:r>
      <w:r w:rsidRPr="00937F6D">
        <w:t xml:space="preserve">t may be appropriate to include weight restrictions given the lack of efficacy and safety data and potential for lower </w:t>
      </w:r>
      <w:proofErr w:type="spellStart"/>
      <w:r w:rsidRPr="00937F6D">
        <w:t>pegcetacoplan</w:t>
      </w:r>
      <w:proofErr w:type="spellEnd"/>
      <w:r w:rsidRPr="00937F6D">
        <w:t xml:space="preserve"> exposure in these patients using </w:t>
      </w:r>
      <w:r w:rsidR="00012241" w:rsidRPr="00937F6D">
        <w:t xml:space="preserve">the </w:t>
      </w:r>
      <w:r w:rsidRPr="00937F6D">
        <w:t xml:space="preserve">recommended </w:t>
      </w:r>
      <w:r w:rsidR="00012241" w:rsidRPr="00937F6D">
        <w:t xml:space="preserve">fixed </w:t>
      </w:r>
      <w:r w:rsidRPr="00937F6D">
        <w:t>doses</w:t>
      </w:r>
      <w:r w:rsidR="003D2D2B" w:rsidRPr="00937F6D">
        <w:t>.</w:t>
      </w:r>
      <w:r w:rsidRPr="00937F6D">
        <w:t xml:space="preserve">  </w:t>
      </w:r>
      <w:r w:rsidR="00C32E26" w:rsidRPr="00937F6D">
        <w:t xml:space="preserve">The </w:t>
      </w:r>
      <w:r w:rsidR="00B63A36">
        <w:t>PBAC considered</w:t>
      </w:r>
      <w:r w:rsidR="00B63A36" w:rsidRPr="00937F6D">
        <w:t xml:space="preserve"> </w:t>
      </w:r>
      <w:r w:rsidR="00C32E26" w:rsidRPr="00937F6D">
        <w:t>that it was reasonable for the restriction to remain silent on BMI</w:t>
      </w:r>
      <w:r w:rsidR="00062447" w:rsidRPr="00937F6D">
        <w:t>, given small numbers of patients and limited access to effective treatment</w:t>
      </w:r>
      <w:r w:rsidR="00C32E26" w:rsidRPr="00937F6D">
        <w:t>.</w:t>
      </w:r>
      <w:r w:rsidR="00C32E26">
        <w:rPr>
          <w:i/>
          <w:iCs/>
        </w:rPr>
        <w:t xml:space="preserve"> </w:t>
      </w:r>
    </w:p>
    <w:p w14:paraId="700F4FB6" w14:textId="6475B1CC" w:rsidR="007623A4" w:rsidRPr="00A05B02" w:rsidRDefault="007623A4" w:rsidP="00D90192">
      <w:pPr>
        <w:pStyle w:val="ExecSumBodyText"/>
        <w:spacing w:after="160"/>
      </w:pPr>
      <w:r w:rsidRPr="00A05B02">
        <w:t xml:space="preserve">In the economic model, the submission assumed that patients discontinuing </w:t>
      </w:r>
      <w:proofErr w:type="spellStart"/>
      <w:r w:rsidRPr="00A05B02">
        <w:t>pegcetacoplan</w:t>
      </w:r>
      <w:proofErr w:type="spellEnd"/>
      <w:r w:rsidRPr="00A05B02">
        <w:t xml:space="preserve"> would resume treatment with </w:t>
      </w:r>
      <w:proofErr w:type="spellStart"/>
      <w:r w:rsidRPr="00A05B02">
        <w:t>ravulizumab</w:t>
      </w:r>
      <w:proofErr w:type="spellEnd"/>
      <w:r w:rsidRPr="00A05B02">
        <w:t xml:space="preserve">. It was unclear whether the final listing arrangements for eculizumab and </w:t>
      </w:r>
      <w:proofErr w:type="spellStart"/>
      <w:r w:rsidRPr="00A05B02">
        <w:t>ravulizumab</w:t>
      </w:r>
      <w:proofErr w:type="spellEnd"/>
      <w:r w:rsidRPr="00A05B02">
        <w:t xml:space="preserve"> would allow for resumption of treatment and how that would interact with continuing restrictions requiring demonstration of treatment response. </w:t>
      </w:r>
      <w:r w:rsidR="00C32E26" w:rsidRPr="00937F6D">
        <w:t xml:space="preserve">The </w:t>
      </w:r>
      <w:r w:rsidR="00B63A36">
        <w:t>PBAC</w:t>
      </w:r>
      <w:r w:rsidR="00B63A36" w:rsidRPr="00937F6D">
        <w:t xml:space="preserve"> </w:t>
      </w:r>
      <w:r w:rsidR="00C32E26" w:rsidRPr="00937F6D">
        <w:t xml:space="preserve">advised that </w:t>
      </w:r>
      <w:proofErr w:type="spellStart"/>
      <w:r w:rsidR="00062447" w:rsidRPr="00937F6D">
        <w:t>pegcetacoplan</w:t>
      </w:r>
      <w:proofErr w:type="spellEnd"/>
      <w:r w:rsidR="00062447" w:rsidRPr="00937F6D">
        <w:t xml:space="preserve"> </w:t>
      </w:r>
      <w:r w:rsidR="00C32E26" w:rsidRPr="00937F6D">
        <w:t xml:space="preserve">patients would need to be able go back onto a C5 inhibitor if </w:t>
      </w:r>
      <w:r w:rsidR="00807BF6" w:rsidRPr="00937F6D">
        <w:t xml:space="preserve">they were </w:t>
      </w:r>
      <w:r w:rsidR="00C32E26" w:rsidRPr="00937F6D">
        <w:t>non-responder</w:t>
      </w:r>
      <w:r w:rsidR="00062447" w:rsidRPr="00937F6D">
        <w:t>s</w:t>
      </w:r>
      <w:r w:rsidR="00C32E26" w:rsidRPr="00937F6D">
        <w:t xml:space="preserve"> (a one-off) and for pregnancy (with the option to </w:t>
      </w:r>
      <w:r w:rsidR="00807BF6" w:rsidRPr="00937F6D">
        <w:t>return</w:t>
      </w:r>
      <w:r w:rsidR="00C32E26" w:rsidRPr="00937F6D">
        <w:t xml:space="preserve"> </w:t>
      </w:r>
      <w:proofErr w:type="spellStart"/>
      <w:r w:rsidR="00C32E26" w:rsidRPr="00937F6D">
        <w:t>pegcetacoplan</w:t>
      </w:r>
      <w:proofErr w:type="spellEnd"/>
      <w:r w:rsidR="00C32E26" w:rsidRPr="00937F6D">
        <w:t xml:space="preserve"> </w:t>
      </w:r>
      <w:proofErr w:type="gramStart"/>
      <w:r w:rsidR="00807BF6" w:rsidRPr="00937F6D">
        <w:t>postpartum</w:t>
      </w:r>
      <w:r w:rsidR="00C32E26" w:rsidRPr="00937F6D">
        <w:t>, unless</w:t>
      </w:r>
      <w:proofErr w:type="gramEnd"/>
      <w:r w:rsidR="00C32E26" w:rsidRPr="00937F6D">
        <w:t xml:space="preserve"> they were a non-responder).</w:t>
      </w:r>
      <w:r w:rsidR="00620729" w:rsidRPr="00937F6D">
        <w:t xml:space="preserve"> Multiple switches for pregnancy should be allowed.</w:t>
      </w:r>
      <w:r w:rsidR="00620729" w:rsidRPr="00224F4B">
        <w:rPr>
          <w:i/>
          <w:iCs/>
        </w:rPr>
        <w:t xml:space="preserve"> </w:t>
      </w:r>
      <w:r w:rsidRPr="00A05B02">
        <w:t xml:space="preserve"> </w:t>
      </w:r>
    </w:p>
    <w:p w14:paraId="219848E2" w14:textId="2C1221E6" w:rsidR="002B0C5E" w:rsidRPr="00A05B02" w:rsidRDefault="00692157" w:rsidP="004B4081">
      <w:pPr>
        <w:pStyle w:val="ExecSumBodyText"/>
        <w:spacing w:after="160"/>
      </w:pPr>
      <w:r w:rsidRPr="00A05B02">
        <w:t xml:space="preserve">The submission stated that the sponsor is planning to establish a patient access program for </w:t>
      </w:r>
      <w:proofErr w:type="spellStart"/>
      <w:r w:rsidRPr="00A05B02">
        <w:t>pegcetacoplan</w:t>
      </w:r>
      <w:proofErr w:type="spellEnd"/>
      <w:r w:rsidRPr="00A05B02">
        <w:t xml:space="preserve">, prior to PBS listing of </w:t>
      </w:r>
      <w:proofErr w:type="spellStart"/>
      <w:r w:rsidRPr="00A05B02">
        <w:t>pegcetacoplan</w:t>
      </w:r>
      <w:proofErr w:type="spellEnd"/>
      <w:r w:rsidRPr="00A05B02">
        <w:t xml:space="preserve">. The sponsor requested grandfathering provisions for these patients. </w:t>
      </w:r>
      <w:r w:rsidR="00446F11" w:rsidRPr="00A05B02">
        <w:t xml:space="preserve">It was unclear whether these patients would meet the eligibility criteria under the proposed PBS listing. </w:t>
      </w:r>
    </w:p>
    <w:p w14:paraId="50DF3000" w14:textId="032D5C4C" w:rsidR="00CC35EA" w:rsidRDefault="00692157" w:rsidP="00D90192">
      <w:pPr>
        <w:pStyle w:val="ExecSumBodyText"/>
        <w:spacing w:after="160"/>
      </w:pPr>
      <w:r w:rsidRPr="00A05B02">
        <w:t xml:space="preserve">The submission stated that there were </w:t>
      </w:r>
      <w:r w:rsidR="009D2F51">
        <w:t>&lt; 500</w:t>
      </w:r>
      <w:r w:rsidR="009D2F51" w:rsidRPr="00A05B02">
        <w:t xml:space="preserve"> </w:t>
      </w:r>
      <w:r w:rsidRPr="00A05B02">
        <w:t xml:space="preserve">patients currently receiving </w:t>
      </w:r>
      <w:proofErr w:type="spellStart"/>
      <w:r w:rsidRPr="00A05B02">
        <w:t>pegcetacoplan</w:t>
      </w:r>
      <w:proofErr w:type="spellEnd"/>
      <w:r w:rsidRPr="00A05B02">
        <w:t xml:space="preserve">, and up to </w:t>
      </w:r>
      <w:r w:rsidR="009D2F51">
        <w:t>&lt; 500</w:t>
      </w:r>
      <w:r w:rsidR="009D2F51" w:rsidRPr="00A05B02">
        <w:t xml:space="preserve"> </w:t>
      </w:r>
      <w:r w:rsidRPr="00A05B02">
        <w:t xml:space="preserve">patients would require grandfathering at the time of PBS listing. The proposed clinical criteria specify that patients must have stable or responding disease and demonstrate clinical stabilisation of the condition based on annual monitoring requirements. No clear definition of treatment response was provided in the submission. It is likely that the same measures of response used in the continuing restriction would also apply to the grandfathering restriction. </w:t>
      </w:r>
      <w:r w:rsidR="00B63A36">
        <w:t>The PBAC considered the inclusion of a grandfathering restriction was appropriate.</w:t>
      </w:r>
      <w:r w:rsidRPr="00A05B02">
        <w:t xml:space="preserve"> </w:t>
      </w:r>
    </w:p>
    <w:p w14:paraId="0EA25CDC" w14:textId="7FEDA04F" w:rsidR="00934577" w:rsidRPr="009263DC" w:rsidRDefault="00934577" w:rsidP="00934577">
      <w:pPr>
        <w:pStyle w:val="ExecSumBodyText"/>
        <w:numPr>
          <w:ilvl w:val="0"/>
          <w:numId w:val="0"/>
        </w:numPr>
        <w:spacing w:after="160"/>
        <w:ind w:left="720"/>
        <w:rPr>
          <w:i/>
          <w:iCs/>
        </w:rPr>
      </w:pPr>
      <w:r w:rsidRPr="009263DC">
        <w:rPr>
          <w:i/>
          <w:iCs/>
        </w:rPr>
        <w:t>For more detail on PBAC’s view, see section 7 PBAC outcome.</w:t>
      </w:r>
    </w:p>
    <w:p w14:paraId="7075B85C" w14:textId="1655A25A" w:rsidR="00B50DB8" w:rsidRPr="009263DC" w:rsidRDefault="00203181" w:rsidP="004E18E9">
      <w:pPr>
        <w:pStyle w:val="2-SectionHeading"/>
      </w:pPr>
      <w:bookmarkStart w:id="6" w:name="_Toc93497069"/>
      <w:r w:rsidRPr="009263DC">
        <w:lastRenderedPageBreak/>
        <w:t xml:space="preserve">Population and </w:t>
      </w:r>
      <w:r w:rsidR="008E0D3C" w:rsidRPr="009263DC">
        <w:t>d</w:t>
      </w:r>
      <w:r w:rsidRPr="009263DC">
        <w:t>isease</w:t>
      </w:r>
      <w:bookmarkEnd w:id="6"/>
    </w:p>
    <w:p w14:paraId="21FDD135" w14:textId="55D1C704" w:rsidR="00894489" w:rsidRDefault="00660C95" w:rsidP="002A10E6">
      <w:pPr>
        <w:pStyle w:val="ExecSumBodyText"/>
        <w:spacing w:after="160"/>
      </w:pPr>
      <w:r w:rsidRPr="009263DC">
        <w:t>PNH is a rare, chronic blood condition in which red blood cells are attacked by the body’s immune system. It is an acquired condition</w:t>
      </w:r>
      <w:r w:rsidRPr="00660C95">
        <w:t>, meaning it is not inherited so cannot be passed on from parent to child, and is most frequently diagnosed between the ages of 30-40 years old. It is characterised by intravascular haemolysis (rupturing of red blood cells) with resultant anaemia that can lead to transfusion dependence, severe disabling symptoms of haemolysis (</w:t>
      </w:r>
      <w:proofErr w:type="gramStart"/>
      <w:r w:rsidRPr="00660C95">
        <w:t>e.g.</w:t>
      </w:r>
      <w:proofErr w:type="gramEnd"/>
      <w:r w:rsidRPr="00660C95">
        <w:t xml:space="preserve"> pain, organ dysfunction) and thrombosis (blood clotting). PNH can also lead to extravascular haemolysis occurring in the liver, spleen, bone marrow and lymph nodes. Thromboembolic events due to blood clots obstructing blood vessels are the leading cause of premature death in patients with PNH.</w:t>
      </w:r>
    </w:p>
    <w:p w14:paraId="6BCCDA50" w14:textId="5EBE2241" w:rsidR="00660C95" w:rsidRDefault="00660C95" w:rsidP="002A10E6">
      <w:pPr>
        <w:pStyle w:val="ExecSumBodyText"/>
        <w:spacing w:after="160"/>
      </w:pPr>
      <w:r w:rsidRPr="00660C95">
        <w:t>The severity of PNH is variable and not all patients require active complement inhibitor therapy. Patients with less severe disease can be treated with supportive therapies including folic acid and iron tablets, while patients with more severe disease may require red blood cell transfusions and anticoagulants. Life-long treatment is required. There is potential for cure with allogeneic stem cell transplantation, but this is rarely used as it is associated with a high level of morbidity and mortality.</w:t>
      </w:r>
    </w:p>
    <w:p w14:paraId="3F34F68C" w14:textId="2A045996" w:rsidR="00660C95" w:rsidRPr="00A05B02" w:rsidRDefault="00660C95" w:rsidP="002A10E6">
      <w:pPr>
        <w:pStyle w:val="ExecSumBodyText"/>
        <w:spacing w:after="160"/>
      </w:pPr>
      <w:r w:rsidRPr="00660C95">
        <w:t xml:space="preserve">The proposed PNH patient population in the submission is aligned with the classic PNH patient population who are eligible to receive eculizumab and </w:t>
      </w:r>
      <w:proofErr w:type="spellStart"/>
      <w:r w:rsidRPr="00660C95">
        <w:t>ravulizumab</w:t>
      </w:r>
      <w:proofErr w:type="spellEnd"/>
      <w:r w:rsidRPr="00660C95">
        <w:t>. The submission targeted patients who have inadequate clinical response (defined as haemoglobin levels less than 10.5 g/dL) despite stable treatment with C5 inhibitors for at least 3 months.</w:t>
      </w:r>
    </w:p>
    <w:p w14:paraId="1AFA7E18" w14:textId="2625C9BE" w:rsidR="00281F5A" w:rsidRDefault="003A47F4" w:rsidP="002A10E6">
      <w:pPr>
        <w:pStyle w:val="ExecSumBodyText"/>
        <w:spacing w:after="160"/>
      </w:pPr>
      <w:proofErr w:type="spellStart"/>
      <w:r w:rsidRPr="003A47F4">
        <w:t>Pegcetacoplan</w:t>
      </w:r>
      <w:proofErr w:type="spellEnd"/>
      <w:r w:rsidRPr="003A47F4">
        <w:t xml:space="preserve"> is a C3 complement inhibitor that acts proximally in the complement cascade to control both C3b-mediated extravascular haemolysis, and downstream terminal complement-mediated intravascular haemolysis.</w:t>
      </w:r>
      <w:r w:rsidR="007D3C6F">
        <w:t xml:space="preserve"> The regimen starts with a</w:t>
      </w:r>
      <w:r w:rsidR="009C570F">
        <w:t xml:space="preserve"> 4-week run-in period where it is co-administered with the patient’s current </w:t>
      </w:r>
      <w:r w:rsidR="00C74919">
        <w:t xml:space="preserve">C5 inhibitor </w:t>
      </w:r>
      <w:r w:rsidR="00353452">
        <w:t xml:space="preserve">treatment regimen. After 4 weeks, the C5 inhibitor treatment is </w:t>
      </w:r>
      <w:r w:rsidR="00281F5A">
        <w:t>ceased,</w:t>
      </w:r>
      <w:r w:rsidR="00353452">
        <w:t xml:space="preserve"> and patients continue with </w:t>
      </w:r>
      <w:proofErr w:type="spellStart"/>
      <w:r w:rsidR="00353452">
        <w:t>pegcetacoplan</w:t>
      </w:r>
      <w:proofErr w:type="spellEnd"/>
      <w:r w:rsidR="00353452">
        <w:t xml:space="preserve"> monotherapy. </w:t>
      </w:r>
      <w:r w:rsidR="001521B1">
        <w:t xml:space="preserve">The recommended dose is </w:t>
      </w:r>
      <w:r w:rsidR="003F48A6">
        <w:br/>
      </w:r>
      <w:r w:rsidR="001521B1">
        <w:t xml:space="preserve">1,080 mg twice weekly, which may be increased to 1,080 mg every third day if a patient has a </w:t>
      </w:r>
      <w:r w:rsidR="001521B1" w:rsidRPr="00746BBB">
        <w:t xml:space="preserve">lactate dehydrogenase (LDH) level greater than 2 x upper limit of normal (ULN). </w:t>
      </w:r>
    </w:p>
    <w:p w14:paraId="16927295" w14:textId="553EB005" w:rsidR="003A47F4" w:rsidRPr="00937F6D" w:rsidRDefault="006F4B18" w:rsidP="002A10E6">
      <w:pPr>
        <w:pStyle w:val="ExecSumBodyText"/>
        <w:spacing w:after="160"/>
      </w:pPr>
      <w:proofErr w:type="spellStart"/>
      <w:r w:rsidRPr="00746BBB">
        <w:t>Pegcetacoplan</w:t>
      </w:r>
      <w:proofErr w:type="spellEnd"/>
      <w:r w:rsidRPr="00746BBB">
        <w:t xml:space="preserve"> should only be administered as a SC infusion using a syringe system infusion pump that can deliver doses up to 20 </w:t>
      </w:r>
      <w:proofErr w:type="spellStart"/>
      <w:r w:rsidRPr="00746BBB">
        <w:t>mL.</w:t>
      </w:r>
      <w:proofErr w:type="spellEnd"/>
      <w:r w:rsidRPr="00746BBB">
        <w:t xml:space="preserve"> </w:t>
      </w:r>
      <w:r>
        <w:t xml:space="preserve"> </w:t>
      </w:r>
      <w:r w:rsidR="00B408C7" w:rsidRPr="000A0DA6">
        <w:t>The</w:t>
      </w:r>
      <w:r w:rsidR="00B408C7" w:rsidRPr="00A05B02">
        <w:t xml:space="preserve"> method of administration and instructions for use appear complex, which may lead to potential issues with safety and treatment compliance particularly for patients who choose to self-administer. </w:t>
      </w:r>
      <w:r w:rsidR="000A0DA6" w:rsidRPr="00937F6D">
        <w:t>The ESC noted an objective of the proposed patient support program</w:t>
      </w:r>
      <w:r w:rsidR="003A47F4" w:rsidRPr="00937F6D">
        <w:t xml:space="preserve"> </w:t>
      </w:r>
      <w:r w:rsidR="000A0DA6" w:rsidRPr="00937F6D">
        <w:t xml:space="preserve">is to </w:t>
      </w:r>
      <w:r w:rsidR="00683C29" w:rsidRPr="00937F6D">
        <w:t xml:space="preserve">provide </w:t>
      </w:r>
      <w:r w:rsidR="00346A0C" w:rsidRPr="00937F6D">
        <w:t xml:space="preserve">sufficient </w:t>
      </w:r>
      <w:r w:rsidR="00683C29" w:rsidRPr="00937F6D">
        <w:t xml:space="preserve">training </w:t>
      </w:r>
      <w:r w:rsidR="00346A0C" w:rsidRPr="00937F6D">
        <w:t>in</w:t>
      </w:r>
      <w:r w:rsidR="000A0DA6" w:rsidRPr="00937F6D">
        <w:t xml:space="preserve"> self-administration (see Quality Use of Medicines).</w:t>
      </w:r>
      <w:r w:rsidR="003A47F4" w:rsidRPr="00937F6D">
        <w:t xml:space="preserve">  </w:t>
      </w:r>
    </w:p>
    <w:p w14:paraId="6CD91B1A" w14:textId="4EEFC353" w:rsidR="00750D8F" w:rsidRPr="00750D8F" w:rsidRDefault="00750D8F" w:rsidP="002A10E6">
      <w:pPr>
        <w:pStyle w:val="ExecSumBodyText"/>
        <w:spacing w:after="160"/>
        <w:rPr>
          <w:color w:val="0066FF"/>
        </w:rPr>
      </w:pPr>
      <w:r w:rsidRPr="00750D8F">
        <w:t xml:space="preserve">The </w:t>
      </w:r>
      <w:r w:rsidR="006F7210">
        <w:t>clinical management algorithm</w:t>
      </w:r>
      <w:r w:rsidRPr="00750D8F">
        <w:t xml:space="preserve"> positioned </w:t>
      </w:r>
      <w:proofErr w:type="spellStart"/>
      <w:r w:rsidRPr="00750D8F">
        <w:t>pegcetacoplan</w:t>
      </w:r>
      <w:proofErr w:type="spellEnd"/>
      <w:r w:rsidRPr="00750D8F">
        <w:t xml:space="preserve"> as </w:t>
      </w:r>
      <w:r w:rsidR="00086A6F">
        <w:t>second-</w:t>
      </w:r>
      <w:r w:rsidRPr="00750D8F">
        <w:t xml:space="preserve">line therapy in patients with </w:t>
      </w:r>
      <w:r w:rsidRPr="00683C29">
        <w:t>inadequate response</w:t>
      </w:r>
      <w:r w:rsidRPr="00750D8F">
        <w:t xml:space="preserve"> to C5 inhibitor treatment in addition to best </w:t>
      </w:r>
      <w:r w:rsidRPr="00750D8F">
        <w:lastRenderedPageBreak/>
        <w:t xml:space="preserve">supportive care. The definition of inadequate response was broad, with the following treatment settings proposed for </w:t>
      </w:r>
      <w:proofErr w:type="spellStart"/>
      <w:r w:rsidRPr="00750D8F">
        <w:t>pegcetacoplan</w:t>
      </w:r>
      <w:proofErr w:type="spellEnd"/>
      <w:r w:rsidRPr="00750D8F">
        <w:t xml:space="preserve"> in the submission: </w:t>
      </w:r>
    </w:p>
    <w:p w14:paraId="058DBACC" w14:textId="1232D5CD" w:rsidR="00750D8F" w:rsidRPr="00A05B02" w:rsidRDefault="00750D8F" w:rsidP="00224F4B">
      <w:pPr>
        <w:pStyle w:val="ExecSumBodyText"/>
        <w:numPr>
          <w:ilvl w:val="0"/>
          <w:numId w:val="8"/>
        </w:numPr>
        <w:spacing w:after="160"/>
        <w:ind w:left="1077" w:hanging="357"/>
      </w:pPr>
      <w:r w:rsidRPr="00B67C71">
        <w:t xml:space="preserve">An alternative to higher doses of eculizumab, in patients with persistent haemolysis despite treatment with C5 inhibitors. The submission noted </w:t>
      </w:r>
      <w:r w:rsidR="00A04B26">
        <w:t xml:space="preserve">potential causes including </w:t>
      </w:r>
      <w:r w:rsidR="00C036A0">
        <w:t>rare cases of</w:t>
      </w:r>
      <w:r w:rsidR="00A01A5D">
        <w:t xml:space="preserve"> genetic resistance to eculizumab treatment</w:t>
      </w:r>
      <w:r w:rsidR="00C036A0">
        <w:t xml:space="preserve"> and</w:t>
      </w:r>
      <w:r w:rsidR="00D84D84">
        <w:t xml:space="preserve"> </w:t>
      </w:r>
      <w:r w:rsidRPr="00B67C71">
        <w:t>breakthrough haemolysis due to the pharmacokinetics (or underdosing) of eculizumab</w:t>
      </w:r>
      <w:r w:rsidR="00D84D84">
        <w:t xml:space="preserve"> (10-15% of patients)</w:t>
      </w:r>
      <w:r w:rsidRPr="00B67C71">
        <w:t xml:space="preserve">. However, the submission acknowledged that access to eculizumab dose increases </w:t>
      </w:r>
      <w:r w:rsidR="009263DC">
        <w:t>wa</w:t>
      </w:r>
      <w:r w:rsidR="009263DC" w:rsidRPr="00B67C71">
        <w:t xml:space="preserve">s </w:t>
      </w:r>
      <w:r w:rsidRPr="00B67C71">
        <w:t xml:space="preserve">generally not allowed under the LSDP. </w:t>
      </w:r>
      <w:r w:rsidRPr="00A05B02">
        <w:t xml:space="preserve">In July 2021, the PBAC considered that a PBS listing for eculizumab should address the difference in maintenance dosing interval of 14 days on the LSDP and 14 days ± 2 days in the product information (para 7.5, </w:t>
      </w:r>
      <w:proofErr w:type="spellStart"/>
      <w:r w:rsidRPr="00A05B02">
        <w:t>ravulizumab</w:t>
      </w:r>
      <w:proofErr w:type="spellEnd"/>
      <w:r w:rsidRPr="00A05B02">
        <w:t xml:space="preserve"> </w:t>
      </w:r>
      <w:r w:rsidR="00E72C66" w:rsidRPr="00A05B02">
        <w:t>Public Summary Document [</w:t>
      </w:r>
      <w:r w:rsidRPr="00A05B02">
        <w:t>PSD</w:t>
      </w:r>
      <w:r w:rsidR="00E72C66" w:rsidRPr="00A05B02">
        <w:t>]</w:t>
      </w:r>
      <w:r w:rsidRPr="00A05B02">
        <w:t xml:space="preserve">, July 2021 PBAC meeting). </w:t>
      </w:r>
    </w:p>
    <w:p w14:paraId="62535BA1" w14:textId="0291FFC5" w:rsidR="00392DE9" w:rsidRPr="00B67C71" w:rsidRDefault="00750D8F" w:rsidP="00224F4B">
      <w:pPr>
        <w:pStyle w:val="ExecSumBodyText"/>
        <w:numPr>
          <w:ilvl w:val="0"/>
          <w:numId w:val="8"/>
        </w:numPr>
        <w:spacing w:after="160"/>
      </w:pPr>
      <w:r w:rsidRPr="00B67C71">
        <w:t xml:space="preserve">An alternative to splenectomy or bone marrow transplant in patients with severe, treatment refractory disease defined as those who continue to experience unacceptable levels of haemolysis and/or risk of thrombosis. The submission claimed that use of </w:t>
      </w:r>
      <w:proofErr w:type="spellStart"/>
      <w:r w:rsidRPr="00B67C71">
        <w:t>pegcetacoplan</w:t>
      </w:r>
      <w:proofErr w:type="spellEnd"/>
      <w:r w:rsidRPr="00B67C71">
        <w:t xml:space="preserve"> may prevent the need for such later line therapies. </w:t>
      </w:r>
    </w:p>
    <w:p w14:paraId="0C66B000" w14:textId="273005CC" w:rsidR="00714D97" w:rsidRPr="00A05B02" w:rsidRDefault="00714D97" w:rsidP="00370957">
      <w:pPr>
        <w:pStyle w:val="ExecSumBodyText"/>
        <w:spacing w:after="160"/>
      </w:pPr>
      <w:r w:rsidRPr="00A05B02">
        <w:t xml:space="preserve">The clinical relevance of low Hb levels as a single measure of inadequate response was not explicitly discussed in the submission. In the </w:t>
      </w:r>
      <w:proofErr w:type="spellStart"/>
      <w:r w:rsidRPr="00A05B02">
        <w:t>pegcetacoplan</w:t>
      </w:r>
      <w:proofErr w:type="spellEnd"/>
      <w:r w:rsidRPr="00A05B02">
        <w:t xml:space="preserve"> key trial, PEGASUS, transfusions were administered in patients with Hb &lt;7.0 g/dL without symptoms or &lt;9.0 g/dL with symptoms. The </w:t>
      </w:r>
      <w:r w:rsidR="009263DC">
        <w:t xml:space="preserve">PBS </w:t>
      </w:r>
      <w:r w:rsidRPr="00A05B02">
        <w:t xml:space="preserve">eligibility criteria for PNH treatment defines anaemia as chronic/recurrent where other causes of haemolysis have been excluded and demonstrated by more than one measure of Hb </w:t>
      </w:r>
      <w:r w:rsidR="00E64CB3" w:rsidRPr="00A05B02">
        <w:t>≤70 g/L (</w:t>
      </w:r>
      <w:proofErr w:type="gramStart"/>
      <w:r w:rsidR="00E64CB3" w:rsidRPr="00A05B02">
        <w:t>i.e.</w:t>
      </w:r>
      <w:proofErr w:type="gramEnd"/>
      <w:r w:rsidR="00E64CB3" w:rsidRPr="00A05B02">
        <w:t xml:space="preserve"> </w:t>
      </w:r>
      <w:r w:rsidRPr="00A05B02">
        <w:t>≤7</w:t>
      </w:r>
      <w:r w:rsidR="00E72C66" w:rsidRPr="00A05B02">
        <w:t>.</w:t>
      </w:r>
      <w:r w:rsidRPr="00A05B02">
        <w:t>0 g/</w:t>
      </w:r>
      <w:r w:rsidR="00E72C66" w:rsidRPr="00A05B02">
        <w:t>d</w:t>
      </w:r>
      <w:r w:rsidRPr="00A05B02">
        <w:t>L</w:t>
      </w:r>
      <w:r w:rsidR="00E64CB3" w:rsidRPr="00A05B02">
        <w:t>)</w:t>
      </w:r>
      <w:r w:rsidRPr="00A05B02">
        <w:t xml:space="preserve"> without anaemic symptoms or </w:t>
      </w:r>
      <w:r w:rsidR="00530EED" w:rsidRPr="00A05B02">
        <w:t xml:space="preserve">≤100 g/L </w:t>
      </w:r>
      <w:r w:rsidR="00E64CB3" w:rsidRPr="00A05B02">
        <w:t xml:space="preserve">(i.e. </w:t>
      </w:r>
      <w:r w:rsidRPr="00A05B02">
        <w:t>≤10</w:t>
      </w:r>
      <w:r w:rsidR="00E72C66" w:rsidRPr="00A05B02">
        <w:t>.</w:t>
      </w:r>
      <w:r w:rsidRPr="00A05B02">
        <w:t>0 g/</w:t>
      </w:r>
      <w:r w:rsidR="00E72C66" w:rsidRPr="00A05B02">
        <w:t>d</w:t>
      </w:r>
      <w:r w:rsidRPr="00A05B02">
        <w:t>L</w:t>
      </w:r>
      <w:r w:rsidR="00E64CB3" w:rsidRPr="00A05B02">
        <w:t>)</w:t>
      </w:r>
      <w:r w:rsidRPr="00A05B02">
        <w:t xml:space="preserve"> with concurrent anaemic symptoms</w:t>
      </w:r>
      <w:r w:rsidR="008A78CB" w:rsidRPr="00A05B02">
        <w:t>.</w:t>
      </w:r>
    </w:p>
    <w:p w14:paraId="3BF93B38" w14:textId="785B2678" w:rsidR="004D39DB" w:rsidRPr="00A05B02" w:rsidRDefault="004D39DB" w:rsidP="002A10E6">
      <w:pPr>
        <w:pStyle w:val="ExecSumBodyText"/>
        <w:spacing w:after="160"/>
      </w:pPr>
      <w:r w:rsidRPr="004D39DB">
        <w:t>The submission claimed that patients who currently have suboptimal haematological outcomes would persist with C5 inhibitor treatment as these treatments would still adequately manage the life-threatening aspects of their disease.</w:t>
      </w:r>
      <w:r w:rsidRPr="004D39DB">
        <w:rPr>
          <w:i/>
          <w:iCs/>
        </w:rPr>
        <w:t xml:space="preserve"> </w:t>
      </w:r>
      <w:r w:rsidRPr="004D39DB">
        <w:t xml:space="preserve">The submission stated that treatment cessation would only occur in clear cases of non-response, for example, in patients </w:t>
      </w:r>
      <w:r w:rsidR="002B192D">
        <w:t>who are treatment resistant</w:t>
      </w:r>
      <w:r w:rsidRPr="00A05B02">
        <w:t xml:space="preserve">. </w:t>
      </w:r>
      <w:r w:rsidR="00A75C8D" w:rsidRPr="00937F6D">
        <w:t xml:space="preserve">The </w:t>
      </w:r>
      <w:r w:rsidR="009263DC">
        <w:t xml:space="preserve">PBAC agreed with the </w:t>
      </w:r>
      <w:r w:rsidR="00A75C8D" w:rsidRPr="00937F6D">
        <w:t xml:space="preserve">ESC </w:t>
      </w:r>
      <w:r w:rsidR="009263DC">
        <w:t>that</w:t>
      </w:r>
      <w:r w:rsidR="00A75C8D" w:rsidRPr="00937F6D">
        <w:t xml:space="preserve"> this</w:t>
      </w:r>
      <w:r w:rsidR="00A75C8D" w:rsidRPr="00A05B02">
        <w:t xml:space="preserve"> </w:t>
      </w:r>
      <w:r w:rsidRPr="00A05B02">
        <w:t xml:space="preserve">assumption </w:t>
      </w:r>
      <w:r w:rsidR="00A75C8D" w:rsidRPr="009263DC">
        <w:t xml:space="preserve">was </w:t>
      </w:r>
      <w:r w:rsidRPr="00A05B02">
        <w:t>reasonable in the absence of other treatments for PNH.</w:t>
      </w:r>
    </w:p>
    <w:p w14:paraId="11FCAAEE" w14:textId="1047472C" w:rsidR="007627BE" w:rsidRDefault="004D39DB" w:rsidP="002A10E6">
      <w:pPr>
        <w:pStyle w:val="ExecSumBodyText"/>
        <w:spacing w:after="160"/>
      </w:pPr>
      <w:r w:rsidRPr="00A05B02">
        <w:t xml:space="preserve">Overall, the role of </w:t>
      </w:r>
      <w:proofErr w:type="spellStart"/>
      <w:r w:rsidRPr="00A05B02">
        <w:t>pegcetacoplan</w:t>
      </w:r>
      <w:proofErr w:type="spellEnd"/>
      <w:r w:rsidRPr="00A05B02">
        <w:t xml:space="preserve"> in the Australian setting was unclear. While treatment with </w:t>
      </w:r>
      <w:proofErr w:type="spellStart"/>
      <w:r w:rsidRPr="00A05B02">
        <w:t>pegcetacoplan</w:t>
      </w:r>
      <w:proofErr w:type="spellEnd"/>
      <w:r w:rsidRPr="00A05B02">
        <w:t xml:space="preserve"> may benefit patients with suboptimal haematological response to C5 inhibitors, there is a lack of long-term outcomes including thrombosis and survival. </w:t>
      </w:r>
    </w:p>
    <w:p w14:paraId="27B9BD79" w14:textId="222A9219" w:rsidR="00934577" w:rsidRPr="00934577" w:rsidRDefault="00934577" w:rsidP="00934577">
      <w:pPr>
        <w:pStyle w:val="ExecSumBodyText"/>
        <w:numPr>
          <w:ilvl w:val="0"/>
          <w:numId w:val="0"/>
        </w:numPr>
        <w:spacing w:after="160"/>
        <w:ind w:left="720"/>
        <w:rPr>
          <w:i/>
          <w:iCs/>
          <w:snapToGrid/>
        </w:rPr>
      </w:pPr>
      <w:r w:rsidRPr="00934577">
        <w:rPr>
          <w:i/>
          <w:iCs/>
          <w:snapToGrid/>
        </w:rPr>
        <w:t>For more detail on PBAC’s view, see section 7 PBAC outcome.</w:t>
      </w:r>
    </w:p>
    <w:p w14:paraId="51E5AE96" w14:textId="372CE949" w:rsidR="00B50DB8" w:rsidRPr="00746BBB" w:rsidRDefault="00B50DB8" w:rsidP="004E18E9">
      <w:pPr>
        <w:pStyle w:val="2-SectionHeading"/>
      </w:pPr>
      <w:bookmarkStart w:id="7" w:name="_Toc93497070"/>
      <w:r w:rsidRPr="00746BBB">
        <w:t>Comparator</w:t>
      </w:r>
      <w:bookmarkEnd w:id="7"/>
    </w:p>
    <w:p w14:paraId="38341442" w14:textId="2E70D2A8" w:rsidR="00CE698A" w:rsidRPr="00A05B02" w:rsidRDefault="00CE698A" w:rsidP="002A10E6">
      <w:pPr>
        <w:pStyle w:val="ExecSumBodyText"/>
        <w:spacing w:after="160"/>
        <w:rPr>
          <w:snapToGrid/>
        </w:rPr>
      </w:pPr>
      <w:r w:rsidRPr="00A05B02">
        <w:rPr>
          <w:snapToGrid/>
        </w:rPr>
        <w:t xml:space="preserve">The submission nominated both eculizumab and </w:t>
      </w:r>
      <w:proofErr w:type="spellStart"/>
      <w:r w:rsidRPr="00A05B02">
        <w:rPr>
          <w:snapToGrid/>
        </w:rPr>
        <w:t>ravulizumab</w:t>
      </w:r>
      <w:proofErr w:type="spellEnd"/>
      <w:r w:rsidRPr="00A05B02">
        <w:rPr>
          <w:snapToGrid/>
        </w:rPr>
        <w:t xml:space="preserve"> as comparators. In July 2021, the PBAC recommended eculizumab be moved from the LSDP to a listing on the </w:t>
      </w:r>
      <w:r w:rsidRPr="00A05B02">
        <w:rPr>
          <w:snapToGrid/>
        </w:rPr>
        <w:lastRenderedPageBreak/>
        <w:t xml:space="preserve">PBS at a reduced price and that </w:t>
      </w:r>
      <w:proofErr w:type="spellStart"/>
      <w:r w:rsidRPr="00A05B02">
        <w:rPr>
          <w:snapToGrid/>
        </w:rPr>
        <w:t>ravulizumab</w:t>
      </w:r>
      <w:proofErr w:type="spellEnd"/>
      <w:r w:rsidRPr="00A05B02">
        <w:rPr>
          <w:snapToGrid/>
        </w:rPr>
        <w:t xml:space="preserve"> be listed on a cost-minimisation basis to eculizumab (para 7.1, </w:t>
      </w:r>
      <w:proofErr w:type="spellStart"/>
      <w:r w:rsidRPr="00A05B02">
        <w:rPr>
          <w:snapToGrid/>
        </w:rPr>
        <w:t>ravulizumab</w:t>
      </w:r>
      <w:proofErr w:type="spellEnd"/>
      <w:r w:rsidRPr="00A05B02">
        <w:rPr>
          <w:snapToGrid/>
        </w:rPr>
        <w:t xml:space="preserve"> PSD, July 2021 PBAC meeting). </w:t>
      </w:r>
    </w:p>
    <w:p w14:paraId="11C6F5FA" w14:textId="36E40D5D" w:rsidR="00491EC6" w:rsidRPr="00937F6D" w:rsidRDefault="00CA7F68" w:rsidP="002A10E6">
      <w:pPr>
        <w:pStyle w:val="ExecSumBodyText"/>
        <w:spacing w:after="160"/>
        <w:rPr>
          <w:snapToGrid/>
        </w:rPr>
      </w:pPr>
      <w:r w:rsidRPr="00A05B02">
        <w:rPr>
          <w:snapToGrid/>
        </w:rPr>
        <w:t xml:space="preserve">Both eculizumab and </w:t>
      </w:r>
      <w:proofErr w:type="spellStart"/>
      <w:r w:rsidRPr="00A05B02">
        <w:rPr>
          <w:snapToGrid/>
        </w:rPr>
        <w:t>ravulizumab</w:t>
      </w:r>
      <w:proofErr w:type="spellEnd"/>
      <w:r w:rsidRPr="00A05B02">
        <w:rPr>
          <w:snapToGrid/>
        </w:rPr>
        <w:t xml:space="preserve"> are relevant comparators as C5 inhibitors are the only active treatment options currently available for PNH. However, the cost-effectiveness of C5 inhibitors in patients who have suboptimal haematological response despite treatment with C5 inhibitors has not been assessed.</w:t>
      </w:r>
      <w:r w:rsidR="00683C29">
        <w:rPr>
          <w:snapToGrid/>
        </w:rPr>
        <w:t xml:space="preserve"> </w:t>
      </w:r>
      <w:r w:rsidR="00683C29" w:rsidRPr="00937F6D">
        <w:rPr>
          <w:snapToGrid/>
        </w:rPr>
        <w:t xml:space="preserve">The ESC considered eculizumab and </w:t>
      </w:r>
      <w:proofErr w:type="spellStart"/>
      <w:r w:rsidR="00683C29" w:rsidRPr="00937F6D">
        <w:rPr>
          <w:snapToGrid/>
        </w:rPr>
        <w:t>ravulizumab</w:t>
      </w:r>
      <w:proofErr w:type="spellEnd"/>
      <w:r w:rsidR="00683C29" w:rsidRPr="00937F6D">
        <w:rPr>
          <w:snapToGrid/>
        </w:rPr>
        <w:t xml:space="preserve"> to be the most appropriate comparators as they will be replaced with </w:t>
      </w:r>
      <w:proofErr w:type="spellStart"/>
      <w:r w:rsidR="00683C29" w:rsidRPr="00937F6D">
        <w:rPr>
          <w:snapToGrid/>
        </w:rPr>
        <w:t>pegcetacoplan</w:t>
      </w:r>
      <w:proofErr w:type="spellEnd"/>
      <w:r w:rsidR="00683C29" w:rsidRPr="00937F6D">
        <w:rPr>
          <w:snapToGrid/>
        </w:rPr>
        <w:t xml:space="preserve"> in clinical practice in patients with an inadequate response to a C5 inhibitor.</w:t>
      </w:r>
    </w:p>
    <w:p w14:paraId="685A083C" w14:textId="155D10A7" w:rsidR="00C64E7A" w:rsidRDefault="00C64E7A" w:rsidP="002A10E6">
      <w:pPr>
        <w:pStyle w:val="ExecSumBodyText"/>
        <w:spacing w:after="160"/>
        <w:rPr>
          <w:snapToGrid/>
        </w:rPr>
      </w:pPr>
      <w:r w:rsidRPr="00A05B02">
        <w:rPr>
          <w:snapToGrid/>
        </w:rPr>
        <w:t>During the evaluation, it was noted that there are multiple therapies for PNH in late-stage development</w:t>
      </w:r>
      <w:r w:rsidR="00196956" w:rsidRPr="00A05B02">
        <w:rPr>
          <w:snapToGrid/>
        </w:rPr>
        <w:t xml:space="preserve"> including </w:t>
      </w:r>
      <w:r w:rsidR="003635D4" w:rsidRPr="00A05B02">
        <w:rPr>
          <w:snapToGrid/>
        </w:rPr>
        <w:t>eculizumab biosimilars</w:t>
      </w:r>
      <w:r w:rsidR="006F4A5F" w:rsidRPr="00A05B02">
        <w:rPr>
          <w:snapToGrid/>
        </w:rPr>
        <w:t xml:space="preserve"> (BCD-148, SB-12, ABP-959)</w:t>
      </w:r>
      <w:r w:rsidR="003635D4" w:rsidRPr="00A05B02">
        <w:rPr>
          <w:snapToGrid/>
        </w:rPr>
        <w:t>,</w:t>
      </w:r>
      <w:r w:rsidR="00C515FD" w:rsidRPr="00A05B02">
        <w:rPr>
          <w:snapToGrid/>
        </w:rPr>
        <w:t xml:space="preserve"> a subcutaneous formulation of </w:t>
      </w:r>
      <w:proofErr w:type="spellStart"/>
      <w:r w:rsidR="00C515FD" w:rsidRPr="00A05B02">
        <w:rPr>
          <w:snapToGrid/>
        </w:rPr>
        <w:t>ravulizumab</w:t>
      </w:r>
      <w:proofErr w:type="spellEnd"/>
      <w:r w:rsidR="00C515FD" w:rsidRPr="00A05B02">
        <w:rPr>
          <w:snapToGrid/>
        </w:rPr>
        <w:t>,</w:t>
      </w:r>
      <w:r w:rsidR="00A94C50" w:rsidRPr="00A05B02">
        <w:rPr>
          <w:snapToGrid/>
        </w:rPr>
        <w:t xml:space="preserve"> a</w:t>
      </w:r>
      <w:r w:rsidR="003635D4" w:rsidRPr="00A05B02">
        <w:rPr>
          <w:snapToGrid/>
        </w:rPr>
        <w:t xml:space="preserve"> </w:t>
      </w:r>
      <w:r w:rsidR="00196956" w:rsidRPr="00A05B02">
        <w:rPr>
          <w:snapToGrid/>
        </w:rPr>
        <w:t xml:space="preserve">novel </w:t>
      </w:r>
      <w:r w:rsidR="007C4218" w:rsidRPr="00A05B02">
        <w:rPr>
          <w:snapToGrid/>
        </w:rPr>
        <w:t xml:space="preserve">subcutaneous </w:t>
      </w:r>
      <w:r w:rsidR="00196956" w:rsidRPr="00A05B02">
        <w:rPr>
          <w:snapToGrid/>
        </w:rPr>
        <w:t xml:space="preserve">C5 </w:t>
      </w:r>
      <w:r w:rsidR="007C4218" w:rsidRPr="00A05B02">
        <w:rPr>
          <w:snapToGrid/>
        </w:rPr>
        <w:t>inhibitor</w:t>
      </w:r>
      <w:r w:rsidR="00196956" w:rsidRPr="00A05B02">
        <w:rPr>
          <w:snapToGrid/>
        </w:rPr>
        <w:t xml:space="preserve"> (</w:t>
      </w:r>
      <w:proofErr w:type="spellStart"/>
      <w:r w:rsidR="00196956" w:rsidRPr="00A05B02">
        <w:rPr>
          <w:snapToGrid/>
        </w:rPr>
        <w:t>crovalimab</w:t>
      </w:r>
      <w:proofErr w:type="spellEnd"/>
      <w:r w:rsidR="00196956" w:rsidRPr="00A05B02">
        <w:rPr>
          <w:snapToGrid/>
        </w:rPr>
        <w:t xml:space="preserve">), </w:t>
      </w:r>
      <w:r w:rsidR="00251946" w:rsidRPr="00A05B02">
        <w:rPr>
          <w:snapToGrid/>
        </w:rPr>
        <w:t xml:space="preserve">and </w:t>
      </w:r>
      <w:r w:rsidR="009D6AE3" w:rsidRPr="00A05B02">
        <w:rPr>
          <w:snapToGrid/>
        </w:rPr>
        <w:t>oral inhibitors of</w:t>
      </w:r>
      <w:r w:rsidR="003635D4" w:rsidRPr="00A05B02">
        <w:rPr>
          <w:snapToGrid/>
        </w:rPr>
        <w:t xml:space="preserve"> complement factor D (</w:t>
      </w:r>
      <w:proofErr w:type="spellStart"/>
      <w:r w:rsidR="00C515FD" w:rsidRPr="00A05B02">
        <w:rPr>
          <w:snapToGrid/>
        </w:rPr>
        <w:t>danicopan</w:t>
      </w:r>
      <w:proofErr w:type="spellEnd"/>
      <w:r w:rsidR="00C515FD" w:rsidRPr="00A05B02">
        <w:rPr>
          <w:snapToGrid/>
        </w:rPr>
        <w:t>) and factor B (</w:t>
      </w:r>
      <w:proofErr w:type="spellStart"/>
      <w:r w:rsidR="00C515FD" w:rsidRPr="00A05B02">
        <w:rPr>
          <w:snapToGrid/>
        </w:rPr>
        <w:t>iptacopan</w:t>
      </w:r>
      <w:proofErr w:type="spellEnd"/>
      <w:r w:rsidR="00C515FD" w:rsidRPr="00A05B02">
        <w:rPr>
          <w:snapToGrid/>
        </w:rPr>
        <w:t>)</w:t>
      </w:r>
      <w:r w:rsidR="00A94C50" w:rsidRPr="00A05B02">
        <w:rPr>
          <w:snapToGrid/>
        </w:rPr>
        <w:t xml:space="preserve">. </w:t>
      </w:r>
      <w:r w:rsidR="00A94C50" w:rsidRPr="00A05B02">
        <w:t xml:space="preserve">The status of </w:t>
      </w:r>
      <w:r w:rsidR="00A94C50" w:rsidRPr="00683C29">
        <w:t xml:space="preserve">these drugs in the Australian setting was unknown and therefore these therapies were not considered further </w:t>
      </w:r>
      <w:r w:rsidR="00683C29" w:rsidRPr="00683C29">
        <w:t>during evaluation</w:t>
      </w:r>
      <w:r w:rsidR="00A94C50" w:rsidRPr="00683C29">
        <w:t>.</w:t>
      </w:r>
      <w:r w:rsidR="008E29BF" w:rsidRPr="00683C29">
        <w:rPr>
          <w:snapToGrid/>
        </w:rPr>
        <w:t xml:space="preserve"> </w:t>
      </w:r>
    </w:p>
    <w:p w14:paraId="2E548A4C" w14:textId="5538C2B5" w:rsidR="00934577" w:rsidRPr="00934577" w:rsidRDefault="00934577" w:rsidP="00934577">
      <w:pPr>
        <w:pStyle w:val="ExecSumBodyText"/>
        <w:numPr>
          <w:ilvl w:val="0"/>
          <w:numId w:val="0"/>
        </w:numPr>
        <w:spacing w:after="160"/>
        <w:ind w:left="720"/>
        <w:rPr>
          <w:i/>
          <w:iCs/>
          <w:snapToGrid/>
        </w:rPr>
      </w:pPr>
      <w:r w:rsidRPr="00934577">
        <w:rPr>
          <w:i/>
          <w:iCs/>
          <w:snapToGrid/>
        </w:rPr>
        <w:t>For more detail on PBAC’s view, see section 7 PBAC outcome.</w:t>
      </w:r>
    </w:p>
    <w:p w14:paraId="7F9C27C8" w14:textId="77777777" w:rsidR="00223D5A" w:rsidRPr="00746BBB" w:rsidRDefault="00223D5A" w:rsidP="00223D5A">
      <w:pPr>
        <w:pStyle w:val="2-SectionHeading"/>
      </w:pPr>
      <w:bookmarkStart w:id="8" w:name="_Toc93497071"/>
      <w:bookmarkStart w:id="9" w:name="_Toc22897640"/>
      <w:r w:rsidRPr="00746BBB">
        <w:t>Consideration of the evidence</w:t>
      </w:r>
      <w:bookmarkEnd w:id="8"/>
    </w:p>
    <w:p w14:paraId="4ECDB0D0" w14:textId="77777777" w:rsidR="00934577" w:rsidRPr="006E1229" w:rsidRDefault="00934577" w:rsidP="00934577">
      <w:pPr>
        <w:pStyle w:val="3-SubsectionHeading"/>
      </w:pPr>
      <w:bookmarkStart w:id="10" w:name="_Hlk76375935"/>
      <w:bookmarkStart w:id="11" w:name="_Toc93497072"/>
      <w:r w:rsidRPr="006E1229">
        <w:t>Sponsor hearing</w:t>
      </w:r>
    </w:p>
    <w:p w14:paraId="4404EB70" w14:textId="68C3499B" w:rsidR="00934577" w:rsidRPr="00B86481" w:rsidRDefault="00934577" w:rsidP="00934577">
      <w:pPr>
        <w:widowControl w:val="0"/>
        <w:numPr>
          <w:ilvl w:val="1"/>
          <w:numId w:val="1"/>
        </w:numPr>
        <w:spacing w:after="120"/>
        <w:rPr>
          <w:rFonts w:asciiTheme="minorHAnsi" w:hAnsiTheme="minorHAnsi"/>
          <w:bCs/>
          <w:snapToGrid w:val="0"/>
        </w:rPr>
      </w:pPr>
      <w:bookmarkStart w:id="12" w:name="_Hlk76382586"/>
      <w:r w:rsidRPr="008A158A">
        <w:rPr>
          <w:rFonts w:asciiTheme="minorHAnsi" w:hAnsiTheme="minorHAnsi"/>
          <w:bCs/>
          <w:snapToGrid w:val="0"/>
        </w:rPr>
        <w:t>The sponsor requested a hearing for this item.  The clinician discussed the natural history of the disease</w:t>
      </w:r>
      <w:r w:rsidR="00B86481">
        <w:rPr>
          <w:rFonts w:asciiTheme="minorHAnsi" w:hAnsiTheme="minorHAnsi"/>
          <w:bCs/>
          <w:snapToGrid w:val="0"/>
        </w:rPr>
        <w:t>, the existing unmet clinical need despite the availability of C5 inhibitors</w:t>
      </w:r>
      <w:r w:rsidRPr="008A158A">
        <w:rPr>
          <w:rFonts w:asciiTheme="minorHAnsi" w:hAnsiTheme="minorHAnsi"/>
          <w:bCs/>
          <w:snapToGrid w:val="0"/>
        </w:rPr>
        <w:t>, how the drug would be used in practice</w:t>
      </w:r>
      <w:r w:rsidR="00851A76">
        <w:rPr>
          <w:rFonts w:asciiTheme="minorHAnsi" w:hAnsiTheme="minorHAnsi"/>
          <w:bCs/>
          <w:snapToGrid w:val="0"/>
        </w:rPr>
        <w:t xml:space="preserve"> as well as the delivery device</w:t>
      </w:r>
      <w:r w:rsidRPr="008A158A">
        <w:rPr>
          <w:rFonts w:asciiTheme="minorHAnsi" w:hAnsiTheme="minorHAnsi"/>
          <w:bCs/>
          <w:snapToGrid w:val="0"/>
        </w:rPr>
        <w:t>.</w:t>
      </w:r>
      <w:r w:rsidR="00B86481">
        <w:rPr>
          <w:rFonts w:asciiTheme="minorHAnsi" w:hAnsiTheme="minorHAnsi"/>
          <w:bCs/>
          <w:snapToGrid w:val="0"/>
        </w:rPr>
        <w:t xml:space="preserve"> </w:t>
      </w:r>
      <w:r w:rsidRPr="00851A76">
        <w:rPr>
          <w:rFonts w:asciiTheme="minorHAnsi" w:hAnsiTheme="minorHAnsi"/>
          <w:bCs/>
          <w:snapToGrid w:val="0"/>
        </w:rPr>
        <w:t>The PBAC considered that the hearing was informative as it provided a clinical perspective on treating this uncommon disease.</w:t>
      </w:r>
    </w:p>
    <w:bookmarkEnd w:id="12"/>
    <w:p w14:paraId="6B3DD3A4" w14:textId="77777777" w:rsidR="00934577" w:rsidRPr="00C42B29" w:rsidRDefault="00934577" w:rsidP="00934577">
      <w:pPr>
        <w:pStyle w:val="3-SubsectionHeading"/>
      </w:pPr>
      <w:r w:rsidRPr="00C42B29">
        <w:t>Consumer comments</w:t>
      </w:r>
    </w:p>
    <w:p w14:paraId="386F59AF" w14:textId="67B65C0E" w:rsidR="00C42B29" w:rsidRPr="00984AD4" w:rsidRDefault="00934577" w:rsidP="00C42B29">
      <w:pPr>
        <w:widowControl w:val="0"/>
        <w:numPr>
          <w:ilvl w:val="1"/>
          <w:numId w:val="1"/>
        </w:numPr>
        <w:spacing w:after="120"/>
        <w:rPr>
          <w:rFonts w:asciiTheme="minorHAnsi" w:hAnsiTheme="minorHAnsi"/>
          <w:bCs/>
          <w:snapToGrid w:val="0"/>
        </w:rPr>
      </w:pPr>
      <w:bookmarkStart w:id="13" w:name="_Hlk76382618"/>
      <w:r w:rsidRPr="00C42B29">
        <w:rPr>
          <w:rFonts w:asciiTheme="minorHAnsi" w:hAnsiTheme="minorHAnsi"/>
          <w:bCs/>
          <w:snapToGrid w:val="0"/>
        </w:rPr>
        <w:t>The PBAC noted and welcomed the input from individuals (</w:t>
      </w:r>
      <w:r w:rsidR="00314FCC" w:rsidRPr="00C42B29">
        <w:rPr>
          <w:rFonts w:asciiTheme="minorHAnsi" w:hAnsiTheme="minorHAnsi"/>
          <w:bCs/>
          <w:snapToGrid w:val="0"/>
        </w:rPr>
        <w:t>1</w:t>
      </w:r>
      <w:r w:rsidRPr="00C42B29">
        <w:rPr>
          <w:rFonts w:asciiTheme="minorHAnsi" w:hAnsiTheme="minorHAnsi"/>
          <w:bCs/>
          <w:snapToGrid w:val="0"/>
        </w:rPr>
        <w:t xml:space="preserve">), health care professionals (1) and organisations (1) via the Consumer Comments facility on the PBS website.  The comments </w:t>
      </w:r>
      <w:r w:rsidR="00314FCC" w:rsidRPr="00C42B29">
        <w:rPr>
          <w:rFonts w:asciiTheme="minorHAnsi" w:hAnsiTheme="minorHAnsi"/>
          <w:bCs/>
          <w:snapToGrid w:val="0"/>
        </w:rPr>
        <w:t xml:space="preserve">from an individual who has used this medicine described the benefits of treatment with </w:t>
      </w:r>
      <w:proofErr w:type="spellStart"/>
      <w:r w:rsidR="00314FCC" w:rsidRPr="00C42B29">
        <w:rPr>
          <w:rFonts w:asciiTheme="minorHAnsi" w:hAnsiTheme="minorHAnsi"/>
          <w:bCs/>
          <w:snapToGrid w:val="0"/>
        </w:rPr>
        <w:t>pegcetacoplan</w:t>
      </w:r>
      <w:proofErr w:type="spellEnd"/>
      <w:r w:rsidR="00314FCC" w:rsidRPr="00C42B29">
        <w:rPr>
          <w:rFonts w:asciiTheme="minorHAnsi" w:hAnsiTheme="minorHAnsi"/>
          <w:bCs/>
          <w:snapToGrid w:val="0"/>
        </w:rPr>
        <w:t xml:space="preserve"> </w:t>
      </w:r>
      <w:r w:rsidRPr="00C42B29">
        <w:rPr>
          <w:rFonts w:asciiTheme="minorHAnsi" w:hAnsiTheme="minorHAnsi"/>
          <w:bCs/>
          <w:snapToGrid w:val="0"/>
        </w:rPr>
        <w:t xml:space="preserve">including the ability to return to work, </w:t>
      </w:r>
      <w:r w:rsidR="00314FCC" w:rsidRPr="00C42B29">
        <w:rPr>
          <w:rFonts w:asciiTheme="minorHAnsi" w:hAnsiTheme="minorHAnsi"/>
          <w:bCs/>
          <w:snapToGrid w:val="0"/>
        </w:rPr>
        <w:t>improvements in quality of life and a reduction in blood transfusion</w:t>
      </w:r>
      <w:r w:rsidR="00851A76">
        <w:rPr>
          <w:rFonts w:asciiTheme="minorHAnsi" w:hAnsiTheme="minorHAnsi"/>
          <w:bCs/>
          <w:snapToGrid w:val="0"/>
        </w:rPr>
        <w:t>s</w:t>
      </w:r>
      <w:r w:rsidR="00314FCC" w:rsidRPr="00C42B29">
        <w:rPr>
          <w:rFonts w:asciiTheme="minorHAnsi" w:hAnsiTheme="minorHAnsi"/>
          <w:bCs/>
          <w:snapToGrid w:val="0"/>
        </w:rPr>
        <w:t xml:space="preserve">. Comments from the PNH Support Association of Australia describe the importance of this medicine in reducing hospital attendance for treatment, of being able to self-administer the infusion at home and the potential for greater flexibility with travel as a result. </w:t>
      </w:r>
      <w:r w:rsidR="00C42B29" w:rsidRPr="00C42B29">
        <w:rPr>
          <w:rFonts w:asciiTheme="minorHAnsi" w:hAnsiTheme="minorHAnsi"/>
          <w:bCs/>
          <w:snapToGrid w:val="0"/>
        </w:rPr>
        <w:t xml:space="preserve">The </w:t>
      </w:r>
      <w:r w:rsidR="00C42B29" w:rsidRPr="00984AD4">
        <w:rPr>
          <w:rFonts w:asciiTheme="minorHAnsi" w:hAnsiTheme="minorHAnsi"/>
          <w:bCs/>
          <w:snapToGrid w:val="0"/>
        </w:rPr>
        <w:t>comments from a health car</w:t>
      </w:r>
      <w:r w:rsidR="00851A76" w:rsidRPr="00984AD4">
        <w:rPr>
          <w:rFonts w:asciiTheme="minorHAnsi" w:hAnsiTheme="minorHAnsi"/>
          <w:bCs/>
          <w:snapToGrid w:val="0"/>
        </w:rPr>
        <w:t>e</w:t>
      </w:r>
      <w:r w:rsidR="00C42B29" w:rsidRPr="00984AD4">
        <w:rPr>
          <w:rFonts w:asciiTheme="minorHAnsi" w:hAnsiTheme="minorHAnsi"/>
          <w:bCs/>
          <w:snapToGrid w:val="0"/>
        </w:rPr>
        <w:t xml:space="preserve"> professional described the clinical need for </w:t>
      </w:r>
      <w:proofErr w:type="spellStart"/>
      <w:r w:rsidR="00C42B29" w:rsidRPr="00984AD4">
        <w:rPr>
          <w:rFonts w:asciiTheme="minorHAnsi" w:hAnsiTheme="minorHAnsi"/>
          <w:bCs/>
          <w:snapToGrid w:val="0"/>
        </w:rPr>
        <w:t>pegcetacoplan</w:t>
      </w:r>
      <w:proofErr w:type="spellEnd"/>
      <w:r w:rsidR="00C42B29" w:rsidRPr="00984AD4">
        <w:rPr>
          <w:rFonts w:asciiTheme="minorHAnsi" w:hAnsiTheme="minorHAnsi"/>
          <w:bCs/>
          <w:snapToGrid w:val="0"/>
        </w:rPr>
        <w:t xml:space="preserve"> along with benefits such as reduced fatigue and need for transfusions.</w:t>
      </w:r>
    </w:p>
    <w:bookmarkEnd w:id="10"/>
    <w:bookmarkEnd w:id="13"/>
    <w:p w14:paraId="609C0765" w14:textId="29D16499" w:rsidR="00B60939" w:rsidRPr="00984AD4" w:rsidRDefault="00B60939" w:rsidP="00851A76">
      <w:pPr>
        <w:pStyle w:val="3-SubsectionHeading"/>
      </w:pPr>
      <w:r w:rsidRPr="00984AD4">
        <w:lastRenderedPageBreak/>
        <w:t>Clinical</w:t>
      </w:r>
      <w:r w:rsidR="00973A21" w:rsidRPr="00984AD4">
        <w:t xml:space="preserve"> </w:t>
      </w:r>
      <w:r w:rsidRPr="00984AD4">
        <w:t>trials</w:t>
      </w:r>
      <w:bookmarkEnd w:id="9"/>
      <w:bookmarkEnd w:id="11"/>
    </w:p>
    <w:p w14:paraId="17DE34DC" w14:textId="4CF1AE3C" w:rsidR="007F1017" w:rsidRPr="00984AD4" w:rsidRDefault="00AB187A" w:rsidP="002A10E6">
      <w:pPr>
        <w:pStyle w:val="ExecSumBodyText"/>
        <w:spacing w:after="160"/>
      </w:pPr>
      <w:r w:rsidRPr="00984AD4">
        <w:t xml:space="preserve">The submission was based on a head-to-head trial (PEGASUS) comparing </w:t>
      </w:r>
      <w:proofErr w:type="spellStart"/>
      <w:r w:rsidRPr="00984AD4">
        <w:t>pegcetacoplan</w:t>
      </w:r>
      <w:proofErr w:type="spellEnd"/>
      <w:r w:rsidRPr="00984AD4">
        <w:t xml:space="preserve"> with eculizumab in patients with PNH who have low Hb level &lt;10.5 g/dL despite treatment with stable doses of eculizumab for at least 3 months.</w:t>
      </w:r>
    </w:p>
    <w:p w14:paraId="097C3504" w14:textId="78380AE4" w:rsidR="00455ADC" w:rsidRPr="00A05B02" w:rsidRDefault="00AB187A" w:rsidP="002A10E6">
      <w:pPr>
        <w:pStyle w:val="ExecSumBodyText"/>
        <w:spacing w:after="160"/>
      </w:pPr>
      <w:r w:rsidRPr="00984AD4">
        <w:t xml:space="preserve">A supportive indirect comparison of </w:t>
      </w:r>
      <w:proofErr w:type="spellStart"/>
      <w:r w:rsidRPr="00984AD4">
        <w:t>pegcetacoplan</w:t>
      </w:r>
      <w:proofErr w:type="spellEnd"/>
      <w:r w:rsidRPr="00984AD4">
        <w:t xml:space="preserve"> and </w:t>
      </w:r>
      <w:proofErr w:type="spellStart"/>
      <w:r w:rsidRPr="00984AD4">
        <w:t>ravulizumab</w:t>
      </w:r>
      <w:proofErr w:type="spellEnd"/>
      <w:r w:rsidRPr="00984AD4">
        <w:t xml:space="preserve"> based on the </w:t>
      </w:r>
      <w:proofErr w:type="spellStart"/>
      <w:r w:rsidRPr="00984AD4">
        <w:t>pegcetacoplan</w:t>
      </w:r>
      <w:proofErr w:type="spellEnd"/>
      <w:r w:rsidRPr="00984AD4">
        <w:t xml:space="preserve"> trial (PEGASUS) and </w:t>
      </w:r>
      <w:proofErr w:type="spellStart"/>
      <w:r w:rsidRPr="00984AD4">
        <w:t>ravulizumab</w:t>
      </w:r>
      <w:proofErr w:type="spellEnd"/>
      <w:r w:rsidRPr="00984AD4">
        <w:t xml:space="preserve"> trial (Trial 302), with eculizumab as a common reference was also presented in the submission. </w:t>
      </w:r>
      <w:r w:rsidR="00B42C63" w:rsidRPr="00984AD4">
        <w:t>The submission claimed that due to significant issues in transitivity between PEGASUS and Trial 302, and the inability to adjust</w:t>
      </w:r>
      <w:r w:rsidR="00B42C63" w:rsidRPr="00A47B4E">
        <w:t xml:space="preserve"> for clinically relevant baseline characteristics, the results of the matching adjusted indirect comparison (MAIC) of </w:t>
      </w:r>
      <w:proofErr w:type="spellStart"/>
      <w:r w:rsidR="00B42C63" w:rsidRPr="00A47B4E">
        <w:t>pegcetacoplan</w:t>
      </w:r>
      <w:proofErr w:type="spellEnd"/>
      <w:r w:rsidR="00B42C63" w:rsidRPr="00A47B4E">
        <w:t xml:space="preserve"> and </w:t>
      </w:r>
      <w:proofErr w:type="spellStart"/>
      <w:r w:rsidR="00B42C63" w:rsidRPr="00A47B4E">
        <w:t>ravulizumab</w:t>
      </w:r>
      <w:proofErr w:type="spellEnd"/>
      <w:r w:rsidR="00B42C63" w:rsidRPr="00A47B4E">
        <w:t xml:space="preserve"> are subject to serious risk of bias and may not be informative for decision-making.</w:t>
      </w:r>
      <w:r w:rsidR="00B42C63">
        <w:t xml:space="preserve"> </w:t>
      </w:r>
      <w:r w:rsidR="00455ADC" w:rsidRPr="00A05B02">
        <w:t xml:space="preserve">The </w:t>
      </w:r>
      <w:r w:rsidR="00A75C8D" w:rsidRPr="00937F6D">
        <w:t>evaluation considered the</w:t>
      </w:r>
      <w:r w:rsidR="00A75C8D">
        <w:rPr>
          <w:i/>
          <w:iCs/>
        </w:rPr>
        <w:t xml:space="preserve"> </w:t>
      </w:r>
      <w:r w:rsidR="00455ADC" w:rsidRPr="00A05B02">
        <w:t xml:space="preserve">submission’s claim was reasonable given the trial population in PEGASUS </w:t>
      </w:r>
      <w:r w:rsidR="000E3DF4" w:rsidRPr="00A05B02">
        <w:t>was</w:t>
      </w:r>
      <w:r w:rsidR="00455ADC" w:rsidRPr="00A05B02">
        <w:t xml:space="preserve"> those who had suboptimal haematological response despite eculizumab treatment and the population in Trial 302</w:t>
      </w:r>
      <w:r w:rsidR="000E3DF4" w:rsidRPr="00A05B02">
        <w:t xml:space="preserve"> was those</w:t>
      </w:r>
      <w:r w:rsidR="00455ADC" w:rsidRPr="00A05B02">
        <w:t xml:space="preserve"> who were clinically stable with eculizumab treatment based on LDH level and no recent major adverse vascular event (</w:t>
      </w:r>
      <w:proofErr w:type="gramStart"/>
      <w:r w:rsidR="00455ADC" w:rsidRPr="00A05B02">
        <w:t>i.e.</w:t>
      </w:r>
      <w:proofErr w:type="gramEnd"/>
      <w:r w:rsidR="00455ADC" w:rsidRPr="00A05B02">
        <w:t xml:space="preserve"> suboptimal responders vs responders). Baseline characteristics suggest patients in the PEGASUS trial had lower Hb levels and higher rates of transfusion compared to those in Trial 302 (</w:t>
      </w:r>
      <w:proofErr w:type="gramStart"/>
      <w:r w:rsidR="00455ADC" w:rsidRPr="00A05B02">
        <w:t>the majority of</w:t>
      </w:r>
      <w:proofErr w:type="gramEnd"/>
      <w:r w:rsidR="00455ADC" w:rsidRPr="00A05B02">
        <w:t xml:space="preserve"> Trial 302 patients were transfusion independent). In addition, the eculizumab arm in the PEGASUS trial allowed for higher doses whereas patients in the eculizumab arm of Trial 302 were only allowed standard dose eculizumab.</w:t>
      </w:r>
      <w:r w:rsidR="00340520">
        <w:t xml:space="preserve"> </w:t>
      </w:r>
    </w:p>
    <w:p w14:paraId="6EB600BF" w14:textId="3E2B066B" w:rsidR="00AB187A" w:rsidRPr="00340520" w:rsidRDefault="00E01DD4" w:rsidP="002A10E6">
      <w:pPr>
        <w:pStyle w:val="ExecSumBodyText"/>
        <w:spacing w:after="160"/>
      </w:pPr>
      <w:r w:rsidRPr="00340520">
        <w:t>Trial 302 has previously been considered by the PBAC during the July 2020 and July</w:t>
      </w:r>
      <w:r w:rsidR="00984AD4">
        <w:t> </w:t>
      </w:r>
      <w:r w:rsidRPr="00340520">
        <w:t xml:space="preserve">2021 considerations of </w:t>
      </w:r>
      <w:proofErr w:type="spellStart"/>
      <w:r w:rsidRPr="00340520">
        <w:t>ravulizumab</w:t>
      </w:r>
      <w:proofErr w:type="spellEnd"/>
      <w:r w:rsidRPr="00340520">
        <w:t xml:space="preserve"> for PNH. </w:t>
      </w:r>
    </w:p>
    <w:p w14:paraId="24463E1C" w14:textId="244F230E" w:rsidR="00340520" w:rsidRPr="00937F6D" w:rsidRDefault="00340520" w:rsidP="002A10E6">
      <w:pPr>
        <w:pStyle w:val="ExecSumBodyText"/>
        <w:spacing w:after="160"/>
      </w:pPr>
      <w:r w:rsidRPr="00937F6D">
        <w:t xml:space="preserve">The ESC noted </w:t>
      </w:r>
      <w:proofErr w:type="spellStart"/>
      <w:r w:rsidRPr="00937F6D">
        <w:t>ravulizumab</w:t>
      </w:r>
      <w:proofErr w:type="spellEnd"/>
      <w:r w:rsidRPr="00937F6D">
        <w:t xml:space="preserve"> is a pharmacological analogue of eculizumab and the PBAC had previously considered </w:t>
      </w:r>
      <w:proofErr w:type="spellStart"/>
      <w:r w:rsidRPr="00937F6D">
        <w:t>ravulizumab</w:t>
      </w:r>
      <w:proofErr w:type="spellEnd"/>
      <w:r w:rsidRPr="00937F6D">
        <w:t xml:space="preserve"> as non-inferior in effectiveness and safety compared to eculizumab, based on Trials 301 (treatment naïve) and 302 (previously stable on treatment with eculizumab) (</w:t>
      </w:r>
      <w:proofErr w:type="spellStart"/>
      <w:r w:rsidRPr="00937F6D">
        <w:t>ravulizumab</w:t>
      </w:r>
      <w:proofErr w:type="spellEnd"/>
      <w:r w:rsidRPr="00937F6D">
        <w:t xml:space="preserve"> PSD, July 2021 PBAC meeting). The ESC considered the comparative results from the PEGASUS trial </w:t>
      </w:r>
      <w:r w:rsidR="00A75C8D" w:rsidRPr="00937F6D">
        <w:t xml:space="preserve">between </w:t>
      </w:r>
      <w:proofErr w:type="spellStart"/>
      <w:r w:rsidR="00A75C8D" w:rsidRPr="00937F6D">
        <w:t>pegcetacoplan</w:t>
      </w:r>
      <w:proofErr w:type="spellEnd"/>
      <w:r w:rsidR="00A75C8D" w:rsidRPr="00937F6D">
        <w:t xml:space="preserve"> and eculizumab </w:t>
      </w:r>
      <w:r w:rsidRPr="00937F6D">
        <w:t xml:space="preserve">would </w:t>
      </w:r>
      <w:r w:rsidR="002B5CF5" w:rsidRPr="00937F6D">
        <w:t xml:space="preserve">likely </w:t>
      </w:r>
      <w:r w:rsidRPr="00937F6D">
        <w:t xml:space="preserve">be indicative of comparative effectiveness and safety between </w:t>
      </w:r>
      <w:proofErr w:type="spellStart"/>
      <w:r w:rsidRPr="00937F6D">
        <w:t>pegcetacoplan</w:t>
      </w:r>
      <w:proofErr w:type="spellEnd"/>
      <w:r w:rsidRPr="00937F6D">
        <w:t xml:space="preserve"> and </w:t>
      </w:r>
      <w:proofErr w:type="spellStart"/>
      <w:r w:rsidRPr="00937F6D">
        <w:t>ravulizumab</w:t>
      </w:r>
      <w:proofErr w:type="spellEnd"/>
      <w:r w:rsidRPr="00937F6D">
        <w:t xml:space="preserve">. </w:t>
      </w:r>
    </w:p>
    <w:p w14:paraId="2B59ABAC" w14:textId="1913B653" w:rsidR="00862502" w:rsidRPr="00746BBB" w:rsidRDefault="00A73134" w:rsidP="002A10E6">
      <w:pPr>
        <w:pStyle w:val="ExecSumBodyText"/>
        <w:spacing w:after="160"/>
      </w:pPr>
      <w:r w:rsidRPr="00746BBB">
        <w:rPr>
          <w:snapToGrid/>
        </w:rPr>
        <w:t>Details of the trials presented in the submission are provided in the table below.</w:t>
      </w:r>
    </w:p>
    <w:p w14:paraId="6036E7B1" w14:textId="7F7AB103" w:rsidR="00D203A1" w:rsidRPr="00746BBB" w:rsidRDefault="00D203A1" w:rsidP="002D7D3A">
      <w:pPr>
        <w:pStyle w:val="Caption"/>
      </w:pPr>
      <w:r w:rsidRPr="00746BBB">
        <w:lastRenderedPageBreak/>
        <w:t>Table</w:t>
      </w:r>
      <w:r w:rsidR="002D7D3A">
        <w:t xml:space="preserve"> </w:t>
      </w:r>
      <w:fldSimple w:instr=" SEQ Table \* ARABIC ">
        <w:r w:rsidR="000A62F7">
          <w:rPr>
            <w:noProof/>
          </w:rPr>
          <w:t>2</w:t>
        </w:r>
      </w:fldSimple>
      <w:r w:rsidRPr="00746BBB">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D203A1" w:rsidRPr="00746BBB" w14:paraId="0275418A" w14:textId="77777777" w:rsidTr="003F456B">
        <w:trPr>
          <w:tblHeader/>
        </w:trPr>
        <w:tc>
          <w:tcPr>
            <w:tcW w:w="796" w:type="pct"/>
            <w:vAlign w:val="center"/>
          </w:tcPr>
          <w:p w14:paraId="35635C39" w14:textId="77777777" w:rsidR="00D203A1" w:rsidRPr="00746BBB" w:rsidRDefault="00D203A1" w:rsidP="003F456B">
            <w:pPr>
              <w:pStyle w:val="Tableheadingrow"/>
              <w:rPr>
                <w:lang w:val="en-AU"/>
              </w:rPr>
            </w:pPr>
            <w:r w:rsidRPr="00746BBB">
              <w:rPr>
                <w:lang w:val="en-AU"/>
              </w:rPr>
              <w:t>Trial ID</w:t>
            </w:r>
          </w:p>
        </w:tc>
        <w:tc>
          <w:tcPr>
            <w:tcW w:w="3027" w:type="pct"/>
            <w:vAlign w:val="center"/>
          </w:tcPr>
          <w:p w14:paraId="3FD5D844" w14:textId="77777777" w:rsidR="00D203A1" w:rsidRPr="00746BBB" w:rsidRDefault="00D203A1" w:rsidP="003F456B">
            <w:pPr>
              <w:pStyle w:val="Tableheadingrow"/>
              <w:rPr>
                <w:lang w:val="en-AU"/>
              </w:rPr>
            </w:pPr>
            <w:r w:rsidRPr="00746BBB">
              <w:rPr>
                <w:lang w:val="en-AU"/>
              </w:rPr>
              <w:t>Protocol title/ Publication title</w:t>
            </w:r>
          </w:p>
        </w:tc>
        <w:tc>
          <w:tcPr>
            <w:tcW w:w="1177" w:type="pct"/>
            <w:vAlign w:val="center"/>
          </w:tcPr>
          <w:p w14:paraId="09D66F37" w14:textId="77777777" w:rsidR="00D203A1" w:rsidRPr="00746BBB" w:rsidRDefault="00D203A1" w:rsidP="003F456B">
            <w:pPr>
              <w:pStyle w:val="Tableheadingrow"/>
              <w:rPr>
                <w:lang w:val="en-AU"/>
              </w:rPr>
            </w:pPr>
            <w:r w:rsidRPr="00746BBB">
              <w:rPr>
                <w:lang w:val="en-AU"/>
              </w:rPr>
              <w:t>Publication citation</w:t>
            </w:r>
          </w:p>
        </w:tc>
      </w:tr>
      <w:tr w:rsidR="00D203A1" w:rsidRPr="00746BBB" w14:paraId="67028C00" w14:textId="77777777" w:rsidTr="003F456B">
        <w:tc>
          <w:tcPr>
            <w:tcW w:w="5000" w:type="pct"/>
            <w:gridSpan w:val="3"/>
            <w:tcBorders>
              <w:bottom w:val="nil"/>
            </w:tcBorders>
            <w:vAlign w:val="center"/>
          </w:tcPr>
          <w:p w14:paraId="675FF338" w14:textId="77777777" w:rsidR="00D203A1" w:rsidRPr="00746BBB" w:rsidRDefault="00D203A1" w:rsidP="003F456B">
            <w:pPr>
              <w:pStyle w:val="TableText"/>
              <w:rPr>
                <w:b/>
                <w:bCs w:val="0"/>
              </w:rPr>
            </w:pPr>
            <w:proofErr w:type="spellStart"/>
            <w:r w:rsidRPr="00746BBB">
              <w:rPr>
                <w:b/>
                <w:bCs w:val="0"/>
              </w:rPr>
              <w:t>Pegcetacoplan</w:t>
            </w:r>
            <w:proofErr w:type="spellEnd"/>
            <w:r w:rsidRPr="00746BBB">
              <w:rPr>
                <w:b/>
                <w:bCs w:val="0"/>
              </w:rPr>
              <w:t xml:space="preserve"> vs eculizumab</w:t>
            </w:r>
          </w:p>
        </w:tc>
      </w:tr>
      <w:tr w:rsidR="00D203A1" w:rsidRPr="00746BBB" w14:paraId="7A661546" w14:textId="77777777" w:rsidTr="003F456B">
        <w:tc>
          <w:tcPr>
            <w:tcW w:w="796" w:type="pct"/>
            <w:vMerge w:val="restart"/>
            <w:vAlign w:val="center"/>
          </w:tcPr>
          <w:p w14:paraId="67C1D8FA" w14:textId="77777777" w:rsidR="00D203A1" w:rsidRPr="00746BBB" w:rsidRDefault="00D203A1" w:rsidP="003F456B">
            <w:pPr>
              <w:pStyle w:val="TableText"/>
            </w:pPr>
            <w:r w:rsidRPr="00746BBB">
              <w:t xml:space="preserve">PEGASUS </w:t>
            </w:r>
          </w:p>
          <w:p w14:paraId="12ADEE20" w14:textId="77777777" w:rsidR="00D203A1" w:rsidRPr="00746BBB" w:rsidRDefault="00D203A1" w:rsidP="003F456B">
            <w:pPr>
              <w:pStyle w:val="TableText"/>
            </w:pPr>
            <w:r w:rsidRPr="00746BBB">
              <w:t>(APL2-302, NCT03500549)</w:t>
            </w:r>
          </w:p>
        </w:tc>
        <w:tc>
          <w:tcPr>
            <w:tcW w:w="3027" w:type="pct"/>
            <w:tcBorders>
              <w:bottom w:val="nil"/>
            </w:tcBorders>
            <w:vAlign w:val="center"/>
          </w:tcPr>
          <w:p w14:paraId="35950C68" w14:textId="77777777" w:rsidR="00D203A1" w:rsidRPr="00746BBB" w:rsidRDefault="00D203A1" w:rsidP="003F456B">
            <w:pPr>
              <w:pStyle w:val="TableText"/>
              <w:rPr>
                <w:szCs w:val="18"/>
              </w:rPr>
            </w:pPr>
            <w:r w:rsidRPr="00746BBB">
              <w:rPr>
                <w:szCs w:val="18"/>
              </w:rPr>
              <w:t xml:space="preserve">A Phase 3, Randomized, </w:t>
            </w:r>
            <w:proofErr w:type="spellStart"/>
            <w:r w:rsidRPr="00746BBB">
              <w:rPr>
                <w:szCs w:val="18"/>
              </w:rPr>
              <w:t>Multicenter</w:t>
            </w:r>
            <w:proofErr w:type="spellEnd"/>
            <w:r w:rsidRPr="00746BBB">
              <w:rPr>
                <w:szCs w:val="18"/>
              </w:rPr>
              <w:t xml:space="preserve">, Open-label, Active-comparator Controlled Study to Evaluate the Efficacy and Safety of </w:t>
            </w:r>
            <w:proofErr w:type="spellStart"/>
            <w:r w:rsidRPr="00746BBB">
              <w:rPr>
                <w:szCs w:val="18"/>
              </w:rPr>
              <w:t>Pegcetacoplan</w:t>
            </w:r>
            <w:proofErr w:type="spellEnd"/>
            <w:r w:rsidRPr="00746BBB">
              <w:rPr>
                <w:szCs w:val="18"/>
              </w:rPr>
              <w:t xml:space="preserve"> in Patients with Paroxysmal Nocturnal Hemoglobinuria (PNH). PEGASUS Clinical Trial Protocol.</w:t>
            </w:r>
          </w:p>
          <w:p w14:paraId="3209AFE6" w14:textId="77777777" w:rsidR="00D203A1" w:rsidRPr="00746BBB" w:rsidRDefault="00D203A1" w:rsidP="003F456B">
            <w:pPr>
              <w:pStyle w:val="TableText"/>
              <w:rPr>
                <w:szCs w:val="18"/>
              </w:rPr>
            </w:pPr>
            <w:r w:rsidRPr="00746BBB">
              <w:rPr>
                <w:szCs w:val="18"/>
              </w:rPr>
              <w:t xml:space="preserve">A Phase 3, Randomized, </w:t>
            </w:r>
            <w:proofErr w:type="spellStart"/>
            <w:r w:rsidRPr="00746BBB">
              <w:rPr>
                <w:szCs w:val="18"/>
              </w:rPr>
              <w:t>Multicenter</w:t>
            </w:r>
            <w:proofErr w:type="spellEnd"/>
            <w:r w:rsidRPr="00746BBB">
              <w:rPr>
                <w:szCs w:val="18"/>
              </w:rPr>
              <w:t xml:space="preserve">, Open-label, Active-comparator Controlled Study to Evaluate the Efficacy and Safety of </w:t>
            </w:r>
            <w:proofErr w:type="spellStart"/>
            <w:r w:rsidRPr="00746BBB">
              <w:rPr>
                <w:szCs w:val="18"/>
              </w:rPr>
              <w:t>Pegcetacoplan</w:t>
            </w:r>
            <w:proofErr w:type="spellEnd"/>
            <w:r w:rsidRPr="00746BBB">
              <w:rPr>
                <w:szCs w:val="18"/>
              </w:rPr>
              <w:t xml:space="preserve"> in Patients with Paroxysmal Nocturnal Hemoglobinuria (PNH). Week 16 Analysis.</w:t>
            </w:r>
          </w:p>
        </w:tc>
        <w:tc>
          <w:tcPr>
            <w:tcW w:w="1177" w:type="pct"/>
            <w:tcBorders>
              <w:bottom w:val="nil"/>
            </w:tcBorders>
          </w:tcPr>
          <w:p w14:paraId="38ADD449" w14:textId="77777777" w:rsidR="00D203A1" w:rsidRPr="00746BBB" w:rsidRDefault="00D203A1" w:rsidP="003F456B">
            <w:pPr>
              <w:pStyle w:val="TableText"/>
            </w:pPr>
            <w:r w:rsidRPr="00746BBB">
              <w:t>May 2020</w:t>
            </w:r>
          </w:p>
          <w:p w14:paraId="7FB5C42A" w14:textId="77777777" w:rsidR="00D203A1" w:rsidRPr="00746BBB" w:rsidRDefault="00D203A1" w:rsidP="003F456B">
            <w:pPr>
              <w:pStyle w:val="TableText"/>
            </w:pPr>
          </w:p>
          <w:p w14:paraId="7B3382AE" w14:textId="77777777" w:rsidR="00D203A1" w:rsidRPr="00746BBB" w:rsidRDefault="00D203A1" w:rsidP="003F456B">
            <w:pPr>
              <w:pStyle w:val="TableText"/>
            </w:pPr>
          </w:p>
          <w:p w14:paraId="02293E22" w14:textId="77777777" w:rsidR="00D203A1" w:rsidRPr="00746BBB" w:rsidRDefault="00D203A1" w:rsidP="003F456B">
            <w:pPr>
              <w:pStyle w:val="TableText"/>
            </w:pPr>
          </w:p>
          <w:p w14:paraId="034147A4" w14:textId="77777777" w:rsidR="00D203A1" w:rsidRPr="00746BBB" w:rsidRDefault="00D203A1" w:rsidP="003F456B">
            <w:pPr>
              <w:pStyle w:val="TableText"/>
            </w:pPr>
            <w:r w:rsidRPr="00746BBB">
              <w:t>May 2020</w:t>
            </w:r>
          </w:p>
        </w:tc>
      </w:tr>
      <w:tr w:rsidR="00D203A1" w:rsidRPr="00746BBB" w14:paraId="28DFE429" w14:textId="77777777" w:rsidTr="003F456B">
        <w:tc>
          <w:tcPr>
            <w:tcW w:w="796" w:type="pct"/>
            <w:vMerge/>
            <w:vAlign w:val="center"/>
          </w:tcPr>
          <w:p w14:paraId="394B2632" w14:textId="77777777" w:rsidR="00D203A1" w:rsidRPr="00746BBB" w:rsidRDefault="00D203A1" w:rsidP="003F456B">
            <w:pPr>
              <w:pStyle w:val="TableText"/>
            </w:pPr>
          </w:p>
        </w:tc>
        <w:tc>
          <w:tcPr>
            <w:tcW w:w="3027" w:type="pct"/>
            <w:tcBorders>
              <w:top w:val="nil"/>
              <w:bottom w:val="nil"/>
            </w:tcBorders>
            <w:vAlign w:val="center"/>
          </w:tcPr>
          <w:p w14:paraId="1305239C" w14:textId="77777777" w:rsidR="00D203A1" w:rsidRPr="00746BBB" w:rsidRDefault="00D203A1" w:rsidP="003F456B">
            <w:pPr>
              <w:pStyle w:val="TableText"/>
              <w:rPr>
                <w:szCs w:val="18"/>
              </w:rPr>
            </w:pPr>
            <w:r w:rsidRPr="00746BBB">
              <w:rPr>
                <w:szCs w:val="18"/>
              </w:rPr>
              <w:t xml:space="preserve">A Phase 3, Randomized, </w:t>
            </w:r>
            <w:proofErr w:type="spellStart"/>
            <w:r w:rsidRPr="00746BBB">
              <w:rPr>
                <w:szCs w:val="18"/>
              </w:rPr>
              <w:t>Multicenter</w:t>
            </w:r>
            <w:proofErr w:type="spellEnd"/>
            <w:r w:rsidRPr="00746BBB">
              <w:rPr>
                <w:szCs w:val="18"/>
              </w:rPr>
              <w:t xml:space="preserve">, Open-label, Active-comparator Controlled Study to Evaluate the Efficacy and Safety of </w:t>
            </w:r>
            <w:proofErr w:type="spellStart"/>
            <w:r w:rsidRPr="00746BBB">
              <w:rPr>
                <w:szCs w:val="18"/>
              </w:rPr>
              <w:t>Pegcetacoplan</w:t>
            </w:r>
            <w:proofErr w:type="spellEnd"/>
            <w:r w:rsidRPr="00746BBB">
              <w:rPr>
                <w:szCs w:val="18"/>
              </w:rPr>
              <w:t xml:space="preserve"> in Patients with Paroxysmal Nocturnal Hemoglobinuria (PNH). Week 48 Analysis.</w:t>
            </w:r>
          </w:p>
        </w:tc>
        <w:tc>
          <w:tcPr>
            <w:tcW w:w="1177" w:type="pct"/>
            <w:tcBorders>
              <w:top w:val="nil"/>
              <w:bottom w:val="nil"/>
            </w:tcBorders>
          </w:tcPr>
          <w:p w14:paraId="4733CA2C" w14:textId="77777777" w:rsidR="00D203A1" w:rsidRPr="00746BBB" w:rsidRDefault="00D203A1" w:rsidP="003F456B">
            <w:pPr>
              <w:pStyle w:val="TableText"/>
              <w:rPr>
                <w:szCs w:val="18"/>
              </w:rPr>
            </w:pPr>
            <w:r w:rsidRPr="00746BBB">
              <w:rPr>
                <w:szCs w:val="18"/>
              </w:rPr>
              <w:t>April 2021</w:t>
            </w:r>
          </w:p>
        </w:tc>
      </w:tr>
      <w:tr w:rsidR="00D203A1" w:rsidRPr="00746BBB" w14:paraId="5E218966" w14:textId="77777777" w:rsidTr="003F456B">
        <w:tc>
          <w:tcPr>
            <w:tcW w:w="796" w:type="pct"/>
            <w:vMerge/>
            <w:tcBorders>
              <w:bottom w:val="single" w:sz="4" w:space="0" w:color="auto"/>
            </w:tcBorders>
            <w:vAlign w:val="center"/>
          </w:tcPr>
          <w:p w14:paraId="3040BB22" w14:textId="77777777" w:rsidR="00D203A1" w:rsidRPr="00746BBB" w:rsidRDefault="00D203A1" w:rsidP="003F456B">
            <w:pPr>
              <w:pStyle w:val="TableText"/>
            </w:pPr>
          </w:p>
        </w:tc>
        <w:tc>
          <w:tcPr>
            <w:tcW w:w="3027" w:type="pct"/>
            <w:tcBorders>
              <w:top w:val="nil"/>
              <w:bottom w:val="single" w:sz="4" w:space="0" w:color="auto"/>
            </w:tcBorders>
          </w:tcPr>
          <w:p w14:paraId="3E57D0B5" w14:textId="77777777" w:rsidR="00D203A1" w:rsidRPr="00746BBB" w:rsidRDefault="00D203A1" w:rsidP="003F456B">
            <w:pPr>
              <w:pStyle w:val="TableText"/>
              <w:rPr>
                <w:szCs w:val="18"/>
              </w:rPr>
            </w:pPr>
            <w:r w:rsidRPr="00746BBB">
              <w:rPr>
                <w:szCs w:val="18"/>
              </w:rPr>
              <w:t xml:space="preserve">Hillmen P, </w:t>
            </w:r>
            <w:proofErr w:type="spellStart"/>
            <w:r w:rsidRPr="00746BBB">
              <w:rPr>
                <w:szCs w:val="18"/>
              </w:rPr>
              <w:t>Szer</w:t>
            </w:r>
            <w:proofErr w:type="spellEnd"/>
            <w:r w:rsidRPr="00746BBB">
              <w:rPr>
                <w:szCs w:val="18"/>
              </w:rPr>
              <w:t xml:space="preserve"> J, Weitz I et al. </w:t>
            </w:r>
            <w:proofErr w:type="spellStart"/>
            <w:r w:rsidRPr="00746BBB">
              <w:rPr>
                <w:szCs w:val="18"/>
              </w:rPr>
              <w:t>Pegcetacoplan</w:t>
            </w:r>
            <w:proofErr w:type="spellEnd"/>
            <w:r w:rsidRPr="00746BBB">
              <w:rPr>
                <w:szCs w:val="18"/>
              </w:rPr>
              <w:t xml:space="preserve"> versus eculizumab in paroxysmal nocturnal hemoglobinuria.</w:t>
            </w:r>
          </w:p>
        </w:tc>
        <w:tc>
          <w:tcPr>
            <w:tcW w:w="1177" w:type="pct"/>
            <w:tcBorders>
              <w:top w:val="nil"/>
              <w:bottom w:val="single" w:sz="4" w:space="0" w:color="auto"/>
            </w:tcBorders>
          </w:tcPr>
          <w:p w14:paraId="49EE82ED" w14:textId="77777777" w:rsidR="00D203A1" w:rsidRPr="00746BBB" w:rsidRDefault="00D203A1" w:rsidP="003F456B">
            <w:pPr>
              <w:pStyle w:val="TableText"/>
              <w:rPr>
                <w:iCs/>
                <w:szCs w:val="18"/>
              </w:rPr>
            </w:pPr>
            <w:r w:rsidRPr="00746BBB">
              <w:rPr>
                <w:iCs/>
                <w:szCs w:val="18"/>
              </w:rPr>
              <w:t>New England Journal of Medicine 2021;384(11):1028-37</w:t>
            </w:r>
          </w:p>
        </w:tc>
      </w:tr>
      <w:tr w:rsidR="00D203A1" w:rsidRPr="00746BBB" w14:paraId="0614C987" w14:textId="77777777" w:rsidTr="003F456B">
        <w:tc>
          <w:tcPr>
            <w:tcW w:w="5000" w:type="pct"/>
            <w:gridSpan w:val="3"/>
            <w:tcBorders>
              <w:top w:val="single" w:sz="4" w:space="0" w:color="auto"/>
              <w:bottom w:val="single" w:sz="4" w:space="0" w:color="auto"/>
            </w:tcBorders>
            <w:vAlign w:val="center"/>
          </w:tcPr>
          <w:p w14:paraId="47A0FCF3" w14:textId="77777777" w:rsidR="00D203A1" w:rsidRPr="00746BBB" w:rsidRDefault="00D203A1" w:rsidP="003F456B">
            <w:pPr>
              <w:pStyle w:val="TableText"/>
              <w:rPr>
                <w:b/>
                <w:bCs w:val="0"/>
                <w:iCs/>
                <w:szCs w:val="18"/>
              </w:rPr>
            </w:pPr>
            <w:proofErr w:type="spellStart"/>
            <w:r w:rsidRPr="00746BBB">
              <w:rPr>
                <w:b/>
                <w:bCs w:val="0"/>
                <w:iCs/>
                <w:szCs w:val="18"/>
              </w:rPr>
              <w:t>Ravulizumab</w:t>
            </w:r>
            <w:proofErr w:type="spellEnd"/>
            <w:r w:rsidRPr="00746BBB">
              <w:rPr>
                <w:b/>
                <w:bCs w:val="0"/>
                <w:iCs/>
                <w:szCs w:val="18"/>
              </w:rPr>
              <w:t xml:space="preserve"> vs eculizumab</w:t>
            </w:r>
          </w:p>
        </w:tc>
      </w:tr>
      <w:tr w:rsidR="00D203A1" w:rsidRPr="00746BBB" w14:paraId="76B3A902" w14:textId="77777777" w:rsidTr="003F456B">
        <w:tc>
          <w:tcPr>
            <w:tcW w:w="796" w:type="pct"/>
            <w:tcBorders>
              <w:top w:val="single" w:sz="4" w:space="0" w:color="auto"/>
              <w:bottom w:val="nil"/>
            </w:tcBorders>
            <w:vAlign w:val="center"/>
          </w:tcPr>
          <w:p w14:paraId="6683EBF3" w14:textId="77777777" w:rsidR="00D203A1" w:rsidRPr="00746BBB" w:rsidRDefault="00D203A1" w:rsidP="003F456B">
            <w:pPr>
              <w:pStyle w:val="TableText"/>
            </w:pPr>
            <w:r w:rsidRPr="00746BBB">
              <w:t>Trial 302</w:t>
            </w:r>
          </w:p>
          <w:p w14:paraId="6DFFB40C" w14:textId="77777777" w:rsidR="00D203A1" w:rsidRPr="00746BBB" w:rsidRDefault="00D203A1" w:rsidP="003F456B">
            <w:pPr>
              <w:pStyle w:val="TableText"/>
            </w:pPr>
            <w:r w:rsidRPr="00746BBB">
              <w:t>(NCT03056040)</w:t>
            </w:r>
          </w:p>
        </w:tc>
        <w:tc>
          <w:tcPr>
            <w:tcW w:w="3027" w:type="pct"/>
            <w:tcBorders>
              <w:top w:val="single" w:sz="4" w:space="0" w:color="auto"/>
              <w:bottom w:val="nil"/>
            </w:tcBorders>
            <w:vAlign w:val="center"/>
          </w:tcPr>
          <w:p w14:paraId="05AB2A59" w14:textId="77777777" w:rsidR="00D203A1" w:rsidRPr="00746BBB" w:rsidRDefault="00D203A1" w:rsidP="003F456B">
            <w:pPr>
              <w:pStyle w:val="TableText"/>
            </w:pPr>
            <w:proofErr w:type="spellStart"/>
            <w:r w:rsidRPr="00746BBB">
              <w:t>Kulasekararaj</w:t>
            </w:r>
            <w:proofErr w:type="spellEnd"/>
            <w:r w:rsidRPr="00746BBB">
              <w:t xml:space="preserve"> AG, Hill A, </w:t>
            </w:r>
            <w:proofErr w:type="spellStart"/>
            <w:r w:rsidRPr="00746BBB">
              <w:t>Rottinghaus</w:t>
            </w:r>
            <w:proofErr w:type="spellEnd"/>
            <w:r w:rsidRPr="00746BBB">
              <w:t xml:space="preserve"> ST et al. </w:t>
            </w:r>
            <w:proofErr w:type="spellStart"/>
            <w:r w:rsidRPr="00746BBB">
              <w:t>Ravulizumab</w:t>
            </w:r>
            <w:proofErr w:type="spellEnd"/>
            <w:r w:rsidRPr="00746BBB">
              <w:t xml:space="preserve"> (ALXN1210) vs eculizumab in C5-inhibitor-experienced adult patients with PNH: the 302 study.</w:t>
            </w:r>
          </w:p>
        </w:tc>
        <w:tc>
          <w:tcPr>
            <w:tcW w:w="1177" w:type="pct"/>
            <w:tcBorders>
              <w:top w:val="single" w:sz="4" w:space="0" w:color="auto"/>
              <w:bottom w:val="nil"/>
            </w:tcBorders>
          </w:tcPr>
          <w:p w14:paraId="128440B9" w14:textId="77777777" w:rsidR="00D203A1" w:rsidRPr="00746BBB" w:rsidRDefault="00D203A1" w:rsidP="003F456B">
            <w:pPr>
              <w:pStyle w:val="TableText"/>
            </w:pPr>
            <w:r w:rsidRPr="00746BBB">
              <w:t>Blood 2019;133(6):540-9</w:t>
            </w:r>
          </w:p>
        </w:tc>
      </w:tr>
      <w:tr w:rsidR="00D203A1" w:rsidRPr="00746BBB" w14:paraId="525BE361" w14:textId="77777777" w:rsidTr="003F456B">
        <w:tc>
          <w:tcPr>
            <w:tcW w:w="796" w:type="pct"/>
            <w:tcBorders>
              <w:top w:val="nil"/>
              <w:bottom w:val="nil"/>
            </w:tcBorders>
            <w:vAlign w:val="center"/>
          </w:tcPr>
          <w:p w14:paraId="6567AD95" w14:textId="77777777" w:rsidR="00D203A1" w:rsidRPr="00746BBB" w:rsidRDefault="00D203A1" w:rsidP="003F456B">
            <w:pPr>
              <w:pStyle w:val="TableText"/>
            </w:pPr>
          </w:p>
        </w:tc>
        <w:tc>
          <w:tcPr>
            <w:tcW w:w="3027" w:type="pct"/>
            <w:tcBorders>
              <w:top w:val="nil"/>
              <w:bottom w:val="nil"/>
            </w:tcBorders>
            <w:vAlign w:val="center"/>
          </w:tcPr>
          <w:p w14:paraId="557B10B5" w14:textId="77777777" w:rsidR="00D203A1" w:rsidRPr="00746BBB" w:rsidRDefault="00D203A1" w:rsidP="003F456B">
            <w:pPr>
              <w:pStyle w:val="TableText"/>
              <w:rPr>
                <w:szCs w:val="18"/>
              </w:rPr>
            </w:pPr>
            <w:proofErr w:type="spellStart"/>
            <w:r w:rsidRPr="00746BBB">
              <w:rPr>
                <w:szCs w:val="18"/>
              </w:rPr>
              <w:t>Kulasekararaj</w:t>
            </w:r>
            <w:proofErr w:type="spellEnd"/>
            <w:r w:rsidRPr="00746BBB">
              <w:rPr>
                <w:szCs w:val="18"/>
              </w:rPr>
              <w:t xml:space="preserve"> AG, Hill A, </w:t>
            </w:r>
            <w:proofErr w:type="spellStart"/>
            <w:r w:rsidRPr="00746BBB">
              <w:rPr>
                <w:szCs w:val="18"/>
              </w:rPr>
              <w:t>Langemeijer</w:t>
            </w:r>
            <w:proofErr w:type="spellEnd"/>
            <w:r w:rsidRPr="00746BBB">
              <w:rPr>
                <w:szCs w:val="18"/>
              </w:rPr>
              <w:t xml:space="preserve"> S et al. One-year outcomes from a phase 3 randomized trial of </w:t>
            </w:r>
            <w:proofErr w:type="spellStart"/>
            <w:r w:rsidRPr="00746BBB">
              <w:rPr>
                <w:szCs w:val="18"/>
              </w:rPr>
              <w:t>ravulizumab</w:t>
            </w:r>
            <w:proofErr w:type="spellEnd"/>
            <w:r w:rsidRPr="00746BBB">
              <w:rPr>
                <w:szCs w:val="18"/>
              </w:rPr>
              <w:t xml:space="preserve"> in adults with paroxysmal nocturnal hemoglobinuria who received prior eculizumab.</w:t>
            </w:r>
          </w:p>
        </w:tc>
        <w:tc>
          <w:tcPr>
            <w:tcW w:w="1177" w:type="pct"/>
            <w:tcBorders>
              <w:top w:val="nil"/>
              <w:bottom w:val="nil"/>
            </w:tcBorders>
          </w:tcPr>
          <w:p w14:paraId="6D3CD8F3" w14:textId="77777777" w:rsidR="00D203A1" w:rsidRPr="00746BBB" w:rsidRDefault="00D203A1" w:rsidP="003F456B">
            <w:pPr>
              <w:pStyle w:val="TableText"/>
              <w:rPr>
                <w:iCs/>
              </w:rPr>
            </w:pPr>
            <w:r w:rsidRPr="00746BBB">
              <w:rPr>
                <w:iCs/>
              </w:rPr>
              <w:t>European journal of haematology 2021;106(3):389-97</w:t>
            </w:r>
          </w:p>
        </w:tc>
      </w:tr>
      <w:tr w:rsidR="00D203A1" w:rsidRPr="00746BBB" w14:paraId="3D2E1ABF" w14:textId="77777777" w:rsidTr="003F456B">
        <w:trPr>
          <w:trHeight w:val="60"/>
        </w:trPr>
        <w:tc>
          <w:tcPr>
            <w:tcW w:w="796" w:type="pct"/>
            <w:tcBorders>
              <w:top w:val="nil"/>
              <w:bottom w:val="single" w:sz="4" w:space="0" w:color="auto"/>
            </w:tcBorders>
            <w:vAlign w:val="center"/>
          </w:tcPr>
          <w:p w14:paraId="2A2ED8E1" w14:textId="77777777" w:rsidR="00D203A1" w:rsidRPr="00746BBB" w:rsidRDefault="00D203A1" w:rsidP="003F456B">
            <w:pPr>
              <w:pStyle w:val="TableText"/>
            </w:pPr>
          </w:p>
        </w:tc>
        <w:tc>
          <w:tcPr>
            <w:tcW w:w="3027" w:type="pct"/>
            <w:tcBorders>
              <w:top w:val="nil"/>
              <w:bottom w:val="single" w:sz="4" w:space="0" w:color="auto"/>
            </w:tcBorders>
            <w:vAlign w:val="center"/>
          </w:tcPr>
          <w:p w14:paraId="62430501" w14:textId="77777777" w:rsidR="00D203A1" w:rsidRPr="00746BBB" w:rsidRDefault="00D203A1" w:rsidP="003F456B">
            <w:pPr>
              <w:pStyle w:val="TableText"/>
              <w:rPr>
                <w:szCs w:val="18"/>
              </w:rPr>
            </w:pPr>
            <w:r w:rsidRPr="00746BBB">
              <w:rPr>
                <w:szCs w:val="18"/>
              </w:rPr>
              <w:t xml:space="preserve">Brodsky RA, </w:t>
            </w:r>
            <w:proofErr w:type="spellStart"/>
            <w:r w:rsidRPr="00746BBB">
              <w:rPr>
                <w:szCs w:val="18"/>
              </w:rPr>
              <w:t>Peffault</w:t>
            </w:r>
            <w:proofErr w:type="spellEnd"/>
            <w:r w:rsidRPr="00746BBB">
              <w:rPr>
                <w:szCs w:val="18"/>
              </w:rPr>
              <w:t xml:space="preserve"> de Latour R, </w:t>
            </w:r>
            <w:proofErr w:type="spellStart"/>
            <w:r w:rsidRPr="00746BBB">
              <w:rPr>
                <w:szCs w:val="18"/>
              </w:rPr>
              <w:t>Rottinghaus</w:t>
            </w:r>
            <w:proofErr w:type="spellEnd"/>
            <w:r w:rsidRPr="00746BBB">
              <w:rPr>
                <w:szCs w:val="18"/>
              </w:rPr>
              <w:t xml:space="preserve"> ST et al. Characterization of breakthrough </w:t>
            </w:r>
            <w:proofErr w:type="spellStart"/>
            <w:r w:rsidRPr="00746BBB">
              <w:rPr>
                <w:szCs w:val="18"/>
              </w:rPr>
              <w:t>hemolysis</w:t>
            </w:r>
            <w:proofErr w:type="spellEnd"/>
            <w:r w:rsidRPr="00746BBB">
              <w:rPr>
                <w:szCs w:val="18"/>
              </w:rPr>
              <w:t xml:space="preserve"> events observed in the phase 3 randomized studies of </w:t>
            </w:r>
            <w:proofErr w:type="spellStart"/>
            <w:r w:rsidRPr="00746BBB">
              <w:rPr>
                <w:szCs w:val="18"/>
              </w:rPr>
              <w:t>ravulizumab</w:t>
            </w:r>
            <w:proofErr w:type="spellEnd"/>
            <w:r w:rsidRPr="00746BBB">
              <w:rPr>
                <w:szCs w:val="18"/>
              </w:rPr>
              <w:t xml:space="preserve"> versus eculizumab in adults with paroxysmal nocturnal hemoglobinuria.</w:t>
            </w:r>
          </w:p>
        </w:tc>
        <w:tc>
          <w:tcPr>
            <w:tcW w:w="1177" w:type="pct"/>
            <w:tcBorders>
              <w:top w:val="nil"/>
              <w:bottom w:val="single" w:sz="4" w:space="0" w:color="auto"/>
            </w:tcBorders>
          </w:tcPr>
          <w:p w14:paraId="4023EC54" w14:textId="77777777" w:rsidR="00D203A1" w:rsidRPr="00746BBB" w:rsidRDefault="00D203A1" w:rsidP="003F456B">
            <w:pPr>
              <w:pStyle w:val="TableText"/>
            </w:pPr>
            <w:proofErr w:type="spellStart"/>
            <w:r w:rsidRPr="00746BBB">
              <w:t>Haematologica</w:t>
            </w:r>
            <w:proofErr w:type="spellEnd"/>
            <w:r w:rsidRPr="00746BBB">
              <w:t xml:space="preserve"> 2021;106(1):230-7</w:t>
            </w:r>
          </w:p>
        </w:tc>
      </w:tr>
      <w:tr w:rsidR="00D203A1" w:rsidRPr="00746BBB" w14:paraId="1A165B05" w14:textId="77777777" w:rsidTr="003F456B">
        <w:trPr>
          <w:trHeight w:val="60"/>
        </w:trPr>
        <w:tc>
          <w:tcPr>
            <w:tcW w:w="5000" w:type="pct"/>
            <w:gridSpan w:val="3"/>
            <w:tcBorders>
              <w:top w:val="single" w:sz="4" w:space="0" w:color="auto"/>
              <w:bottom w:val="single" w:sz="4" w:space="0" w:color="auto"/>
            </w:tcBorders>
            <w:vAlign w:val="center"/>
          </w:tcPr>
          <w:p w14:paraId="2CC4EF20" w14:textId="77777777" w:rsidR="00D203A1" w:rsidRPr="00746BBB" w:rsidRDefault="00D203A1" w:rsidP="003F456B">
            <w:pPr>
              <w:pStyle w:val="TableText"/>
              <w:rPr>
                <w:b/>
                <w:bCs w:val="0"/>
              </w:rPr>
            </w:pPr>
            <w:r w:rsidRPr="00746BBB">
              <w:rPr>
                <w:b/>
                <w:bCs w:val="0"/>
              </w:rPr>
              <w:t xml:space="preserve">Indirect comparison of </w:t>
            </w:r>
            <w:proofErr w:type="spellStart"/>
            <w:r w:rsidRPr="00746BBB">
              <w:rPr>
                <w:b/>
                <w:bCs w:val="0"/>
              </w:rPr>
              <w:t>pegcetacoplan</w:t>
            </w:r>
            <w:proofErr w:type="spellEnd"/>
            <w:r w:rsidRPr="00746BBB">
              <w:rPr>
                <w:b/>
                <w:bCs w:val="0"/>
              </w:rPr>
              <w:t xml:space="preserve"> and </w:t>
            </w:r>
            <w:proofErr w:type="spellStart"/>
            <w:r w:rsidRPr="00746BBB">
              <w:rPr>
                <w:b/>
                <w:bCs w:val="0"/>
              </w:rPr>
              <w:t>ravulizumab</w:t>
            </w:r>
            <w:proofErr w:type="spellEnd"/>
          </w:p>
        </w:tc>
      </w:tr>
      <w:tr w:rsidR="00D203A1" w:rsidRPr="00746BBB" w14:paraId="3C99E8D6" w14:textId="77777777" w:rsidTr="003F456B">
        <w:tc>
          <w:tcPr>
            <w:tcW w:w="796" w:type="pct"/>
            <w:tcBorders>
              <w:top w:val="single" w:sz="4" w:space="0" w:color="auto"/>
              <w:bottom w:val="single" w:sz="4" w:space="0" w:color="auto"/>
            </w:tcBorders>
            <w:vAlign w:val="center"/>
          </w:tcPr>
          <w:p w14:paraId="66AE91BA" w14:textId="77777777" w:rsidR="00D203A1" w:rsidRPr="00746BBB" w:rsidRDefault="00D203A1" w:rsidP="003F456B">
            <w:pPr>
              <w:pStyle w:val="TableText"/>
            </w:pPr>
            <w:proofErr w:type="spellStart"/>
            <w:r w:rsidRPr="00746BBB">
              <w:t>Bhak</w:t>
            </w:r>
            <w:proofErr w:type="spellEnd"/>
            <w:r w:rsidRPr="00746BBB">
              <w:t xml:space="preserve"> 2020</w:t>
            </w:r>
          </w:p>
        </w:tc>
        <w:tc>
          <w:tcPr>
            <w:tcW w:w="3027" w:type="pct"/>
            <w:tcBorders>
              <w:top w:val="single" w:sz="4" w:space="0" w:color="auto"/>
              <w:bottom w:val="single" w:sz="4" w:space="0" w:color="auto"/>
            </w:tcBorders>
            <w:vAlign w:val="center"/>
          </w:tcPr>
          <w:p w14:paraId="52196E47" w14:textId="77777777" w:rsidR="00D203A1" w:rsidRPr="00746BBB" w:rsidRDefault="00D203A1" w:rsidP="003F456B">
            <w:pPr>
              <w:pStyle w:val="TableText"/>
            </w:pPr>
            <w:proofErr w:type="spellStart"/>
            <w:r w:rsidRPr="00746BBB">
              <w:t>Bhak</w:t>
            </w:r>
            <w:proofErr w:type="spellEnd"/>
            <w:r w:rsidRPr="00746BBB">
              <w:t xml:space="preserve"> RH, </w:t>
            </w:r>
            <w:proofErr w:type="spellStart"/>
            <w:r w:rsidRPr="00746BBB">
              <w:t>Mody</w:t>
            </w:r>
            <w:proofErr w:type="spellEnd"/>
            <w:r w:rsidRPr="00746BBB">
              <w:t xml:space="preserve">-Patel N, </w:t>
            </w:r>
            <w:proofErr w:type="spellStart"/>
            <w:r w:rsidRPr="00746BBB">
              <w:t>Baver</w:t>
            </w:r>
            <w:proofErr w:type="spellEnd"/>
            <w:r w:rsidRPr="00746BBB">
              <w:t xml:space="preserve"> SB et al. Comparative effectiveness of </w:t>
            </w:r>
            <w:proofErr w:type="spellStart"/>
            <w:r w:rsidRPr="00746BBB">
              <w:t>pegcetacoplan</w:t>
            </w:r>
            <w:proofErr w:type="spellEnd"/>
            <w:r w:rsidRPr="00746BBB">
              <w:t xml:space="preserve"> versus </w:t>
            </w:r>
            <w:proofErr w:type="spellStart"/>
            <w:r w:rsidRPr="00746BBB">
              <w:t>ravulizumab</w:t>
            </w:r>
            <w:proofErr w:type="spellEnd"/>
            <w:r w:rsidRPr="00746BBB">
              <w:t xml:space="preserve"> in patients with paroxysmal nocturnal hemoglobinuria previously treated with eculizumab: a matching-adjusted indirect comparison.</w:t>
            </w:r>
          </w:p>
        </w:tc>
        <w:tc>
          <w:tcPr>
            <w:tcW w:w="1177" w:type="pct"/>
            <w:tcBorders>
              <w:top w:val="single" w:sz="4" w:space="0" w:color="auto"/>
              <w:bottom w:val="single" w:sz="4" w:space="0" w:color="auto"/>
            </w:tcBorders>
          </w:tcPr>
          <w:p w14:paraId="34A86E3D" w14:textId="77777777" w:rsidR="00D203A1" w:rsidRPr="00746BBB" w:rsidRDefault="00D203A1" w:rsidP="003F456B">
            <w:pPr>
              <w:pStyle w:val="TableText"/>
            </w:pPr>
            <w:r w:rsidRPr="00746BBB">
              <w:t>Current Medical Research and Opinion 2021; 37(11):1913-23</w:t>
            </w:r>
          </w:p>
        </w:tc>
      </w:tr>
    </w:tbl>
    <w:p w14:paraId="778628F0" w14:textId="77777777" w:rsidR="00D203A1" w:rsidRPr="00746BBB" w:rsidRDefault="00D203A1" w:rsidP="00D203A1">
      <w:pPr>
        <w:pStyle w:val="TableFigureFooter"/>
        <w:tabs>
          <w:tab w:val="left" w:pos="3720"/>
        </w:tabs>
      </w:pPr>
      <w:r w:rsidRPr="00746BBB">
        <w:t>Source: Table 2-3, p 39 and Table 2-4, p 43 of the submission</w:t>
      </w:r>
    </w:p>
    <w:p w14:paraId="70DD7F2A" w14:textId="77777777" w:rsidR="00D203A1" w:rsidRPr="00746BBB" w:rsidRDefault="00D203A1" w:rsidP="00D203A1">
      <w:pPr>
        <w:pStyle w:val="TableFigureFooter"/>
        <w:tabs>
          <w:tab w:val="left" w:pos="3720"/>
        </w:tabs>
        <w:rPr>
          <w:sz w:val="20"/>
        </w:rPr>
      </w:pPr>
      <w:r w:rsidRPr="00746BBB">
        <w:t xml:space="preserve">Note: There were multiple citations related to the PEGASUS trial and Trial 302 (abstracts and/or poster presentations) that were not included in the table above. The full lists are presented in Table 2-3, p 39 and Table 2-4, p 43 of the submission. </w:t>
      </w:r>
      <w:r w:rsidRPr="00746BBB">
        <w:tab/>
      </w:r>
    </w:p>
    <w:p w14:paraId="1DD06D7D" w14:textId="5CC8B776" w:rsidR="007F1017" w:rsidRPr="00746BBB" w:rsidRDefault="008F120A" w:rsidP="002A10E6">
      <w:pPr>
        <w:pStyle w:val="ExecSumBodyText"/>
        <w:spacing w:after="160"/>
        <w:rPr>
          <w:color w:val="0066FF"/>
        </w:rPr>
      </w:pPr>
      <w:r w:rsidRPr="00746BBB">
        <w:t xml:space="preserve">The key features of </w:t>
      </w:r>
      <w:r w:rsidR="00BD795D">
        <w:t xml:space="preserve">the </w:t>
      </w:r>
      <w:r w:rsidR="009B05E5">
        <w:t>PEGASUS trial are</w:t>
      </w:r>
      <w:r w:rsidRPr="00746BBB">
        <w:t xml:space="preserve"> summarised in the table below.</w:t>
      </w:r>
    </w:p>
    <w:p w14:paraId="355E2F15" w14:textId="73A7F569" w:rsidR="007F1017" w:rsidRPr="002D7D3A" w:rsidRDefault="007F1017" w:rsidP="002D7D3A">
      <w:pPr>
        <w:pStyle w:val="Caption"/>
      </w:pPr>
      <w:r w:rsidRPr="002D7D3A">
        <w:t xml:space="preserve">Table </w:t>
      </w:r>
      <w:fldSimple w:instr=" SEQ Table \* ARABIC ">
        <w:r w:rsidR="000A62F7">
          <w:rPr>
            <w:noProof/>
          </w:rPr>
          <w:t>3</w:t>
        </w:r>
      </w:fldSimple>
      <w:r w:rsidRPr="002D7D3A">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3"/>
        <w:gridCol w:w="509"/>
        <w:gridCol w:w="1105"/>
        <w:gridCol w:w="696"/>
        <w:gridCol w:w="1527"/>
        <w:gridCol w:w="1105"/>
        <w:gridCol w:w="3142"/>
      </w:tblGrid>
      <w:tr w:rsidR="008828A4" w:rsidRPr="00746BBB" w14:paraId="53DD7CC6" w14:textId="77777777" w:rsidTr="008828A4">
        <w:trPr>
          <w:cantSplit/>
          <w:tblHeader/>
        </w:trPr>
        <w:tc>
          <w:tcPr>
            <w:tcW w:w="517" w:type="pct"/>
            <w:shd w:val="clear" w:color="auto" w:fill="auto"/>
            <w:vAlign w:val="center"/>
          </w:tcPr>
          <w:p w14:paraId="794116BC" w14:textId="77777777" w:rsidR="007F1017" w:rsidRPr="00746BBB" w:rsidRDefault="007F1017" w:rsidP="001E34DF">
            <w:pPr>
              <w:pStyle w:val="Tableheadingrow"/>
              <w:rPr>
                <w:lang w:val="en-AU"/>
              </w:rPr>
            </w:pPr>
            <w:r w:rsidRPr="00746BBB">
              <w:rPr>
                <w:lang w:val="en-AU"/>
              </w:rPr>
              <w:t>Trial</w:t>
            </w:r>
          </w:p>
        </w:tc>
        <w:tc>
          <w:tcPr>
            <w:tcW w:w="282" w:type="pct"/>
            <w:shd w:val="clear" w:color="auto" w:fill="auto"/>
            <w:vAlign w:val="center"/>
          </w:tcPr>
          <w:p w14:paraId="51122FE5" w14:textId="77777777" w:rsidR="007F1017" w:rsidRPr="00746BBB" w:rsidRDefault="007F1017" w:rsidP="00EC5836">
            <w:pPr>
              <w:pStyle w:val="Tableheadingrow"/>
              <w:jc w:val="center"/>
              <w:rPr>
                <w:lang w:val="en-AU"/>
              </w:rPr>
            </w:pPr>
            <w:r w:rsidRPr="00746BBB">
              <w:rPr>
                <w:lang w:val="en-AU"/>
              </w:rPr>
              <w:t>N</w:t>
            </w:r>
          </w:p>
        </w:tc>
        <w:tc>
          <w:tcPr>
            <w:tcW w:w="613" w:type="pct"/>
            <w:shd w:val="clear" w:color="auto" w:fill="auto"/>
            <w:vAlign w:val="center"/>
          </w:tcPr>
          <w:p w14:paraId="41C438EF" w14:textId="77777777" w:rsidR="007F1017" w:rsidRPr="00746BBB" w:rsidRDefault="007F1017" w:rsidP="00EC5836">
            <w:pPr>
              <w:pStyle w:val="Tableheadingrow"/>
              <w:jc w:val="center"/>
              <w:rPr>
                <w:lang w:val="en-AU"/>
              </w:rPr>
            </w:pPr>
            <w:r w:rsidRPr="00746BBB">
              <w:rPr>
                <w:lang w:val="en-AU"/>
              </w:rPr>
              <w:t>Design/ duration</w:t>
            </w:r>
          </w:p>
        </w:tc>
        <w:tc>
          <w:tcPr>
            <w:tcW w:w="386" w:type="pct"/>
            <w:shd w:val="clear" w:color="auto" w:fill="auto"/>
            <w:vAlign w:val="center"/>
          </w:tcPr>
          <w:p w14:paraId="1FC91360" w14:textId="77777777" w:rsidR="007F1017" w:rsidRPr="00746BBB" w:rsidRDefault="007F1017" w:rsidP="00EC5836">
            <w:pPr>
              <w:pStyle w:val="Tableheadingrow"/>
              <w:jc w:val="center"/>
              <w:rPr>
                <w:lang w:val="en-AU"/>
              </w:rPr>
            </w:pPr>
            <w:r w:rsidRPr="00746BBB">
              <w:rPr>
                <w:lang w:val="en-AU"/>
              </w:rPr>
              <w:t>Risk of bias</w:t>
            </w:r>
          </w:p>
        </w:tc>
        <w:tc>
          <w:tcPr>
            <w:tcW w:w="847" w:type="pct"/>
            <w:shd w:val="clear" w:color="auto" w:fill="auto"/>
            <w:vAlign w:val="center"/>
          </w:tcPr>
          <w:p w14:paraId="7FF90896" w14:textId="77777777" w:rsidR="007F1017" w:rsidRPr="00746BBB" w:rsidRDefault="007F1017" w:rsidP="00EC5836">
            <w:pPr>
              <w:pStyle w:val="Tableheadingrow"/>
              <w:jc w:val="center"/>
              <w:rPr>
                <w:lang w:val="en-AU"/>
              </w:rPr>
            </w:pPr>
            <w:r w:rsidRPr="00746BBB">
              <w:rPr>
                <w:lang w:val="en-AU"/>
              </w:rPr>
              <w:t>Patient population</w:t>
            </w:r>
          </w:p>
        </w:tc>
        <w:tc>
          <w:tcPr>
            <w:tcW w:w="613" w:type="pct"/>
            <w:shd w:val="clear" w:color="auto" w:fill="auto"/>
            <w:vAlign w:val="center"/>
          </w:tcPr>
          <w:p w14:paraId="0FCB63F9" w14:textId="42B7DB32" w:rsidR="007F1017" w:rsidRPr="00746BBB" w:rsidRDefault="007F1017" w:rsidP="00EC5836">
            <w:pPr>
              <w:pStyle w:val="Tableheadingrow"/>
              <w:jc w:val="center"/>
              <w:rPr>
                <w:lang w:val="en-AU"/>
              </w:rPr>
            </w:pPr>
            <w:r w:rsidRPr="00746BBB">
              <w:rPr>
                <w:lang w:val="en-AU"/>
              </w:rPr>
              <w:t>Outcome</w:t>
            </w:r>
            <w:r w:rsidR="008828A4">
              <w:rPr>
                <w:lang w:val="en-AU"/>
              </w:rPr>
              <w:t>s</w:t>
            </w:r>
          </w:p>
        </w:tc>
        <w:tc>
          <w:tcPr>
            <w:tcW w:w="1742" w:type="pct"/>
            <w:shd w:val="clear" w:color="auto" w:fill="auto"/>
            <w:vAlign w:val="center"/>
          </w:tcPr>
          <w:p w14:paraId="08C6F624" w14:textId="77777777" w:rsidR="007F1017" w:rsidRPr="00746BBB" w:rsidRDefault="007F1017" w:rsidP="00EC5836">
            <w:pPr>
              <w:pStyle w:val="Tableheadingrow"/>
              <w:jc w:val="center"/>
              <w:rPr>
                <w:lang w:val="en-AU"/>
              </w:rPr>
            </w:pPr>
            <w:r w:rsidRPr="00746BBB">
              <w:rPr>
                <w:lang w:val="en-AU"/>
              </w:rPr>
              <w:t>Use in modelled evaluation</w:t>
            </w:r>
          </w:p>
        </w:tc>
      </w:tr>
      <w:tr w:rsidR="007F1017" w:rsidRPr="00746BBB" w14:paraId="2A03CD4B" w14:textId="77777777" w:rsidTr="00682BA6">
        <w:trPr>
          <w:cantSplit/>
        </w:trPr>
        <w:tc>
          <w:tcPr>
            <w:tcW w:w="5000" w:type="pct"/>
            <w:gridSpan w:val="7"/>
            <w:shd w:val="clear" w:color="auto" w:fill="auto"/>
            <w:vAlign w:val="center"/>
          </w:tcPr>
          <w:p w14:paraId="73088C85" w14:textId="19FAD3BB" w:rsidR="007F1017" w:rsidRPr="00746BBB" w:rsidRDefault="00D90570" w:rsidP="00EC5836">
            <w:pPr>
              <w:pStyle w:val="Tableheadingrow"/>
              <w:rPr>
                <w:lang w:val="en-AU"/>
              </w:rPr>
            </w:pPr>
            <w:proofErr w:type="spellStart"/>
            <w:r>
              <w:rPr>
                <w:lang w:val="en-AU"/>
              </w:rPr>
              <w:t>Pegcetacoplan</w:t>
            </w:r>
            <w:proofErr w:type="spellEnd"/>
            <w:r>
              <w:rPr>
                <w:lang w:val="en-AU"/>
              </w:rPr>
              <w:t xml:space="preserve"> vs eculizumab</w:t>
            </w:r>
          </w:p>
        </w:tc>
      </w:tr>
      <w:tr w:rsidR="008828A4" w:rsidRPr="00746BBB" w14:paraId="4EE88DCB" w14:textId="77777777" w:rsidTr="008828A4">
        <w:trPr>
          <w:cantSplit/>
        </w:trPr>
        <w:tc>
          <w:tcPr>
            <w:tcW w:w="517" w:type="pct"/>
            <w:shd w:val="clear" w:color="auto" w:fill="auto"/>
            <w:vAlign w:val="center"/>
          </w:tcPr>
          <w:p w14:paraId="6EE77D33" w14:textId="68757080" w:rsidR="007F1017" w:rsidRPr="00746BBB" w:rsidRDefault="008679CA" w:rsidP="00EC5836">
            <w:pPr>
              <w:pStyle w:val="TableText"/>
            </w:pPr>
            <w:r>
              <w:t>PEGASUS</w:t>
            </w:r>
          </w:p>
        </w:tc>
        <w:tc>
          <w:tcPr>
            <w:tcW w:w="282" w:type="pct"/>
            <w:shd w:val="clear" w:color="auto" w:fill="auto"/>
            <w:vAlign w:val="center"/>
          </w:tcPr>
          <w:p w14:paraId="41BB0E41" w14:textId="02ABA6EC" w:rsidR="007F1017" w:rsidRPr="00746BBB" w:rsidRDefault="008679CA" w:rsidP="00EC5836">
            <w:pPr>
              <w:pStyle w:val="TableText"/>
              <w:jc w:val="center"/>
            </w:pPr>
            <w:r>
              <w:t>80</w:t>
            </w:r>
          </w:p>
        </w:tc>
        <w:tc>
          <w:tcPr>
            <w:tcW w:w="613" w:type="pct"/>
            <w:shd w:val="clear" w:color="auto" w:fill="auto"/>
            <w:vAlign w:val="center"/>
          </w:tcPr>
          <w:p w14:paraId="744D08AC" w14:textId="71249EE9" w:rsidR="007F1017" w:rsidRPr="00746BBB" w:rsidRDefault="008679CA" w:rsidP="00EC5836">
            <w:pPr>
              <w:pStyle w:val="TableText"/>
              <w:jc w:val="center"/>
            </w:pPr>
            <w:r>
              <w:t xml:space="preserve">MC, R, </w:t>
            </w:r>
            <w:r w:rsidR="00C5214A">
              <w:t>OL</w:t>
            </w:r>
            <w:r w:rsidR="005A53B5">
              <w:t xml:space="preserve">, active controlled trial (4-week run-in, 16-week RCP, </w:t>
            </w:r>
            <w:r w:rsidR="001B22A5">
              <w:t>32-week O</w:t>
            </w:r>
            <w:r w:rsidR="004B242C">
              <w:t>LP</w:t>
            </w:r>
            <w:r w:rsidR="001B22A5">
              <w:t>)</w:t>
            </w:r>
          </w:p>
        </w:tc>
        <w:tc>
          <w:tcPr>
            <w:tcW w:w="386" w:type="pct"/>
            <w:shd w:val="clear" w:color="auto" w:fill="auto"/>
            <w:vAlign w:val="center"/>
          </w:tcPr>
          <w:p w14:paraId="4A529D74" w14:textId="0BF4D738" w:rsidR="007F1017" w:rsidRPr="00340520" w:rsidRDefault="004B242C" w:rsidP="00EC5836">
            <w:pPr>
              <w:pStyle w:val="TableText"/>
              <w:jc w:val="center"/>
              <w:rPr>
                <w:iCs/>
              </w:rPr>
            </w:pPr>
            <w:r w:rsidRPr="00340520">
              <w:rPr>
                <w:iCs/>
              </w:rPr>
              <w:t>High</w:t>
            </w:r>
          </w:p>
        </w:tc>
        <w:tc>
          <w:tcPr>
            <w:tcW w:w="847" w:type="pct"/>
            <w:shd w:val="clear" w:color="auto" w:fill="auto"/>
            <w:vAlign w:val="center"/>
          </w:tcPr>
          <w:p w14:paraId="5E6F456D" w14:textId="3B4997FE" w:rsidR="007F1017" w:rsidRPr="00746BBB" w:rsidRDefault="004B242C" w:rsidP="00EC5836">
            <w:pPr>
              <w:pStyle w:val="TableText"/>
              <w:jc w:val="center"/>
            </w:pPr>
            <w:r w:rsidRPr="004B242C">
              <w:t xml:space="preserve">Adults with PNH who were receiving eculizumab at a stable dose for </w:t>
            </w:r>
            <w:r>
              <w:t>≥</w:t>
            </w:r>
            <w:r w:rsidRPr="004B242C">
              <w:t>3 months prior, but continued to have haemoglobin (Hb) levels &lt;10.5 g/dL</w:t>
            </w:r>
          </w:p>
        </w:tc>
        <w:tc>
          <w:tcPr>
            <w:tcW w:w="613" w:type="pct"/>
            <w:shd w:val="clear" w:color="auto" w:fill="auto"/>
            <w:vAlign w:val="center"/>
          </w:tcPr>
          <w:p w14:paraId="6DC76214" w14:textId="21365803" w:rsidR="007F1017" w:rsidRPr="00746BBB" w:rsidRDefault="00C743BF" w:rsidP="00EC5836">
            <w:pPr>
              <w:pStyle w:val="TableText"/>
              <w:jc w:val="center"/>
            </w:pPr>
            <w:r>
              <w:t xml:space="preserve">Hb level, transfusion avoidance, </w:t>
            </w:r>
            <w:r w:rsidR="00A70C59">
              <w:t xml:space="preserve">ARC, LDH, </w:t>
            </w:r>
            <w:r w:rsidR="0019684A">
              <w:t>FACIT-Fatigue score, EORTC QLQ-C30</w:t>
            </w:r>
          </w:p>
        </w:tc>
        <w:tc>
          <w:tcPr>
            <w:tcW w:w="1742" w:type="pct"/>
            <w:shd w:val="clear" w:color="auto" w:fill="auto"/>
            <w:vAlign w:val="center"/>
          </w:tcPr>
          <w:p w14:paraId="150A804C" w14:textId="7C52F00B" w:rsidR="007F1017" w:rsidRPr="00746BBB" w:rsidRDefault="00AB71A3" w:rsidP="00EC5836">
            <w:pPr>
              <w:pStyle w:val="TableText"/>
              <w:jc w:val="center"/>
            </w:pPr>
            <w:r>
              <w:t>Age, gender, weight,</w:t>
            </w:r>
            <w:r w:rsidR="000929F0">
              <w:t xml:space="preserve"> </w:t>
            </w:r>
            <w:proofErr w:type="spellStart"/>
            <w:r w:rsidR="00D246CF">
              <w:t>pegcetacoplan</w:t>
            </w:r>
            <w:proofErr w:type="spellEnd"/>
            <w:r w:rsidR="00D246CF">
              <w:t xml:space="preserve"> treatment utilisation pattern</w:t>
            </w:r>
            <w:r w:rsidR="000929F0">
              <w:t xml:space="preserve">, </w:t>
            </w:r>
            <w:r w:rsidR="00803A8E">
              <w:t>re-analysis of individual patient data</w:t>
            </w:r>
            <w:r w:rsidR="009F4CB6">
              <w:t xml:space="preserve"> for transfusion status and Hb level, treatment discontinuations</w:t>
            </w:r>
            <w:r w:rsidR="00D246CF">
              <w:t>, iron chelation therapy utilisation, EORTC QLQ-C30 scores</w:t>
            </w:r>
            <w:r w:rsidR="00BC6C4C">
              <w:t>, RBC units transfused</w:t>
            </w:r>
            <w:r w:rsidR="00973ACF">
              <w:t xml:space="preserve"> and</w:t>
            </w:r>
            <w:r w:rsidR="00BC6C4C">
              <w:t xml:space="preserve"> adverse events</w:t>
            </w:r>
            <w:r w:rsidR="00973ACF">
              <w:t>.</w:t>
            </w:r>
          </w:p>
        </w:tc>
      </w:tr>
    </w:tbl>
    <w:p w14:paraId="560080D2" w14:textId="51A2C55E" w:rsidR="00045017" w:rsidRPr="00746BBB" w:rsidRDefault="00045017" w:rsidP="00EC5836">
      <w:pPr>
        <w:pStyle w:val="TableFigureFooter"/>
      </w:pPr>
      <w:r w:rsidRPr="00746BBB">
        <w:t xml:space="preserve">Source: </w:t>
      </w:r>
      <w:r w:rsidR="008828A4" w:rsidRPr="00746BBB">
        <w:t>Sections 2.4.1 to 2.4.3, pp 50-61 of the submission</w:t>
      </w:r>
    </w:p>
    <w:p w14:paraId="1095487C" w14:textId="2D09EDAD" w:rsidR="00620C25" w:rsidRPr="00746BBB" w:rsidRDefault="001B22A5" w:rsidP="00EC5836">
      <w:pPr>
        <w:pStyle w:val="TableFigureFooter"/>
        <w:rPr>
          <w:sz w:val="20"/>
        </w:rPr>
      </w:pPr>
      <w:r>
        <w:t>Abbreviations:</w:t>
      </w:r>
      <w:r w:rsidR="00620C25" w:rsidRPr="00746BBB">
        <w:t xml:space="preserve"> </w:t>
      </w:r>
      <w:r w:rsidR="00AF05B6">
        <w:t>ARC, absolute reticulocyte count;</w:t>
      </w:r>
      <w:r w:rsidR="00403062">
        <w:t xml:space="preserve"> </w:t>
      </w:r>
      <w:r w:rsidR="00403062" w:rsidRPr="004D7B55">
        <w:t>EORTC QLQ-C30, European Organization for Research and Treatment of Cancer quality of life questionnaire</w:t>
      </w:r>
      <w:r w:rsidR="00403062">
        <w:t>; FACIT, Functional Assessment of Chronic Illness Therapy;</w:t>
      </w:r>
      <w:r w:rsidR="00AF05B6">
        <w:t xml:space="preserve"> LDH, lactate dehydrogenase; </w:t>
      </w:r>
      <w:r w:rsidR="00620C25" w:rsidRPr="00746BBB">
        <w:t>MC</w:t>
      </w:r>
      <w:r>
        <w:t>,</w:t>
      </w:r>
      <w:r w:rsidR="00620C25" w:rsidRPr="00746BBB">
        <w:t xml:space="preserve"> multi-centre; OL</w:t>
      </w:r>
      <w:r>
        <w:t xml:space="preserve">, </w:t>
      </w:r>
      <w:r w:rsidR="00620C25" w:rsidRPr="00746BBB">
        <w:t xml:space="preserve">open label; </w:t>
      </w:r>
      <w:r w:rsidR="004B242C">
        <w:t xml:space="preserve">OLP, open label period; </w:t>
      </w:r>
      <w:r w:rsidR="00620C25" w:rsidRPr="00746BBB">
        <w:t>R</w:t>
      </w:r>
      <w:r>
        <w:t xml:space="preserve">, </w:t>
      </w:r>
      <w:r w:rsidR="00620C25" w:rsidRPr="00746BBB">
        <w:t>randomised</w:t>
      </w:r>
      <w:r>
        <w:t>; RCP, randomised controlled period</w:t>
      </w:r>
    </w:p>
    <w:p w14:paraId="4B83BBF3" w14:textId="14B33B01" w:rsidR="00045017" w:rsidRPr="00A05B02" w:rsidRDefault="006B6C75" w:rsidP="000C453B">
      <w:pPr>
        <w:pStyle w:val="ExecSumBodyText"/>
        <w:spacing w:after="160"/>
      </w:pPr>
      <w:r>
        <w:lastRenderedPageBreak/>
        <w:t>Although the key trial had an open-label design,</w:t>
      </w:r>
      <w:r w:rsidR="000E3DF4">
        <w:t xml:space="preserve"> </w:t>
      </w:r>
      <w:proofErr w:type="gramStart"/>
      <w:r w:rsidR="000E3DF4">
        <w:t>the</w:t>
      </w:r>
      <w:r>
        <w:t xml:space="preserve"> majority of</w:t>
      </w:r>
      <w:proofErr w:type="gramEnd"/>
      <w:r>
        <w:t xml:space="preserve"> outcome measures were laboratory-assessed and unlikely to be affected by blinding. </w:t>
      </w:r>
      <w:r w:rsidR="001E6385" w:rsidRPr="00A05B02">
        <w:t>However, awareness of treatment assignment may have affected the reporting of subjective patient outcomes (</w:t>
      </w:r>
      <w:proofErr w:type="gramStart"/>
      <w:r w:rsidR="001E6385" w:rsidRPr="00A05B02">
        <w:t>e.g.</w:t>
      </w:r>
      <w:proofErr w:type="gramEnd"/>
      <w:r w:rsidR="001E6385" w:rsidRPr="00A05B02">
        <w:t xml:space="preserve"> safety, quality of life) and disease management (e.g. </w:t>
      </w:r>
      <w:r w:rsidR="00556266" w:rsidRPr="00A05B02">
        <w:t xml:space="preserve">use of supportive treatments including blood transfusion). </w:t>
      </w:r>
    </w:p>
    <w:p w14:paraId="457B65EF" w14:textId="29831A1F" w:rsidR="00BF3198" w:rsidRPr="00A05B02" w:rsidRDefault="00C15BCD" w:rsidP="000C453B">
      <w:pPr>
        <w:pStyle w:val="ExecSumBodyText"/>
        <w:spacing w:after="160"/>
      </w:pPr>
      <w:r w:rsidRPr="00A05B02">
        <w:t>There was differential discontinuation during the randomised controlled period (</w:t>
      </w:r>
      <w:proofErr w:type="spellStart"/>
      <w:r w:rsidRPr="00A05B02">
        <w:t>pegcetacoplan</w:t>
      </w:r>
      <w:proofErr w:type="spellEnd"/>
      <w:r w:rsidRPr="00A05B02">
        <w:t xml:space="preserve">, 7.3%; eculizumab, 0%) and open label </w:t>
      </w:r>
      <w:proofErr w:type="spellStart"/>
      <w:r w:rsidRPr="00A05B02">
        <w:t>pegcetacoplan</w:t>
      </w:r>
      <w:proofErr w:type="spellEnd"/>
      <w:r w:rsidRPr="00A05B02">
        <w:t xml:space="preserve"> period (</w:t>
      </w:r>
      <w:proofErr w:type="spellStart"/>
      <w:r w:rsidRPr="00A05B02">
        <w:t>pegcetacoplan</w:t>
      </w:r>
      <w:proofErr w:type="spellEnd"/>
      <w:r w:rsidRPr="00A05B02">
        <w:t>/</w:t>
      </w:r>
      <w:proofErr w:type="spellStart"/>
      <w:r w:rsidRPr="00A05B02">
        <w:t>pegcetacoplan</w:t>
      </w:r>
      <w:proofErr w:type="spellEnd"/>
      <w:r w:rsidRPr="00A05B02">
        <w:t>, 7.9%, eculizumab/</w:t>
      </w:r>
      <w:proofErr w:type="spellStart"/>
      <w:r w:rsidRPr="00A05B02">
        <w:t>pegcetacoplan</w:t>
      </w:r>
      <w:proofErr w:type="spellEnd"/>
      <w:r w:rsidRPr="00A05B02">
        <w:t xml:space="preserve">, 17.9%). All except 1 discontinuation were due to adverse events. Clinical data were not collected following discontinuation, which may have an impact on any differences observed between treatment arms after these patients discontinued. </w:t>
      </w:r>
    </w:p>
    <w:p w14:paraId="5A9C7015" w14:textId="45BC4A61" w:rsidR="006343D8" w:rsidRPr="00A05B02" w:rsidRDefault="006343D8" w:rsidP="000C453B">
      <w:pPr>
        <w:pStyle w:val="ExecSumBodyText"/>
        <w:spacing w:after="160"/>
      </w:pPr>
      <w:r w:rsidRPr="00A05B02">
        <w:t>There were</w:t>
      </w:r>
      <w:r w:rsidR="003F3884" w:rsidRPr="00A05B02">
        <w:t xml:space="preserve"> high proportions of patients with documented </w:t>
      </w:r>
      <w:r w:rsidRPr="00A05B02">
        <w:t xml:space="preserve">major protocol deviations </w:t>
      </w:r>
      <w:r w:rsidR="006A75CE" w:rsidRPr="00A05B02">
        <w:t xml:space="preserve">during the randomised period </w:t>
      </w:r>
      <w:r w:rsidR="00751897" w:rsidRPr="00A05B02">
        <w:t>(</w:t>
      </w:r>
      <w:proofErr w:type="spellStart"/>
      <w:r w:rsidR="00751897" w:rsidRPr="00A05B02">
        <w:t>pegcetacoplan</w:t>
      </w:r>
      <w:proofErr w:type="spellEnd"/>
      <w:r w:rsidR="00751897" w:rsidRPr="00A05B02">
        <w:t xml:space="preserve">, 71%; eculizumab, 77%) and open label period (32.5%). </w:t>
      </w:r>
      <w:proofErr w:type="gramStart"/>
      <w:r w:rsidR="007E3454" w:rsidRPr="00A05B02">
        <w:t>The majority of</w:t>
      </w:r>
      <w:proofErr w:type="gramEnd"/>
      <w:r w:rsidR="007E3454" w:rsidRPr="00A05B02">
        <w:t xml:space="preserve"> these deviations was due to non-compliance with study assessment/schedule. </w:t>
      </w:r>
    </w:p>
    <w:p w14:paraId="637E36C4" w14:textId="7F261114" w:rsidR="005531E8" w:rsidRPr="00A05B02" w:rsidRDefault="00054BDE" w:rsidP="000C453B">
      <w:pPr>
        <w:pStyle w:val="ExecSumBodyText"/>
        <w:spacing w:after="160"/>
      </w:pPr>
      <w:r w:rsidRPr="00A05B02">
        <w:t xml:space="preserve">The trial eligibility criteria for </w:t>
      </w:r>
      <w:proofErr w:type="spellStart"/>
      <w:r w:rsidRPr="00A05B02">
        <w:t>pegcetacoplan</w:t>
      </w:r>
      <w:proofErr w:type="spellEnd"/>
      <w:r w:rsidRPr="00A05B02">
        <w:t xml:space="preserve"> were broad (based on low</w:t>
      </w:r>
      <w:r w:rsidRPr="00054BDE">
        <w:t xml:space="preserve"> Hb level and prior treatment with C5 inhibitors only) but appeared to recruit patients who were clinically stable, treated with stable doses of eculizumab over a mean duration of 5 years. Less than a third of patients had a prior history of thrombosis and none had a major adverse vascular event in the 6 months prior</w:t>
      </w:r>
      <w:r w:rsidR="000E3DF4">
        <w:t xml:space="preserve"> to enrolment</w:t>
      </w:r>
      <w:r w:rsidRPr="00054BDE">
        <w:t>. Overall, 25% of the trial population had no transfusions in the prior year, 20% had one to three transfusions and 55% had four or more transfusions</w:t>
      </w:r>
      <w:r w:rsidRPr="00A05B02">
        <w:t>. It is unclear whether the disease burden of the trial population is representative of the proposed Australian population</w:t>
      </w:r>
      <w:r w:rsidR="005B6FBB" w:rsidRPr="00A05B02">
        <w:t xml:space="preserve">. </w:t>
      </w:r>
      <w:r w:rsidRPr="00A05B02">
        <w:t xml:space="preserve">The magnitude of benefit of </w:t>
      </w:r>
      <w:proofErr w:type="spellStart"/>
      <w:r w:rsidRPr="00A05B02">
        <w:t>pegcetacoplan</w:t>
      </w:r>
      <w:proofErr w:type="spellEnd"/>
      <w:r w:rsidRPr="00A05B02">
        <w:t xml:space="preserve"> in patients with more severe or treatment refractory disease is unknown.</w:t>
      </w:r>
    </w:p>
    <w:p w14:paraId="411F733D" w14:textId="34A05FE8" w:rsidR="006343D8" w:rsidRPr="00A05B02" w:rsidRDefault="00E03D02" w:rsidP="000C453B">
      <w:pPr>
        <w:pStyle w:val="ExecSumBodyText"/>
        <w:spacing w:after="160"/>
      </w:pPr>
      <w:r w:rsidRPr="00245400">
        <w:t>The trial excluded patients with a BMI of ≥35 kg/m</w:t>
      </w:r>
      <w:r w:rsidRPr="000E3DF4">
        <w:rPr>
          <w:vertAlign w:val="superscript"/>
        </w:rPr>
        <w:t>2</w:t>
      </w:r>
      <w:r w:rsidRPr="00245400">
        <w:t xml:space="preserve"> based on pharmacokinetic modelling data that indicated lower drug exposure in patients with class II or greater obesity. </w:t>
      </w:r>
      <w:r w:rsidRPr="00A05B02">
        <w:t xml:space="preserve">The efficacy and safety of </w:t>
      </w:r>
      <w:proofErr w:type="spellStart"/>
      <w:r w:rsidRPr="00A05B02">
        <w:t>pegcetacoplan</w:t>
      </w:r>
      <w:proofErr w:type="spellEnd"/>
      <w:r w:rsidRPr="00A05B02">
        <w:t xml:space="preserve"> in patients with a BMI of ≥35 kg/m</w:t>
      </w:r>
      <w:r w:rsidRPr="00A05B02">
        <w:rPr>
          <w:vertAlign w:val="superscript"/>
        </w:rPr>
        <w:t>2</w:t>
      </w:r>
      <w:r w:rsidRPr="00A05B02">
        <w:t xml:space="preserve"> is unknown. No contraindication or special warning regarding BMI was included in the draft product information.</w:t>
      </w:r>
    </w:p>
    <w:p w14:paraId="078C1AD4" w14:textId="0E6073F0" w:rsidR="0052328A" w:rsidRPr="00A05B02" w:rsidRDefault="0052328A" w:rsidP="000C453B">
      <w:pPr>
        <w:pStyle w:val="ExecSumBodyText"/>
        <w:spacing w:after="160"/>
      </w:pPr>
      <w:r w:rsidRPr="00A05B02">
        <w:t xml:space="preserve">In the trial, all patients received </w:t>
      </w:r>
      <w:proofErr w:type="spellStart"/>
      <w:r w:rsidRPr="00A05B02">
        <w:t>pegcetacoplan</w:t>
      </w:r>
      <w:proofErr w:type="spellEnd"/>
      <w:r w:rsidRPr="00A05B02">
        <w:t xml:space="preserve"> in addition to their current regimen of eculizumab for 4 weeks prior to randomisation. It was unclear whether the observed results in the eculizumab arm following the introduction and abrupt withdrawal of </w:t>
      </w:r>
      <w:proofErr w:type="spellStart"/>
      <w:r w:rsidRPr="00A05B02">
        <w:t>pegcetacoplan</w:t>
      </w:r>
      <w:proofErr w:type="spellEnd"/>
      <w:r w:rsidRPr="00A05B02">
        <w:t xml:space="preserve"> are applicable to patients who are otherwise stable on eculizumab monotherapy in practice.</w:t>
      </w:r>
    </w:p>
    <w:p w14:paraId="4899E35E" w14:textId="5D6D3A54" w:rsidR="007F1017" w:rsidRPr="00A05B02" w:rsidRDefault="00564B92" w:rsidP="000C453B">
      <w:pPr>
        <w:pStyle w:val="ExecSumBodyText"/>
        <w:spacing w:after="160"/>
      </w:pPr>
      <w:r w:rsidRPr="00A05B02">
        <w:t>There are currently no long</w:t>
      </w:r>
      <w:r w:rsidR="00570AE4" w:rsidRPr="00A05B02">
        <w:t>-</w:t>
      </w:r>
      <w:r w:rsidRPr="00A05B02">
        <w:t xml:space="preserve">term studies of </w:t>
      </w:r>
      <w:r w:rsidR="00A3290D" w:rsidRPr="00A05B02">
        <w:t xml:space="preserve">disease-related complications and survival in patients treated with </w:t>
      </w:r>
      <w:proofErr w:type="spellStart"/>
      <w:r w:rsidR="00A3290D" w:rsidRPr="00A05B02">
        <w:t>pegcetacoplan</w:t>
      </w:r>
      <w:proofErr w:type="spellEnd"/>
      <w:r w:rsidR="00A3290D" w:rsidRPr="00A05B02">
        <w:t>, beyond the</w:t>
      </w:r>
      <w:r w:rsidR="00570AE4" w:rsidRPr="00A05B02">
        <w:t xml:space="preserve"> short-term haematological outcomes data from the</w:t>
      </w:r>
      <w:r w:rsidR="00A3290D" w:rsidRPr="00A05B02">
        <w:t xml:space="preserve"> 16-week </w:t>
      </w:r>
      <w:r w:rsidR="00570AE4" w:rsidRPr="00A05B02">
        <w:t>randomised control period</w:t>
      </w:r>
      <w:r w:rsidR="00A3290D" w:rsidRPr="00A05B02">
        <w:t xml:space="preserve"> and additional 32-week open label </w:t>
      </w:r>
      <w:proofErr w:type="spellStart"/>
      <w:r w:rsidR="00A3290D" w:rsidRPr="00A05B02">
        <w:t>pegcetacoplan</w:t>
      </w:r>
      <w:proofErr w:type="spellEnd"/>
      <w:r w:rsidR="00A3290D" w:rsidRPr="00A05B02">
        <w:t xml:space="preserve"> period</w:t>
      </w:r>
      <w:r w:rsidR="00570AE4" w:rsidRPr="00A05B02">
        <w:t xml:space="preserve"> of the PEGASUS trial</w:t>
      </w:r>
      <w:r w:rsidR="00A3290D" w:rsidRPr="00A05B02">
        <w:t xml:space="preserve">. </w:t>
      </w:r>
    </w:p>
    <w:p w14:paraId="4A4FE085" w14:textId="1C5613CC" w:rsidR="00B60939" w:rsidRPr="00746BBB" w:rsidRDefault="00B60939" w:rsidP="00EC5836">
      <w:pPr>
        <w:pStyle w:val="3-SubsectionHeading"/>
      </w:pPr>
      <w:bookmarkStart w:id="14" w:name="_Toc22897641"/>
      <w:bookmarkStart w:id="15" w:name="_Toc93497073"/>
      <w:r w:rsidRPr="00746BBB">
        <w:lastRenderedPageBreak/>
        <w:t>Comparative effectiveness</w:t>
      </w:r>
      <w:bookmarkEnd w:id="14"/>
      <w:bookmarkEnd w:id="15"/>
    </w:p>
    <w:p w14:paraId="02720349" w14:textId="08AFF8A8" w:rsidR="0054777D" w:rsidRPr="00E77D6E" w:rsidRDefault="0054777D" w:rsidP="000C453B">
      <w:pPr>
        <w:pStyle w:val="ExecSumBodyText"/>
        <w:spacing w:after="160"/>
      </w:pPr>
      <w:r w:rsidRPr="0054777D">
        <w:t xml:space="preserve">As per trial protocol, the main statistical analyses for key outcomes (laboratory measures and patient-reported outcomes) were censored for transfusion as RBC transfusions may confound the efficacy results. </w:t>
      </w:r>
      <w:r w:rsidRPr="00A05B02">
        <w:t xml:space="preserve">This approach may limit the robustness of results based on the censored dataset due to the small number of transfusion-free patients in the eculizumab arm informing results at the end of the randomised controlled period (N=6). Results </w:t>
      </w:r>
      <w:r w:rsidRPr="00E77D6E">
        <w:t xml:space="preserve">based on the uncensored dataset for the key outcomes </w:t>
      </w:r>
      <w:r w:rsidR="00E77D6E">
        <w:t>we</w:t>
      </w:r>
      <w:r w:rsidR="00E77D6E" w:rsidRPr="00E77D6E">
        <w:t xml:space="preserve">re </w:t>
      </w:r>
      <w:r w:rsidR="00E77D6E">
        <w:t xml:space="preserve">also </w:t>
      </w:r>
      <w:r w:rsidRPr="00E77D6E">
        <w:t xml:space="preserve">presented in </w:t>
      </w:r>
      <w:r w:rsidR="00E77D6E">
        <w:t>the submission</w:t>
      </w:r>
      <w:r w:rsidRPr="00E77D6E">
        <w:t xml:space="preserve">.  </w:t>
      </w:r>
    </w:p>
    <w:p w14:paraId="1FA90DBE" w14:textId="733158E4" w:rsidR="003520C5" w:rsidRPr="00452A5A" w:rsidRDefault="003520C5" w:rsidP="000C453B">
      <w:pPr>
        <w:pStyle w:val="ExecSumBodyText"/>
        <w:spacing w:after="160"/>
        <w:rPr>
          <w:i/>
          <w:iCs/>
        </w:rPr>
      </w:pPr>
      <w:r>
        <w:t xml:space="preserve">Results for </w:t>
      </w:r>
      <w:r w:rsidR="00452A5A">
        <w:t xml:space="preserve">transfusion avoidance during the 16-week randomised controlled period of the trial is presented in the table below. </w:t>
      </w:r>
    </w:p>
    <w:p w14:paraId="74AA4211" w14:textId="25CF15B9" w:rsidR="00452A5A" w:rsidRPr="00746BBB" w:rsidRDefault="00452A5A" w:rsidP="00452A5A">
      <w:pPr>
        <w:pStyle w:val="Caption"/>
      </w:pPr>
      <w:r w:rsidRPr="00746BBB">
        <w:t xml:space="preserve">Table </w:t>
      </w:r>
      <w:fldSimple w:instr=" SEQ Table \* ARABIC ">
        <w:r w:rsidR="000A62F7">
          <w:rPr>
            <w:noProof/>
          </w:rPr>
          <w:t>4</w:t>
        </w:r>
      </w:fldSimple>
      <w:r w:rsidRPr="00746BBB">
        <w:t>: Proportion of patients avoiding transfusions through Week 16</w:t>
      </w:r>
      <w:r>
        <w:t xml:space="preserve"> </w:t>
      </w:r>
      <w:r w:rsidRPr="00746BBB">
        <w:t>(ITT)</w:t>
      </w:r>
    </w:p>
    <w:tbl>
      <w:tblPr>
        <w:tblStyle w:val="TableGrid"/>
        <w:tblW w:w="0" w:type="auto"/>
        <w:tblLook w:val="04A0" w:firstRow="1" w:lastRow="0" w:firstColumn="1" w:lastColumn="0" w:noHBand="0" w:noVBand="1"/>
      </w:tblPr>
      <w:tblGrid>
        <w:gridCol w:w="3539"/>
        <w:gridCol w:w="1826"/>
        <w:gridCol w:w="1826"/>
        <w:gridCol w:w="1826"/>
      </w:tblGrid>
      <w:tr w:rsidR="00452A5A" w:rsidRPr="00746BBB" w14:paraId="1C0A2CD5" w14:textId="77777777" w:rsidTr="003F456B">
        <w:tc>
          <w:tcPr>
            <w:tcW w:w="3539" w:type="dxa"/>
          </w:tcPr>
          <w:p w14:paraId="42B58900" w14:textId="77777777" w:rsidR="00452A5A" w:rsidRPr="00746BBB" w:rsidRDefault="00452A5A" w:rsidP="003F456B">
            <w:pPr>
              <w:pStyle w:val="Tableheadingrow"/>
              <w:rPr>
                <w:lang w:val="en-AU"/>
              </w:rPr>
            </w:pPr>
          </w:p>
        </w:tc>
        <w:tc>
          <w:tcPr>
            <w:tcW w:w="1826" w:type="dxa"/>
            <w:vAlign w:val="center"/>
          </w:tcPr>
          <w:p w14:paraId="4955A489" w14:textId="77777777" w:rsidR="00452A5A" w:rsidRPr="00746BBB" w:rsidRDefault="00452A5A" w:rsidP="003F456B">
            <w:pPr>
              <w:pStyle w:val="Tableheadingrow"/>
              <w:jc w:val="center"/>
              <w:rPr>
                <w:lang w:val="en-AU"/>
              </w:rPr>
            </w:pPr>
            <w:proofErr w:type="spellStart"/>
            <w:r w:rsidRPr="00746BBB">
              <w:rPr>
                <w:lang w:val="en-AU"/>
              </w:rPr>
              <w:t>Pegcetacoplan</w:t>
            </w:r>
            <w:proofErr w:type="spellEnd"/>
          </w:p>
          <w:p w14:paraId="7595E5F2" w14:textId="77777777" w:rsidR="00452A5A" w:rsidRPr="00746BBB" w:rsidRDefault="00452A5A" w:rsidP="003F456B">
            <w:pPr>
              <w:pStyle w:val="Tableheadingrow"/>
              <w:jc w:val="center"/>
              <w:rPr>
                <w:lang w:val="en-AU"/>
              </w:rPr>
            </w:pPr>
            <w:r w:rsidRPr="00746BBB">
              <w:rPr>
                <w:lang w:val="en-AU"/>
              </w:rPr>
              <w:t>n/N (%)</w:t>
            </w:r>
          </w:p>
        </w:tc>
        <w:tc>
          <w:tcPr>
            <w:tcW w:w="1826" w:type="dxa"/>
            <w:vAlign w:val="center"/>
          </w:tcPr>
          <w:p w14:paraId="12A36E60" w14:textId="77777777" w:rsidR="00452A5A" w:rsidRPr="00746BBB" w:rsidRDefault="00452A5A" w:rsidP="003F456B">
            <w:pPr>
              <w:pStyle w:val="Tableheadingrow"/>
              <w:jc w:val="center"/>
              <w:rPr>
                <w:lang w:val="en-AU"/>
              </w:rPr>
            </w:pPr>
            <w:r w:rsidRPr="00746BBB">
              <w:rPr>
                <w:lang w:val="en-AU"/>
              </w:rPr>
              <w:t>Eculizumab</w:t>
            </w:r>
          </w:p>
          <w:p w14:paraId="22CE1D49" w14:textId="77777777" w:rsidR="00452A5A" w:rsidRPr="00746BBB" w:rsidRDefault="00452A5A" w:rsidP="003F456B">
            <w:pPr>
              <w:pStyle w:val="Tableheadingrow"/>
              <w:jc w:val="center"/>
              <w:rPr>
                <w:lang w:val="en-AU"/>
              </w:rPr>
            </w:pPr>
            <w:r w:rsidRPr="00746BBB">
              <w:rPr>
                <w:lang w:val="en-AU"/>
              </w:rPr>
              <w:t>n/N (%)</w:t>
            </w:r>
          </w:p>
        </w:tc>
        <w:tc>
          <w:tcPr>
            <w:tcW w:w="1826" w:type="dxa"/>
            <w:vAlign w:val="center"/>
          </w:tcPr>
          <w:p w14:paraId="58464D23" w14:textId="4A517C5D" w:rsidR="00452A5A" w:rsidRPr="00746BBB" w:rsidRDefault="0063639A" w:rsidP="003F456B">
            <w:pPr>
              <w:pStyle w:val="Tableheadingrow"/>
              <w:jc w:val="center"/>
              <w:rPr>
                <w:lang w:val="en-AU"/>
              </w:rPr>
            </w:pPr>
            <w:r>
              <w:rPr>
                <w:lang w:val="en-AU"/>
              </w:rPr>
              <w:t xml:space="preserve">Risk </w:t>
            </w:r>
            <w:r w:rsidR="00452A5A" w:rsidRPr="00746BBB">
              <w:rPr>
                <w:lang w:val="en-AU"/>
              </w:rPr>
              <w:t>difference (95% CI)</w:t>
            </w:r>
          </w:p>
        </w:tc>
      </w:tr>
      <w:tr w:rsidR="00452A5A" w:rsidRPr="00746BBB" w14:paraId="257D9F69" w14:textId="77777777" w:rsidTr="003F456B">
        <w:tc>
          <w:tcPr>
            <w:tcW w:w="3539" w:type="dxa"/>
          </w:tcPr>
          <w:p w14:paraId="4D66972F" w14:textId="77777777" w:rsidR="00452A5A" w:rsidRPr="00746BBB" w:rsidRDefault="00452A5A" w:rsidP="003F456B">
            <w:pPr>
              <w:pStyle w:val="TableText"/>
            </w:pPr>
            <w:r w:rsidRPr="00746BBB">
              <w:t>No transfusion</w:t>
            </w:r>
          </w:p>
        </w:tc>
        <w:tc>
          <w:tcPr>
            <w:tcW w:w="1826" w:type="dxa"/>
            <w:vAlign w:val="center"/>
          </w:tcPr>
          <w:p w14:paraId="73C2BB91" w14:textId="77777777" w:rsidR="00452A5A" w:rsidRPr="00746BBB" w:rsidRDefault="00452A5A" w:rsidP="003F456B">
            <w:pPr>
              <w:pStyle w:val="TableText"/>
              <w:jc w:val="center"/>
            </w:pPr>
            <w:r w:rsidRPr="00746BBB">
              <w:t>35/41 (85.4)</w:t>
            </w:r>
          </w:p>
        </w:tc>
        <w:tc>
          <w:tcPr>
            <w:tcW w:w="1826" w:type="dxa"/>
            <w:vAlign w:val="center"/>
          </w:tcPr>
          <w:p w14:paraId="10A28D2F" w14:textId="77777777" w:rsidR="00452A5A" w:rsidRPr="00746BBB" w:rsidRDefault="00452A5A" w:rsidP="003F456B">
            <w:pPr>
              <w:pStyle w:val="TableText"/>
              <w:jc w:val="center"/>
            </w:pPr>
            <w:r w:rsidRPr="00746BBB">
              <w:t>6/39 (15.4)</w:t>
            </w:r>
          </w:p>
        </w:tc>
        <w:tc>
          <w:tcPr>
            <w:tcW w:w="1826" w:type="dxa"/>
            <w:vAlign w:val="center"/>
          </w:tcPr>
          <w:p w14:paraId="470EFFF1" w14:textId="77777777" w:rsidR="00452A5A" w:rsidRPr="00746BBB" w:rsidRDefault="00452A5A" w:rsidP="003F456B">
            <w:pPr>
              <w:pStyle w:val="TableText"/>
              <w:jc w:val="center"/>
            </w:pPr>
            <w:r w:rsidRPr="00746BBB">
              <w:t>62.5 (48.3, 76.8)</w:t>
            </w:r>
          </w:p>
        </w:tc>
      </w:tr>
      <w:tr w:rsidR="00452A5A" w:rsidRPr="00746BBB" w14:paraId="16C0E1DB" w14:textId="77777777" w:rsidTr="003F456B">
        <w:tc>
          <w:tcPr>
            <w:tcW w:w="3539" w:type="dxa"/>
          </w:tcPr>
          <w:p w14:paraId="5F595755" w14:textId="77777777" w:rsidR="00452A5A" w:rsidRPr="00746BBB" w:rsidRDefault="00452A5A" w:rsidP="003F456B">
            <w:pPr>
              <w:pStyle w:val="TableText"/>
            </w:pPr>
            <w:r w:rsidRPr="00746BBB">
              <w:t>- Received ≥1 transfusion</w:t>
            </w:r>
          </w:p>
        </w:tc>
        <w:tc>
          <w:tcPr>
            <w:tcW w:w="1826" w:type="dxa"/>
            <w:vAlign w:val="center"/>
          </w:tcPr>
          <w:p w14:paraId="01785011" w14:textId="77777777" w:rsidR="00452A5A" w:rsidRPr="00746BBB" w:rsidRDefault="00452A5A" w:rsidP="003F456B">
            <w:pPr>
              <w:pStyle w:val="TableText"/>
              <w:jc w:val="center"/>
            </w:pPr>
            <w:r w:rsidRPr="00746BBB">
              <w:t>5/41 (12.2)</w:t>
            </w:r>
          </w:p>
        </w:tc>
        <w:tc>
          <w:tcPr>
            <w:tcW w:w="1826" w:type="dxa"/>
            <w:vAlign w:val="center"/>
          </w:tcPr>
          <w:p w14:paraId="7FA45D23" w14:textId="77777777" w:rsidR="00452A5A" w:rsidRPr="00746BBB" w:rsidRDefault="00452A5A" w:rsidP="003F456B">
            <w:pPr>
              <w:pStyle w:val="TableText"/>
              <w:jc w:val="center"/>
            </w:pPr>
            <w:r w:rsidRPr="00746BBB">
              <w:t>33/39 (84.6)</w:t>
            </w:r>
          </w:p>
        </w:tc>
        <w:tc>
          <w:tcPr>
            <w:tcW w:w="1826" w:type="dxa"/>
            <w:vAlign w:val="center"/>
          </w:tcPr>
          <w:p w14:paraId="5F95F410" w14:textId="77777777" w:rsidR="00452A5A" w:rsidRPr="00746BBB" w:rsidRDefault="00452A5A" w:rsidP="003F456B">
            <w:pPr>
              <w:pStyle w:val="TableText"/>
              <w:jc w:val="center"/>
            </w:pPr>
            <w:r w:rsidRPr="00746BBB">
              <w:t>-</w:t>
            </w:r>
          </w:p>
        </w:tc>
      </w:tr>
      <w:tr w:rsidR="00452A5A" w:rsidRPr="00746BBB" w14:paraId="6FC0E111" w14:textId="77777777" w:rsidTr="003F456B">
        <w:tc>
          <w:tcPr>
            <w:tcW w:w="3539" w:type="dxa"/>
          </w:tcPr>
          <w:p w14:paraId="00A55273" w14:textId="77777777" w:rsidR="00452A5A" w:rsidRPr="00746BBB" w:rsidRDefault="00452A5A" w:rsidP="003F456B">
            <w:pPr>
              <w:pStyle w:val="TableText"/>
            </w:pPr>
            <w:r w:rsidRPr="00746BBB">
              <w:t>- Withdrew from study without a transfusion</w:t>
            </w:r>
          </w:p>
        </w:tc>
        <w:tc>
          <w:tcPr>
            <w:tcW w:w="1826" w:type="dxa"/>
            <w:vAlign w:val="center"/>
          </w:tcPr>
          <w:p w14:paraId="6158A89E" w14:textId="77777777" w:rsidR="00452A5A" w:rsidRPr="00746BBB" w:rsidRDefault="00452A5A" w:rsidP="003F456B">
            <w:pPr>
              <w:pStyle w:val="TableText"/>
              <w:jc w:val="center"/>
            </w:pPr>
            <w:r w:rsidRPr="00746BBB">
              <w:t>1/41 (2.4)</w:t>
            </w:r>
          </w:p>
        </w:tc>
        <w:tc>
          <w:tcPr>
            <w:tcW w:w="1826" w:type="dxa"/>
            <w:vAlign w:val="center"/>
          </w:tcPr>
          <w:p w14:paraId="2149A100" w14:textId="77777777" w:rsidR="00452A5A" w:rsidRPr="00746BBB" w:rsidRDefault="00452A5A" w:rsidP="003F456B">
            <w:pPr>
              <w:pStyle w:val="TableText"/>
              <w:jc w:val="center"/>
            </w:pPr>
            <w:r w:rsidRPr="00746BBB">
              <w:t>0</w:t>
            </w:r>
          </w:p>
        </w:tc>
        <w:tc>
          <w:tcPr>
            <w:tcW w:w="1826" w:type="dxa"/>
            <w:vAlign w:val="center"/>
          </w:tcPr>
          <w:p w14:paraId="20B235A6" w14:textId="77777777" w:rsidR="00452A5A" w:rsidRPr="00746BBB" w:rsidRDefault="00452A5A" w:rsidP="003F456B">
            <w:pPr>
              <w:pStyle w:val="TableText"/>
              <w:jc w:val="center"/>
            </w:pPr>
            <w:r w:rsidRPr="00746BBB">
              <w:t>-</w:t>
            </w:r>
          </w:p>
        </w:tc>
      </w:tr>
    </w:tbl>
    <w:p w14:paraId="5587391E" w14:textId="77777777" w:rsidR="00452A5A" w:rsidRPr="00746BBB" w:rsidRDefault="00452A5A" w:rsidP="00452A5A">
      <w:pPr>
        <w:pStyle w:val="TableFigureFooter"/>
      </w:pPr>
      <w:r w:rsidRPr="00746BBB">
        <w:t>Source: Table 2-21, p 70 of the submission</w:t>
      </w:r>
    </w:p>
    <w:p w14:paraId="472C14B8" w14:textId="12871669" w:rsidR="00452A5A" w:rsidRPr="00DF3DD4" w:rsidRDefault="00452A5A" w:rsidP="00DF3DD4">
      <w:pPr>
        <w:pStyle w:val="TableFigureFooter"/>
      </w:pPr>
      <w:r w:rsidRPr="00746BBB">
        <w:t>Abbreviation: CI, confidence interval</w:t>
      </w:r>
    </w:p>
    <w:p w14:paraId="60F5FF44" w14:textId="44333EE4" w:rsidR="00DF3DD4" w:rsidRPr="00A05B02" w:rsidRDefault="00DF3DD4" w:rsidP="000C453B">
      <w:pPr>
        <w:pStyle w:val="ExecSumBodyText"/>
        <w:spacing w:after="160"/>
      </w:pPr>
      <w:bookmarkStart w:id="16" w:name="_Ref99548892"/>
      <w:r>
        <w:t>For transfusion avoidance, t</w:t>
      </w:r>
      <w:r w:rsidRPr="005853B9">
        <w:t xml:space="preserve">he lower bound of the 95% confidence interval was greater than the protocol-specified </w:t>
      </w:r>
      <w:r w:rsidR="00657D0C">
        <w:t>non-inferiority</w:t>
      </w:r>
      <w:r w:rsidRPr="005853B9">
        <w:t xml:space="preserve"> margin of -20%, indicating that </w:t>
      </w:r>
      <w:proofErr w:type="spellStart"/>
      <w:r w:rsidRPr="005853B9">
        <w:t>pegcetacoplan</w:t>
      </w:r>
      <w:proofErr w:type="spellEnd"/>
      <w:r w:rsidRPr="005853B9">
        <w:t xml:space="preserve"> was noninferior to eculizuma</w:t>
      </w:r>
      <w:r>
        <w:t>b</w:t>
      </w:r>
      <w:r w:rsidRPr="005853B9">
        <w:t xml:space="preserve">. The submission acknowledged the lack of formal statistical testing for superiority due to the failure in the hierarchical testing of non-inferiority of key secondary outcomes (see LDH outcome below). However, the submission claimed the results indicated a much greater proportion of patients treated with </w:t>
      </w:r>
      <w:proofErr w:type="spellStart"/>
      <w:r w:rsidRPr="005853B9">
        <w:t>pegcetacoplan</w:t>
      </w:r>
      <w:proofErr w:type="spellEnd"/>
      <w:r w:rsidRPr="005853B9">
        <w:t xml:space="preserve"> avoided transfusions compared to those receiving eculizumab. </w:t>
      </w:r>
      <w:r w:rsidRPr="00A05B02">
        <w:t>The results should be interpreted with caution due to the lack of blinding; in particular, fewer patients in the eculizumab arm were transfusion free during the 16-week randomised controlled period compared to baseline (25% had no transfusions in the 12 months prior).</w:t>
      </w:r>
      <w:bookmarkEnd w:id="16"/>
    </w:p>
    <w:p w14:paraId="0DF74440" w14:textId="29C3479D" w:rsidR="00F86028" w:rsidRDefault="0054777D" w:rsidP="000C453B">
      <w:pPr>
        <w:pStyle w:val="ExecSumBodyText"/>
        <w:spacing w:after="160"/>
      </w:pPr>
      <w:r>
        <w:t>Results for the outcome</w:t>
      </w:r>
      <w:r w:rsidR="00F76632">
        <w:t>s</w:t>
      </w:r>
      <w:r>
        <w:t xml:space="preserve"> of </w:t>
      </w:r>
      <w:r w:rsidRPr="00746BBB">
        <w:t>change in Hb level (g/dL)</w:t>
      </w:r>
      <w:r w:rsidR="00F76632">
        <w:t xml:space="preserve">, </w:t>
      </w:r>
      <w:r w:rsidR="00090AF5">
        <w:t>reticulocyte count, LDH</w:t>
      </w:r>
      <w:r w:rsidR="008A6598">
        <w:t>,</w:t>
      </w:r>
      <w:r w:rsidR="00B24024">
        <w:t xml:space="preserve"> and</w:t>
      </w:r>
      <w:r w:rsidR="00090AF5">
        <w:t xml:space="preserve"> FACIT-Fatigue score </w:t>
      </w:r>
      <w:r w:rsidR="005D4000">
        <w:t xml:space="preserve">during the 16-week randomised controlled period </w:t>
      </w:r>
      <w:r w:rsidR="001362CB">
        <w:t xml:space="preserve">of the trial </w:t>
      </w:r>
      <w:r w:rsidR="008A6598">
        <w:t xml:space="preserve">are presented in the table below. </w:t>
      </w:r>
    </w:p>
    <w:p w14:paraId="439F13E6" w14:textId="77777777" w:rsidR="00F86028" w:rsidRDefault="00F86028">
      <w:pPr>
        <w:jc w:val="left"/>
        <w:rPr>
          <w:rFonts w:asciiTheme="minorHAnsi" w:hAnsiTheme="minorHAnsi"/>
          <w:snapToGrid w:val="0"/>
        </w:rPr>
      </w:pPr>
      <w:r>
        <w:br w:type="page"/>
      </w:r>
    </w:p>
    <w:p w14:paraId="4D099684" w14:textId="0ED686B7" w:rsidR="008A6598" w:rsidRPr="00746BBB" w:rsidRDefault="008A6598" w:rsidP="002D7D3A">
      <w:pPr>
        <w:pStyle w:val="Caption"/>
      </w:pPr>
      <w:bookmarkStart w:id="17" w:name="_Ref99548218"/>
      <w:r w:rsidRPr="00746BBB">
        <w:lastRenderedPageBreak/>
        <w:t xml:space="preserve">Table </w:t>
      </w:r>
      <w:fldSimple w:instr=" SEQ Table \* ARABIC ">
        <w:r w:rsidR="000A62F7">
          <w:rPr>
            <w:noProof/>
          </w:rPr>
          <w:t>5</w:t>
        </w:r>
      </w:fldSimple>
      <w:bookmarkEnd w:id="17"/>
      <w:r w:rsidRPr="00746BBB">
        <w:t xml:space="preserve">: </w:t>
      </w:r>
      <w:r w:rsidR="0019611C">
        <w:t>Change in Hb, reticulocyte count, LDH and FACIT-Fatigue score (censored for transfusion,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5"/>
        <w:gridCol w:w="1056"/>
        <w:gridCol w:w="1057"/>
        <w:gridCol w:w="1057"/>
        <w:gridCol w:w="11"/>
        <w:gridCol w:w="1048"/>
        <w:gridCol w:w="1057"/>
        <w:gridCol w:w="1064"/>
        <w:gridCol w:w="1472"/>
      </w:tblGrid>
      <w:tr w:rsidR="008A6598" w:rsidRPr="00746BBB" w14:paraId="67FC2DFD" w14:textId="77777777" w:rsidTr="001362CB">
        <w:trPr>
          <w:tblHeader/>
        </w:trPr>
        <w:tc>
          <w:tcPr>
            <w:tcW w:w="663" w:type="pct"/>
            <w:vMerge w:val="restart"/>
            <w:vAlign w:val="center"/>
          </w:tcPr>
          <w:p w14:paraId="03E02B7C" w14:textId="77777777" w:rsidR="008A6598" w:rsidRPr="00746BBB" w:rsidRDefault="008A6598" w:rsidP="003F456B">
            <w:pPr>
              <w:pStyle w:val="Tableheadingrow"/>
              <w:rPr>
                <w:lang w:val="en-AU"/>
              </w:rPr>
            </w:pPr>
            <w:r w:rsidRPr="00746BBB">
              <w:rPr>
                <w:lang w:val="en-AU"/>
              </w:rPr>
              <w:t>Analysis</w:t>
            </w:r>
          </w:p>
        </w:tc>
        <w:tc>
          <w:tcPr>
            <w:tcW w:w="1764" w:type="pct"/>
            <w:gridSpan w:val="4"/>
          </w:tcPr>
          <w:p w14:paraId="49F0EC3E" w14:textId="77777777" w:rsidR="008A6598" w:rsidRPr="00746BBB" w:rsidRDefault="008A6598" w:rsidP="003F456B">
            <w:pPr>
              <w:pStyle w:val="Tableheadingrow"/>
              <w:jc w:val="center"/>
              <w:rPr>
                <w:lang w:val="en-AU"/>
              </w:rPr>
            </w:pPr>
            <w:proofErr w:type="spellStart"/>
            <w:r w:rsidRPr="00746BBB">
              <w:rPr>
                <w:lang w:val="en-AU"/>
              </w:rPr>
              <w:t>Pegcetacoplan</w:t>
            </w:r>
            <w:proofErr w:type="spellEnd"/>
            <w:r w:rsidRPr="00746BBB">
              <w:rPr>
                <w:lang w:val="en-AU"/>
              </w:rPr>
              <w:t xml:space="preserve"> (N=41)</w:t>
            </w:r>
          </w:p>
        </w:tc>
        <w:tc>
          <w:tcPr>
            <w:tcW w:w="1757" w:type="pct"/>
            <w:gridSpan w:val="3"/>
          </w:tcPr>
          <w:p w14:paraId="3AA3E934" w14:textId="77777777" w:rsidR="008A6598" w:rsidRPr="00746BBB" w:rsidRDefault="008A6598" w:rsidP="003F456B">
            <w:pPr>
              <w:pStyle w:val="Tableheadingrow"/>
              <w:jc w:val="center"/>
              <w:rPr>
                <w:lang w:val="en-AU"/>
              </w:rPr>
            </w:pPr>
            <w:r w:rsidRPr="00746BBB">
              <w:rPr>
                <w:lang w:val="en-AU"/>
              </w:rPr>
              <w:t>Eculizumab (N=39)</w:t>
            </w:r>
          </w:p>
        </w:tc>
        <w:tc>
          <w:tcPr>
            <w:tcW w:w="816" w:type="pct"/>
            <w:vMerge w:val="restart"/>
            <w:vAlign w:val="center"/>
          </w:tcPr>
          <w:p w14:paraId="3D365232" w14:textId="77777777" w:rsidR="008A6598" w:rsidRPr="00746BBB" w:rsidRDefault="008A6598" w:rsidP="003F456B">
            <w:pPr>
              <w:pStyle w:val="Tableheadingrow"/>
              <w:jc w:val="center"/>
              <w:rPr>
                <w:lang w:val="en-AU"/>
              </w:rPr>
            </w:pPr>
            <w:r w:rsidRPr="00746BBB">
              <w:rPr>
                <w:lang w:val="en-AU"/>
              </w:rPr>
              <w:t xml:space="preserve">Difference (95% CI) </w:t>
            </w:r>
            <w:r w:rsidRPr="00746BBB">
              <w:rPr>
                <w:vertAlign w:val="superscript"/>
                <w:lang w:val="en-AU"/>
              </w:rPr>
              <w:t>a</w:t>
            </w:r>
          </w:p>
        </w:tc>
      </w:tr>
      <w:tr w:rsidR="008A6598" w:rsidRPr="00746BBB" w14:paraId="495044A1" w14:textId="77777777" w:rsidTr="001362CB">
        <w:trPr>
          <w:tblHeader/>
        </w:trPr>
        <w:tc>
          <w:tcPr>
            <w:tcW w:w="663" w:type="pct"/>
            <w:vMerge/>
            <w:vAlign w:val="center"/>
          </w:tcPr>
          <w:p w14:paraId="507D3D58" w14:textId="77777777" w:rsidR="008A6598" w:rsidRPr="00746BBB" w:rsidRDefault="008A6598" w:rsidP="003F456B">
            <w:pPr>
              <w:pStyle w:val="Tableheadingrow"/>
              <w:rPr>
                <w:lang w:val="en-AU"/>
              </w:rPr>
            </w:pPr>
          </w:p>
        </w:tc>
        <w:tc>
          <w:tcPr>
            <w:tcW w:w="586" w:type="pct"/>
            <w:vAlign w:val="center"/>
          </w:tcPr>
          <w:p w14:paraId="6FA72B2A" w14:textId="77777777" w:rsidR="008A6598" w:rsidRPr="00746BBB" w:rsidRDefault="008A6598" w:rsidP="003F456B">
            <w:pPr>
              <w:pStyle w:val="Tableheadingrow"/>
              <w:jc w:val="center"/>
              <w:rPr>
                <w:lang w:val="en-AU"/>
              </w:rPr>
            </w:pPr>
            <w:r w:rsidRPr="00746BBB">
              <w:rPr>
                <w:lang w:val="en-AU"/>
              </w:rPr>
              <w:t>Baseline</w:t>
            </w:r>
          </w:p>
          <w:p w14:paraId="7B2FCE0F" w14:textId="77777777" w:rsidR="008A6598" w:rsidRPr="00746BBB" w:rsidRDefault="008A6598" w:rsidP="003F456B">
            <w:pPr>
              <w:pStyle w:val="Tableheadingrow"/>
              <w:jc w:val="center"/>
              <w:rPr>
                <w:lang w:val="en-AU"/>
              </w:rPr>
            </w:pPr>
            <w:r w:rsidRPr="00746BBB">
              <w:rPr>
                <w:lang w:val="en-AU"/>
              </w:rPr>
              <w:t>mean (SD)</w:t>
            </w:r>
          </w:p>
        </w:tc>
        <w:tc>
          <w:tcPr>
            <w:tcW w:w="586" w:type="pct"/>
            <w:vAlign w:val="center"/>
          </w:tcPr>
          <w:p w14:paraId="7401138D" w14:textId="77777777" w:rsidR="008A6598" w:rsidRPr="00746BBB" w:rsidRDefault="008A6598" w:rsidP="003F456B">
            <w:pPr>
              <w:pStyle w:val="Tableheadingrow"/>
              <w:jc w:val="center"/>
              <w:rPr>
                <w:lang w:val="en-AU"/>
              </w:rPr>
            </w:pPr>
            <w:r w:rsidRPr="00746BBB">
              <w:rPr>
                <w:lang w:val="en-AU"/>
              </w:rPr>
              <w:t>Endpoint</w:t>
            </w:r>
          </w:p>
          <w:p w14:paraId="6857FD09" w14:textId="77777777" w:rsidR="008A6598" w:rsidRPr="00746BBB" w:rsidRDefault="008A6598" w:rsidP="003F456B">
            <w:pPr>
              <w:pStyle w:val="Tableheadingrow"/>
              <w:jc w:val="center"/>
              <w:rPr>
                <w:lang w:val="en-AU"/>
              </w:rPr>
            </w:pPr>
            <w:r w:rsidRPr="00746BBB">
              <w:rPr>
                <w:lang w:val="en-AU"/>
              </w:rPr>
              <w:t>mean (SD)</w:t>
            </w:r>
          </w:p>
        </w:tc>
        <w:tc>
          <w:tcPr>
            <w:tcW w:w="592" w:type="pct"/>
            <w:gridSpan w:val="2"/>
            <w:vAlign w:val="center"/>
          </w:tcPr>
          <w:p w14:paraId="12932301" w14:textId="77777777" w:rsidR="008A6598" w:rsidRPr="00746BBB" w:rsidRDefault="008A6598" w:rsidP="003F456B">
            <w:pPr>
              <w:pStyle w:val="Tableheadingrow"/>
              <w:jc w:val="center"/>
              <w:rPr>
                <w:vertAlign w:val="superscript"/>
                <w:lang w:val="en-AU"/>
              </w:rPr>
            </w:pPr>
            <w:r w:rsidRPr="00746BBB">
              <w:rPr>
                <w:lang w:val="en-AU"/>
              </w:rPr>
              <w:t xml:space="preserve">Change (SE) </w:t>
            </w:r>
            <w:r w:rsidRPr="00746BBB">
              <w:rPr>
                <w:vertAlign w:val="superscript"/>
                <w:lang w:val="en-AU"/>
              </w:rPr>
              <w:t>a</w:t>
            </w:r>
          </w:p>
        </w:tc>
        <w:tc>
          <w:tcPr>
            <w:tcW w:w="581" w:type="pct"/>
            <w:vAlign w:val="center"/>
          </w:tcPr>
          <w:p w14:paraId="31B2A3F2" w14:textId="77777777" w:rsidR="008A6598" w:rsidRPr="00746BBB" w:rsidRDefault="008A6598" w:rsidP="003F456B">
            <w:pPr>
              <w:pStyle w:val="Tableheadingrow"/>
              <w:jc w:val="center"/>
              <w:rPr>
                <w:lang w:val="en-AU"/>
              </w:rPr>
            </w:pPr>
            <w:r w:rsidRPr="00746BBB">
              <w:rPr>
                <w:lang w:val="en-AU"/>
              </w:rPr>
              <w:t>Baseline</w:t>
            </w:r>
          </w:p>
          <w:p w14:paraId="2D4858CD" w14:textId="77777777" w:rsidR="008A6598" w:rsidRPr="00746BBB" w:rsidRDefault="008A6598" w:rsidP="003F456B">
            <w:pPr>
              <w:pStyle w:val="Tableheadingrow"/>
              <w:jc w:val="center"/>
              <w:rPr>
                <w:lang w:val="en-AU"/>
              </w:rPr>
            </w:pPr>
            <w:r w:rsidRPr="00746BBB">
              <w:rPr>
                <w:lang w:val="en-AU"/>
              </w:rPr>
              <w:t>mean (SD)</w:t>
            </w:r>
          </w:p>
        </w:tc>
        <w:tc>
          <w:tcPr>
            <w:tcW w:w="586" w:type="pct"/>
            <w:vAlign w:val="center"/>
          </w:tcPr>
          <w:p w14:paraId="4B837ACD" w14:textId="77777777" w:rsidR="008A6598" w:rsidRPr="00746BBB" w:rsidRDefault="008A6598" w:rsidP="003F456B">
            <w:pPr>
              <w:pStyle w:val="Tableheadingrow"/>
              <w:jc w:val="center"/>
              <w:rPr>
                <w:lang w:val="en-AU"/>
              </w:rPr>
            </w:pPr>
            <w:r w:rsidRPr="00746BBB">
              <w:rPr>
                <w:lang w:val="en-AU"/>
              </w:rPr>
              <w:t>Endpoint</w:t>
            </w:r>
          </w:p>
          <w:p w14:paraId="0E0AEB82" w14:textId="77777777" w:rsidR="008A6598" w:rsidRPr="00746BBB" w:rsidRDefault="008A6598" w:rsidP="003F456B">
            <w:pPr>
              <w:pStyle w:val="Tableheadingrow"/>
              <w:jc w:val="center"/>
              <w:rPr>
                <w:lang w:val="en-AU"/>
              </w:rPr>
            </w:pPr>
            <w:r w:rsidRPr="00746BBB">
              <w:rPr>
                <w:lang w:val="en-AU"/>
              </w:rPr>
              <w:t>mean (SD)</w:t>
            </w:r>
          </w:p>
        </w:tc>
        <w:tc>
          <w:tcPr>
            <w:tcW w:w="590" w:type="pct"/>
            <w:vAlign w:val="center"/>
          </w:tcPr>
          <w:p w14:paraId="53F99651" w14:textId="77777777" w:rsidR="008A6598" w:rsidRPr="00746BBB" w:rsidRDefault="008A6598" w:rsidP="003F456B">
            <w:pPr>
              <w:pStyle w:val="Tableheadingrow"/>
              <w:jc w:val="center"/>
              <w:rPr>
                <w:vertAlign w:val="superscript"/>
                <w:lang w:val="en-AU"/>
              </w:rPr>
            </w:pPr>
            <w:r w:rsidRPr="00746BBB">
              <w:rPr>
                <w:lang w:val="en-AU"/>
              </w:rPr>
              <w:t xml:space="preserve">Change (SE) </w:t>
            </w:r>
            <w:r w:rsidRPr="00746BBB">
              <w:rPr>
                <w:vertAlign w:val="superscript"/>
                <w:lang w:val="en-AU"/>
              </w:rPr>
              <w:t>a</w:t>
            </w:r>
          </w:p>
        </w:tc>
        <w:tc>
          <w:tcPr>
            <w:tcW w:w="816" w:type="pct"/>
            <w:vMerge/>
            <w:vAlign w:val="center"/>
          </w:tcPr>
          <w:p w14:paraId="29089531" w14:textId="77777777" w:rsidR="008A6598" w:rsidRPr="00746BBB" w:rsidRDefault="008A6598" w:rsidP="003F456B">
            <w:pPr>
              <w:pStyle w:val="Tableheadingrow"/>
              <w:jc w:val="center"/>
              <w:rPr>
                <w:lang w:val="en-AU"/>
              </w:rPr>
            </w:pPr>
          </w:p>
        </w:tc>
      </w:tr>
      <w:tr w:rsidR="008A6598" w:rsidRPr="00746BBB" w14:paraId="7F609889" w14:textId="77777777" w:rsidTr="001362CB">
        <w:tc>
          <w:tcPr>
            <w:tcW w:w="663" w:type="pct"/>
            <w:vAlign w:val="center"/>
          </w:tcPr>
          <w:p w14:paraId="2765A770" w14:textId="666960A5" w:rsidR="008A6598" w:rsidRPr="00746BBB" w:rsidRDefault="008A6598" w:rsidP="003F456B">
            <w:pPr>
              <w:pStyle w:val="TableText"/>
            </w:pPr>
            <w:r w:rsidRPr="00746BBB">
              <w:t>Hb level (g/dL)</w:t>
            </w:r>
          </w:p>
        </w:tc>
        <w:tc>
          <w:tcPr>
            <w:tcW w:w="586" w:type="pct"/>
            <w:vAlign w:val="center"/>
          </w:tcPr>
          <w:p w14:paraId="01D52A17" w14:textId="77777777" w:rsidR="008A6598" w:rsidRPr="00746BBB" w:rsidRDefault="008A6598" w:rsidP="003F456B">
            <w:pPr>
              <w:pStyle w:val="TableText"/>
              <w:jc w:val="center"/>
            </w:pPr>
            <w:r w:rsidRPr="00746BBB">
              <w:t>8.69 (1.08)</w:t>
            </w:r>
          </w:p>
        </w:tc>
        <w:tc>
          <w:tcPr>
            <w:tcW w:w="586" w:type="pct"/>
            <w:vAlign w:val="center"/>
          </w:tcPr>
          <w:p w14:paraId="69BC62E2" w14:textId="77777777" w:rsidR="008A6598" w:rsidRPr="00746BBB" w:rsidRDefault="008A6598" w:rsidP="003F456B">
            <w:pPr>
              <w:pStyle w:val="TableText"/>
              <w:jc w:val="center"/>
            </w:pPr>
            <w:r w:rsidRPr="00746BBB">
              <w:t>11.65 (1.89)</w:t>
            </w:r>
          </w:p>
        </w:tc>
        <w:tc>
          <w:tcPr>
            <w:tcW w:w="592" w:type="pct"/>
            <w:gridSpan w:val="2"/>
            <w:vAlign w:val="center"/>
          </w:tcPr>
          <w:p w14:paraId="7B2A7096" w14:textId="77777777" w:rsidR="008A6598" w:rsidRPr="00746BBB" w:rsidRDefault="008A6598" w:rsidP="003F456B">
            <w:pPr>
              <w:pStyle w:val="TableText"/>
              <w:jc w:val="center"/>
            </w:pPr>
            <w:r w:rsidRPr="00746BBB">
              <w:t>2.37 (0.36)</w:t>
            </w:r>
          </w:p>
        </w:tc>
        <w:tc>
          <w:tcPr>
            <w:tcW w:w="581" w:type="pct"/>
            <w:vAlign w:val="center"/>
          </w:tcPr>
          <w:p w14:paraId="262E1E55" w14:textId="77777777" w:rsidR="008A6598" w:rsidRPr="00746BBB" w:rsidRDefault="008A6598" w:rsidP="003F456B">
            <w:pPr>
              <w:pStyle w:val="TableText"/>
              <w:jc w:val="center"/>
            </w:pPr>
            <w:r w:rsidRPr="00746BBB">
              <w:t>8.68 (0.89)</w:t>
            </w:r>
          </w:p>
        </w:tc>
        <w:tc>
          <w:tcPr>
            <w:tcW w:w="586" w:type="pct"/>
            <w:vAlign w:val="center"/>
          </w:tcPr>
          <w:p w14:paraId="524E75D3" w14:textId="77777777" w:rsidR="008A6598" w:rsidRPr="00746BBB" w:rsidRDefault="008A6598" w:rsidP="003F456B">
            <w:pPr>
              <w:pStyle w:val="TableText"/>
              <w:jc w:val="center"/>
            </w:pPr>
            <w:r w:rsidRPr="00746BBB">
              <w:t>9.27 (0.84)</w:t>
            </w:r>
          </w:p>
        </w:tc>
        <w:tc>
          <w:tcPr>
            <w:tcW w:w="590" w:type="pct"/>
            <w:vAlign w:val="center"/>
          </w:tcPr>
          <w:p w14:paraId="270AFC6A" w14:textId="77777777" w:rsidR="008A6598" w:rsidRPr="00746BBB" w:rsidRDefault="008A6598" w:rsidP="003F456B">
            <w:pPr>
              <w:pStyle w:val="TableText"/>
              <w:jc w:val="center"/>
            </w:pPr>
            <w:r w:rsidRPr="00746BBB">
              <w:t>-1.47 (0.67)</w:t>
            </w:r>
          </w:p>
        </w:tc>
        <w:tc>
          <w:tcPr>
            <w:tcW w:w="816" w:type="pct"/>
            <w:vAlign w:val="center"/>
          </w:tcPr>
          <w:p w14:paraId="6B824366" w14:textId="77777777" w:rsidR="008A6598" w:rsidRPr="00746BBB" w:rsidRDefault="008A6598" w:rsidP="003F456B">
            <w:pPr>
              <w:pStyle w:val="TableText"/>
              <w:jc w:val="center"/>
            </w:pPr>
            <w:r w:rsidRPr="00746BBB">
              <w:t>3.84 (2.33, 5.34)</w:t>
            </w:r>
          </w:p>
        </w:tc>
      </w:tr>
      <w:tr w:rsidR="001362CB" w:rsidRPr="00746BBB" w14:paraId="0F8CB4B3" w14:textId="77777777" w:rsidTr="001362CB">
        <w:tc>
          <w:tcPr>
            <w:tcW w:w="663" w:type="pct"/>
            <w:vAlign w:val="center"/>
          </w:tcPr>
          <w:p w14:paraId="38FA8E04" w14:textId="427B7E98" w:rsidR="001362CB" w:rsidRPr="001362CB" w:rsidRDefault="001362CB" w:rsidP="003F456B">
            <w:pPr>
              <w:pStyle w:val="TableText"/>
            </w:pPr>
            <w:r>
              <w:t>ARC (x 10</w:t>
            </w:r>
            <w:r>
              <w:rPr>
                <w:vertAlign w:val="superscript"/>
              </w:rPr>
              <w:t>9</w:t>
            </w:r>
            <w:r>
              <w:t xml:space="preserve"> cells/L)</w:t>
            </w:r>
          </w:p>
        </w:tc>
        <w:tc>
          <w:tcPr>
            <w:tcW w:w="586" w:type="pct"/>
            <w:vAlign w:val="center"/>
          </w:tcPr>
          <w:p w14:paraId="7F27041E" w14:textId="77777777" w:rsidR="001362CB" w:rsidRPr="00746BBB" w:rsidRDefault="001362CB" w:rsidP="003F456B">
            <w:pPr>
              <w:pStyle w:val="TableText"/>
              <w:jc w:val="center"/>
            </w:pPr>
            <w:r w:rsidRPr="00746BBB">
              <w:t>217.5 (75.0)</w:t>
            </w:r>
          </w:p>
        </w:tc>
        <w:tc>
          <w:tcPr>
            <w:tcW w:w="586" w:type="pct"/>
            <w:vAlign w:val="center"/>
          </w:tcPr>
          <w:p w14:paraId="16D5FCD8" w14:textId="77777777" w:rsidR="001362CB" w:rsidRPr="00746BBB" w:rsidRDefault="001362CB" w:rsidP="003F456B">
            <w:pPr>
              <w:pStyle w:val="TableText"/>
              <w:jc w:val="center"/>
            </w:pPr>
            <w:r w:rsidRPr="00746BBB">
              <w:t>77.7 (26.9)</w:t>
            </w:r>
          </w:p>
        </w:tc>
        <w:tc>
          <w:tcPr>
            <w:tcW w:w="586" w:type="pct"/>
            <w:vAlign w:val="center"/>
          </w:tcPr>
          <w:p w14:paraId="2A51AD62" w14:textId="77777777" w:rsidR="001362CB" w:rsidRPr="00746BBB" w:rsidRDefault="001362CB" w:rsidP="003F456B">
            <w:pPr>
              <w:pStyle w:val="TableText"/>
              <w:jc w:val="center"/>
            </w:pPr>
            <w:r w:rsidRPr="00746BBB">
              <w:t>-135.8 (6.5)</w:t>
            </w:r>
          </w:p>
        </w:tc>
        <w:tc>
          <w:tcPr>
            <w:tcW w:w="587" w:type="pct"/>
            <w:gridSpan w:val="2"/>
            <w:vAlign w:val="center"/>
          </w:tcPr>
          <w:p w14:paraId="1A7543F3" w14:textId="77777777" w:rsidR="001362CB" w:rsidRPr="00746BBB" w:rsidRDefault="001362CB" w:rsidP="003F456B">
            <w:pPr>
              <w:pStyle w:val="TableText"/>
              <w:jc w:val="center"/>
            </w:pPr>
            <w:r w:rsidRPr="00746BBB">
              <w:t>216.2 (69.1)</w:t>
            </w:r>
          </w:p>
        </w:tc>
        <w:tc>
          <w:tcPr>
            <w:tcW w:w="586" w:type="pct"/>
            <w:vAlign w:val="center"/>
          </w:tcPr>
          <w:p w14:paraId="1FBC6F5C" w14:textId="77777777" w:rsidR="001362CB" w:rsidRPr="00746BBB" w:rsidRDefault="001362CB" w:rsidP="003F456B">
            <w:pPr>
              <w:pStyle w:val="TableText"/>
              <w:jc w:val="center"/>
            </w:pPr>
            <w:r w:rsidRPr="00746BBB">
              <w:t>220.0 (92.3)</w:t>
            </w:r>
          </w:p>
        </w:tc>
        <w:tc>
          <w:tcPr>
            <w:tcW w:w="590" w:type="pct"/>
            <w:vAlign w:val="center"/>
          </w:tcPr>
          <w:p w14:paraId="1B08EB19" w14:textId="77777777" w:rsidR="001362CB" w:rsidRPr="00746BBB" w:rsidRDefault="001362CB" w:rsidP="003F456B">
            <w:pPr>
              <w:pStyle w:val="TableText"/>
              <w:jc w:val="center"/>
            </w:pPr>
            <w:r w:rsidRPr="00746BBB">
              <w:t>27.8 (11.9)</w:t>
            </w:r>
          </w:p>
        </w:tc>
        <w:tc>
          <w:tcPr>
            <w:tcW w:w="816" w:type="pct"/>
            <w:vAlign w:val="center"/>
          </w:tcPr>
          <w:p w14:paraId="402FED48" w14:textId="77777777" w:rsidR="001362CB" w:rsidRPr="00746BBB" w:rsidRDefault="001362CB" w:rsidP="003F456B">
            <w:pPr>
              <w:pStyle w:val="TableText"/>
              <w:jc w:val="center"/>
            </w:pPr>
            <w:r w:rsidRPr="00746BBB">
              <w:t xml:space="preserve">-163.6 </w:t>
            </w:r>
          </w:p>
          <w:p w14:paraId="09AEBCC6" w14:textId="77777777" w:rsidR="001362CB" w:rsidRPr="00746BBB" w:rsidRDefault="001362CB" w:rsidP="003F456B">
            <w:pPr>
              <w:pStyle w:val="TableText"/>
              <w:jc w:val="center"/>
            </w:pPr>
            <w:r w:rsidRPr="00746BBB">
              <w:t>(-189.9, -137.3)</w:t>
            </w:r>
          </w:p>
        </w:tc>
      </w:tr>
      <w:tr w:rsidR="001362CB" w:rsidRPr="00746BBB" w14:paraId="11A51478" w14:textId="77777777" w:rsidTr="001362CB">
        <w:tc>
          <w:tcPr>
            <w:tcW w:w="663" w:type="pct"/>
            <w:vAlign w:val="center"/>
          </w:tcPr>
          <w:p w14:paraId="6A9E85BC" w14:textId="5D9A5129" w:rsidR="001362CB" w:rsidRPr="00746BBB" w:rsidRDefault="008022D4" w:rsidP="001362CB">
            <w:pPr>
              <w:pStyle w:val="TableText"/>
            </w:pPr>
            <w:r>
              <w:t>LDH (U/L)</w:t>
            </w:r>
          </w:p>
        </w:tc>
        <w:tc>
          <w:tcPr>
            <w:tcW w:w="586" w:type="pct"/>
            <w:vAlign w:val="center"/>
          </w:tcPr>
          <w:p w14:paraId="5E7D76FB" w14:textId="6A03896C" w:rsidR="001362CB" w:rsidRPr="00746BBB" w:rsidRDefault="001362CB" w:rsidP="001362CB">
            <w:pPr>
              <w:pStyle w:val="TableText"/>
              <w:jc w:val="center"/>
            </w:pPr>
            <w:r w:rsidRPr="00746BBB">
              <w:t>257.5 (97.6)</w:t>
            </w:r>
          </w:p>
        </w:tc>
        <w:tc>
          <w:tcPr>
            <w:tcW w:w="586" w:type="pct"/>
            <w:vAlign w:val="center"/>
          </w:tcPr>
          <w:p w14:paraId="0E4A546D" w14:textId="24BBD81E" w:rsidR="001362CB" w:rsidRPr="00746BBB" w:rsidRDefault="001362CB" w:rsidP="001362CB">
            <w:pPr>
              <w:pStyle w:val="TableText"/>
              <w:jc w:val="center"/>
            </w:pPr>
            <w:r w:rsidRPr="00746BBB">
              <w:t>188.8 (79.2)</w:t>
            </w:r>
          </w:p>
        </w:tc>
        <w:tc>
          <w:tcPr>
            <w:tcW w:w="592" w:type="pct"/>
            <w:gridSpan w:val="2"/>
            <w:vAlign w:val="center"/>
          </w:tcPr>
          <w:p w14:paraId="549599E3" w14:textId="555EAF3E" w:rsidR="001362CB" w:rsidRPr="00746BBB" w:rsidRDefault="001362CB" w:rsidP="001362CB">
            <w:pPr>
              <w:pStyle w:val="TableText"/>
              <w:jc w:val="center"/>
            </w:pPr>
            <w:r w:rsidRPr="00746BBB">
              <w:t>-14.8 (42.7)</w:t>
            </w:r>
          </w:p>
        </w:tc>
        <w:tc>
          <w:tcPr>
            <w:tcW w:w="581" w:type="pct"/>
            <w:vAlign w:val="center"/>
          </w:tcPr>
          <w:p w14:paraId="0A3D6D77" w14:textId="2C75CE24" w:rsidR="001362CB" w:rsidRPr="00746BBB" w:rsidRDefault="001362CB" w:rsidP="001362CB">
            <w:pPr>
              <w:pStyle w:val="TableText"/>
              <w:jc w:val="center"/>
            </w:pPr>
            <w:r w:rsidRPr="00746BBB">
              <w:t>308.6 (284.8)</w:t>
            </w:r>
          </w:p>
        </w:tc>
        <w:tc>
          <w:tcPr>
            <w:tcW w:w="586" w:type="pct"/>
            <w:vAlign w:val="center"/>
          </w:tcPr>
          <w:p w14:paraId="719D1318" w14:textId="3E721524" w:rsidR="001362CB" w:rsidRPr="00746BBB" w:rsidRDefault="001362CB" w:rsidP="001362CB">
            <w:pPr>
              <w:pStyle w:val="TableText"/>
              <w:jc w:val="center"/>
            </w:pPr>
            <w:r w:rsidRPr="00746BBB">
              <w:t>183.3 (28.8)</w:t>
            </w:r>
          </w:p>
        </w:tc>
        <w:tc>
          <w:tcPr>
            <w:tcW w:w="590" w:type="pct"/>
            <w:vAlign w:val="center"/>
          </w:tcPr>
          <w:p w14:paraId="31F267A5" w14:textId="39A1ECA8" w:rsidR="001362CB" w:rsidRPr="00746BBB" w:rsidRDefault="001362CB" w:rsidP="001362CB">
            <w:pPr>
              <w:pStyle w:val="TableText"/>
              <w:jc w:val="center"/>
            </w:pPr>
            <w:r w:rsidRPr="00746BBB">
              <w:t>-10.1 (71.0)</w:t>
            </w:r>
          </w:p>
        </w:tc>
        <w:tc>
          <w:tcPr>
            <w:tcW w:w="816" w:type="pct"/>
            <w:vAlign w:val="center"/>
          </w:tcPr>
          <w:p w14:paraId="1400B60F" w14:textId="77777777" w:rsidR="001362CB" w:rsidRPr="00746BBB" w:rsidRDefault="001362CB" w:rsidP="001362CB">
            <w:pPr>
              <w:pStyle w:val="TableText"/>
              <w:jc w:val="center"/>
            </w:pPr>
            <w:r w:rsidRPr="00746BBB">
              <w:t xml:space="preserve">-4.6 </w:t>
            </w:r>
          </w:p>
          <w:p w14:paraId="3B7EFC62" w14:textId="7A552CCC" w:rsidR="001362CB" w:rsidRPr="00746BBB" w:rsidRDefault="001362CB" w:rsidP="001362CB">
            <w:pPr>
              <w:pStyle w:val="TableText"/>
              <w:jc w:val="center"/>
            </w:pPr>
            <w:r w:rsidRPr="00746BBB">
              <w:t>(-181.3, 172.0)</w:t>
            </w:r>
          </w:p>
        </w:tc>
      </w:tr>
      <w:tr w:rsidR="008022D4" w:rsidRPr="00746BBB" w14:paraId="113D59B8" w14:textId="77777777" w:rsidTr="001362CB">
        <w:tc>
          <w:tcPr>
            <w:tcW w:w="663" w:type="pct"/>
            <w:vAlign w:val="center"/>
          </w:tcPr>
          <w:p w14:paraId="2892239F" w14:textId="009AFD6D" w:rsidR="008022D4" w:rsidRDefault="008022D4" w:rsidP="008022D4">
            <w:pPr>
              <w:pStyle w:val="TableText"/>
            </w:pPr>
            <w:r>
              <w:t>FACIT-Fatigue</w:t>
            </w:r>
          </w:p>
        </w:tc>
        <w:tc>
          <w:tcPr>
            <w:tcW w:w="586" w:type="pct"/>
            <w:vAlign w:val="center"/>
          </w:tcPr>
          <w:p w14:paraId="096D48CE" w14:textId="74E9019E" w:rsidR="008022D4" w:rsidRPr="00746BBB" w:rsidRDefault="008022D4" w:rsidP="008022D4">
            <w:pPr>
              <w:pStyle w:val="TableText"/>
              <w:jc w:val="center"/>
            </w:pPr>
            <w:r w:rsidRPr="00746BBB">
              <w:t>32.2 (11.4)</w:t>
            </w:r>
          </w:p>
        </w:tc>
        <w:tc>
          <w:tcPr>
            <w:tcW w:w="586" w:type="pct"/>
            <w:vAlign w:val="center"/>
          </w:tcPr>
          <w:p w14:paraId="408EC999" w14:textId="29F00B34" w:rsidR="008022D4" w:rsidRPr="00746BBB" w:rsidRDefault="008022D4" w:rsidP="008022D4">
            <w:pPr>
              <w:pStyle w:val="TableText"/>
              <w:jc w:val="center"/>
            </w:pPr>
            <w:r w:rsidRPr="00746BBB">
              <w:t>42.5 (8.8)</w:t>
            </w:r>
          </w:p>
        </w:tc>
        <w:tc>
          <w:tcPr>
            <w:tcW w:w="592" w:type="pct"/>
            <w:gridSpan w:val="2"/>
            <w:vAlign w:val="center"/>
          </w:tcPr>
          <w:p w14:paraId="40D8C65A" w14:textId="78EA86A8" w:rsidR="008022D4" w:rsidRPr="00746BBB" w:rsidRDefault="008022D4" w:rsidP="008022D4">
            <w:pPr>
              <w:pStyle w:val="TableText"/>
              <w:jc w:val="center"/>
            </w:pPr>
            <w:r w:rsidRPr="00746BBB">
              <w:t>9.2 (1.6)</w:t>
            </w:r>
          </w:p>
        </w:tc>
        <w:tc>
          <w:tcPr>
            <w:tcW w:w="581" w:type="pct"/>
            <w:vAlign w:val="center"/>
          </w:tcPr>
          <w:p w14:paraId="573E4761" w14:textId="583CC0C8" w:rsidR="008022D4" w:rsidRPr="00746BBB" w:rsidRDefault="008022D4" w:rsidP="008022D4">
            <w:pPr>
              <w:pStyle w:val="TableText"/>
              <w:jc w:val="center"/>
            </w:pPr>
            <w:r w:rsidRPr="00746BBB">
              <w:t>31.6 (12.5)</w:t>
            </w:r>
          </w:p>
        </w:tc>
        <w:tc>
          <w:tcPr>
            <w:tcW w:w="586" w:type="pct"/>
            <w:vAlign w:val="center"/>
          </w:tcPr>
          <w:p w14:paraId="0B454888" w14:textId="2DBCAC46" w:rsidR="008022D4" w:rsidRPr="00746BBB" w:rsidRDefault="008022D4" w:rsidP="008022D4">
            <w:pPr>
              <w:pStyle w:val="TableText"/>
              <w:jc w:val="center"/>
            </w:pPr>
            <w:r w:rsidRPr="00746BBB">
              <w:t>34.7 (16.4)</w:t>
            </w:r>
          </w:p>
        </w:tc>
        <w:tc>
          <w:tcPr>
            <w:tcW w:w="590" w:type="pct"/>
            <w:vAlign w:val="center"/>
          </w:tcPr>
          <w:p w14:paraId="7BFC3948" w14:textId="3A29B752" w:rsidR="008022D4" w:rsidRPr="00746BBB" w:rsidRDefault="008022D4" w:rsidP="008022D4">
            <w:pPr>
              <w:pStyle w:val="TableText"/>
              <w:jc w:val="center"/>
            </w:pPr>
            <w:r w:rsidRPr="00746BBB">
              <w:t>-2.7 (2.8)</w:t>
            </w:r>
          </w:p>
        </w:tc>
        <w:tc>
          <w:tcPr>
            <w:tcW w:w="816" w:type="pct"/>
            <w:vAlign w:val="center"/>
          </w:tcPr>
          <w:p w14:paraId="162E81FC" w14:textId="6D6A9FF9" w:rsidR="008022D4" w:rsidRPr="00746BBB" w:rsidRDefault="008022D4" w:rsidP="008022D4">
            <w:pPr>
              <w:pStyle w:val="TableText"/>
              <w:jc w:val="center"/>
            </w:pPr>
            <w:r w:rsidRPr="00746BBB">
              <w:t>11.9 (5.5, 18.3)</w:t>
            </w:r>
          </w:p>
        </w:tc>
      </w:tr>
    </w:tbl>
    <w:p w14:paraId="6F07BD70" w14:textId="43F7D87A" w:rsidR="008A6598" w:rsidRDefault="001362CB" w:rsidP="00631064">
      <w:pPr>
        <w:pStyle w:val="TableFigureFooter"/>
      </w:pPr>
      <w:r>
        <w:t>Source:</w:t>
      </w:r>
      <w:r w:rsidR="000D3038">
        <w:t xml:space="preserve"> Section </w:t>
      </w:r>
      <w:r w:rsidR="005B1B79">
        <w:t>2.5.1, pp 61-</w:t>
      </w:r>
      <w:r w:rsidR="00B36581">
        <w:t>93 of the submission and the PEGASUS 16-week trial report</w:t>
      </w:r>
    </w:p>
    <w:p w14:paraId="3C2B5936" w14:textId="4FEB49FD" w:rsidR="002D745B" w:rsidRDefault="00631064" w:rsidP="002D745B">
      <w:pPr>
        <w:pStyle w:val="TableFigureFooter"/>
        <w:rPr>
          <w:rFonts w:eastAsia="Calibri"/>
        </w:rPr>
      </w:pPr>
      <w:r w:rsidRPr="00746BBB">
        <w:t>Abbreviation</w:t>
      </w:r>
      <w:r>
        <w:t>s</w:t>
      </w:r>
      <w:r w:rsidRPr="00746BBB">
        <w:t xml:space="preserve">: </w:t>
      </w:r>
      <w:r w:rsidR="002D745B">
        <w:t xml:space="preserve">ARC, absolute reticulocyte count; </w:t>
      </w:r>
      <w:r w:rsidRPr="00746BBB">
        <w:t>CI, confidence interval</w:t>
      </w:r>
      <w:r w:rsidR="002D745B">
        <w:t>;</w:t>
      </w:r>
      <w:r w:rsidR="002D745B" w:rsidRPr="002D745B">
        <w:rPr>
          <w:rFonts w:eastAsia="Calibri"/>
        </w:rPr>
        <w:t xml:space="preserve"> </w:t>
      </w:r>
      <w:r w:rsidR="002D745B">
        <w:rPr>
          <w:rFonts w:eastAsia="Calibri"/>
        </w:rPr>
        <w:t xml:space="preserve">LDH, lactate dehydrogenase; </w:t>
      </w:r>
      <w:r w:rsidR="002D745B" w:rsidRPr="00746BBB">
        <w:rPr>
          <w:rFonts w:eastAsia="Calibri"/>
        </w:rPr>
        <w:t>SD, standard deviation; SE, standard error</w:t>
      </w:r>
    </w:p>
    <w:p w14:paraId="1638931E" w14:textId="2298612B" w:rsidR="00631064" w:rsidRDefault="002D745B" w:rsidP="00631064">
      <w:pPr>
        <w:pStyle w:val="TableFigureFooter"/>
      </w:pPr>
      <w:proofErr w:type="spellStart"/>
      <w:r w:rsidRPr="00746BBB">
        <w:rPr>
          <w:vertAlign w:val="superscript"/>
        </w:rPr>
        <w:t>a</w:t>
      </w:r>
      <w:proofErr w:type="spellEnd"/>
      <w:r w:rsidRPr="00746BBB">
        <w:t xml:space="preserve"> </w:t>
      </w:r>
      <w:proofErr w:type="gramStart"/>
      <w:r w:rsidRPr="00746BBB">
        <w:t>Least squares</w:t>
      </w:r>
      <w:proofErr w:type="gramEnd"/>
      <w:r w:rsidRPr="00746BBB">
        <w:t xml:space="preserve"> mean analysed using an MMRM model including treatment, baseline value, visit and stratification factors (number of transfusions and platelet count at screening)</w:t>
      </w:r>
    </w:p>
    <w:p w14:paraId="57FC0184" w14:textId="5C5F2026" w:rsidR="006F7E19" w:rsidRDefault="006F7E19" w:rsidP="000C453B">
      <w:pPr>
        <w:pStyle w:val="ExecSumBodyText"/>
        <w:spacing w:after="160"/>
      </w:pPr>
      <w:r w:rsidRPr="00172547">
        <w:t xml:space="preserve">Treatment with </w:t>
      </w:r>
      <w:proofErr w:type="spellStart"/>
      <w:r w:rsidRPr="00172547">
        <w:t>pegcetacoplan</w:t>
      </w:r>
      <w:proofErr w:type="spellEnd"/>
      <w:r w:rsidRPr="00172547">
        <w:t xml:space="preserve"> was associated with a statistically significant improvement in Hb level compared to eculizumab in the absence of transfusions. The submission claimed the treatment difference of Hb 3.84 g/dL (in the absence of transfusions) is nearly twice the proposed MCID for change in Hb level (&gt;2 g/dL) and is expected to translate into significant improvements in patients’ energy and activity levels, as well as quality of life</w:t>
      </w:r>
      <w:r w:rsidRPr="00A05B02">
        <w:t>. In patients with PNH, the clinical importance of Hb level improvement as a single measure in the absence of clinical symptoms was uncertain.</w:t>
      </w:r>
      <w:r w:rsidRPr="00172547">
        <w:t xml:space="preserve">   </w:t>
      </w:r>
    </w:p>
    <w:p w14:paraId="1494C996" w14:textId="1AFC7AF7" w:rsidR="00067226" w:rsidRDefault="00D560E9" w:rsidP="000C453B">
      <w:pPr>
        <w:pStyle w:val="ExecSumBodyText"/>
        <w:spacing w:after="160"/>
      </w:pPr>
      <w:r>
        <w:t>For change in reticulocyte count, t</w:t>
      </w:r>
      <w:r w:rsidRPr="00D560E9">
        <w:t xml:space="preserve">he upper bound of the 95% confidence interval of the adjusted treatment difference was less than the protocol-specified </w:t>
      </w:r>
      <w:r w:rsidR="00657D0C">
        <w:t>non-inferiority</w:t>
      </w:r>
      <w:r w:rsidRPr="00D560E9">
        <w:t xml:space="preserve"> margin of 10 (x 10</w:t>
      </w:r>
      <w:r w:rsidRPr="00D520DA">
        <w:rPr>
          <w:vertAlign w:val="superscript"/>
        </w:rPr>
        <w:t>9</w:t>
      </w:r>
      <w:r w:rsidRPr="00D560E9">
        <w:t xml:space="preserve"> cells/L), indicating that </w:t>
      </w:r>
      <w:proofErr w:type="spellStart"/>
      <w:r w:rsidRPr="00D560E9">
        <w:t>pegcetacoplan</w:t>
      </w:r>
      <w:proofErr w:type="spellEnd"/>
      <w:r w:rsidRPr="00D560E9">
        <w:t xml:space="preserve"> was noninferior to eculizumab</w:t>
      </w:r>
      <w:r>
        <w:t xml:space="preserve"> in the absence of transfusions. </w:t>
      </w:r>
    </w:p>
    <w:p w14:paraId="5DBFA3EC" w14:textId="7B36B7D4" w:rsidR="00BA1B9E" w:rsidRPr="00A05B02" w:rsidRDefault="00D560E9" w:rsidP="000C453B">
      <w:pPr>
        <w:pStyle w:val="ExecSumBodyText"/>
        <w:spacing w:after="160"/>
      </w:pPr>
      <w:proofErr w:type="spellStart"/>
      <w:r>
        <w:t>Pegcetacoplan</w:t>
      </w:r>
      <w:proofErr w:type="spellEnd"/>
      <w:r>
        <w:t xml:space="preserve"> did not meet the predefined </w:t>
      </w:r>
      <w:r w:rsidR="00657D0C">
        <w:t>non-inferiority</w:t>
      </w:r>
      <w:r>
        <w:t xml:space="preserve"> criterion for </w:t>
      </w:r>
      <w:r w:rsidR="00913D26">
        <w:t>change in LDH, as t</w:t>
      </w:r>
      <w:r w:rsidR="00913D26" w:rsidRPr="00913D26">
        <w:t xml:space="preserve">he upper bound of the 95% confidence interval of the adjusted treatment difference </w:t>
      </w:r>
      <w:r w:rsidR="00657D0C">
        <w:t>exceeded</w:t>
      </w:r>
      <w:r w:rsidR="00913D26" w:rsidRPr="00913D26">
        <w:t xml:space="preserve"> the protocol-specified </w:t>
      </w:r>
      <w:r w:rsidR="00657D0C">
        <w:t>non-inferiority</w:t>
      </w:r>
      <w:r w:rsidR="00913D26" w:rsidRPr="00913D26">
        <w:t xml:space="preserve"> margin of 20 U/L</w:t>
      </w:r>
      <w:r w:rsidR="00913D26">
        <w:t xml:space="preserve">. </w:t>
      </w:r>
      <w:r w:rsidR="00913D26" w:rsidRPr="00A05B02">
        <w:t xml:space="preserve">The submission appeared to challenge the clinical importance of the pre-specified non-inferiority margin and changes in LDH level in the absence of clinical signs and symptoms. The ESC previously considered marked increases in LDH (as a marker of haemolysis) are not clinically significant in the absence of clinical symptoms such as fatigue and requirement for transfusion, and that transfusion avoidance, reduction in </w:t>
      </w:r>
      <w:proofErr w:type="spellStart"/>
      <w:r w:rsidR="00913D26" w:rsidRPr="00A05B02">
        <w:t>microthrombosis</w:t>
      </w:r>
      <w:proofErr w:type="spellEnd"/>
      <w:r w:rsidR="00913D26" w:rsidRPr="00A05B02">
        <w:t xml:space="preserve">, </w:t>
      </w:r>
      <w:proofErr w:type="spellStart"/>
      <w:r w:rsidR="00913D26" w:rsidRPr="00A05B02">
        <w:t>macrothrombosis</w:t>
      </w:r>
      <w:proofErr w:type="spellEnd"/>
      <w:r w:rsidR="00913D26" w:rsidRPr="00A05B02">
        <w:t xml:space="preserve"> and stabilisation of haemoglobin levels are more clinically significant outcomes (para 6.45, </w:t>
      </w:r>
      <w:proofErr w:type="spellStart"/>
      <w:r w:rsidR="00913D26" w:rsidRPr="00A05B02">
        <w:t>ravulizumab</w:t>
      </w:r>
      <w:proofErr w:type="spellEnd"/>
      <w:r w:rsidR="00913D26" w:rsidRPr="00A05B02">
        <w:t xml:space="preserve"> PSD, July 2020 PBAC meeting). </w:t>
      </w:r>
    </w:p>
    <w:p w14:paraId="589E4168" w14:textId="27B7DE2A" w:rsidR="00D560E9" w:rsidRPr="00A05B02" w:rsidRDefault="00BA1B9E" w:rsidP="00370957">
      <w:pPr>
        <w:pStyle w:val="ExecSumBodyText"/>
      </w:pPr>
      <w:r w:rsidRPr="00A05B02">
        <w:t xml:space="preserve">Overall, </w:t>
      </w:r>
      <w:r w:rsidRPr="00937F6D">
        <w:t xml:space="preserve">the </w:t>
      </w:r>
      <w:r w:rsidR="00A218A0" w:rsidRPr="00937F6D">
        <w:t xml:space="preserve">ESC considered the </w:t>
      </w:r>
      <w:r w:rsidRPr="00937F6D">
        <w:t xml:space="preserve">LDH results </w:t>
      </w:r>
      <w:r w:rsidR="00A218A0" w:rsidRPr="00937F6D">
        <w:t>difficult to assess</w:t>
      </w:r>
      <w:r w:rsidRPr="00937F6D">
        <w:t xml:space="preserve"> due to differences in baseline LDH levels between treatment arms. Patients randomised to </w:t>
      </w:r>
      <w:proofErr w:type="spellStart"/>
      <w:r w:rsidRPr="00937F6D">
        <w:t>pegcetacoplan</w:t>
      </w:r>
      <w:proofErr w:type="spellEnd"/>
      <w:r w:rsidRPr="00937F6D">
        <w:t xml:space="preserve"> had lower LDH levels compared to eculizumab, with a mean difference at baseline greater than the mean change from baseline to Week 16. Median baseline estimates also indicate greater variation in LDH levels in the eculizumab arm (median 212, range 122-1,598 U/L) compared to </w:t>
      </w:r>
      <w:proofErr w:type="spellStart"/>
      <w:r w:rsidRPr="00937F6D">
        <w:t>pegcetacoplan</w:t>
      </w:r>
      <w:proofErr w:type="spellEnd"/>
      <w:r w:rsidRPr="00937F6D">
        <w:t xml:space="preserve"> (median 247, range 119-584 U/L). There was substantial variation in LDH measures, particularly in the eculizumab arm, suggesting the mean values were skewed by outliers.</w:t>
      </w:r>
      <w:r w:rsidR="00E77D6E" w:rsidRPr="00937F6D">
        <w:t xml:space="preserve"> The </w:t>
      </w:r>
      <w:r w:rsidR="00E322FF" w:rsidRPr="00937F6D">
        <w:t xml:space="preserve">PSCR </w:t>
      </w:r>
      <w:r w:rsidR="00B5699F" w:rsidRPr="00937F6D">
        <w:t>argu</w:t>
      </w:r>
      <w:r w:rsidR="00E322FF" w:rsidRPr="00937F6D">
        <w:t xml:space="preserve">ed that given that the LDH levels in these patients had already been reduced by C5 inhibitor therapy, and </w:t>
      </w:r>
      <w:r w:rsidR="00E322FF" w:rsidRPr="00937F6D">
        <w:lastRenderedPageBreak/>
        <w:t xml:space="preserve">that there was an imbalance in the LDH levels between the groups, the magnitude of effect for change from baseline would be small, and the potential for change would favour the group with the higher baseline value. At week 16, the difference between the groups was -4.63U/L (95% -181 to 172.04) in favour of </w:t>
      </w:r>
      <w:proofErr w:type="spellStart"/>
      <w:r w:rsidR="00E322FF" w:rsidRPr="00937F6D">
        <w:t>pegcetacoplan</w:t>
      </w:r>
      <w:proofErr w:type="spellEnd"/>
      <w:r w:rsidR="00E322FF" w:rsidRPr="00937F6D">
        <w:t xml:space="preserve">, with the upper bound of the 95% CI not being less than the prespecified </w:t>
      </w:r>
      <w:r w:rsidR="00346A0C" w:rsidRPr="00937F6D">
        <w:t>non-inferiority margin</w:t>
      </w:r>
      <w:r w:rsidR="00E322FF" w:rsidRPr="00937F6D">
        <w:t xml:space="preserve"> of 20. The most prognostically relevant measure of LDH for survival was argued in the PSCR to therefore be measured in absolute values and normalisation, as opposed to change from baseline which does not guarantee reduced haemolysis risk.</w:t>
      </w:r>
      <w:r w:rsidR="00E322FF">
        <w:rPr>
          <w:i/>
          <w:iCs/>
        </w:rPr>
        <w:t xml:space="preserve"> </w:t>
      </w:r>
      <w:r w:rsidR="007D7896">
        <w:t xml:space="preserve">The PBAC agreed with the ESC that the LDH results were difficult to interpret due to differences in baseline LDH levels compared to eculizumab. </w:t>
      </w:r>
    </w:p>
    <w:p w14:paraId="5252D06F" w14:textId="057FB8A2" w:rsidR="00CA3AF6" w:rsidRPr="00A05B02" w:rsidRDefault="00231CB7" w:rsidP="000C453B">
      <w:pPr>
        <w:pStyle w:val="ExecSumBodyText"/>
        <w:spacing w:after="160"/>
      </w:pPr>
      <w:r w:rsidRPr="00A05B02">
        <w:t>Non-inferiority for change in FACIT-Fatigue score was not assessed due to failure in the hierarchical testing (</w:t>
      </w:r>
      <w:r w:rsidR="00657D0C" w:rsidRPr="00A05B02">
        <w:t>non-inferiority</w:t>
      </w:r>
      <w:r w:rsidRPr="00A05B02">
        <w:t xml:space="preserve"> was not met for the LDH outcome). However, the submission claimed the treatment difference was over three times greater than the protocol-specified </w:t>
      </w:r>
      <w:r w:rsidR="00657D0C" w:rsidRPr="00A05B02">
        <w:t>non-inferiority</w:t>
      </w:r>
      <w:r w:rsidRPr="00A05B02">
        <w:t xml:space="preserve"> margin of -3, representing a clinically meaningful improvement in the FACIT-Fatigue score (</w:t>
      </w:r>
      <w:proofErr w:type="spellStart"/>
      <w:r w:rsidRPr="00A05B02">
        <w:t>Cella</w:t>
      </w:r>
      <w:proofErr w:type="spellEnd"/>
      <w:r w:rsidRPr="00A05B02">
        <w:t xml:space="preserve"> 2002).</w:t>
      </w:r>
    </w:p>
    <w:p w14:paraId="6299271A" w14:textId="08B9B933" w:rsidR="00F56CB6" w:rsidRPr="00A05B02" w:rsidRDefault="00F56CB6" w:rsidP="000C453B">
      <w:pPr>
        <w:pStyle w:val="ExecSumBodyText"/>
        <w:spacing w:after="160"/>
      </w:pPr>
      <w:r w:rsidRPr="00A05B02">
        <w:t xml:space="preserve">The trial assessed quality of life based on the EORTC QLQ-C30 score. In the absence of transfusions, patients in the </w:t>
      </w:r>
      <w:proofErr w:type="spellStart"/>
      <w:r w:rsidRPr="00A05B02">
        <w:t>pegcetacoplan</w:t>
      </w:r>
      <w:proofErr w:type="spellEnd"/>
      <w:r w:rsidRPr="00A05B02">
        <w:t xml:space="preserve"> arm had numerical improvements in the global health status score and all functional scales compared to patients in the eculizumab arm. </w:t>
      </w:r>
      <w:proofErr w:type="spellStart"/>
      <w:r w:rsidRPr="00A05B02">
        <w:t>Pegcetacoplan</w:t>
      </w:r>
      <w:proofErr w:type="spellEnd"/>
      <w:r w:rsidRPr="00A05B02">
        <w:t xml:space="preserve"> was also associated with numerical improvements in the symptom scale score for fatigue. Changes in other symptom scores were difficult to interpret due to baseline differences between arms. The PBAC has previously questioned the appropriateness of EORTC QLQ-C30 scores used in trials of eculizumab and </w:t>
      </w:r>
      <w:proofErr w:type="spellStart"/>
      <w:r w:rsidRPr="00A05B02">
        <w:t>ravulizumab</w:t>
      </w:r>
      <w:proofErr w:type="spellEnd"/>
      <w:r w:rsidRPr="00A05B02">
        <w:t xml:space="preserve">, noting the instrument is specifically used to assess the health-related quality of life of cancer patients (para 7.7, </w:t>
      </w:r>
      <w:proofErr w:type="spellStart"/>
      <w:r w:rsidRPr="00A05B02">
        <w:t>ravulizumab</w:t>
      </w:r>
      <w:proofErr w:type="spellEnd"/>
      <w:r w:rsidRPr="00A05B02">
        <w:t xml:space="preserve"> PSD, July 2020 PBAC meeting).  </w:t>
      </w:r>
    </w:p>
    <w:p w14:paraId="61E0C602" w14:textId="185D30D3" w:rsidR="00247925" w:rsidRPr="00A05B02" w:rsidRDefault="00B7716F" w:rsidP="000C453B">
      <w:pPr>
        <w:pStyle w:val="ExecSumBodyText"/>
        <w:spacing w:after="160"/>
      </w:pPr>
      <w:r w:rsidRPr="00A05B02">
        <w:t xml:space="preserve">After completion of the 16-week randomised controlled period, patients in the </w:t>
      </w:r>
      <w:proofErr w:type="spellStart"/>
      <w:r w:rsidRPr="00A05B02">
        <w:t>pegcetacoplan</w:t>
      </w:r>
      <w:proofErr w:type="spellEnd"/>
      <w:r w:rsidRPr="00A05B02">
        <w:t xml:space="preserve"> group continued with </w:t>
      </w:r>
      <w:proofErr w:type="spellStart"/>
      <w:r w:rsidRPr="00A05B02">
        <w:t>pegcetacoplan</w:t>
      </w:r>
      <w:proofErr w:type="spellEnd"/>
      <w:r w:rsidRPr="00A05B02">
        <w:t xml:space="preserve"> monotherapy in the open-label period. Patients in the eculizumab arm received </w:t>
      </w:r>
      <w:proofErr w:type="spellStart"/>
      <w:r w:rsidRPr="00A05B02">
        <w:t>pegcetacoplan</w:t>
      </w:r>
      <w:proofErr w:type="spellEnd"/>
      <w:r w:rsidRPr="00A05B02">
        <w:t xml:space="preserve"> in addition to eculizumab during the second run-in period (Week 17 to 20) then </w:t>
      </w:r>
      <w:proofErr w:type="spellStart"/>
      <w:r w:rsidRPr="00A05B02">
        <w:t>pegcetacoplan</w:t>
      </w:r>
      <w:proofErr w:type="spellEnd"/>
      <w:r w:rsidRPr="00A05B02">
        <w:t xml:space="preserve"> monotherapy from Week 21 to 48. During the open-label period, efficacy endpoints were assessed as change from baseline as well as change from Week 17 (beginning of open-label period), using all available data (not censored for transfusion). </w:t>
      </w:r>
      <w:r w:rsidR="00BC591F" w:rsidRPr="00A05B02">
        <w:rPr>
          <w:snapToGrid/>
        </w:rPr>
        <w:t xml:space="preserve"> </w:t>
      </w:r>
    </w:p>
    <w:p w14:paraId="4A26D310" w14:textId="21C435CE" w:rsidR="00117D4C" w:rsidRPr="00A05B02" w:rsidRDefault="00117D4C" w:rsidP="000C453B">
      <w:pPr>
        <w:pStyle w:val="ExecSumBodyText"/>
        <w:spacing w:after="160"/>
      </w:pPr>
      <w:r w:rsidRPr="00A05B02">
        <w:t xml:space="preserve">The results indicate a maintenance of treatment effect for the </w:t>
      </w:r>
      <w:proofErr w:type="spellStart"/>
      <w:r w:rsidRPr="00A05B02">
        <w:t>pegcetacoplan</w:t>
      </w:r>
      <w:proofErr w:type="spellEnd"/>
      <w:r w:rsidRPr="00A05B02">
        <w:t xml:space="preserve"> group and the eculizumab/</w:t>
      </w:r>
      <w:proofErr w:type="spellStart"/>
      <w:r w:rsidRPr="00A05B02">
        <w:t>pegcetacoplan</w:t>
      </w:r>
      <w:proofErr w:type="spellEnd"/>
      <w:r w:rsidRPr="00A05B02">
        <w:t xml:space="preserve"> group experienced similar increases in Hb level, reticulocyte count and FACIT-Fatigue scores upon switching to </w:t>
      </w:r>
      <w:proofErr w:type="spellStart"/>
      <w:r w:rsidRPr="00A05B02">
        <w:t>pegcetacoplan</w:t>
      </w:r>
      <w:proofErr w:type="spellEnd"/>
      <w:r w:rsidRPr="00A05B02">
        <w:t xml:space="preserve"> monotherapy. Results for LDH level were less stable, with fluctuations in mean estimates in both groups throughout the open-label period. </w:t>
      </w:r>
      <w:proofErr w:type="gramStart"/>
      <w:r w:rsidRPr="00A05B02">
        <w:t>Similar to</w:t>
      </w:r>
      <w:proofErr w:type="gramEnd"/>
      <w:r w:rsidRPr="00A05B02">
        <w:t xml:space="preserve"> the Week 16 primary analysis, there was substantial variation in LDH estimates due to outliers that may be skewing the mean estimates.</w:t>
      </w:r>
    </w:p>
    <w:p w14:paraId="6B6BB77F" w14:textId="2D70EC61" w:rsidR="00DB27FB" w:rsidRPr="00937F6D" w:rsidRDefault="00DB27FB" w:rsidP="000C453B">
      <w:pPr>
        <w:pStyle w:val="ExecSumBodyText"/>
        <w:spacing w:after="160"/>
      </w:pPr>
      <w:bookmarkStart w:id="18" w:name="_Ref99541745"/>
      <w:r w:rsidRPr="00A05B02">
        <w:t xml:space="preserve">Transfusion avoidance was not a pre-specified outcome during the open-label period. </w:t>
      </w:r>
      <w:r w:rsidR="00F74877" w:rsidRPr="00A05B02">
        <w:t>During the evaluation, a</w:t>
      </w:r>
      <w:r w:rsidRPr="00A05B02">
        <w:t xml:space="preserve"> post-hoc analysis of </w:t>
      </w:r>
      <w:r w:rsidR="00F74877" w:rsidRPr="00A05B02">
        <w:t xml:space="preserve">transfusion avoidance across the whole </w:t>
      </w:r>
      <w:r w:rsidR="00F74877" w:rsidRPr="00A05B02">
        <w:lastRenderedPageBreak/>
        <w:t xml:space="preserve">study period was identified in the 48-week trial report. Across the whole study, </w:t>
      </w:r>
      <w:proofErr w:type="gramStart"/>
      <w:r w:rsidR="00F74877" w:rsidRPr="00A05B02">
        <w:t>the majority of</w:t>
      </w:r>
      <w:proofErr w:type="gramEnd"/>
      <w:r w:rsidR="00F74877" w:rsidRPr="00A05B02">
        <w:t xml:space="preserve"> patients who were randomised </w:t>
      </w:r>
      <w:r w:rsidR="001B62DD" w:rsidRPr="00A05B02">
        <w:t xml:space="preserve">to the </w:t>
      </w:r>
      <w:proofErr w:type="spellStart"/>
      <w:r w:rsidR="001B62DD" w:rsidRPr="00A05B02">
        <w:t>pegcetacoplan</w:t>
      </w:r>
      <w:proofErr w:type="spellEnd"/>
      <w:r w:rsidR="001B62DD" w:rsidRPr="00A05B02">
        <w:t xml:space="preserve"> arm </w:t>
      </w:r>
      <w:r w:rsidR="00F74877" w:rsidRPr="00A05B02">
        <w:t xml:space="preserve">and continued on </w:t>
      </w:r>
      <w:proofErr w:type="spellStart"/>
      <w:r w:rsidR="00F74877" w:rsidRPr="00A05B02">
        <w:t>pegcetacoplan</w:t>
      </w:r>
      <w:proofErr w:type="spellEnd"/>
      <w:r w:rsidR="00F74877" w:rsidRPr="00A05B02">
        <w:t xml:space="preserve"> monotherapy achieved transfusion avoidance. The results were consistent but numerically smaller</w:t>
      </w:r>
      <w:r w:rsidR="00525FDD" w:rsidRPr="00A05B02">
        <w:t xml:space="preserve"> (73%)</w:t>
      </w:r>
      <w:r w:rsidR="00F74877" w:rsidRPr="00A05B02">
        <w:t xml:space="preserve"> than the primary analysis based on 16 weeks of follow-up (85.4% of patients achieved transfusion avoidance). After switching to </w:t>
      </w:r>
      <w:proofErr w:type="spellStart"/>
      <w:r w:rsidR="00F74877" w:rsidRPr="00A05B02">
        <w:t>pegcetacoplan</w:t>
      </w:r>
      <w:proofErr w:type="spellEnd"/>
      <w:r w:rsidR="00F74877" w:rsidRPr="00A05B02">
        <w:t xml:space="preserve"> from eculizumab, </w:t>
      </w:r>
      <w:proofErr w:type="gramStart"/>
      <w:r w:rsidR="00F74877" w:rsidRPr="00A05B02">
        <w:t>the majority of</w:t>
      </w:r>
      <w:proofErr w:type="gramEnd"/>
      <w:r w:rsidR="00F74877" w:rsidRPr="00A05B02">
        <w:t xml:space="preserve"> patients achieved transfusion avoidance</w:t>
      </w:r>
      <w:r w:rsidR="0067019D" w:rsidRPr="00A05B02">
        <w:t xml:space="preserve"> (72%)</w:t>
      </w:r>
      <w:r w:rsidR="00F74877" w:rsidRPr="00A05B02">
        <w:t xml:space="preserve">, similar to the proportion in the </w:t>
      </w:r>
      <w:proofErr w:type="spellStart"/>
      <w:r w:rsidR="00F74877" w:rsidRPr="00A05B02">
        <w:t>pegcetacoplan</w:t>
      </w:r>
      <w:proofErr w:type="spellEnd"/>
      <w:r w:rsidR="00F74877" w:rsidRPr="00A05B02">
        <w:t xml:space="preserve"> group.</w:t>
      </w:r>
      <w:r w:rsidR="00745F17">
        <w:t xml:space="preserve"> </w:t>
      </w:r>
      <w:r w:rsidR="00745F17" w:rsidRPr="00937F6D">
        <w:t xml:space="preserve">The </w:t>
      </w:r>
      <w:r w:rsidR="005A6055">
        <w:t xml:space="preserve">PBAC agree with the </w:t>
      </w:r>
      <w:r w:rsidR="00745F17" w:rsidRPr="00937F6D">
        <w:t xml:space="preserve">ESC that </w:t>
      </w:r>
      <w:proofErr w:type="spellStart"/>
      <w:r w:rsidR="00745F17" w:rsidRPr="00937F6D">
        <w:t>pegcetacoplan</w:t>
      </w:r>
      <w:proofErr w:type="spellEnd"/>
      <w:r w:rsidR="00745F17" w:rsidRPr="00937F6D">
        <w:t xml:space="preserve"> likely improved transfusion avoidance </w:t>
      </w:r>
      <w:r w:rsidR="003861DC" w:rsidRPr="00937F6D">
        <w:t>i</w:t>
      </w:r>
      <w:r w:rsidR="00745F17" w:rsidRPr="00937F6D">
        <w:t>n the proposed PBS population</w:t>
      </w:r>
      <w:r w:rsidR="003861DC" w:rsidRPr="00937F6D">
        <w:t>, noting the magnitude of improvement varied over time</w:t>
      </w:r>
      <w:r w:rsidR="00745F17" w:rsidRPr="00937F6D">
        <w:t>.</w:t>
      </w:r>
      <w:bookmarkEnd w:id="18"/>
    </w:p>
    <w:p w14:paraId="1355C4A3" w14:textId="57FD2876" w:rsidR="000A326B" w:rsidRPr="00937F6D" w:rsidRDefault="000A326B" w:rsidP="000C453B">
      <w:pPr>
        <w:pStyle w:val="ExecSumBodyText"/>
        <w:spacing w:after="160"/>
      </w:pPr>
      <w:r w:rsidRPr="00A05B02">
        <w:t xml:space="preserve">The submission claimed that subgroup analyses were not relevant as the proposed PBS indication matched the key trial population. However, the submission acknowledged that approximately 30% of patients in the key trial were receiving higher doses of eculizumab than would be available in the Australian setting and the inclusion of these patients may bias the efficacy results in favour of eculizumab. To address this issue, the submission performed </w:t>
      </w:r>
      <w:r w:rsidR="005A6055">
        <w:t xml:space="preserve">post-hoc </w:t>
      </w:r>
      <w:r w:rsidRPr="00A05B02">
        <w:t>subgroup analyses for key haematological measures (haemoglobin, reticulocyte count, LDH), transfusion avoidance and FACIT-Fatigue score in patients who were receiving standard dose eculizumab only.</w:t>
      </w:r>
      <w:r w:rsidR="000F731A">
        <w:t xml:space="preserve"> </w:t>
      </w:r>
      <w:r w:rsidR="000F731A" w:rsidRPr="00937F6D">
        <w:t xml:space="preserve">The ESC </w:t>
      </w:r>
      <w:r w:rsidR="00A218A0" w:rsidRPr="00937F6D">
        <w:t>not</w:t>
      </w:r>
      <w:r w:rsidR="000F731A" w:rsidRPr="00937F6D">
        <w:t xml:space="preserve">ed that the PBS listing of eculizumab would allow more frequent dosing of eculizumab if required, in line with its PI, and </w:t>
      </w:r>
      <w:r w:rsidR="00A218A0" w:rsidRPr="00937F6D">
        <w:t xml:space="preserve">it considered </w:t>
      </w:r>
      <w:r w:rsidR="000F731A" w:rsidRPr="00937F6D">
        <w:t xml:space="preserve">that the higher dosing for eculizumab in the PEGASUS trial population is likely reasonably reflective of Australian practice going forward. </w:t>
      </w:r>
    </w:p>
    <w:p w14:paraId="0EDB8DCF" w14:textId="07D4B8FA" w:rsidR="000A326B" w:rsidRPr="00A05B02" w:rsidRDefault="000729B7" w:rsidP="000C453B">
      <w:pPr>
        <w:pStyle w:val="ExecSumBodyText"/>
        <w:spacing w:after="160"/>
      </w:pPr>
      <w:r w:rsidRPr="00A05B02">
        <w:t xml:space="preserve">The results of the subgroup analyses were generally consistent with the primary analyses based on the censored for transfusion dataset, with </w:t>
      </w:r>
      <w:proofErr w:type="spellStart"/>
      <w:r w:rsidRPr="00A05B02">
        <w:t>pegcetacoplan</w:t>
      </w:r>
      <w:proofErr w:type="spellEnd"/>
      <w:r w:rsidRPr="00A05B02">
        <w:t xml:space="preserve"> associated with improvements in change from baseline to Week 16 in terms of Hb level, reticulocyte count and FACIT-Fatigue score and a higher proportion of patients with transfusion avoidance. LDH measures remained difficult to interpret due to substantial variation in the results (wide confidence intervals).</w:t>
      </w:r>
    </w:p>
    <w:p w14:paraId="06C8FB1B" w14:textId="04E114E4" w:rsidR="000729B7" w:rsidRPr="00A05B02" w:rsidRDefault="000729B7" w:rsidP="000C453B">
      <w:pPr>
        <w:pStyle w:val="ExecSumBodyText"/>
        <w:spacing w:after="160"/>
      </w:pPr>
      <w:r w:rsidRPr="00A05B02">
        <w:t xml:space="preserve">The submission claimed the results support similar efficacy with </w:t>
      </w:r>
      <w:proofErr w:type="spellStart"/>
      <w:r w:rsidRPr="00A05B02">
        <w:t>pegcetacoplan</w:t>
      </w:r>
      <w:proofErr w:type="spellEnd"/>
      <w:r w:rsidRPr="00A05B02">
        <w:t xml:space="preserve"> treatment in the subgroup of patients using the standard dose of eculizumab as observed in the whole trial population. The interpretation of these results was limited by the lack of subgroup characteristics and results for the complement group using higher doses of eculizumab. There were also more patients in the </w:t>
      </w:r>
      <w:proofErr w:type="spellStart"/>
      <w:r w:rsidRPr="00A05B02">
        <w:t>pegcetacoplan</w:t>
      </w:r>
      <w:proofErr w:type="spellEnd"/>
      <w:r w:rsidRPr="00A05B02">
        <w:t xml:space="preserve"> arm on higher doses of eculizumab compared with the eculizumab arm (36.6% vs 23.1% respectively), which resulted in fewer patients from the randomised arms informing the </w:t>
      </w:r>
      <w:proofErr w:type="spellStart"/>
      <w:r w:rsidRPr="00A05B02">
        <w:t>pegcetacoplan</w:t>
      </w:r>
      <w:proofErr w:type="spellEnd"/>
      <w:r w:rsidRPr="00A05B02">
        <w:t xml:space="preserve"> arm of this subgroup compared to the eculizumab arm.</w:t>
      </w:r>
    </w:p>
    <w:p w14:paraId="49EB13D8" w14:textId="64FE50AF" w:rsidR="00455ADC" w:rsidRPr="00A05B02" w:rsidRDefault="00455ADC" w:rsidP="000C453B">
      <w:pPr>
        <w:pStyle w:val="ExecSumBodyText"/>
        <w:spacing w:after="160"/>
      </w:pPr>
      <w:r w:rsidRPr="00A05B02">
        <w:t xml:space="preserve">The reasons for the use of varying doses and dosing frequencies of eculizumab in the trial population were unclear. The Australian product information suggests the dose regimen can be modified to every 12 days (rather than 14 days) in the presence of breakthrough haemolysis. However, there are potential health system differences impacting individual patient accessibility to higher doses and more frequent dosing of </w:t>
      </w:r>
      <w:r w:rsidRPr="00A05B02">
        <w:lastRenderedPageBreak/>
        <w:t>eculizumab. Differences in the distribution of patients on different dosing regimens may affect the level of haematological response to C5 inhibitors in the trial.</w:t>
      </w:r>
    </w:p>
    <w:p w14:paraId="16177BDD" w14:textId="77777777" w:rsidR="004B6C67" w:rsidRPr="00A05B02" w:rsidRDefault="004B6C67" w:rsidP="000C453B">
      <w:pPr>
        <w:pStyle w:val="ExecSumBodyText"/>
        <w:spacing w:after="160"/>
      </w:pPr>
      <w:r w:rsidRPr="00A05B02">
        <w:t xml:space="preserve">The submission claimed that </w:t>
      </w:r>
      <w:proofErr w:type="spellStart"/>
      <w:r w:rsidRPr="00A05B02">
        <w:t>pegcetacoplan</w:t>
      </w:r>
      <w:proofErr w:type="spellEnd"/>
      <w:r w:rsidRPr="00A05B02">
        <w:t xml:space="preserve"> is expected to reduce both intravascular and extravascular haemolysis and could in principle reduce the associated risk of kidney damage, but also that the development of life-threatening severe kidney disease in patients with PNH was rare. No data were provided in support of this claim.</w:t>
      </w:r>
    </w:p>
    <w:p w14:paraId="0B6A231E" w14:textId="6CBB62C5" w:rsidR="004B6C67" w:rsidRPr="00937F6D" w:rsidRDefault="004B6C67" w:rsidP="000C453B">
      <w:pPr>
        <w:pStyle w:val="ExecSumBodyText"/>
        <w:spacing w:after="160"/>
      </w:pPr>
      <w:bookmarkStart w:id="19" w:name="_Ref99550618"/>
      <w:r w:rsidRPr="00A05B02">
        <w:t xml:space="preserve">The submission claimed based on expert opinion that </w:t>
      </w:r>
      <w:proofErr w:type="spellStart"/>
      <w:r w:rsidRPr="00A05B02">
        <w:t>pegcetacoplan</w:t>
      </w:r>
      <w:proofErr w:type="spellEnd"/>
      <w:r w:rsidRPr="00A05B02">
        <w:t xml:space="preserve"> is unlikely to provide any survival benefit compared to eculizumab or </w:t>
      </w:r>
      <w:proofErr w:type="spellStart"/>
      <w:r w:rsidRPr="00A05B02">
        <w:t>ravulizumab</w:t>
      </w:r>
      <w:proofErr w:type="spellEnd"/>
      <w:r w:rsidRPr="00A05B02">
        <w:t xml:space="preserve"> but assumed non-inferior survival outcomes based on short-term haematological outcomes. </w:t>
      </w:r>
      <w:r w:rsidR="000F731A">
        <w:t>T</w:t>
      </w:r>
      <w:r w:rsidRPr="00A05B02">
        <w:t xml:space="preserve">here are currently no studies assessing long-term outcomes with </w:t>
      </w:r>
      <w:proofErr w:type="spellStart"/>
      <w:r w:rsidRPr="00A05B02">
        <w:t>pegcetacoplan</w:t>
      </w:r>
      <w:proofErr w:type="spellEnd"/>
      <w:r w:rsidRPr="00A05B02">
        <w:t xml:space="preserve"> treatment including the prevention of disease-related complications and survival.</w:t>
      </w:r>
      <w:r w:rsidR="00B472B5" w:rsidRPr="00A05B02">
        <w:t xml:space="preserve"> The submission did not address potential differences in underlying risk in the broader PNH population compared to the requested subgroup who have suboptimal haematological response despite C5 inhibitor treatment. </w:t>
      </w:r>
      <w:r w:rsidR="000F731A" w:rsidRPr="00937F6D">
        <w:t xml:space="preserve">The ESC </w:t>
      </w:r>
      <w:r w:rsidR="00A218A0" w:rsidRPr="00937F6D">
        <w:t>advis</w:t>
      </w:r>
      <w:r w:rsidR="000F731A" w:rsidRPr="00937F6D">
        <w:t xml:space="preserve">ed </w:t>
      </w:r>
      <w:r w:rsidR="00A218A0" w:rsidRPr="00937F6D">
        <w:t xml:space="preserve">that long-term clinical data for </w:t>
      </w:r>
      <w:proofErr w:type="spellStart"/>
      <w:r w:rsidR="00A218A0" w:rsidRPr="00937F6D">
        <w:t>pegcetacoplan</w:t>
      </w:r>
      <w:proofErr w:type="spellEnd"/>
      <w:r w:rsidR="00A218A0" w:rsidRPr="00937F6D">
        <w:t xml:space="preserve"> was unlikely to be forthcoming for some time and thus the </w:t>
      </w:r>
      <w:r w:rsidR="00E00C47" w:rsidRPr="00937F6D">
        <w:t xml:space="preserve">long-term </w:t>
      </w:r>
      <w:r w:rsidR="00A218A0" w:rsidRPr="00937F6D">
        <w:t>relative benefit to C5 inhibitors was difficult to measure. The ESC also noted</w:t>
      </w:r>
      <w:r w:rsidR="000F731A" w:rsidRPr="00937F6D">
        <w:t xml:space="preserve"> </w:t>
      </w:r>
      <w:r w:rsidR="00A218A0" w:rsidRPr="00937F6D">
        <w:t xml:space="preserve">the </w:t>
      </w:r>
      <w:r w:rsidR="000F731A" w:rsidRPr="00937F6D">
        <w:t xml:space="preserve">PBAC recommendation for </w:t>
      </w:r>
      <w:proofErr w:type="spellStart"/>
      <w:r w:rsidR="000F731A" w:rsidRPr="00937F6D">
        <w:t>ravulizumab</w:t>
      </w:r>
      <w:proofErr w:type="spellEnd"/>
      <w:r w:rsidR="000F731A" w:rsidRPr="00937F6D">
        <w:t xml:space="preserve"> </w:t>
      </w:r>
      <w:r w:rsidR="003B30EB" w:rsidRPr="00937F6D">
        <w:t>relied</w:t>
      </w:r>
      <w:r w:rsidR="000F731A" w:rsidRPr="00937F6D">
        <w:t xml:space="preserve"> on </w:t>
      </w:r>
      <w:r w:rsidR="003B30EB" w:rsidRPr="00937F6D">
        <w:t xml:space="preserve">non-inferior </w:t>
      </w:r>
      <w:r w:rsidR="000F731A" w:rsidRPr="00937F6D">
        <w:t xml:space="preserve">short-term outcomes </w:t>
      </w:r>
      <w:r w:rsidR="003B30EB" w:rsidRPr="00937F6D">
        <w:t xml:space="preserve">comparative to eculizumab, which </w:t>
      </w:r>
      <w:r w:rsidR="000F731A" w:rsidRPr="00937F6D">
        <w:t>includ</w:t>
      </w:r>
      <w:r w:rsidR="003B30EB" w:rsidRPr="00937F6D">
        <w:t>ed</w:t>
      </w:r>
      <w:r w:rsidR="000F731A" w:rsidRPr="00937F6D">
        <w:t xml:space="preserve"> transfusion avoidance, haemolysis (measured by LDH change), breakthrough haemolysis (BTH), quality of life and stabilised haemoglobin</w:t>
      </w:r>
      <w:r w:rsidR="003B30EB" w:rsidRPr="00937F6D">
        <w:t xml:space="preserve"> (para 6.8 and 7.10, </w:t>
      </w:r>
      <w:proofErr w:type="spellStart"/>
      <w:r w:rsidR="003B30EB" w:rsidRPr="00937F6D">
        <w:t>ravulizumab</w:t>
      </w:r>
      <w:proofErr w:type="spellEnd"/>
      <w:r w:rsidR="003B30EB" w:rsidRPr="00937F6D">
        <w:t xml:space="preserve"> PSD, July 2021 PBAC meeting</w:t>
      </w:r>
      <w:r w:rsidR="000F731A" w:rsidRPr="00937F6D">
        <w:t>.</w:t>
      </w:r>
      <w:bookmarkEnd w:id="19"/>
    </w:p>
    <w:p w14:paraId="38D7A71F" w14:textId="60AFDC84" w:rsidR="00A218A0" w:rsidRDefault="00DA44F6" w:rsidP="00370957">
      <w:pPr>
        <w:pStyle w:val="ExecSumBodyText"/>
        <w:spacing w:after="160"/>
      </w:pPr>
      <w:r w:rsidRPr="00A05B02">
        <w:t xml:space="preserve">The submission claimed that the historical leading cause of death in PNH was thrombosis, which is now well-managed with eculizumab treatment. The submission claimed that treated patients have comparable overall survival to the age-adjusted general population based on a comparison between eculizumab treated patients and a matched historical control in the UK (Kelly 2011). </w:t>
      </w:r>
      <w:r w:rsidR="00A21145" w:rsidRPr="00937F6D">
        <w:t xml:space="preserve">The evaluation considered this </w:t>
      </w:r>
      <w:r w:rsidR="009442B0" w:rsidRPr="00937F6D">
        <w:t xml:space="preserve">assumption was inadequately supported given the trial data indicated </w:t>
      </w:r>
      <w:r w:rsidR="0062046A" w:rsidRPr="00937F6D">
        <w:t>23%</w:t>
      </w:r>
      <w:r w:rsidR="009442B0" w:rsidRPr="00A05B02">
        <w:t xml:space="preserve"> of treated patients continued to experience serious or life-threatening events over the 48-week treatment period of the trial.</w:t>
      </w:r>
      <w:r w:rsidR="008B1054" w:rsidRPr="00A05B02">
        <w:t xml:space="preserve"> </w:t>
      </w:r>
      <w:r w:rsidR="008858EC" w:rsidRPr="00A05B02">
        <w:t xml:space="preserve">The PBAC previously considered published survival data for eculizumab versus best supportive care (including the Kelly 2011 study) to be limited as the data were sparse, variable and largely dated (para 7.8, </w:t>
      </w:r>
      <w:proofErr w:type="spellStart"/>
      <w:r w:rsidR="008858EC" w:rsidRPr="00A05B02">
        <w:t>ravulizumab</w:t>
      </w:r>
      <w:proofErr w:type="spellEnd"/>
      <w:r w:rsidR="008858EC" w:rsidRPr="00A05B02">
        <w:t xml:space="preserve"> PSD, July 2021 PBAC meeting)</w:t>
      </w:r>
      <w:r w:rsidR="00D52B85" w:rsidRPr="00A05B02">
        <w:t>. The PBAC</w:t>
      </w:r>
      <w:r w:rsidR="00C00673" w:rsidRPr="00A05B02">
        <w:t xml:space="preserve"> </w:t>
      </w:r>
      <w:r w:rsidR="0077488E">
        <w:t xml:space="preserve">previously </w:t>
      </w:r>
      <w:r w:rsidR="00C00673" w:rsidRPr="00A05B02">
        <w:t xml:space="preserve">considered the results </w:t>
      </w:r>
      <w:r w:rsidR="00D52B85" w:rsidRPr="00A05B02">
        <w:t>from the International PNH Registry supported a survival advantage for eculizumab over BSC and that, while the magnitude of that advantage remained uncertain, the claim of superior efficacy remained appropriate</w:t>
      </w:r>
      <w:r w:rsidR="005C6F6C" w:rsidRPr="00A05B02">
        <w:t xml:space="preserve"> (para 7.8, </w:t>
      </w:r>
      <w:proofErr w:type="spellStart"/>
      <w:r w:rsidR="005C6F6C" w:rsidRPr="00A05B02">
        <w:t>ravulizumab</w:t>
      </w:r>
      <w:proofErr w:type="spellEnd"/>
      <w:r w:rsidR="005C6F6C" w:rsidRPr="00A05B02">
        <w:t xml:space="preserve"> PSD, July 2021 PBAC meeting). </w:t>
      </w:r>
    </w:p>
    <w:p w14:paraId="1D1EEB23" w14:textId="48CB2B6E" w:rsidR="008858EC" w:rsidRPr="00937F6D" w:rsidRDefault="005E4E62" w:rsidP="00370957">
      <w:pPr>
        <w:pStyle w:val="ExecSumBodyText"/>
        <w:spacing w:after="160"/>
      </w:pPr>
      <w:r w:rsidRPr="00937F6D">
        <w:t xml:space="preserve">The ESC noted the PSCR stated data from the Korean PNH Registry confirmed that patients with LDH ≥1.5xULN have a </w:t>
      </w:r>
      <w:proofErr w:type="gramStart"/>
      <w:r w:rsidRPr="00937F6D">
        <w:t>4.8 fold</w:t>
      </w:r>
      <w:proofErr w:type="gramEnd"/>
      <w:r w:rsidRPr="00937F6D">
        <w:t xml:space="preserve"> higher mortality rate compared with age and gender matched members of the general population (Jang JH et al., 2016). T</w:t>
      </w:r>
      <w:r w:rsidR="00E322FF" w:rsidRPr="00937F6D">
        <w:t>he</w:t>
      </w:r>
      <w:r w:rsidRPr="00937F6D">
        <w:t xml:space="preserve"> PSCR further claimed the PEGASUS study showed </w:t>
      </w:r>
      <w:proofErr w:type="spellStart"/>
      <w:r w:rsidRPr="00937F6D">
        <w:t>pegcetacoplan</w:t>
      </w:r>
      <w:proofErr w:type="spellEnd"/>
      <w:r w:rsidRPr="00937F6D">
        <w:t xml:space="preserve"> was able to normalise LDH in the absence of transfusions in 70.7% of </w:t>
      </w:r>
      <w:proofErr w:type="gramStart"/>
      <w:r w:rsidRPr="00937F6D">
        <w:t>patients</w:t>
      </w:r>
      <w:proofErr w:type="gramEnd"/>
      <w:r w:rsidRPr="00937F6D">
        <w:t xml:space="preserve"> vs 15.4% for </w:t>
      </w:r>
      <w:r w:rsidRPr="00937F6D">
        <w:lastRenderedPageBreak/>
        <w:t>eculizumab at week 16. </w:t>
      </w:r>
      <w:r w:rsidR="00E322FF" w:rsidRPr="00937F6D">
        <w:t xml:space="preserve">Using the data uncensored for transfusion, </w:t>
      </w:r>
      <w:proofErr w:type="gramStart"/>
      <w:r w:rsidR="00E322FF" w:rsidRPr="00937F6D">
        <w:t>the majority of</w:t>
      </w:r>
      <w:proofErr w:type="gramEnd"/>
      <w:r w:rsidR="00E322FF" w:rsidRPr="00937F6D">
        <w:t xml:space="preserve"> patients in both arms achieved LDH normalisation (</w:t>
      </w:r>
      <w:proofErr w:type="spellStart"/>
      <w:r w:rsidR="00E322FF" w:rsidRPr="00937F6D">
        <w:t>pegcetacoplan</w:t>
      </w:r>
      <w:proofErr w:type="spellEnd"/>
      <w:r w:rsidR="00E322FF" w:rsidRPr="00937F6D">
        <w:t xml:space="preserve"> 73.2%, eculizumab 59.0%; difference was not statistically significant). </w:t>
      </w:r>
    </w:p>
    <w:p w14:paraId="1452C351" w14:textId="0D19F1B0" w:rsidR="00B60939" w:rsidRPr="00F03978" w:rsidRDefault="00B60939" w:rsidP="00D86231">
      <w:pPr>
        <w:pStyle w:val="3-SubsectionHeading"/>
      </w:pPr>
      <w:bookmarkStart w:id="20" w:name="_Toc22897642"/>
      <w:bookmarkStart w:id="21" w:name="_Toc93497074"/>
      <w:r w:rsidRPr="00F03978">
        <w:t>Comparative harms</w:t>
      </w:r>
      <w:bookmarkEnd w:id="20"/>
      <w:bookmarkEnd w:id="21"/>
    </w:p>
    <w:p w14:paraId="2DAF16D1" w14:textId="45637C87" w:rsidR="00B60939" w:rsidRDefault="00AF0E13" w:rsidP="000C453B">
      <w:pPr>
        <w:pStyle w:val="ExecSumBodyText"/>
        <w:spacing w:after="160"/>
      </w:pPr>
      <w:r w:rsidRPr="00F03978">
        <w:t>A summary of key adverse</w:t>
      </w:r>
      <w:r w:rsidRPr="00AF0E13">
        <w:t xml:space="preserve"> events during the key trial including the run-in period (combination of the initial 4-week run-in period and second 4-week run-in period in eculizumab patients who switched to </w:t>
      </w:r>
      <w:proofErr w:type="spellStart"/>
      <w:r w:rsidRPr="00AF0E13">
        <w:t>pegcetacoplan</w:t>
      </w:r>
      <w:proofErr w:type="spellEnd"/>
      <w:r w:rsidRPr="00AF0E13">
        <w:t xml:space="preserve"> in the open-label period), 16-week randomised controlled period and 32-week open label </w:t>
      </w:r>
      <w:proofErr w:type="spellStart"/>
      <w:r w:rsidRPr="00AF0E13">
        <w:t>pegcetacoplan</w:t>
      </w:r>
      <w:proofErr w:type="spellEnd"/>
      <w:r w:rsidRPr="00AF0E13">
        <w:t xml:space="preserve"> period (</w:t>
      </w:r>
      <w:proofErr w:type="spellStart"/>
      <w:r w:rsidRPr="00AF0E13">
        <w:t>pegcetacoplan</w:t>
      </w:r>
      <w:proofErr w:type="spellEnd"/>
      <w:r w:rsidRPr="00AF0E13">
        <w:t xml:space="preserve"> monotherapy only) is presented in the table below.</w:t>
      </w:r>
    </w:p>
    <w:p w14:paraId="48BE3B30" w14:textId="104D4AF9" w:rsidR="00AF0E13" w:rsidRPr="00746BBB" w:rsidRDefault="00AF0E13" w:rsidP="00C91BC7">
      <w:pPr>
        <w:pStyle w:val="Caption"/>
        <w:keepLines/>
      </w:pPr>
      <w:bookmarkStart w:id="22" w:name="_Ref99618515"/>
      <w:r w:rsidRPr="00746BBB">
        <w:t xml:space="preserve">Table </w:t>
      </w:r>
      <w:fldSimple w:instr=" SEQ Table \* ARABIC ">
        <w:r w:rsidR="000A62F7">
          <w:rPr>
            <w:noProof/>
          </w:rPr>
          <w:t>6</w:t>
        </w:r>
      </w:fldSimple>
      <w:bookmarkEnd w:id="22"/>
      <w:r w:rsidRPr="00746BBB">
        <w:t>: Summary of key adverse events in the PEGASUS trial</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9"/>
        <w:gridCol w:w="1316"/>
        <w:gridCol w:w="1371"/>
        <w:gridCol w:w="1372"/>
        <w:gridCol w:w="1400"/>
      </w:tblGrid>
      <w:tr w:rsidR="00AF0E13" w:rsidRPr="00746BBB" w14:paraId="2A2E9B97" w14:textId="77777777" w:rsidTr="003F456B">
        <w:trPr>
          <w:tblHeader/>
        </w:trPr>
        <w:tc>
          <w:tcPr>
            <w:tcW w:w="3579" w:type="dxa"/>
            <w:vMerge w:val="restart"/>
            <w:vAlign w:val="center"/>
          </w:tcPr>
          <w:p w14:paraId="44F1776E" w14:textId="77777777" w:rsidR="00AF0E13" w:rsidRPr="00746BBB" w:rsidRDefault="00AF0E13" w:rsidP="00C91BC7">
            <w:pPr>
              <w:pStyle w:val="Tableheadingrow"/>
              <w:keepLines/>
              <w:widowControl w:val="0"/>
              <w:rPr>
                <w:lang w:val="en-AU"/>
              </w:rPr>
            </w:pPr>
            <w:r w:rsidRPr="00746BBB">
              <w:rPr>
                <w:lang w:val="en-AU"/>
              </w:rPr>
              <w:t>Adverse event</w:t>
            </w:r>
          </w:p>
        </w:tc>
        <w:tc>
          <w:tcPr>
            <w:tcW w:w="1316" w:type="dxa"/>
            <w:vAlign w:val="center"/>
          </w:tcPr>
          <w:p w14:paraId="7E7F8C60" w14:textId="77777777" w:rsidR="00AF0E13" w:rsidRPr="00746BBB" w:rsidRDefault="00AF0E13" w:rsidP="00C91BC7">
            <w:pPr>
              <w:pStyle w:val="Tableheadingrow"/>
              <w:keepLines/>
              <w:widowControl w:val="0"/>
              <w:jc w:val="center"/>
              <w:rPr>
                <w:vertAlign w:val="superscript"/>
                <w:lang w:val="en-AU"/>
              </w:rPr>
            </w:pPr>
            <w:r w:rsidRPr="00746BBB">
              <w:rPr>
                <w:lang w:val="en-AU"/>
              </w:rPr>
              <w:t xml:space="preserve">Run-in </w:t>
            </w:r>
            <w:r w:rsidRPr="00746BBB">
              <w:rPr>
                <w:vertAlign w:val="superscript"/>
                <w:lang w:val="en-AU"/>
              </w:rPr>
              <w:t>a</w:t>
            </w:r>
          </w:p>
        </w:tc>
        <w:tc>
          <w:tcPr>
            <w:tcW w:w="2743" w:type="dxa"/>
            <w:gridSpan w:val="2"/>
            <w:vAlign w:val="center"/>
          </w:tcPr>
          <w:p w14:paraId="7E3941C5" w14:textId="77777777" w:rsidR="00AF0E13" w:rsidRPr="00746BBB" w:rsidRDefault="00AF0E13" w:rsidP="00C91BC7">
            <w:pPr>
              <w:pStyle w:val="Tableheadingrow"/>
              <w:keepLines/>
              <w:widowControl w:val="0"/>
              <w:jc w:val="center"/>
              <w:rPr>
                <w:lang w:val="en-AU"/>
              </w:rPr>
            </w:pPr>
            <w:r w:rsidRPr="00746BBB">
              <w:rPr>
                <w:lang w:val="en-AU"/>
              </w:rPr>
              <w:t>Randomised period</w:t>
            </w:r>
          </w:p>
        </w:tc>
        <w:tc>
          <w:tcPr>
            <w:tcW w:w="1400" w:type="dxa"/>
            <w:vAlign w:val="center"/>
          </w:tcPr>
          <w:p w14:paraId="759D2F5B" w14:textId="77777777" w:rsidR="00AF0E13" w:rsidRPr="00746BBB" w:rsidRDefault="00AF0E13" w:rsidP="00C91BC7">
            <w:pPr>
              <w:pStyle w:val="Tableheadingrow"/>
              <w:keepLines/>
              <w:widowControl w:val="0"/>
              <w:jc w:val="center"/>
              <w:rPr>
                <w:lang w:val="en-AU"/>
              </w:rPr>
            </w:pPr>
            <w:r w:rsidRPr="00746BBB">
              <w:rPr>
                <w:lang w:val="en-AU"/>
              </w:rPr>
              <w:t>Open label</w:t>
            </w:r>
          </w:p>
        </w:tc>
      </w:tr>
      <w:tr w:rsidR="00AF0E13" w:rsidRPr="00746BBB" w14:paraId="32E8B5E7" w14:textId="77777777" w:rsidTr="003F456B">
        <w:trPr>
          <w:tblHeader/>
        </w:trPr>
        <w:tc>
          <w:tcPr>
            <w:tcW w:w="3579" w:type="dxa"/>
            <w:vMerge/>
            <w:vAlign w:val="center"/>
          </w:tcPr>
          <w:p w14:paraId="5913A820" w14:textId="77777777" w:rsidR="00AF0E13" w:rsidRPr="00746BBB" w:rsidRDefault="00AF0E13" w:rsidP="00C91BC7">
            <w:pPr>
              <w:pStyle w:val="Tableheadingrow"/>
              <w:keepLines/>
              <w:widowControl w:val="0"/>
              <w:rPr>
                <w:lang w:val="en-AU"/>
              </w:rPr>
            </w:pPr>
          </w:p>
        </w:tc>
        <w:tc>
          <w:tcPr>
            <w:tcW w:w="1316" w:type="dxa"/>
            <w:vAlign w:val="center"/>
          </w:tcPr>
          <w:p w14:paraId="6225BD46" w14:textId="77777777" w:rsidR="00AF0E13" w:rsidRPr="00746BBB" w:rsidRDefault="00AF0E13" w:rsidP="00C91BC7">
            <w:pPr>
              <w:pStyle w:val="Tableheadingrow"/>
              <w:keepLines/>
              <w:widowControl w:val="0"/>
              <w:jc w:val="center"/>
              <w:rPr>
                <w:lang w:val="en-AU"/>
              </w:rPr>
            </w:pPr>
            <w:r w:rsidRPr="00746BBB">
              <w:rPr>
                <w:lang w:val="en-AU"/>
              </w:rPr>
              <w:t>PEG + ECU</w:t>
            </w:r>
          </w:p>
          <w:p w14:paraId="5CDB049D" w14:textId="77777777" w:rsidR="00AF0E13" w:rsidRPr="00746BBB" w:rsidRDefault="00AF0E13" w:rsidP="00C91BC7">
            <w:pPr>
              <w:pStyle w:val="Tableheadingrow"/>
              <w:keepLines/>
              <w:widowControl w:val="0"/>
              <w:jc w:val="center"/>
              <w:rPr>
                <w:lang w:val="en-AU"/>
              </w:rPr>
            </w:pPr>
            <w:r w:rsidRPr="00746BBB">
              <w:rPr>
                <w:lang w:val="en-AU"/>
              </w:rPr>
              <w:t>N=80</w:t>
            </w:r>
          </w:p>
        </w:tc>
        <w:tc>
          <w:tcPr>
            <w:tcW w:w="1371" w:type="dxa"/>
            <w:vAlign w:val="center"/>
          </w:tcPr>
          <w:p w14:paraId="594CE13C" w14:textId="77777777" w:rsidR="00AF0E13" w:rsidRPr="00746BBB" w:rsidRDefault="00AF0E13" w:rsidP="00C91BC7">
            <w:pPr>
              <w:pStyle w:val="Tableheadingrow"/>
              <w:keepLines/>
              <w:widowControl w:val="0"/>
              <w:jc w:val="center"/>
              <w:rPr>
                <w:lang w:val="en-AU"/>
              </w:rPr>
            </w:pPr>
            <w:r w:rsidRPr="00746BBB">
              <w:rPr>
                <w:lang w:val="en-AU"/>
              </w:rPr>
              <w:t>PEG</w:t>
            </w:r>
          </w:p>
          <w:p w14:paraId="7569B1B5" w14:textId="77777777" w:rsidR="00AF0E13" w:rsidRPr="00746BBB" w:rsidRDefault="00AF0E13" w:rsidP="00C91BC7">
            <w:pPr>
              <w:pStyle w:val="Tableheadingrow"/>
              <w:keepLines/>
              <w:widowControl w:val="0"/>
              <w:jc w:val="center"/>
              <w:rPr>
                <w:lang w:val="en-AU"/>
              </w:rPr>
            </w:pPr>
            <w:r w:rsidRPr="00746BBB">
              <w:rPr>
                <w:lang w:val="en-AU"/>
              </w:rPr>
              <w:t>N=41</w:t>
            </w:r>
          </w:p>
        </w:tc>
        <w:tc>
          <w:tcPr>
            <w:tcW w:w="1372" w:type="dxa"/>
            <w:vAlign w:val="center"/>
          </w:tcPr>
          <w:p w14:paraId="72D350B5" w14:textId="77777777" w:rsidR="00AF0E13" w:rsidRPr="00746BBB" w:rsidRDefault="00AF0E13" w:rsidP="00C91BC7">
            <w:pPr>
              <w:pStyle w:val="Tableheadingrow"/>
              <w:keepLines/>
              <w:widowControl w:val="0"/>
              <w:jc w:val="center"/>
              <w:rPr>
                <w:lang w:val="en-AU"/>
              </w:rPr>
            </w:pPr>
            <w:r w:rsidRPr="00746BBB">
              <w:rPr>
                <w:lang w:val="en-AU"/>
              </w:rPr>
              <w:t>ECU</w:t>
            </w:r>
          </w:p>
          <w:p w14:paraId="2FCC1595" w14:textId="77777777" w:rsidR="00AF0E13" w:rsidRPr="00746BBB" w:rsidRDefault="00AF0E13" w:rsidP="00C91BC7">
            <w:pPr>
              <w:pStyle w:val="Tableheadingrow"/>
              <w:keepLines/>
              <w:widowControl w:val="0"/>
              <w:jc w:val="center"/>
              <w:rPr>
                <w:lang w:val="en-AU"/>
              </w:rPr>
            </w:pPr>
            <w:r w:rsidRPr="00746BBB">
              <w:rPr>
                <w:lang w:val="en-AU"/>
              </w:rPr>
              <w:t>N=39</w:t>
            </w:r>
          </w:p>
        </w:tc>
        <w:tc>
          <w:tcPr>
            <w:tcW w:w="1400" w:type="dxa"/>
          </w:tcPr>
          <w:p w14:paraId="4364C946" w14:textId="77777777" w:rsidR="00AF0E13" w:rsidRPr="00746BBB" w:rsidRDefault="00AF0E13" w:rsidP="00C91BC7">
            <w:pPr>
              <w:pStyle w:val="Tableheadingrow"/>
              <w:keepLines/>
              <w:widowControl w:val="0"/>
              <w:jc w:val="center"/>
              <w:rPr>
                <w:lang w:val="en-AU"/>
              </w:rPr>
            </w:pPr>
            <w:r w:rsidRPr="00746BBB">
              <w:rPr>
                <w:lang w:val="en-AU"/>
              </w:rPr>
              <w:t>PEG</w:t>
            </w:r>
          </w:p>
          <w:p w14:paraId="0C8A5B99" w14:textId="77777777" w:rsidR="00AF0E13" w:rsidRPr="00746BBB" w:rsidRDefault="00AF0E13" w:rsidP="00C91BC7">
            <w:pPr>
              <w:pStyle w:val="Tableheadingrow"/>
              <w:keepLines/>
              <w:widowControl w:val="0"/>
              <w:jc w:val="center"/>
              <w:rPr>
                <w:lang w:val="en-AU"/>
              </w:rPr>
            </w:pPr>
            <w:r w:rsidRPr="00746BBB">
              <w:rPr>
                <w:lang w:val="en-AU"/>
              </w:rPr>
              <w:t>N=77</w:t>
            </w:r>
          </w:p>
        </w:tc>
      </w:tr>
      <w:tr w:rsidR="00AF0E13" w:rsidRPr="00746BBB" w14:paraId="1FB8D5A2" w14:textId="77777777" w:rsidTr="003F456B">
        <w:tc>
          <w:tcPr>
            <w:tcW w:w="3579" w:type="dxa"/>
            <w:vAlign w:val="center"/>
          </w:tcPr>
          <w:p w14:paraId="24973709" w14:textId="77777777" w:rsidR="00AF0E13" w:rsidRPr="00746BBB" w:rsidRDefault="00AF0E13" w:rsidP="00C91BC7">
            <w:pPr>
              <w:pStyle w:val="TableText"/>
              <w:keepLines/>
              <w:widowControl w:val="0"/>
            </w:pPr>
            <w:r w:rsidRPr="00746BBB">
              <w:t>Any AE, n (%)</w:t>
            </w:r>
          </w:p>
        </w:tc>
        <w:tc>
          <w:tcPr>
            <w:tcW w:w="1316" w:type="dxa"/>
            <w:vAlign w:val="center"/>
          </w:tcPr>
          <w:p w14:paraId="58271F1F" w14:textId="77777777" w:rsidR="00AF0E13" w:rsidRPr="00746BBB" w:rsidRDefault="00AF0E13" w:rsidP="00C91BC7">
            <w:pPr>
              <w:pStyle w:val="TableText"/>
              <w:keepLines/>
              <w:widowControl w:val="0"/>
              <w:jc w:val="center"/>
            </w:pPr>
            <w:r w:rsidRPr="00746BBB">
              <w:t>71 (88.8)</w:t>
            </w:r>
          </w:p>
        </w:tc>
        <w:tc>
          <w:tcPr>
            <w:tcW w:w="1371" w:type="dxa"/>
            <w:vAlign w:val="center"/>
          </w:tcPr>
          <w:p w14:paraId="6FE1D3B5" w14:textId="77777777" w:rsidR="00AF0E13" w:rsidRPr="00746BBB" w:rsidRDefault="00AF0E13" w:rsidP="00C91BC7">
            <w:pPr>
              <w:pStyle w:val="TableText"/>
              <w:keepLines/>
              <w:widowControl w:val="0"/>
              <w:jc w:val="center"/>
            </w:pPr>
            <w:r w:rsidRPr="00746BBB">
              <w:t>36 (87.8)</w:t>
            </w:r>
          </w:p>
        </w:tc>
        <w:tc>
          <w:tcPr>
            <w:tcW w:w="1372" w:type="dxa"/>
            <w:vAlign w:val="center"/>
          </w:tcPr>
          <w:p w14:paraId="4583B2BA" w14:textId="77777777" w:rsidR="00AF0E13" w:rsidRPr="00746BBB" w:rsidRDefault="00AF0E13" w:rsidP="00C91BC7">
            <w:pPr>
              <w:pStyle w:val="TableText"/>
              <w:keepLines/>
              <w:widowControl w:val="0"/>
              <w:jc w:val="center"/>
            </w:pPr>
            <w:r w:rsidRPr="00746BBB">
              <w:t>36 (92.3)</w:t>
            </w:r>
          </w:p>
        </w:tc>
        <w:tc>
          <w:tcPr>
            <w:tcW w:w="1400" w:type="dxa"/>
            <w:vAlign w:val="center"/>
          </w:tcPr>
          <w:p w14:paraId="686C59AB" w14:textId="77777777" w:rsidR="00AF0E13" w:rsidRPr="00746BBB" w:rsidRDefault="00AF0E13" w:rsidP="00C91BC7">
            <w:pPr>
              <w:pStyle w:val="TableText"/>
              <w:keepLines/>
              <w:widowControl w:val="0"/>
              <w:jc w:val="center"/>
            </w:pPr>
            <w:r w:rsidRPr="00746BBB">
              <w:t>71 (92.2)</w:t>
            </w:r>
          </w:p>
        </w:tc>
      </w:tr>
      <w:tr w:rsidR="00AF0E13" w:rsidRPr="00746BBB" w14:paraId="450BEC04" w14:textId="77777777" w:rsidTr="003F456B">
        <w:tc>
          <w:tcPr>
            <w:tcW w:w="3579" w:type="dxa"/>
            <w:vAlign w:val="center"/>
          </w:tcPr>
          <w:p w14:paraId="10E85988" w14:textId="77777777" w:rsidR="00AF0E13" w:rsidRPr="00746BBB" w:rsidRDefault="00AF0E13" w:rsidP="00C91BC7">
            <w:pPr>
              <w:pStyle w:val="TableText"/>
              <w:keepLines/>
              <w:widowControl w:val="0"/>
            </w:pPr>
            <w:r w:rsidRPr="00746BBB">
              <w:t>- Total events, n</w:t>
            </w:r>
          </w:p>
        </w:tc>
        <w:tc>
          <w:tcPr>
            <w:tcW w:w="1316" w:type="dxa"/>
            <w:vAlign w:val="center"/>
          </w:tcPr>
          <w:p w14:paraId="3CBF7A4B" w14:textId="77777777" w:rsidR="00AF0E13" w:rsidRPr="00746BBB" w:rsidRDefault="00AF0E13" w:rsidP="00C91BC7">
            <w:pPr>
              <w:pStyle w:val="TableText"/>
              <w:keepLines/>
              <w:widowControl w:val="0"/>
              <w:jc w:val="center"/>
            </w:pPr>
            <w:r w:rsidRPr="00746BBB">
              <w:t>383</w:t>
            </w:r>
          </w:p>
        </w:tc>
        <w:tc>
          <w:tcPr>
            <w:tcW w:w="1371" w:type="dxa"/>
            <w:vAlign w:val="center"/>
          </w:tcPr>
          <w:p w14:paraId="18C35874" w14:textId="77777777" w:rsidR="00AF0E13" w:rsidRPr="00746BBB" w:rsidRDefault="00AF0E13" w:rsidP="00C91BC7">
            <w:pPr>
              <w:pStyle w:val="TableText"/>
              <w:keepLines/>
              <w:widowControl w:val="0"/>
              <w:jc w:val="center"/>
            </w:pPr>
            <w:r w:rsidRPr="00746BBB">
              <w:t>272</w:t>
            </w:r>
          </w:p>
        </w:tc>
        <w:tc>
          <w:tcPr>
            <w:tcW w:w="1372" w:type="dxa"/>
            <w:vAlign w:val="center"/>
          </w:tcPr>
          <w:p w14:paraId="19251F61" w14:textId="77777777" w:rsidR="00AF0E13" w:rsidRPr="00746BBB" w:rsidRDefault="00AF0E13" w:rsidP="00C91BC7">
            <w:pPr>
              <w:pStyle w:val="TableText"/>
              <w:keepLines/>
              <w:widowControl w:val="0"/>
              <w:jc w:val="center"/>
            </w:pPr>
            <w:r w:rsidRPr="00746BBB">
              <w:t>162</w:t>
            </w:r>
          </w:p>
        </w:tc>
        <w:tc>
          <w:tcPr>
            <w:tcW w:w="1400" w:type="dxa"/>
            <w:vAlign w:val="center"/>
          </w:tcPr>
          <w:p w14:paraId="4031796C" w14:textId="77777777" w:rsidR="00AF0E13" w:rsidRPr="00746BBB" w:rsidRDefault="00AF0E13" w:rsidP="00C91BC7">
            <w:pPr>
              <w:pStyle w:val="TableText"/>
              <w:keepLines/>
              <w:widowControl w:val="0"/>
              <w:jc w:val="center"/>
            </w:pPr>
            <w:r w:rsidRPr="00746BBB">
              <w:t>696</w:t>
            </w:r>
          </w:p>
        </w:tc>
      </w:tr>
      <w:tr w:rsidR="00AF0E13" w:rsidRPr="00746BBB" w14:paraId="6DC462E0" w14:textId="77777777" w:rsidTr="003F456B">
        <w:tc>
          <w:tcPr>
            <w:tcW w:w="3579" w:type="dxa"/>
            <w:vAlign w:val="center"/>
          </w:tcPr>
          <w:p w14:paraId="756A2FBD" w14:textId="77777777" w:rsidR="00AF0E13" w:rsidRPr="00746BBB" w:rsidRDefault="00AF0E13" w:rsidP="00C91BC7">
            <w:pPr>
              <w:pStyle w:val="TableText"/>
              <w:keepLines/>
              <w:widowControl w:val="0"/>
            </w:pPr>
            <w:r w:rsidRPr="00746BBB">
              <w:t>AE leading to treatment discontinuation, n (%)</w:t>
            </w:r>
          </w:p>
        </w:tc>
        <w:tc>
          <w:tcPr>
            <w:tcW w:w="1316" w:type="dxa"/>
            <w:vAlign w:val="center"/>
          </w:tcPr>
          <w:p w14:paraId="05B66125" w14:textId="77777777" w:rsidR="00AF0E13" w:rsidRPr="00746BBB" w:rsidRDefault="00AF0E13" w:rsidP="00C91BC7">
            <w:pPr>
              <w:pStyle w:val="TableText"/>
              <w:keepLines/>
              <w:widowControl w:val="0"/>
              <w:jc w:val="center"/>
            </w:pPr>
            <w:r w:rsidRPr="00746BBB">
              <w:t>0</w:t>
            </w:r>
          </w:p>
        </w:tc>
        <w:tc>
          <w:tcPr>
            <w:tcW w:w="1371" w:type="dxa"/>
            <w:vAlign w:val="center"/>
          </w:tcPr>
          <w:p w14:paraId="40B9891B" w14:textId="77777777" w:rsidR="00AF0E13" w:rsidRPr="00746BBB" w:rsidRDefault="00AF0E13" w:rsidP="00C91BC7">
            <w:pPr>
              <w:pStyle w:val="TableText"/>
              <w:keepLines/>
              <w:widowControl w:val="0"/>
              <w:jc w:val="center"/>
            </w:pPr>
            <w:r w:rsidRPr="00746BBB">
              <w:t>3 (7.3)</w:t>
            </w:r>
          </w:p>
        </w:tc>
        <w:tc>
          <w:tcPr>
            <w:tcW w:w="1372" w:type="dxa"/>
            <w:vAlign w:val="center"/>
          </w:tcPr>
          <w:p w14:paraId="28CDA149" w14:textId="77777777" w:rsidR="00AF0E13" w:rsidRPr="00746BBB" w:rsidRDefault="00AF0E13" w:rsidP="00C91BC7">
            <w:pPr>
              <w:pStyle w:val="TableText"/>
              <w:keepLines/>
              <w:widowControl w:val="0"/>
              <w:jc w:val="center"/>
            </w:pPr>
            <w:r w:rsidRPr="00746BBB">
              <w:t>0</w:t>
            </w:r>
          </w:p>
        </w:tc>
        <w:tc>
          <w:tcPr>
            <w:tcW w:w="1400" w:type="dxa"/>
            <w:vAlign w:val="center"/>
          </w:tcPr>
          <w:p w14:paraId="73B12424" w14:textId="77777777" w:rsidR="00AF0E13" w:rsidRPr="00746BBB" w:rsidRDefault="00AF0E13" w:rsidP="00C91BC7">
            <w:pPr>
              <w:pStyle w:val="TableText"/>
              <w:keepLines/>
              <w:widowControl w:val="0"/>
              <w:jc w:val="center"/>
            </w:pPr>
            <w:r w:rsidRPr="00746BBB">
              <w:t>9 (11.7)</w:t>
            </w:r>
          </w:p>
        </w:tc>
      </w:tr>
      <w:tr w:rsidR="00AF0E13" w:rsidRPr="00746BBB" w14:paraId="2E5CA956" w14:textId="77777777" w:rsidTr="003F456B">
        <w:trPr>
          <w:trHeight w:val="50"/>
        </w:trPr>
        <w:tc>
          <w:tcPr>
            <w:tcW w:w="3579" w:type="dxa"/>
            <w:vAlign w:val="center"/>
          </w:tcPr>
          <w:p w14:paraId="22121780" w14:textId="77777777" w:rsidR="00AF0E13" w:rsidRPr="00746BBB" w:rsidRDefault="00AF0E13" w:rsidP="00C91BC7">
            <w:pPr>
              <w:pStyle w:val="TableText"/>
              <w:keepLines/>
              <w:widowControl w:val="0"/>
            </w:pPr>
            <w:r w:rsidRPr="00746BBB">
              <w:t>- Haemolysis</w:t>
            </w:r>
          </w:p>
        </w:tc>
        <w:tc>
          <w:tcPr>
            <w:tcW w:w="1316" w:type="dxa"/>
            <w:vAlign w:val="center"/>
          </w:tcPr>
          <w:p w14:paraId="2B1C412C" w14:textId="77777777" w:rsidR="00AF0E13" w:rsidRPr="00746BBB" w:rsidRDefault="00AF0E13" w:rsidP="00C91BC7">
            <w:pPr>
              <w:pStyle w:val="TableText"/>
              <w:keepLines/>
              <w:widowControl w:val="0"/>
              <w:jc w:val="center"/>
            </w:pPr>
            <w:r w:rsidRPr="00746BBB">
              <w:t>0</w:t>
            </w:r>
          </w:p>
        </w:tc>
        <w:tc>
          <w:tcPr>
            <w:tcW w:w="1371" w:type="dxa"/>
            <w:vAlign w:val="center"/>
          </w:tcPr>
          <w:p w14:paraId="75FD0D3F" w14:textId="77777777" w:rsidR="00AF0E13" w:rsidRPr="00746BBB" w:rsidRDefault="00AF0E13" w:rsidP="00C91BC7">
            <w:pPr>
              <w:pStyle w:val="TableText"/>
              <w:keepLines/>
              <w:widowControl w:val="0"/>
              <w:jc w:val="center"/>
            </w:pPr>
            <w:r w:rsidRPr="00746BBB">
              <w:t>3 (7.3)</w:t>
            </w:r>
          </w:p>
        </w:tc>
        <w:tc>
          <w:tcPr>
            <w:tcW w:w="1372" w:type="dxa"/>
            <w:vAlign w:val="center"/>
          </w:tcPr>
          <w:p w14:paraId="07F2290B" w14:textId="77777777" w:rsidR="00AF0E13" w:rsidRPr="00746BBB" w:rsidRDefault="00AF0E13" w:rsidP="00C91BC7">
            <w:pPr>
              <w:pStyle w:val="TableText"/>
              <w:keepLines/>
              <w:widowControl w:val="0"/>
              <w:jc w:val="center"/>
            </w:pPr>
            <w:r w:rsidRPr="00746BBB">
              <w:t>0</w:t>
            </w:r>
          </w:p>
        </w:tc>
        <w:tc>
          <w:tcPr>
            <w:tcW w:w="1400" w:type="dxa"/>
            <w:vAlign w:val="center"/>
          </w:tcPr>
          <w:p w14:paraId="701D47E9" w14:textId="77777777" w:rsidR="00AF0E13" w:rsidRPr="00746BBB" w:rsidRDefault="00AF0E13" w:rsidP="00C91BC7">
            <w:pPr>
              <w:pStyle w:val="TableText"/>
              <w:keepLines/>
              <w:widowControl w:val="0"/>
              <w:jc w:val="center"/>
            </w:pPr>
            <w:r w:rsidRPr="00746BBB">
              <w:t>2 (2.6)</w:t>
            </w:r>
          </w:p>
        </w:tc>
      </w:tr>
      <w:tr w:rsidR="00AF0E13" w:rsidRPr="00746BBB" w14:paraId="21D4C0B8" w14:textId="77777777" w:rsidTr="003F456B">
        <w:tc>
          <w:tcPr>
            <w:tcW w:w="3579" w:type="dxa"/>
            <w:vAlign w:val="center"/>
          </w:tcPr>
          <w:p w14:paraId="33D90D1A" w14:textId="77777777" w:rsidR="00AF0E13" w:rsidRPr="00746BBB" w:rsidRDefault="00AF0E13" w:rsidP="00C91BC7">
            <w:pPr>
              <w:pStyle w:val="TableText"/>
              <w:keepLines/>
              <w:widowControl w:val="0"/>
            </w:pPr>
            <w:r w:rsidRPr="00746BBB">
              <w:t>- Bone marrow failure</w:t>
            </w:r>
          </w:p>
        </w:tc>
        <w:tc>
          <w:tcPr>
            <w:tcW w:w="1316" w:type="dxa"/>
            <w:vAlign w:val="center"/>
          </w:tcPr>
          <w:p w14:paraId="28D87584" w14:textId="77777777" w:rsidR="00AF0E13" w:rsidRPr="00746BBB" w:rsidRDefault="00AF0E13" w:rsidP="00C91BC7">
            <w:pPr>
              <w:pStyle w:val="TableText"/>
              <w:keepLines/>
              <w:widowControl w:val="0"/>
              <w:jc w:val="center"/>
            </w:pPr>
            <w:r w:rsidRPr="00746BBB">
              <w:t>0</w:t>
            </w:r>
          </w:p>
        </w:tc>
        <w:tc>
          <w:tcPr>
            <w:tcW w:w="1371" w:type="dxa"/>
            <w:vAlign w:val="center"/>
          </w:tcPr>
          <w:p w14:paraId="1320FEFB" w14:textId="77777777" w:rsidR="00AF0E13" w:rsidRPr="00746BBB" w:rsidRDefault="00AF0E13" w:rsidP="00C91BC7">
            <w:pPr>
              <w:pStyle w:val="TableText"/>
              <w:keepLines/>
              <w:widowControl w:val="0"/>
              <w:jc w:val="center"/>
            </w:pPr>
            <w:r w:rsidRPr="00746BBB">
              <w:t>0</w:t>
            </w:r>
          </w:p>
        </w:tc>
        <w:tc>
          <w:tcPr>
            <w:tcW w:w="1372" w:type="dxa"/>
            <w:vAlign w:val="center"/>
          </w:tcPr>
          <w:p w14:paraId="73E2953C" w14:textId="77777777" w:rsidR="00AF0E13" w:rsidRPr="00746BBB" w:rsidRDefault="00AF0E13" w:rsidP="00C91BC7">
            <w:pPr>
              <w:pStyle w:val="TableText"/>
              <w:keepLines/>
              <w:widowControl w:val="0"/>
              <w:jc w:val="center"/>
            </w:pPr>
            <w:r w:rsidRPr="00746BBB">
              <w:t>0</w:t>
            </w:r>
          </w:p>
        </w:tc>
        <w:tc>
          <w:tcPr>
            <w:tcW w:w="1400" w:type="dxa"/>
            <w:vAlign w:val="center"/>
          </w:tcPr>
          <w:p w14:paraId="56840586" w14:textId="77777777" w:rsidR="00AF0E13" w:rsidRPr="00746BBB" w:rsidRDefault="00AF0E13" w:rsidP="00C91BC7">
            <w:pPr>
              <w:pStyle w:val="TableText"/>
              <w:keepLines/>
              <w:widowControl w:val="0"/>
              <w:jc w:val="center"/>
            </w:pPr>
            <w:r w:rsidRPr="00746BBB">
              <w:t>1 (1.3)</w:t>
            </w:r>
          </w:p>
        </w:tc>
      </w:tr>
      <w:tr w:rsidR="00AF0E13" w:rsidRPr="00746BBB" w14:paraId="05E72D5F" w14:textId="77777777" w:rsidTr="003F456B">
        <w:tc>
          <w:tcPr>
            <w:tcW w:w="3579" w:type="dxa"/>
            <w:vAlign w:val="center"/>
          </w:tcPr>
          <w:p w14:paraId="79F220EA" w14:textId="77777777" w:rsidR="00AF0E13" w:rsidRPr="00746BBB" w:rsidRDefault="00AF0E13" w:rsidP="00C91BC7">
            <w:pPr>
              <w:pStyle w:val="TableText"/>
              <w:keepLines/>
              <w:widowControl w:val="0"/>
            </w:pPr>
            <w:r w:rsidRPr="00746BBB">
              <w:t>- Haemolytic anaemia</w:t>
            </w:r>
          </w:p>
        </w:tc>
        <w:tc>
          <w:tcPr>
            <w:tcW w:w="1316" w:type="dxa"/>
            <w:vAlign w:val="center"/>
          </w:tcPr>
          <w:p w14:paraId="58E5BB8D" w14:textId="77777777" w:rsidR="00AF0E13" w:rsidRPr="00746BBB" w:rsidRDefault="00AF0E13" w:rsidP="00C91BC7">
            <w:pPr>
              <w:pStyle w:val="TableText"/>
              <w:keepLines/>
              <w:widowControl w:val="0"/>
              <w:jc w:val="center"/>
            </w:pPr>
            <w:r w:rsidRPr="00746BBB">
              <w:t>0</w:t>
            </w:r>
          </w:p>
        </w:tc>
        <w:tc>
          <w:tcPr>
            <w:tcW w:w="1371" w:type="dxa"/>
            <w:vAlign w:val="center"/>
          </w:tcPr>
          <w:p w14:paraId="0058E485" w14:textId="77777777" w:rsidR="00AF0E13" w:rsidRPr="00746BBB" w:rsidRDefault="00AF0E13" w:rsidP="00C91BC7">
            <w:pPr>
              <w:pStyle w:val="TableText"/>
              <w:keepLines/>
              <w:widowControl w:val="0"/>
              <w:jc w:val="center"/>
            </w:pPr>
            <w:r w:rsidRPr="00746BBB">
              <w:t>0</w:t>
            </w:r>
          </w:p>
        </w:tc>
        <w:tc>
          <w:tcPr>
            <w:tcW w:w="1372" w:type="dxa"/>
            <w:vAlign w:val="center"/>
          </w:tcPr>
          <w:p w14:paraId="6D43830D" w14:textId="77777777" w:rsidR="00AF0E13" w:rsidRPr="00746BBB" w:rsidRDefault="00AF0E13" w:rsidP="00C91BC7">
            <w:pPr>
              <w:pStyle w:val="TableText"/>
              <w:keepLines/>
              <w:widowControl w:val="0"/>
              <w:jc w:val="center"/>
            </w:pPr>
            <w:r w:rsidRPr="00746BBB">
              <w:t>0</w:t>
            </w:r>
          </w:p>
        </w:tc>
        <w:tc>
          <w:tcPr>
            <w:tcW w:w="1400" w:type="dxa"/>
            <w:vAlign w:val="center"/>
          </w:tcPr>
          <w:p w14:paraId="52078787" w14:textId="77777777" w:rsidR="00AF0E13" w:rsidRPr="00746BBB" w:rsidRDefault="00AF0E13" w:rsidP="00C91BC7">
            <w:pPr>
              <w:pStyle w:val="TableText"/>
              <w:keepLines/>
              <w:widowControl w:val="0"/>
              <w:jc w:val="center"/>
            </w:pPr>
            <w:r w:rsidRPr="00746BBB">
              <w:t>1 (1.3)</w:t>
            </w:r>
          </w:p>
        </w:tc>
      </w:tr>
      <w:tr w:rsidR="00AF0E13" w:rsidRPr="00746BBB" w14:paraId="3C4DE11E" w14:textId="77777777" w:rsidTr="003F456B">
        <w:tc>
          <w:tcPr>
            <w:tcW w:w="3579" w:type="dxa"/>
            <w:vAlign w:val="center"/>
          </w:tcPr>
          <w:p w14:paraId="10C45B7F" w14:textId="77777777" w:rsidR="00AF0E13" w:rsidRPr="00746BBB" w:rsidRDefault="00AF0E13" w:rsidP="00C91BC7">
            <w:pPr>
              <w:pStyle w:val="TableText"/>
              <w:keepLines/>
              <w:widowControl w:val="0"/>
            </w:pPr>
            <w:r w:rsidRPr="00746BBB">
              <w:t>- Acute myeloid leukaemia</w:t>
            </w:r>
          </w:p>
        </w:tc>
        <w:tc>
          <w:tcPr>
            <w:tcW w:w="1316" w:type="dxa"/>
            <w:vAlign w:val="center"/>
          </w:tcPr>
          <w:p w14:paraId="57F6E3A3" w14:textId="77777777" w:rsidR="00AF0E13" w:rsidRPr="00746BBB" w:rsidRDefault="00AF0E13" w:rsidP="00C91BC7">
            <w:pPr>
              <w:pStyle w:val="TableText"/>
              <w:keepLines/>
              <w:widowControl w:val="0"/>
              <w:jc w:val="center"/>
            </w:pPr>
            <w:r w:rsidRPr="00746BBB">
              <w:t>0</w:t>
            </w:r>
          </w:p>
        </w:tc>
        <w:tc>
          <w:tcPr>
            <w:tcW w:w="1371" w:type="dxa"/>
            <w:vAlign w:val="center"/>
          </w:tcPr>
          <w:p w14:paraId="3587CF83" w14:textId="77777777" w:rsidR="00AF0E13" w:rsidRPr="00746BBB" w:rsidRDefault="00AF0E13" w:rsidP="00C91BC7">
            <w:pPr>
              <w:pStyle w:val="TableText"/>
              <w:keepLines/>
              <w:widowControl w:val="0"/>
              <w:jc w:val="center"/>
            </w:pPr>
            <w:r w:rsidRPr="00746BBB">
              <w:t>0</w:t>
            </w:r>
          </w:p>
        </w:tc>
        <w:tc>
          <w:tcPr>
            <w:tcW w:w="1372" w:type="dxa"/>
            <w:vAlign w:val="center"/>
          </w:tcPr>
          <w:p w14:paraId="3630B2A0" w14:textId="77777777" w:rsidR="00AF0E13" w:rsidRPr="00746BBB" w:rsidRDefault="00AF0E13" w:rsidP="00C91BC7">
            <w:pPr>
              <w:pStyle w:val="TableText"/>
              <w:keepLines/>
              <w:widowControl w:val="0"/>
              <w:jc w:val="center"/>
            </w:pPr>
            <w:r w:rsidRPr="00746BBB">
              <w:t>0</w:t>
            </w:r>
          </w:p>
        </w:tc>
        <w:tc>
          <w:tcPr>
            <w:tcW w:w="1400" w:type="dxa"/>
            <w:vAlign w:val="center"/>
          </w:tcPr>
          <w:p w14:paraId="05417C65" w14:textId="77777777" w:rsidR="00AF0E13" w:rsidRPr="00746BBB" w:rsidRDefault="00AF0E13" w:rsidP="00C91BC7">
            <w:pPr>
              <w:pStyle w:val="TableText"/>
              <w:keepLines/>
              <w:widowControl w:val="0"/>
              <w:jc w:val="center"/>
            </w:pPr>
            <w:r w:rsidRPr="00746BBB">
              <w:t>1 (1.3)</w:t>
            </w:r>
          </w:p>
        </w:tc>
      </w:tr>
      <w:tr w:rsidR="00AF0E13" w:rsidRPr="00746BBB" w14:paraId="60658C48" w14:textId="77777777" w:rsidTr="003F456B">
        <w:tc>
          <w:tcPr>
            <w:tcW w:w="3579" w:type="dxa"/>
            <w:vAlign w:val="center"/>
          </w:tcPr>
          <w:p w14:paraId="12C21F1B" w14:textId="77777777" w:rsidR="00AF0E13" w:rsidRPr="00746BBB" w:rsidRDefault="00AF0E13" w:rsidP="00C91BC7">
            <w:pPr>
              <w:pStyle w:val="TableText"/>
              <w:keepLines/>
              <w:widowControl w:val="0"/>
            </w:pPr>
            <w:r w:rsidRPr="00746BBB">
              <w:t>- Diffuse large B-cell lymphoma</w:t>
            </w:r>
          </w:p>
        </w:tc>
        <w:tc>
          <w:tcPr>
            <w:tcW w:w="1316" w:type="dxa"/>
            <w:vAlign w:val="center"/>
          </w:tcPr>
          <w:p w14:paraId="3C30152B" w14:textId="77777777" w:rsidR="00AF0E13" w:rsidRPr="00746BBB" w:rsidRDefault="00AF0E13" w:rsidP="00C91BC7">
            <w:pPr>
              <w:pStyle w:val="TableText"/>
              <w:keepLines/>
              <w:widowControl w:val="0"/>
              <w:jc w:val="center"/>
            </w:pPr>
            <w:r w:rsidRPr="00746BBB">
              <w:t>0</w:t>
            </w:r>
          </w:p>
        </w:tc>
        <w:tc>
          <w:tcPr>
            <w:tcW w:w="1371" w:type="dxa"/>
            <w:vAlign w:val="center"/>
          </w:tcPr>
          <w:p w14:paraId="1BA8DB9B" w14:textId="77777777" w:rsidR="00AF0E13" w:rsidRPr="00746BBB" w:rsidRDefault="00AF0E13" w:rsidP="00C91BC7">
            <w:pPr>
              <w:pStyle w:val="TableText"/>
              <w:keepLines/>
              <w:widowControl w:val="0"/>
              <w:jc w:val="center"/>
            </w:pPr>
            <w:r w:rsidRPr="00746BBB">
              <w:t>0</w:t>
            </w:r>
          </w:p>
        </w:tc>
        <w:tc>
          <w:tcPr>
            <w:tcW w:w="1372" w:type="dxa"/>
            <w:vAlign w:val="center"/>
          </w:tcPr>
          <w:p w14:paraId="37FD79A3" w14:textId="77777777" w:rsidR="00AF0E13" w:rsidRPr="00746BBB" w:rsidRDefault="00AF0E13" w:rsidP="00C91BC7">
            <w:pPr>
              <w:pStyle w:val="TableText"/>
              <w:keepLines/>
              <w:widowControl w:val="0"/>
              <w:jc w:val="center"/>
            </w:pPr>
            <w:r w:rsidRPr="00746BBB">
              <w:t>0</w:t>
            </w:r>
          </w:p>
        </w:tc>
        <w:tc>
          <w:tcPr>
            <w:tcW w:w="1400" w:type="dxa"/>
            <w:vAlign w:val="center"/>
          </w:tcPr>
          <w:p w14:paraId="12304220" w14:textId="77777777" w:rsidR="00AF0E13" w:rsidRPr="00746BBB" w:rsidRDefault="00AF0E13" w:rsidP="00C91BC7">
            <w:pPr>
              <w:pStyle w:val="TableText"/>
              <w:keepLines/>
              <w:widowControl w:val="0"/>
              <w:jc w:val="center"/>
            </w:pPr>
            <w:r w:rsidRPr="00746BBB">
              <w:t>1 (1.3)</w:t>
            </w:r>
          </w:p>
        </w:tc>
      </w:tr>
      <w:tr w:rsidR="00AF0E13" w:rsidRPr="00746BBB" w14:paraId="3F632353" w14:textId="77777777" w:rsidTr="003F456B">
        <w:tc>
          <w:tcPr>
            <w:tcW w:w="3579" w:type="dxa"/>
            <w:vAlign w:val="center"/>
          </w:tcPr>
          <w:p w14:paraId="32C38B03" w14:textId="77777777" w:rsidR="00AF0E13" w:rsidRPr="00746BBB" w:rsidRDefault="00AF0E13" w:rsidP="00C91BC7">
            <w:pPr>
              <w:pStyle w:val="TableText"/>
              <w:keepLines/>
              <w:widowControl w:val="0"/>
            </w:pPr>
            <w:r w:rsidRPr="00746BBB">
              <w:t xml:space="preserve">- Intestinal </w:t>
            </w:r>
            <w:proofErr w:type="spellStart"/>
            <w:r w:rsidRPr="00746BBB">
              <w:t>ischaemia</w:t>
            </w:r>
            <w:proofErr w:type="spellEnd"/>
          </w:p>
        </w:tc>
        <w:tc>
          <w:tcPr>
            <w:tcW w:w="1316" w:type="dxa"/>
            <w:vAlign w:val="center"/>
          </w:tcPr>
          <w:p w14:paraId="12B8B84D" w14:textId="77777777" w:rsidR="00AF0E13" w:rsidRPr="00746BBB" w:rsidRDefault="00AF0E13" w:rsidP="00C91BC7">
            <w:pPr>
              <w:pStyle w:val="TableText"/>
              <w:keepLines/>
              <w:widowControl w:val="0"/>
              <w:jc w:val="center"/>
            </w:pPr>
            <w:r w:rsidRPr="00746BBB">
              <w:t>0</w:t>
            </w:r>
          </w:p>
        </w:tc>
        <w:tc>
          <w:tcPr>
            <w:tcW w:w="1371" w:type="dxa"/>
            <w:vAlign w:val="center"/>
          </w:tcPr>
          <w:p w14:paraId="53831D04" w14:textId="77777777" w:rsidR="00AF0E13" w:rsidRPr="00746BBB" w:rsidRDefault="00AF0E13" w:rsidP="00C91BC7">
            <w:pPr>
              <w:pStyle w:val="TableText"/>
              <w:keepLines/>
              <w:widowControl w:val="0"/>
              <w:jc w:val="center"/>
            </w:pPr>
            <w:r w:rsidRPr="00746BBB">
              <w:t>0</w:t>
            </w:r>
          </w:p>
        </w:tc>
        <w:tc>
          <w:tcPr>
            <w:tcW w:w="1372" w:type="dxa"/>
            <w:vAlign w:val="center"/>
          </w:tcPr>
          <w:p w14:paraId="67FD0163" w14:textId="77777777" w:rsidR="00AF0E13" w:rsidRPr="00746BBB" w:rsidRDefault="00AF0E13" w:rsidP="00C91BC7">
            <w:pPr>
              <w:pStyle w:val="TableText"/>
              <w:keepLines/>
              <w:widowControl w:val="0"/>
              <w:jc w:val="center"/>
            </w:pPr>
            <w:r w:rsidRPr="00746BBB">
              <w:t>0</w:t>
            </w:r>
          </w:p>
        </w:tc>
        <w:tc>
          <w:tcPr>
            <w:tcW w:w="1400" w:type="dxa"/>
            <w:vAlign w:val="center"/>
          </w:tcPr>
          <w:p w14:paraId="702B121F" w14:textId="77777777" w:rsidR="00AF0E13" w:rsidRPr="00746BBB" w:rsidRDefault="00AF0E13" w:rsidP="00C91BC7">
            <w:pPr>
              <w:pStyle w:val="TableText"/>
              <w:keepLines/>
              <w:widowControl w:val="0"/>
              <w:jc w:val="center"/>
            </w:pPr>
            <w:r w:rsidRPr="00746BBB">
              <w:t>1 (1.3)</w:t>
            </w:r>
          </w:p>
        </w:tc>
      </w:tr>
      <w:tr w:rsidR="00AF0E13" w:rsidRPr="00746BBB" w14:paraId="552B04D3" w14:textId="77777777" w:rsidTr="003F456B">
        <w:tc>
          <w:tcPr>
            <w:tcW w:w="3579" w:type="dxa"/>
            <w:vAlign w:val="center"/>
          </w:tcPr>
          <w:p w14:paraId="594F0EED" w14:textId="77777777" w:rsidR="00AF0E13" w:rsidRPr="00746BBB" w:rsidRDefault="00AF0E13" w:rsidP="00C91BC7">
            <w:pPr>
              <w:pStyle w:val="TableText"/>
              <w:keepLines/>
              <w:widowControl w:val="0"/>
            </w:pPr>
            <w:r w:rsidRPr="00746BBB">
              <w:t>- COVID-19</w:t>
            </w:r>
          </w:p>
        </w:tc>
        <w:tc>
          <w:tcPr>
            <w:tcW w:w="1316" w:type="dxa"/>
            <w:vAlign w:val="center"/>
          </w:tcPr>
          <w:p w14:paraId="48FC89E4" w14:textId="77777777" w:rsidR="00AF0E13" w:rsidRPr="00746BBB" w:rsidRDefault="00AF0E13" w:rsidP="00C91BC7">
            <w:pPr>
              <w:pStyle w:val="TableText"/>
              <w:keepLines/>
              <w:widowControl w:val="0"/>
              <w:jc w:val="center"/>
            </w:pPr>
            <w:r w:rsidRPr="00746BBB">
              <w:t>0</w:t>
            </w:r>
          </w:p>
        </w:tc>
        <w:tc>
          <w:tcPr>
            <w:tcW w:w="1371" w:type="dxa"/>
            <w:vAlign w:val="center"/>
          </w:tcPr>
          <w:p w14:paraId="1B42C9F8" w14:textId="77777777" w:rsidR="00AF0E13" w:rsidRPr="00746BBB" w:rsidRDefault="00AF0E13" w:rsidP="00C91BC7">
            <w:pPr>
              <w:pStyle w:val="TableText"/>
              <w:keepLines/>
              <w:widowControl w:val="0"/>
              <w:jc w:val="center"/>
            </w:pPr>
            <w:r w:rsidRPr="00746BBB">
              <w:t>0</w:t>
            </w:r>
          </w:p>
        </w:tc>
        <w:tc>
          <w:tcPr>
            <w:tcW w:w="1372" w:type="dxa"/>
            <w:vAlign w:val="center"/>
          </w:tcPr>
          <w:p w14:paraId="6C4AF646" w14:textId="77777777" w:rsidR="00AF0E13" w:rsidRPr="00746BBB" w:rsidRDefault="00AF0E13" w:rsidP="00C91BC7">
            <w:pPr>
              <w:pStyle w:val="TableText"/>
              <w:keepLines/>
              <w:widowControl w:val="0"/>
              <w:jc w:val="center"/>
            </w:pPr>
            <w:r w:rsidRPr="00746BBB">
              <w:t>0</w:t>
            </w:r>
          </w:p>
        </w:tc>
        <w:tc>
          <w:tcPr>
            <w:tcW w:w="1400" w:type="dxa"/>
            <w:vAlign w:val="center"/>
          </w:tcPr>
          <w:p w14:paraId="12D6CAB4" w14:textId="77777777" w:rsidR="00AF0E13" w:rsidRPr="00746BBB" w:rsidRDefault="00AF0E13" w:rsidP="00C91BC7">
            <w:pPr>
              <w:pStyle w:val="TableText"/>
              <w:keepLines/>
              <w:widowControl w:val="0"/>
              <w:jc w:val="center"/>
            </w:pPr>
            <w:r w:rsidRPr="00746BBB">
              <w:t>1 (1.3)</w:t>
            </w:r>
          </w:p>
        </w:tc>
      </w:tr>
      <w:tr w:rsidR="00AF0E13" w:rsidRPr="00746BBB" w14:paraId="30E1976F" w14:textId="77777777" w:rsidTr="003F456B">
        <w:tc>
          <w:tcPr>
            <w:tcW w:w="3579" w:type="dxa"/>
            <w:vAlign w:val="center"/>
          </w:tcPr>
          <w:p w14:paraId="6E64FDA6" w14:textId="77777777" w:rsidR="00AF0E13" w:rsidRPr="00746BBB" w:rsidRDefault="00AF0E13" w:rsidP="00C91BC7">
            <w:pPr>
              <w:pStyle w:val="TableText"/>
              <w:keepLines/>
              <w:widowControl w:val="0"/>
            </w:pPr>
            <w:r w:rsidRPr="00746BBB">
              <w:t>- Hypersensitivity pneumonia</w:t>
            </w:r>
          </w:p>
        </w:tc>
        <w:tc>
          <w:tcPr>
            <w:tcW w:w="1316" w:type="dxa"/>
            <w:vAlign w:val="center"/>
          </w:tcPr>
          <w:p w14:paraId="3363B1D5" w14:textId="77777777" w:rsidR="00AF0E13" w:rsidRPr="00746BBB" w:rsidRDefault="00AF0E13" w:rsidP="00C91BC7">
            <w:pPr>
              <w:pStyle w:val="TableText"/>
              <w:keepLines/>
              <w:widowControl w:val="0"/>
              <w:jc w:val="center"/>
            </w:pPr>
            <w:r w:rsidRPr="00746BBB">
              <w:t>0</w:t>
            </w:r>
          </w:p>
        </w:tc>
        <w:tc>
          <w:tcPr>
            <w:tcW w:w="1371" w:type="dxa"/>
            <w:vAlign w:val="center"/>
          </w:tcPr>
          <w:p w14:paraId="12A9FAD8" w14:textId="77777777" w:rsidR="00AF0E13" w:rsidRPr="00746BBB" w:rsidRDefault="00AF0E13" w:rsidP="00C91BC7">
            <w:pPr>
              <w:pStyle w:val="TableText"/>
              <w:keepLines/>
              <w:widowControl w:val="0"/>
              <w:jc w:val="center"/>
            </w:pPr>
            <w:r w:rsidRPr="00746BBB">
              <w:t>0</w:t>
            </w:r>
          </w:p>
        </w:tc>
        <w:tc>
          <w:tcPr>
            <w:tcW w:w="1372" w:type="dxa"/>
            <w:vAlign w:val="center"/>
          </w:tcPr>
          <w:p w14:paraId="1E08E85E" w14:textId="77777777" w:rsidR="00AF0E13" w:rsidRPr="00746BBB" w:rsidRDefault="00AF0E13" w:rsidP="00C91BC7">
            <w:pPr>
              <w:pStyle w:val="TableText"/>
              <w:keepLines/>
              <w:widowControl w:val="0"/>
              <w:jc w:val="center"/>
            </w:pPr>
            <w:r w:rsidRPr="00746BBB">
              <w:t>0</w:t>
            </w:r>
          </w:p>
        </w:tc>
        <w:tc>
          <w:tcPr>
            <w:tcW w:w="1400" w:type="dxa"/>
            <w:vAlign w:val="center"/>
          </w:tcPr>
          <w:p w14:paraId="56C724F4" w14:textId="77777777" w:rsidR="00AF0E13" w:rsidRPr="00746BBB" w:rsidRDefault="00AF0E13" w:rsidP="00C91BC7">
            <w:pPr>
              <w:pStyle w:val="TableText"/>
              <w:keepLines/>
              <w:widowControl w:val="0"/>
              <w:jc w:val="center"/>
            </w:pPr>
            <w:r w:rsidRPr="00746BBB">
              <w:t>1 (1.3)</w:t>
            </w:r>
          </w:p>
        </w:tc>
      </w:tr>
      <w:tr w:rsidR="00AF0E13" w:rsidRPr="00746BBB" w14:paraId="7C8145C3" w14:textId="77777777" w:rsidTr="003F456B">
        <w:tc>
          <w:tcPr>
            <w:tcW w:w="3579" w:type="dxa"/>
            <w:vAlign w:val="center"/>
          </w:tcPr>
          <w:p w14:paraId="597B3B4A" w14:textId="77777777" w:rsidR="00AF0E13" w:rsidRPr="00746BBB" w:rsidRDefault="00AF0E13" w:rsidP="00C91BC7">
            <w:pPr>
              <w:pStyle w:val="TableText"/>
              <w:keepLines/>
              <w:widowControl w:val="0"/>
            </w:pPr>
            <w:r w:rsidRPr="00746BBB">
              <w:t>AE leading to study discontinuation, n (%)</w:t>
            </w:r>
          </w:p>
        </w:tc>
        <w:tc>
          <w:tcPr>
            <w:tcW w:w="1316" w:type="dxa"/>
            <w:vAlign w:val="center"/>
          </w:tcPr>
          <w:p w14:paraId="679E6809" w14:textId="77777777" w:rsidR="00AF0E13" w:rsidRPr="00746BBB" w:rsidRDefault="00AF0E13" w:rsidP="00C91BC7">
            <w:pPr>
              <w:pStyle w:val="TableText"/>
              <w:keepLines/>
              <w:widowControl w:val="0"/>
              <w:jc w:val="center"/>
            </w:pPr>
            <w:r w:rsidRPr="00746BBB">
              <w:t>0</w:t>
            </w:r>
          </w:p>
        </w:tc>
        <w:tc>
          <w:tcPr>
            <w:tcW w:w="1371" w:type="dxa"/>
            <w:vAlign w:val="center"/>
          </w:tcPr>
          <w:p w14:paraId="430A1F86" w14:textId="77777777" w:rsidR="00AF0E13" w:rsidRPr="00746BBB" w:rsidRDefault="00AF0E13" w:rsidP="00C91BC7">
            <w:pPr>
              <w:pStyle w:val="TableText"/>
              <w:keepLines/>
              <w:widowControl w:val="0"/>
              <w:jc w:val="center"/>
            </w:pPr>
            <w:r w:rsidRPr="00746BBB">
              <w:t>1 (2.4)</w:t>
            </w:r>
          </w:p>
        </w:tc>
        <w:tc>
          <w:tcPr>
            <w:tcW w:w="1372" w:type="dxa"/>
            <w:vAlign w:val="center"/>
          </w:tcPr>
          <w:p w14:paraId="766833FD" w14:textId="77777777" w:rsidR="00AF0E13" w:rsidRPr="00746BBB" w:rsidRDefault="00AF0E13" w:rsidP="00C91BC7">
            <w:pPr>
              <w:pStyle w:val="TableText"/>
              <w:keepLines/>
              <w:widowControl w:val="0"/>
              <w:jc w:val="center"/>
            </w:pPr>
            <w:r w:rsidRPr="00746BBB">
              <w:t>0</w:t>
            </w:r>
          </w:p>
        </w:tc>
        <w:tc>
          <w:tcPr>
            <w:tcW w:w="1400" w:type="dxa"/>
            <w:vAlign w:val="center"/>
          </w:tcPr>
          <w:p w14:paraId="169F68B9" w14:textId="77777777" w:rsidR="00AF0E13" w:rsidRPr="00746BBB" w:rsidRDefault="00AF0E13" w:rsidP="00C91BC7">
            <w:pPr>
              <w:pStyle w:val="TableText"/>
              <w:keepLines/>
              <w:widowControl w:val="0"/>
              <w:jc w:val="center"/>
            </w:pPr>
            <w:r w:rsidRPr="00746BBB">
              <w:t>9 (11.7)</w:t>
            </w:r>
          </w:p>
        </w:tc>
      </w:tr>
      <w:tr w:rsidR="00AF0E13" w:rsidRPr="00746BBB" w14:paraId="2A740313" w14:textId="77777777" w:rsidTr="003F456B">
        <w:tc>
          <w:tcPr>
            <w:tcW w:w="3579" w:type="dxa"/>
            <w:vAlign w:val="center"/>
          </w:tcPr>
          <w:p w14:paraId="065E51C3" w14:textId="77777777" w:rsidR="00AF0E13" w:rsidRPr="00746BBB" w:rsidRDefault="00AF0E13" w:rsidP="00C91BC7">
            <w:pPr>
              <w:pStyle w:val="TableText"/>
              <w:keepLines/>
              <w:widowControl w:val="0"/>
            </w:pPr>
            <w:r w:rsidRPr="00746BBB">
              <w:t>SAE, n (%)</w:t>
            </w:r>
          </w:p>
        </w:tc>
        <w:tc>
          <w:tcPr>
            <w:tcW w:w="1316" w:type="dxa"/>
            <w:vAlign w:val="center"/>
          </w:tcPr>
          <w:p w14:paraId="6B736C7F" w14:textId="77777777" w:rsidR="00AF0E13" w:rsidRPr="00746BBB" w:rsidRDefault="00AF0E13" w:rsidP="00C91BC7">
            <w:pPr>
              <w:pStyle w:val="TableText"/>
              <w:keepLines/>
              <w:widowControl w:val="0"/>
              <w:jc w:val="center"/>
            </w:pPr>
            <w:r w:rsidRPr="00746BBB">
              <w:t>4 (5.0)</w:t>
            </w:r>
          </w:p>
        </w:tc>
        <w:tc>
          <w:tcPr>
            <w:tcW w:w="1371" w:type="dxa"/>
            <w:vAlign w:val="center"/>
          </w:tcPr>
          <w:p w14:paraId="461628FD" w14:textId="77777777" w:rsidR="00AF0E13" w:rsidRPr="00746BBB" w:rsidRDefault="00AF0E13" w:rsidP="00C91BC7">
            <w:pPr>
              <w:pStyle w:val="TableText"/>
              <w:keepLines/>
              <w:widowControl w:val="0"/>
              <w:jc w:val="center"/>
            </w:pPr>
            <w:r w:rsidRPr="00746BBB">
              <w:t>7 (17.1)</w:t>
            </w:r>
          </w:p>
        </w:tc>
        <w:tc>
          <w:tcPr>
            <w:tcW w:w="1372" w:type="dxa"/>
            <w:vAlign w:val="center"/>
          </w:tcPr>
          <w:p w14:paraId="5B2F5EA1" w14:textId="77777777" w:rsidR="00AF0E13" w:rsidRPr="00746BBB" w:rsidRDefault="00AF0E13" w:rsidP="00C91BC7">
            <w:pPr>
              <w:pStyle w:val="TableText"/>
              <w:keepLines/>
              <w:widowControl w:val="0"/>
              <w:jc w:val="center"/>
            </w:pPr>
            <w:r w:rsidRPr="00746BBB">
              <w:t>5 (12.8)</w:t>
            </w:r>
          </w:p>
        </w:tc>
        <w:tc>
          <w:tcPr>
            <w:tcW w:w="1400" w:type="dxa"/>
            <w:vAlign w:val="center"/>
          </w:tcPr>
          <w:p w14:paraId="434E35D5" w14:textId="77777777" w:rsidR="00AF0E13" w:rsidRPr="00746BBB" w:rsidRDefault="00AF0E13" w:rsidP="00C91BC7">
            <w:pPr>
              <w:pStyle w:val="TableText"/>
              <w:keepLines/>
              <w:widowControl w:val="0"/>
              <w:jc w:val="center"/>
            </w:pPr>
            <w:r w:rsidRPr="00746BBB">
              <w:t>18 (23.4)</w:t>
            </w:r>
          </w:p>
        </w:tc>
      </w:tr>
      <w:tr w:rsidR="00AF0E13" w:rsidRPr="00746BBB" w14:paraId="1C727103" w14:textId="77777777" w:rsidTr="003F456B">
        <w:tc>
          <w:tcPr>
            <w:tcW w:w="3579" w:type="dxa"/>
            <w:vAlign w:val="center"/>
          </w:tcPr>
          <w:p w14:paraId="3FA6A973" w14:textId="77777777" w:rsidR="00AF0E13" w:rsidRPr="00746BBB" w:rsidRDefault="00AF0E13" w:rsidP="00C91BC7">
            <w:pPr>
              <w:pStyle w:val="TableText"/>
              <w:keepLines/>
              <w:widowControl w:val="0"/>
            </w:pPr>
            <w:r w:rsidRPr="00746BBB">
              <w:t xml:space="preserve">- Total events, n </w:t>
            </w:r>
          </w:p>
        </w:tc>
        <w:tc>
          <w:tcPr>
            <w:tcW w:w="1316" w:type="dxa"/>
            <w:vAlign w:val="center"/>
          </w:tcPr>
          <w:p w14:paraId="77BF676F" w14:textId="77777777" w:rsidR="00AF0E13" w:rsidRPr="00746BBB" w:rsidRDefault="00AF0E13" w:rsidP="00C91BC7">
            <w:pPr>
              <w:pStyle w:val="TableText"/>
              <w:keepLines/>
              <w:widowControl w:val="0"/>
              <w:jc w:val="center"/>
            </w:pPr>
            <w:r w:rsidRPr="00746BBB">
              <w:t>4</w:t>
            </w:r>
          </w:p>
        </w:tc>
        <w:tc>
          <w:tcPr>
            <w:tcW w:w="1371" w:type="dxa"/>
            <w:vAlign w:val="center"/>
          </w:tcPr>
          <w:p w14:paraId="04EFF22F" w14:textId="77777777" w:rsidR="00AF0E13" w:rsidRPr="00746BBB" w:rsidRDefault="00AF0E13" w:rsidP="00C91BC7">
            <w:pPr>
              <w:pStyle w:val="TableText"/>
              <w:keepLines/>
              <w:widowControl w:val="0"/>
              <w:jc w:val="center"/>
            </w:pPr>
            <w:r w:rsidRPr="00746BBB">
              <w:t>8</w:t>
            </w:r>
          </w:p>
        </w:tc>
        <w:tc>
          <w:tcPr>
            <w:tcW w:w="1372" w:type="dxa"/>
            <w:vAlign w:val="center"/>
          </w:tcPr>
          <w:p w14:paraId="042A9513" w14:textId="77777777" w:rsidR="00AF0E13" w:rsidRPr="00746BBB" w:rsidRDefault="00AF0E13" w:rsidP="00C91BC7">
            <w:pPr>
              <w:pStyle w:val="TableText"/>
              <w:keepLines/>
              <w:widowControl w:val="0"/>
              <w:jc w:val="center"/>
            </w:pPr>
            <w:r w:rsidRPr="00746BBB">
              <w:t>9</w:t>
            </w:r>
          </w:p>
        </w:tc>
        <w:tc>
          <w:tcPr>
            <w:tcW w:w="1400" w:type="dxa"/>
            <w:vAlign w:val="center"/>
          </w:tcPr>
          <w:p w14:paraId="70A59C84" w14:textId="77777777" w:rsidR="00AF0E13" w:rsidRPr="00746BBB" w:rsidRDefault="00AF0E13" w:rsidP="00C91BC7">
            <w:pPr>
              <w:pStyle w:val="TableText"/>
              <w:keepLines/>
              <w:widowControl w:val="0"/>
              <w:jc w:val="center"/>
            </w:pPr>
            <w:r w:rsidRPr="00746BBB">
              <w:t>30</w:t>
            </w:r>
          </w:p>
        </w:tc>
      </w:tr>
      <w:tr w:rsidR="00AF0E13" w:rsidRPr="00746BBB" w14:paraId="41279C92" w14:textId="77777777" w:rsidTr="003F456B">
        <w:tc>
          <w:tcPr>
            <w:tcW w:w="3579" w:type="dxa"/>
            <w:vAlign w:val="center"/>
          </w:tcPr>
          <w:p w14:paraId="6D6639B5" w14:textId="77777777" w:rsidR="00AF0E13" w:rsidRPr="00746BBB" w:rsidRDefault="00AF0E13" w:rsidP="00C91BC7">
            <w:pPr>
              <w:pStyle w:val="TableText"/>
              <w:keepLines/>
              <w:widowControl w:val="0"/>
            </w:pPr>
            <w:r w:rsidRPr="00746BBB">
              <w:t>SAE leading to study discontinuation, n (%)</w:t>
            </w:r>
          </w:p>
        </w:tc>
        <w:tc>
          <w:tcPr>
            <w:tcW w:w="1316" w:type="dxa"/>
            <w:vAlign w:val="center"/>
          </w:tcPr>
          <w:p w14:paraId="05C0C8BF" w14:textId="77777777" w:rsidR="00AF0E13" w:rsidRPr="00746BBB" w:rsidRDefault="00AF0E13" w:rsidP="00C91BC7">
            <w:pPr>
              <w:pStyle w:val="TableText"/>
              <w:keepLines/>
              <w:widowControl w:val="0"/>
              <w:jc w:val="center"/>
            </w:pPr>
            <w:r w:rsidRPr="00746BBB">
              <w:t>0</w:t>
            </w:r>
          </w:p>
        </w:tc>
        <w:tc>
          <w:tcPr>
            <w:tcW w:w="1371" w:type="dxa"/>
            <w:vAlign w:val="center"/>
          </w:tcPr>
          <w:p w14:paraId="4FE201C1" w14:textId="77777777" w:rsidR="00AF0E13" w:rsidRPr="00746BBB" w:rsidRDefault="00AF0E13" w:rsidP="00C91BC7">
            <w:pPr>
              <w:pStyle w:val="TableText"/>
              <w:keepLines/>
              <w:widowControl w:val="0"/>
              <w:jc w:val="center"/>
            </w:pPr>
            <w:r w:rsidRPr="00746BBB">
              <w:t>1 (2.4)</w:t>
            </w:r>
          </w:p>
        </w:tc>
        <w:tc>
          <w:tcPr>
            <w:tcW w:w="1372" w:type="dxa"/>
            <w:vAlign w:val="center"/>
          </w:tcPr>
          <w:p w14:paraId="2C6A360F" w14:textId="77777777" w:rsidR="00AF0E13" w:rsidRPr="00746BBB" w:rsidRDefault="00AF0E13" w:rsidP="00C91BC7">
            <w:pPr>
              <w:pStyle w:val="TableText"/>
              <w:keepLines/>
              <w:widowControl w:val="0"/>
              <w:jc w:val="center"/>
            </w:pPr>
            <w:r w:rsidRPr="00746BBB">
              <w:t>0</w:t>
            </w:r>
          </w:p>
        </w:tc>
        <w:tc>
          <w:tcPr>
            <w:tcW w:w="1400" w:type="dxa"/>
            <w:vAlign w:val="center"/>
          </w:tcPr>
          <w:p w14:paraId="01A8BB57" w14:textId="77777777" w:rsidR="00AF0E13" w:rsidRPr="00746BBB" w:rsidRDefault="00AF0E13" w:rsidP="00C91BC7">
            <w:pPr>
              <w:pStyle w:val="TableText"/>
              <w:keepLines/>
              <w:widowControl w:val="0"/>
              <w:jc w:val="center"/>
            </w:pPr>
            <w:r w:rsidRPr="00746BBB">
              <w:t>6 (7.8)</w:t>
            </w:r>
          </w:p>
        </w:tc>
      </w:tr>
      <w:tr w:rsidR="00AF0E13" w:rsidRPr="00746BBB" w14:paraId="57C63DC7" w14:textId="77777777" w:rsidTr="003F456B">
        <w:tc>
          <w:tcPr>
            <w:tcW w:w="3579" w:type="dxa"/>
            <w:vAlign w:val="center"/>
          </w:tcPr>
          <w:p w14:paraId="27AE6E13" w14:textId="77777777" w:rsidR="00AF0E13" w:rsidRPr="00746BBB" w:rsidRDefault="00AF0E13" w:rsidP="00C91BC7">
            <w:pPr>
              <w:pStyle w:val="TableText"/>
              <w:keepLines/>
              <w:widowControl w:val="0"/>
            </w:pPr>
            <w:r w:rsidRPr="00746BBB">
              <w:t>Deaths, n (%)</w:t>
            </w:r>
          </w:p>
        </w:tc>
        <w:tc>
          <w:tcPr>
            <w:tcW w:w="1316" w:type="dxa"/>
            <w:vAlign w:val="center"/>
          </w:tcPr>
          <w:p w14:paraId="69C19675" w14:textId="77777777" w:rsidR="00AF0E13" w:rsidRPr="00746BBB" w:rsidRDefault="00AF0E13" w:rsidP="00C91BC7">
            <w:pPr>
              <w:pStyle w:val="TableText"/>
              <w:keepLines/>
              <w:widowControl w:val="0"/>
              <w:jc w:val="center"/>
            </w:pPr>
            <w:r w:rsidRPr="00746BBB">
              <w:t>0</w:t>
            </w:r>
          </w:p>
        </w:tc>
        <w:tc>
          <w:tcPr>
            <w:tcW w:w="1371" w:type="dxa"/>
            <w:vAlign w:val="center"/>
          </w:tcPr>
          <w:p w14:paraId="42B5F240" w14:textId="77777777" w:rsidR="00AF0E13" w:rsidRPr="00746BBB" w:rsidRDefault="00AF0E13" w:rsidP="00C91BC7">
            <w:pPr>
              <w:pStyle w:val="TableText"/>
              <w:keepLines/>
              <w:widowControl w:val="0"/>
              <w:jc w:val="center"/>
            </w:pPr>
            <w:r w:rsidRPr="00746BBB">
              <w:t>0</w:t>
            </w:r>
          </w:p>
        </w:tc>
        <w:tc>
          <w:tcPr>
            <w:tcW w:w="1372" w:type="dxa"/>
            <w:vAlign w:val="center"/>
          </w:tcPr>
          <w:p w14:paraId="591B62BB" w14:textId="77777777" w:rsidR="00AF0E13" w:rsidRPr="00746BBB" w:rsidRDefault="00AF0E13" w:rsidP="00C91BC7">
            <w:pPr>
              <w:pStyle w:val="TableText"/>
              <w:keepLines/>
              <w:widowControl w:val="0"/>
              <w:jc w:val="center"/>
            </w:pPr>
            <w:r w:rsidRPr="00746BBB">
              <w:t>0</w:t>
            </w:r>
          </w:p>
        </w:tc>
        <w:tc>
          <w:tcPr>
            <w:tcW w:w="1400" w:type="dxa"/>
            <w:vAlign w:val="center"/>
          </w:tcPr>
          <w:p w14:paraId="0AA785D7" w14:textId="77777777" w:rsidR="00AF0E13" w:rsidRPr="00746BBB" w:rsidRDefault="00AF0E13" w:rsidP="00C91BC7">
            <w:pPr>
              <w:pStyle w:val="TableText"/>
              <w:keepLines/>
              <w:widowControl w:val="0"/>
              <w:jc w:val="center"/>
            </w:pPr>
            <w:r w:rsidRPr="00746BBB">
              <w:t>1 (1.3)</w:t>
            </w:r>
          </w:p>
        </w:tc>
      </w:tr>
      <w:tr w:rsidR="00AF0E13" w:rsidRPr="00746BBB" w14:paraId="39695579" w14:textId="77777777" w:rsidTr="003F456B">
        <w:tc>
          <w:tcPr>
            <w:tcW w:w="3579" w:type="dxa"/>
            <w:vAlign w:val="center"/>
          </w:tcPr>
          <w:p w14:paraId="6B3CEFBB" w14:textId="77777777" w:rsidR="00AF0E13" w:rsidRPr="00746BBB" w:rsidRDefault="00AF0E13" w:rsidP="00C91BC7">
            <w:pPr>
              <w:pStyle w:val="TableText"/>
              <w:keepLines/>
              <w:widowControl w:val="0"/>
            </w:pPr>
            <w:r w:rsidRPr="00746BBB">
              <w:t>Grade 3+ severe adverse events</w:t>
            </w:r>
          </w:p>
        </w:tc>
        <w:tc>
          <w:tcPr>
            <w:tcW w:w="1316" w:type="dxa"/>
            <w:vAlign w:val="center"/>
          </w:tcPr>
          <w:p w14:paraId="1BC5BD1E" w14:textId="77777777" w:rsidR="00AF0E13" w:rsidRPr="00746BBB" w:rsidRDefault="00AF0E13" w:rsidP="00C91BC7">
            <w:pPr>
              <w:pStyle w:val="TableText"/>
              <w:keepLines/>
              <w:widowControl w:val="0"/>
              <w:jc w:val="center"/>
            </w:pPr>
            <w:r w:rsidRPr="00746BBB">
              <w:t>4 (5.0)</w:t>
            </w:r>
          </w:p>
        </w:tc>
        <w:tc>
          <w:tcPr>
            <w:tcW w:w="1371" w:type="dxa"/>
            <w:vAlign w:val="center"/>
          </w:tcPr>
          <w:p w14:paraId="0BF4D5D5" w14:textId="77777777" w:rsidR="00AF0E13" w:rsidRPr="00746BBB" w:rsidRDefault="00AF0E13" w:rsidP="00C91BC7">
            <w:pPr>
              <w:pStyle w:val="TableText"/>
              <w:keepLines/>
              <w:widowControl w:val="0"/>
              <w:jc w:val="center"/>
            </w:pPr>
            <w:r w:rsidRPr="00746BBB">
              <w:t>8 (19.5)</w:t>
            </w:r>
          </w:p>
        </w:tc>
        <w:tc>
          <w:tcPr>
            <w:tcW w:w="1372" w:type="dxa"/>
            <w:vAlign w:val="center"/>
          </w:tcPr>
          <w:p w14:paraId="4ABC0D1E" w14:textId="77777777" w:rsidR="00AF0E13" w:rsidRPr="00746BBB" w:rsidRDefault="00AF0E13" w:rsidP="00C91BC7">
            <w:pPr>
              <w:pStyle w:val="TableText"/>
              <w:keepLines/>
              <w:widowControl w:val="0"/>
              <w:jc w:val="center"/>
            </w:pPr>
            <w:r w:rsidRPr="00746BBB">
              <w:t>4 (10.3)</w:t>
            </w:r>
          </w:p>
        </w:tc>
        <w:tc>
          <w:tcPr>
            <w:tcW w:w="1400" w:type="dxa"/>
            <w:vAlign w:val="center"/>
          </w:tcPr>
          <w:p w14:paraId="2B500F57" w14:textId="77777777" w:rsidR="00AF0E13" w:rsidRPr="00746BBB" w:rsidRDefault="00AF0E13" w:rsidP="00C91BC7">
            <w:pPr>
              <w:pStyle w:val="TableText"/>
              <w:keepLines/>
              <w:widowControl w:val="0"/>
              <w:jc w:val="center"/>
            </w:pPr>
            <w:r w:rsidRPr="00746BBB">
              <w:t>18 (23.4)</w:t>
            </w:r>
          </w:p>
        </w:tc>
      </w:tr>
      <w:tr w:rsidR="00AF0E13" w:rsidRPr="00746BBB" w14:paraId="4DD635CD" w14:textId="77777777" w:rsidTr="003F456B">
        <w:tc>
          <w:tcPr>
            <w:tcW w:w="9038" w:type="dxa"/>
            <w:gridSpan w:val="5"/>
            <w:vAlign w:val="center"/>
          </w:tcPr>
          <w:p w14:paraId="1900C6C5" w14:textId="77777777" w:rsidR="00AF0E13" w:rsidRPr="00746BBB" w:rsidRDefault="00AF0E13" w:rsidP="00C91BC7">
            <w:pPr>
              <w:pStyle w:val="TableText"/>
              <w:keepLines/>
              <w:widowControl w:val="0"/>
              <w:rPr>
                <w:b/>
                <w:bCs w:val="0"/>
              </w:rPr>
            </w:pPr>
            <w:r w:rsidRPr="00746BBB">
              <w:rPr>
                <w:b/>
                <w:bCs w:val="0"/>
              </w:rPr>
              <w:t>Adverse events of special interest</w:t>
            </w:r>
          </w:p>
        </w:tc>
      </w:tr>
      <w:tr w:rsidR="00AF0E13" w:rsidRPr="00746BBB" w14:paraId="0924A6C0" w14:textId="77777777" w:rsidTr="003F456B">
        <w:tc>
          <w:tcPr>
            <w:tcW w:w="3579" w:type="dxa"/>
            <w:shd w:val="clear" w:color="auto" w:fill="auto"/>
            <w:vAlign w:val="center"/>
          </w:tcPr>
          <w:p w14:paraId="2DDAE931" w14:textId="77777777" w:rsidR="00AF0E13" w:rsidRPr="00746BBB" w:rsidRDefault="00AF0E13" w:rsidP="00C91BC7">
            <w:pPr>
              <w:pStyle w:val="TableText"/>
              <w:keepLines/>
              <w:widowControl w:val="0"/>
            </w:pPr>
            <w:r w:rsidRPr="00746BBB">
              <w:t>Injection site reactions, n (%)</w:t>
            </w:r>
          </w:p>
        </w:tc>
        <w:tc>
          <w:tcPr>
            <w:tcW w:w="1316" w:type="dxa"/>
          </w:tcPr>
          <w:p w14:paraId="4230CFF9" w14:textId="77777777" w:rsidR="00AF0E13" w:rsidRPr="00746BBB" w:rsidRDefault="00AF0E13" w:rsidP="00C91BC7">
            <w:pPr>
              <w:pStyle w:val="TableText"/>
              <w:keepLines/>
              <w:widowControl w:val="0"/>
              <w:jc w:val="center"/>
            </w:pPr>
            <w:r w:rsidRPr="00746BBB">
              <w:t>47 (58.8)</w:t>
            </w:r>
          </w:p>
        </w:tc>
        <w:tc>
          <w:tcPr>
            <w:tcW w:w="1371" w:type="dxa"/>
          </w:tcPr>
          <w:p w14:paraId="65A74EC2" w14:textId="77777777" w:rsidR="00AF0E13" w:rsidRPr="00746BBB" w:rsidRDefault="00AF0E13" w:rsidP="00C91BC7">
            <w:pPr>
              <w:pStyle w:val="TableText"/>
              <w:keepLines/>
              <w:widowControl w:val="0"/>
              <w:jc w:val="center"/>
            </w:pPr>
            <w:r w:rsidRPr="00746BBB">
              <w:t>15 (36.6)</w:t>
            </w:r>
          </w:p>
        </w:tc>
        <w:tc>
          <w:tcPr>
            <w:tcW w:w="1372" w:type="dxa"/>
          </w:tcPr>
          <w:p w14:paraId="5E85575E" w14:textId="77777777" w:rsidR="00AF0E13" w:rsidRPr="00746BBB" w:rsidRDefault="00AF0E13" w:rsidP="00C91BC7">
            <w:pPr>
              <w:pStyle w:val="TableText"/>
              <w:keepLines/>
              <w:widowControl w:val="0"/>
              <w:jc w:val="center"/>
            </w:pPr>
            <w:r w:rsidRPr="00746BBB">
              <w:t>1 (2.6)</w:t>
            </w:r>
          </w:p>
        </w:tc>
        <w:tc>
          <w:tcPr>
            <w:tcW w:w="1400" w:type="dxa"/>
          </w:tcPr>
          <w:p w14:paraId="3C75AAC2" w14:textId="77777777" w:rsidR="00AF0E13" w:rsidRPr="00746BBB" w:rsidRDefault="00AF0E13" w:rsidP="00C91BC7">
            <w:pPr>
              <w:pStyle w:val="TableText"/>
              <w:keepLines/>
              <w:widowControl w:val="0"/>
              <w:jc w:val="center"/>
            </w:pPr>
            <w:r w:rsidRPr="00746BBB">
              <w:t>20 (26.0)</w:t>
            </w:r>
          </w:p>
        </w:tc>
      </w:tr>
      <w:tr w:rsidR="00AF0E13" w:rsidRPr="00746BBB" w14:paraId="6AEF0E8E" w14:textId="77777777" w:rsidTr="003F456B">
        <w:tc>
          <w:tcPr>
            <w:tcW w:w="3579" w:type="dxa"/>
            <w:shd w:val="clear" w:color="auto" w:fill="auto"/>
          </w:tcPr>
          <w:p w14:paraId="5E1DD828" w14:textId="77777777" w:rsidR="00AF0E13" w:rsidRPr="00746BBB" w:rsidRDefault="00AF0E13" w:rsidP="00C91BC7">
            <w:pPr>
              <w:pStyle w:val="TableText"/>
              <w:keepLines/>
              <w:widowControl w:val="0"/>
            </w:pPr>
            <w:r w:rsidRPr="00746BBB">
              <w:t>Haemolytic disorders, n (%)</w:t>
            </w:r>
          </w:p>
        </w:tc>
        <w:tc>
          <w:tcPr>
            <w:tcW w:w="1316" w:type="dxa"/>
          </w:tcPr>
          <w:p w14:paraId="39FA7084" w14:textId="77777777" w:rsidR="00AF0E13" w:rsidRPr="00746BBB" w:rsidRDefault="00AF0E13" w:rsidP="00C91BC7">
            <w:pPr>
              <w:pStyle w:val="TableText"/>
              <w:keepLines/>
              <w:widowControl w:val="0"/>
              <w:jc w:val="center"/>
            </w:pPr>
            <w:r w:rsidRPr="00746BBB">
              <w:t>1 (1.3)</w:t>
            </w:r>
          </w:p>
        </w:tc>
        <w:tc>
          <w:tcPr>
            <w:tcW w:w="1371" w:type="dxa"/>
          </w:tcPr>
          <w:p w14:paraId="57BB46B4" w14:textId="77777777" w:rsidR="00AF0E13" w:rsidRPr="00746BBB" w:rsidRDefault="00AF0E13" w:rsidP="00C91BC7">
            <w:pPr>
              <w:pStyle w:val="TableText"/>
              <w:keepLines/>
              <w:widowControl w:val="0"/>
              <w:jc w:val="center"/>
            </w:pPr>
            <w:r w:rsidRPr="00746BBB">
              <w:t>5 (12.2)</w:t>
            </w:r>
          </w:p>
        </w:tc>
        <w:tc>
          <w:tcPr>
            <w:tcW w:w="1372" w:type="dxa"/>
          </w:tcPr>
          <w:p w14:paraId="46943D8F" w14:textId="77777777" w:rsidR="00AF0E13" w:rsidRPr="00746BBB" w:rsidRDefault="00AF0E13" w:rsidP="00C91BC7">
            <w:pPr>
              <w:pStyle w:val="TableText"/>
              <w:keepLines/>
              <w:widowControl w:val="0"/>
              <w:jc w:val="center"/>
            </w:pPr>
            <w:r w:rsidRPr="00746BBB">
              <w:t>14 (35.9)</w:t>
            </w:r>
          </w:p>
        </w:tc>
        <w:tc>
          <w:tcPr>
            <w:tcW w:w="1400" w:type="dxa"/>
          </w:tcPr>
          <w:p w14:paraId="400A6C71" w14:textId="77777777" w:rsidR="00AF0E13" w:rsidRPr="00746BBB" w:rsidRDefault="00AF0E13" w:rsidP="00C91BC7">
            <w:pPr>
              <w:pStyle w:val="TableText"/>
              <w:keepLines/>
              <w:widowControl w:val="0"/>
              <w:jc w:val="center"/>
            </w:pPr>
            <w:r w:rsidRPr="00746BBB">
              <w:t>18 (23.4)</w:t>
            </w:r>
          </w:p>
        </w:tc>
      </w:tr>
      <w:tr w:rsidR="00AF0E13" w:rsidRPr="00746BBB" w14:paraId="094027E7" w14:textId="77777777" w:rsidTr="003F456B">
        <w:tc>
          <w:tcPr>
            <w:tcW w:w="3579" w:type="dxa"/>
            <w:shd w:val="clear" w:color="auto" w:fill="auto"/>
          </w:tcPr>
          <w:p w14:paraId="700E3FD0" w14:textId="77777777" w:rsidR="00AF0E13" w:rsidRPr="00746BBB" w:rsidRDefault="00AF0E13" w:rsidP="00C91BC7">
            <w:pPr>
              <w:pStyle w:val="TableText"/>
              <w:keepLines/>
              <w:widowControl w:val="0"/>
            </w:pPr>
            <w:r w:rsidRPr="00746BBB">
              <w:t>Hypersensitivity, n (%)</w:t>
            </w:r>
          </w:p>
        </w:tc>
        <w:tc>
          <w:tcPr>
            <w:tcW w:w="1316" w:type="dxa"/>
          </w:tcPr>
          <w:p w14:paraId="6DB313DC" w14:textId="77777777" w:rsidR="00AF0E13" w:rsidRPr="00746BBB" w:rsidRDefault="00AF0E13" w:rsidP="00C91BC7">
            <w:pPr>
              <w:pStyle w:val="TableText"/>
              <w:keepLines/>
              <w:widowControl w:val="0"/>
              <w:jc w:val="center"/>
            </w:pPr>
            <w:r w:rsidRPr="00746BBB">
              <w:t>15 (18.8)</w:t>
            </w:r>
          </w:p>
        </w:tc>
        <w:tc>
          <w:tcPr>
            <w:tcW w:w="1371" w:type="dxa"/>
          </w:tcPr>
          <w:p w14:paraId="0A0DBE29" w14:textId="77777777" w:rsidR="00AF0E13" w:rsidRPr="00746BBB" w:rsidRDefault="00AF0E13" w:rsidP="00C91BC7">
            <w:pPr>
              <w:pStyle w:val="TableText"/>
              <w:keepLines/>
              <w:widowControl w:val="0"/>
              <w:jc w:val="center"/>
            </w:pPr>
            <w:r w:rsidRPr="00746BBB">
              <w:t>5 (12.2)</w:t>
            </w:r>
          </w:p>
        </w:tc>
        <w:tc>
          <w:tcPr>
            <w:tcW w:w="1372" w:type="dxa"/>
          </w:tcPr>
          <w:p w14:paraId="4C44D946" w14:textId="77777777" w:rsidR="00AF0E13" w:rsidRPr="00746BBB" w:rsidRDefault="00AF0E13" w:rsidP="00C91BC7">
            <w:pPr>
              <w:pStyle w:val="TableText"/>
              <w:keepLines/>
              <w:widowControl w:val="0"/>
              <w:jc w:val="center"/>
            </w:pPr>
            <w:r w:rsidRPr="00746BBB">
              <w:t>2 (5.1)</w:t>
            </w:r>
          </w:p>
        </w:tc>
        <w:tc>
          <w:tcPr>
            <w:tcW w:w="1400" w:type="dxa"/>
          </w:tcPr>
          <w:p w14:paraId="08503CFB" w14:textId="77777777" w:rsidR="00AF0E13" w:rsidRPr="00746BBB" w:rsidRDefault="00AF0E13" w:rsidP="00C91BC7">
            <w:pPr>
              <w:pStyle w:val="TableText"/>
              <w:keepLines/>
              <w:widowControl w:val="0"/>
              <w:jc w:val="center"/>
            </w:pPr>
            <w:r w:rsidRPr="00746BBB">
              <w:t>14 (18.2)</w:t>
            </w:r>
          </w:p>
        </w:tc>
      </w:tr>
      <w:tr w:rsidR="00AF0E13" w:rsidRPr="00746BBB" w14:paraId="5BA10C1F" w14:textId="77777777" w:rsidTr="006074FB">
        <w:trPr>
          <w:trHeight w:val="60"/>
        </w:trPr>
        <w:tc>
          <w:tcPr>
            <w:tcW w:w="3579" w:type="dxa"/>
            <w:shd w:val="clear" w:color="auto" w:fill="auto"/>
          </w:tcPr>
          <w:p w14:paraId="7D477DAA" w14:textId="77777777" w:rsidR="00AF0E13" w:rsidRPr="00746BBB" w:rsidRDefault="00AF0E13" w:rsidP="00C91BC7">
            <w:pPr>
              <w:pStyle w:val="TableText"/>
              <w:keepLines/>
              <w:widowControl w:val="0"/>
            </w:pPr>
            <w:r w:rsidRPr="00746BBB">
              <w:t>Infections, n (%)</w:t>
            </w:r>
          </w:p>
        </w:tc>
        <w:tc>
          <w:tcPr>
            <w:tcW w:w="1316" w:type="dxa"/>
          </w:tcPr>
          <w:p w14:paraId="3AACDE2A" w14:textId="77777777" w:rsidR="00AF0E13" w:rsidRPr="00746BBB" w:rsidRDefault="00AF0E13" w:rsidP="00C91BC7">
            <w:pPr>
              <w:pStyle w:val="TableText"/>
              <w:keepLines/>
              <w:widowControl w:val="0"/>
              <w:jc w:val="center"/>
            </w:pPr>
            <w:r w:rsidRPr="00746BBB">
              <w:t>12 (15.0)</w:t>
            </w:r>
          </w:p>
        </w:tc>
        <w:tc>
          <w:tcPr>
            <w:tcW w:w="1371" w:type="dxa"/>
          </w:tcPr>
          <w:p w14:paraId="14D3D165" w14:textId="77777777" w:rsidR="00AF0E13" w:rsidRPr="00746BBB" w:rsidRDefault="00AF0E13" w:rsidP="00C91BC7">
            <w:pPr>
              <w:pStyle w:val="TableText"/>
              <w:keepLines/>
              <w:widowControl w:val="0"/>
              <w:jc w:val="center"/>
            </w:pPr>
            <w:r w:rsidRPr="00746BBB">
              <w:t>12 (29.3)</w:t>
            </w:r>
          </w:p>
        </w:tc>
        <w:tc>
          <w:tcPr>
            <w:tcW w:w="1372" w:type="dxa"/>
          </w:tcPr>
          <w:p w14:paraId="1D14C4E5" w14:textId="77777777" w:rsidR="00AF0E13" w:rsidRPr="00746BBB" w:rsidRDefault="00AF0E13" w:rsidP="00C91BC7">
            <w:pPr>
              <w:pStyle w:val="TableText"/>
              <w:keepLines/>
              <w:widowControl w:val="0"/>
              <w:jc w:val="center"/>
            </w:pPr>
            <w:r w:rsidRPr="00746BBB">
              <w:t>11 (28.2)</w:t>
            </w:r>
          </w:p>
        </w:tc>
        <w:tc>
          <w:tcPr>
            <w:tcW w:w="1400" w:type="dxa"/>
          </w:tcPr>
          <w:p w14:paraId="40D23752" w14:textId="77777777" w:rsidR="00AF0E13" w:rsidRPr="00746BBB" w:rsidRDefault="00AF0E13" w:rsidP="00C91BC7">
            <w:pPr>
              <w:pStyle w:val="TableText"/>
              <w:keepLines/>
              <w:widowControl w:val="0"/>
              <w:jc w:val="center"/>
            </w:pPr>
            <w:r w:rsidRPr="00746BBB">
              <w:t>43 (55.8)</w:t>
            </w:r>
          </w:p>
        </w:tc>
      </w:tr>
      <w:tr w:rsidR="00AF0E13" w:rsidRPr="00746BBB" w14:paraId="7C116FD0" w14:textId="77777777" w:rsidTr="003F456B">
        <w:tc>
          <w:tcPr>
            <w:tcW w:w="3579" w:type="dxa"/>
            <w:shd w:val="clear" w:color="auto" w:fill="auto"/>
          </w:tcPr>
          <w:p w14:paraId="4C5AD81A" w14:textId="77777777" w:rsidR="00AF0E13" w:rsidRPr="00746BBB" w:rsidRDefault="00AF0E13" w:rsidP="00C91BC7">
            <w:pPr>
              <w:pStyle w:val="TableText"/>
              <w:keepLines/>
              <w:widowControl w:val="0"/>
            </w:pPr>
            <w:r w:rsidRPr="00746BBB">
              <w:t>Sepsis, n (%)</w:t>
            </w:r>
          </w:p>
        </w:tc>
        <w:tc>
          <w:tcPr>
            <w:tcW w:w="1316" w:type="dxa"/>
          </w:tcPr>
          <w:p w14:paraId="54214B4A" w14:textId="77777777" w:rsidR="00AF0E13" w:rsidRPr="00746BBB" w:rsidRDefault="00AF0E13" w:rsidP="00C91BC7">
            <w:pPr>
              <w:pStyle w:val="TableText"/>
              <w:keepLines/>
              <w:widowControl w:val="0"/>
              <w:jc w:val="center"/>
            </w:pPr>
            <w:r w:rsidRPr="00746BBB">
              <w:t>2 (2.5)</w:t>
            </w:r>
          </w:p>
        </w:tc>
        <w:tc>
          <w:tcPr>
            <w:tcW w:w="1371" w:type="dxa"/>
          </w:tcPr>
          <w:p w14:paraId="1C523AAA" w14:textId="77777777" w:rsidR="00AF0E13" w:rsidRPr="00746BBB" w:rsidRDefault="00AF0E13" w:rsidP="00C91BC7">
            <w:pPr>
              <w:pStyle w:val="TableText"/>
              <w:keepLines/>
              <w:widowControl w:val="0"/>
              <w:jc w:val="center"/>
            </w:pPr>
            <w:r w:rsidRPr="00746BBB">
              <w:t>0</w:t>
            </w:r>
          </w:p>
        </w:tc>
        <w:tc>
          <w:tcPr>
            <w:tcW w:w="1372" w:type="dxa"/>
          </w:tcPr>
          <w:p w14:paraId="19A14B00" w14:textId="77777777" w:rsidR="00AF0E13" w:rsidRPr="00746BBB" w:rsidRDefault="00AF0E13" w:rsidP="00C91BC7">
            <w:pPr>
              <w:pStyle w:val="TableText"/>
              <w:keepLines/>
              <w:widowControl w:val="0"/>
              <w:jc w:val="center"/>
            </w:pPr>
            <w:r w:rsidRPr="00746BBB">
              <w:t>0</w:t>
            </w:r>
          </w:p>
        </w:tc>
        <w:tc>
          <w:tcPr>
            <w:tcW w:w="1400" w:type="dxa"/>
          </w:tcPr>
          <w:p w14:paraId="5BC6FE2A" w14:textId="77777777" w:rsidR="00AF0E13" w:rsidRPr="00746BBB" w:rsidRDefault="00AF0E13" w:rsidP="00C91BC7">
            <w:pPr>
              <w:pStyle w:val="TableText"/>
              <w:keepLines/>
              <w:widowControl w:val="0"/>
              <w:jc w:val="center"/>
            </w:pPr>
            <w:r w:rsidRPr="00746BBB">
              <w:t>3 (3.9)</w:t>
            </w:r>
          </w:p>
        </w:tc>
      </w:tr>
      <w:tr w:rsidR="00AF0E13" w:rsidRPr="00746BBB" w14:paraId="5143EEC9" w14:textId="77777777" w:rsidTr="003F456B">
        <w:tc>
          <w:tcPr>
            <w:tcW w:w="3579" w:type="dxa"/>
            <w:shd w:val="clear" w:color="auto" w:fill="auto"/>
          </w:tcPr>
          <w:p w14:paraId="43FB879B" w14:textId="77777777" w:rsidR="00AF0E13" w:rsidRPr="00746BBB" w:rsidRDefault="00AF0E13" w:rsidP="00C91BC7">
            <w:pPr>
              <w:pStyle w:val="TableText"/>
              <w:keepLines/>
              <w:widowControl w:val="0"/>
            </w:pPr>
            <w:r w:rsidRPr="00746BBB">
              <w:t>Thrombosis, n (%)</w:t>
            </w:r>
          </w:p>
        </w:tc>
        <w:tc>
          <w:tcPr>
            <w:tcW w:w="1316" w:type="dxa"/>
          </w:tcPr>
          <w:p w14:paraId="238E27B1" w14:textId="77777777" w:rsidR="00AF0E13" w:rsidRPr="00746BBB" w:rsidRDefault="00AF0E13" w:rsidP="00C91BC7">
            <w:pPr>
              <w:pStyle w:val="TableText"/>
              <w:keepLines/>
              <w:widowControl w:val="0"/>
              <w:jc w:val="center"/>
            </w:pPr>
            <w:r w:rsidRPr="00746BBB">
              <w:t>0</w:t>
            </w:r>
          </w:p>
        </w:tc>
        <w:tc>
          <w:tcPr>
            <w:tcW w:w="1371" w:type="dxa"/>
          </w:tcPr>
          <w:p w14:paraId="1F9577BC" w14:textId="77777777" w:rsidR="00AF0E13" w:rsidRPr="00746BBB" w:rsidRDefault="00AF0E13" w:rsidP="00C91BC7">
            <w:pPr>
              <w:pStyle w:val="TableText"/>
              <w:keepLines/>
              <w:widowControl w:val="0"/>
              <w:jc w:val="center"/>
            </w:pPr>
            <w:r w:rsidRPr="00746BBB">
              <w:t>0</w:t>
            </w:r>
          </w:p>
        </w:tc>
        <w:tc>
          <w:tcPr>
            <w:tcW w:w="1372" w:type="dxa"/>
          </w:tcPr>
          <w:p w14:paraId="441F373F" w14:textId="77777777" w:rsidR="00AF0E13" w:rsidRPr="00746BBB" w:rsidRDefault="00AF0E13" w:rsidP="00C91BC7">
            <w:pPr>
              <w:pStyle w:val="TableText"/>
              <w:keepLines/>
              <w:widowControl w:val="0"/>
              <w:jc w:val="center"/>
            </w:pPr>
            <w:r w:rsidRPr="00746BBB">
              <w:t>0</w:t>
            </w:r>
          </w:p>
        </w:tc>
        <w:tc>
          <w:tcPr>
            <w:tcW w:w="1400" w:type="dxa"/>
          </w:tcPr>
          <w:p w14:paraId="7C973E74" w14:textId="77777777" w:rsidR="00AF0E13" w:rsidRPr="00746BBB" w:rsidRDefault="00AF0E13" w:rsidP="00C91BC7">
            <w:pPr>
              <w:pStyle w:val="TableText"/>
              <w:keepLines/>
              <w:widowControl w:val="0"/>
              <w:jc w:val="center"/>
            </w:pPr>
            <w:r w:rsidRPr="00746BBB">
              <w:t>2 (2.6)</w:t>
            </w:r>
          </w:p>
        </w:tc>
      </w:tr>
    </w:tbl>
    <w:p w14:paraId="362C7E98" w14:textId="77777777" w:rsidR="00AF0E13" w:rsidRPr="00746BBB" w:rsidRDefault="00AF0E13" w:rsidP="00C91BC7">
      <w:pPr>
        <w:pStyle w:val="TableFigureFooter"/>
        <w:keepNext/>
        <w:keepLines/>
      </w:pPr>
      <w:r w:rsidRPr="00746BBB">
        <w:t>Source: Table 38, p 177; Table 43, p 194; Table 50, p 220; Table 14.3.1.1.4, p1879 of the PEGASUS Week 48 trial report</w:t>
      </w:r>
    </w:p>
    <w:p w14:paraId="6401646F" w14:textId="77777777" w:rsidR="00AF0E13" w:rsidRPr="00746BBB" w:rsidRDefault="00AF0E13" w:rsidP="00C91BC7">
      <w:pPr>
        <w:pStyle w:val="TableFigureFooter"/>
        <w:keepNext/>
        <w:keepLines/>
      </w:pPr>
      <w:r w:rsidRPr="00746BBB">
        <w:t>Abbreviation: AE, adverse events; SAE, serious adverse events</w:t>
      </w:r>
    </w:p>
    <w:p w14:paraId="14AD1C04" w14:textId="517771EC" w:rsidR="00AF0E13" w:rsidRDefault="00AF0E13" w:rsidP="00C91BC7">
      <w:pPr>
        <w:pStyle w:val="TableFigureFooter"/>
        <w:keepNext/>
        <w:keepLines/>
      </w:pPr>
      <w:proofErr w:type="spellStart"/>
      <w:r w:rsidRPr="00746BBB">
        <w:rPr>
          <w:vertAlign w:val="superscript"/>
        </w:rPr>
        <w:t>a</w:t>
      </w:r>
      <w:proofErr w:type="spellEnd"/>
      <w:r w:rsidRPr="00746BBB">
        <w:t xml:space="preserve"> </w:t>
      </w:r>
      <w:proofErr w:type="gramStart"/>
      <w:r w:rsidRPr="00746BBB">
        <w:t>The</w:t>
      </w:r>
      <w:proofErr w:type="gramEnd"/>
      <w:r w:rsidRPr="00746BBB">
        <w:t xml:space="preserve"> run-in column includes adverse events during the first and second run-in periods</w:t>
      </w:r>
    </w:p>
    <w:p w14:paraId="0388A401" w14:textId="1E5BB450" w:rsidR="00536090" w:rsidRDefault="00536090" w:rsidP="000C453B">
      <w:pPr>
        <w:pStyle w:val="ExecSumBodyText"/>
        <w:spacing w:after="160"/>
      </w:pPr>
      <w:r>
        <w:t>The most frequently reported adverse events during the first and second run-in periods (</w:t>
      </w:r>
      <w:proofErr w:type="spellStart"/>
      <w:r>
        <w:t>pegcetacoplan</w:t>
      </w:r>
      <w:proofErr w:type="spellEnd"/>
      <w:r>
        <w:t xml:space="preserve"> and eculizumab co-administration) were </w:t>
      </w:r>
      <w:r w:rsidR="00583B86" w:rsidRPr="00746BBB">
        <w:t>injection site erythema (41.3%), injection site pruritus (15.0%), diarrhoea (12.5%), headache (12.5%), injection site swelling (12.5%) and injection site reaction (10.0%)</w:t>
      </w:r>
      <w:r>
        <w:t>. Four patients</w:t>
      </w:r>
      <w:r w:rsidR="00583B86">
        <w:t xml:space="preserve"> (5.0%)</w:t>
      </w:r>
      <w:r>
        <w:t xml:space="preserve"> experienced serious adverse events of haemolysis, sepsis and naso</w:t>
      </w:r>
      <w:r w:rsidR="002E5A1D">
        <w:t xml:space="preserve">pharyngitis. </w:t>
      </w:r>
    </w:p>
    <w:p w14:paraId="41BE3E90" w14:textId="4E176DEB" w:rsidR="00AF0E13" w:rsidRDefault="00A176BC" w:rsidP="000C453B">
      <w:pPr>
        <w:pStyle w:val="ExecSumBodyText"/>
        <w:spacing w:after="160"/>
      </w:pPr>
      <w:r>
        <w:lastRenderedPageBreak/>
        <w:t xml:space="preserve">Comparted to eculizumab, </w:t>
      </w:r>
      <w:proofErr w:type="spellStart"/>
      <w:r>
        <w:t>pegcetacoplan</w:t>
      </w:r>
      <w:proofErr w:type="spellEnd"/>
      <w:r>
        <w:t xml:space="preserve"> was more frequently associated with injection site reactions</w:t>
      </w:r>
      <w:r w:rsidR="00F2137D">
        <w:t xml:space="preserve">, </w:t>
      </w:r>
      <w:proofErr w:type="gramStart"/>
      <w:r w:rsidR="00F2137D">
        <w:t>diarrhoea</w:t>
      </w:r>
      <w:proofErr w:type="gramEnd"/>
      <w:r w:rsidR="00F2137D">
        <w:t xml:space="preserve"> </w:t>
      </w:r>
      <w:r w:rsidR="005F7492">
        <w:t xml:space="preserve">and hypersensitivity events. </w:t>
      </w:r>
      <w:r w:rsidR="00536090" w:rsidRPr="00536090">
        <w:t xml:space="preserve">Seven patients (17.1%) in the </w:t>
      </w:r>
      <w:proofErr w:type="spellStart"/>
      <w:r w:rsidR="00536090" w:rsidRPr="00536090">
        <w:t>pegcetacoplan</w:t>
      </w:r>
      <w:proofErr w:type="spellEnd"/>
      <w:r w:rsidR="00536090" w:rsidRPr="00536090">
        <w:t xml:space="preserve"> arm experienced serious adverse events of haemolysis, infections (gastroenteritis, bacterial), dyspnoea, atrial fibrillation, </w:t>
      </w:r>
      <w:proofErr w:type="gramStart"/>
      <w:r w:rsidR="00536090" w:rsidRPr="00536090">
        <w:t>pyrexia</w:t>
      </w:r>
      <w:proofErr w:type="gramEnd"/>
      <w:r w:rsidR="00536090" w:rsidRPr="00536090">
        <w:t xml:space="preserve"> and facial paralysis. One patient experiencing haemolysis in the </w:t>
      </w:r>
      <w:proofErr w:type="spellStart"/>
      <w:r w:rsidR="00536090" w:rsidRPr="00536090">
        <w:t>pegcetacoplan</w:t>
      </w:r>
      <w:proofErr w:type="spellEnd"/>
      <w:r w:rsidR="00536090" w:rsidRPr="00536090">
        <w:t xml:space="preserve"> arm withdrew from the study. For the eculizumab group, 5 patients (12.8%) experienced serious adverse events of haemolysis, haemolytic anaemia, anaemia, abdominal pain, </w:t>
      </w:r>
      <w:proofErr w:type="gramStart"/>
      <w:r w:rsidR="00536090" w:rsidRPr="00536090">
        <w:t>hyperthermia</w:t>
      </w:r>
      <w:proofErr w:type="gramEnd"/>
      <w:r w:rsidR="00536090" w:rsidRPr="00536090">
        <w:t xml:space="preserve"> and hepatobiliary disorders.</w:t>
      </w:r>
      <w:r w:rsidR="00BE7260">
        <w:t xml:space="preserve"> In terms of injection site reactions, the pre-PBAC response stated that such adverse events primarily occurred during the initiation phase and subsided over time. The pre-PBAC response argued that injection site reactions reported were mild or moderate in nature and none led to study discontinuation. </w:t>
      </w:r>
    </w:p>
    <w:p w14:paraId="4D8570A2" w14:textId="77777777" w:rsidR="00536090" w:rsidRDefault="00536090" w:rsidP="000C453B">
      <w:pPr>
        <w:pStyle w:val="ExecSumBodyText"/>
        <w:spacing w:after="160"/>
      </w:pPr>
      <w:r>
        <w:t>During the randomised period,</w:t>
      </w:r>
      <w:r w:rsidRPr="00536090">
        <w:t xml:space="preserve"> </w:t>
      </w:r>
      <w:r>
        <w:t>3</w:t>
      </w:r>
      <w:r w:rsidRPr="00536090">
        <w:t xml:space="preserve"> patients (7.3%) discontinued from the </w:t>
      </w:r>
      <w:proofErr w:type="spellStart"/>
      <w:r w:rsidRPr="00536090">
        <w:t>pegcetacoplan</w:t>
      </w:r>
      <w:proofErr w:type="spellEnd"/>
      <w:r w:rsidRPr="00536090">
        <w:t xml:space="preserve"> group because of haemolysis (2 were of moderate severity but deemed related to </w:t>
      </w:r>
      <w:proofErr w:type="spellStart"/>
      <w:r w:rsidRPr="00536090">
        <w:t>pegcetacoplan</w:t>
      </w:r>
      <w:proofErr w:type="spellEnd"/>
      <w:r w:rsidRPr="00536090">
        <w:t xml:space="preserve">, 1 was a serious adverse event that was deemed unrelated to </w:t>
      </w:r>
      <w:proofErr w:type="spellStart"/>
      <w:r w:rsidRPr="00536090">
        <w:t>pegcetacoplan</w:t>
      </w:r>
      <w:proofErr w:type="spellEnd"/>
      <w:r w:rsidRPr="00536090">
        <w:t xml:space="preserve">). No patients in the eculizumab arm discontinued prematurely. </w:t>
      </w:r>
    </w:p>
    <w:p w14:paraId="0CDB21C7" w14:textId="2282EFFC" w:rsidR="00536090" w:rsidRDefault="00606B0B" w:rsidP="000C453B">
      <w:pPr>
        <w:pStyle w:val="ExecSumBodyText"/>
        <w:spacing w:after="160"/>
      </w:pPr>
      <w:r>
        <w:t xml:space="preserve">Eighteen patients </w:t>
      </w:r>
      <w:r w:rsidRPr="00606B0B">
        <w:t xml:space="preserve">experienced a serious adverse event </w:t>
      </w:r>
      <w:r>
        <w:t xml:space="preserve">including </w:t>
      </w:r>
      <w:r w:rsidRPr="00606B0B">
        <w:t>blood and lymphatic system disorders (haemolysis, cytopenia, haemolytic anaemia, thrombocytopaenia), infections and gastrointestinal disorders. One patient had an adverse event of COVID-19 that led to death.</w:t>
      </w:r>
    </w:p>
    <w:p w14:paraId="40270AD5" w14:textId="7F065CEC" w:rsidR="00606B0B" w:rsidRDefault="00606B0B" w:rsidP="000C453B">
      <w:pPr>
        <w:pStyle w:val="ExecSumBodyText"/>
        <w:spacing w:after="160"/>
      </w:pPr>
      <w:r w:rsidRPr="00606B0B">
        <w:t xml:space="preserve">The reporting of adverse events during the open label period was not stratified by the continue </w:t>
      </w:r>
      <w:proofErr w:type="spellStart"/>
      <w:r w:rsidRPr="00606B0B">
        <w:t>pegcetacoplan</w:t>
      </w:r>
      <w:proofErr w:type="spellEnd"/>
      <w:r w:rsidRPr="00606B0B">
        <w:t xml:space="preserve"> and crossover to </w:t>
      </w:r>
      <w:proofErr w:type="spellStart"/>
      <w:r w:rsidRPr="00606B0B">
        <w:t>pegcetacoplan</w:t>
      </w:r>
      <w:proofErr w:type="spellEnd"/>
      <w:r w:rsidRPr="00606B0B">
        <w:t xml:space="preserve"> groups, however, an analysis of exposure-adjusted incidence of adverse events suggests a higher frequency of adverse events in the crossover group compared to the continue group (175.9 vs 143.3 events per 100 person-years).</w:t>
      </w:r>
    </w:p>
    <w:p w14:paraId="25C9EF40" w14:textId="0865C4DB" w:rsidR="00606B0B" w:rsidRDefault="00BD407E" w:rsidP="000C453B">
      <w:pPr>
        <w:pStyle w:val="ExecSumBodyText"/>
        <w:spacing w:after="160"/>
      </w:pPr>
      <w:r w:rsidRPr="00BD407E">
        <w:t xml:space="preserve">During the open label period, 9 patients (11.7%) discontinued because of haemolysis, bone marrow failure, haemolytic anaemia, acute myeloid leukaemia, diffuse large B-cell lymphoma, intestinal </w:t>
      </w:r>
      <w:proofErr w:type="spellStart"/>
      <w:r w:rsidRPr="00BD407E">
        <w:t>ischaemia</w:t>
      </w:r>
      <w:proofErr w:type="spellEnd"/>
      <w:r w:rsidRPr="00BD407E">
        <w:t>, COVID-</w:t>
      </w:r>
      <w:proofErr w:type="gramStart"/>
      <w:r w:rsidRPr="00BD407E">
        <w:t>19</w:t>
      </w:r>
      <w:proofErr w:type="gramEnd"/>
      <w:r w:rsidRPr="00BD407E">
        <w:t xml:space="preserve"> and hypersensitivity pneumonitis (6 patients experienced serious adverse events). Of the 9 patients who discontinued, 7 were in the crossover to </w:t>
      </w:r>
      <w:proofErr w:type="spellStart"/>
      <w:r w:rsidRPr="00BD407E">
        <w:t>pegcetacoplan</w:t>
      </w:r>
      <w:proofErr w:type="spellEnd"/>
      <w:r w:rsidRPr="00BD407E">
        <w:t xml:space="preserve"> group and 2 were in the continue </w:t>
      </w:r>
      <w:proofErr w:type="spellStart"/>
      <w:r w:rsidRPr="00BD407E">
        <w:t>pegcetacoplan</w:t>
      </w:r>
      <w:proofErr w:type="spellEnd"/>
      <w:r w:rsidRPr="00BD407E">
        <w:t xml:space="preserve"> group.</w:t>
      </w:r>
    </w:p>
    <w:p w14:paraId="1BB53EBC" w14:textId="77777777" w:rsidR="001A40B9" w:rsidRPr="001A40B9" w:rsidRDefault="00F93094" w:rsidP="000C453B">
      <w:pPr>
        <w:pStyle w:val="ExecSumBodyText"/>
        <w:spacing w:after="160"/>
        <w:rPr>
          <w:i/>
          <w:iCs/>
        </w:rPr>
      </w:pPr>
      <w:r w:rsidRPr="00F93094">
        <w:t xml:space="preserve">The submission claimed that the discontinuations from the </w:t>
      </w:r>
      <w:proofErr w:type="spellStart"/>
      <w:r w:rsidRPr="00F93094">
        <w:t>pegcetacoplan</w:t>
      </w:r>
      <w:proofErr w:type="spellEnd"/>
      <w:r w:rsidRPr="00F93094">
        <w:t xml:space="preserve"> arm because of haemolysis in the trial were not a safety concern, and that overall, there were fewer adverse events of haemolysis in the </w:t>
      </w:r>
      <w:proofErr w:type="spellStart"/>
      <w:r w:rsidRPr="00F93094">
        <w:t>pegcetacoplan</w:t>
      </w:r>
      <w:proofErr w:type="spellEnd"/>
      <w:r w:rsidRPr="00F93094">
        <w:t xml:space="preserve"> arm compared to the eculizumab arm. The submission claimed that patients discontinuing </w:t>
      </w:r>
      <w:proofErr w:type="spellStart"/>
      <w:r w:rsidRPr="00F93094">
        <w:t>pegcetacoplan</w:t>
      </w:r>
      <w:proofErr w:type="spellEnd"/>
      <w:r w:rsidRPr="00F93094">
        <w:t xml:space="preserve"> would return to currently approved PNH therapies such as eculizumab or </w:t>
      </w:r>
      <w:proofErr w:type="spellStart"/>
      <w:r w:rsidRPr="00F93094">
        <w:t>ravulizumab</w:t>
      </w:r>
      <w:proofErr w:type="spellEnd"/>
      <w:r w:rsidRPr="00F93094">
        <w:t xml:space="preserve"> when listed on the PBS.</w:t>
      </w:r>
      <w:r w:rsidR="003F50DB">
        <w:t xml:space="preserve"> </w:t>
      </w:r>
    </w:p>
    <w:p w14:paraId="433DADA5" w14:textId="3B1EE1B4" w:rsidR="00F93094" w:rsidRPr="00A05B02" w:rsidRDefault="003F50DB" w:rsidP="000C453B">
      <w:pPr>
        <w:pStyle w:val="ExecSumBodyText"/>
        <w:spacing w:after="160"/>
      </w:pPr>
      <w:r w:rsidRPr="00A05B02">
        <w:t xml:space="preserve">The severity of breakthrough haemolysis events in the trial was based on a summary of individual patients who experienced breakthrough haemolysis during the randomised controlled period, identified in the supplementary appendix of the </w:t>
      </w:r>
      <w:r w:rsidRPr="00A05B02">
        <w:lastRenderedPageBreak/>
        <w:t xml:space="preserve">PEGASUS trial publication (Hillmen 2021). </w:t>
      </w:r>
      <w:r w:rsidR="00361E7F" w:rsidRPr="00A05B02">
        <w:t xml:space="preserve">There is currently no consensus in the published literature on the safety of </w:t>
      </w:r>
      <w:proofErr w:type="spellStart"/>
      <w:r w:rsidR="00361E7F" w:rsidRPr="00A05B02">
        <w:t>pegcetacoplan</w:t>
      </w:r>
      <w:proofErr w:type="spellEnd"/>
      <w:r w:rsidR="00361E7F" w:rsidRPr="00A05B02">
        <w:t xml:space="preserve"> in terms of haemolysis with some experts suggesting </w:t>
      </w:r>
      <w:r w:rsidR="001A40B9" w:rsidRPr="00A05B02">
        <w:t xml:space="preserve">there is increased risk of severe breakthrough haemolysis while treated with </w:t>
      </w:r>
      <w:proofErr w:type="spellStart"/>
      <w:r w:rsidR="001A40B9" w:rsidRPr="00A05B02">
        <w:t>pegcetacoplan</w:t>
      </w:r>
      <w:proofErr w:type="spellEnd"/>
      <w:r w:rsidR="001A40B9" w:rsidRPr="00A05B02">
        <w:t xml:space="preserve"> that is mechanistically different to breakthrough haemolysis events while treated with C5 inhibitors.</w:t>
      </w:r>
      <w:r w:rsidR="00370957">
        <w:t xml:space="preserve"> </w:t>
      </w:r>
    </w:p>
    <w:p w14:paraId="7E8817B3" w14:textId="44D73622" w:rsidR="00D15242" w:rsidRPr="00A05B02" w:rsidRDefault="00D15242" w:rsidP="000C453B">
      <w:pPr>
        <w:pStyle w:val="ExecSumBodyText"/>
        <w:spacing w:after="160"/>
        <w:rPr>
          <w:iCs/>
        </w:rPr>
      </w:pPr>
      <w:r>
        <w:t xml:space="preserve">The PEGASUS study authors </w:t>
      </w:r>
      <w:r w:rsidR="00D13789" w:rsidRPr="00D13789">
        <w:t>responded to issues regarding the characterisation of breakthrough haemolysis in the trial</w:t>
      </w:r>
      <w:r w:rsidR="00D13789">
        <w:t xml:space="preserve">, </w:t>
      </w:r>
      <w:r w:rsidR="009149AA">
        <w:t>arguing against</w:t>
      </w:r>
      <w:r w:rsidR="00D13789">
        <w:t xml:space="preserve"> the </w:t>
      </w:r>
      <w:r w:rsidR="00E002E3">
        <w:t xml:space="preserve">suggestion that </w:t>
      </w:r>
      <w:r w:rsidR="00E002E3" w:rsidRPr="00E002E3">
        <w:t xml:space="preserve">breakthrough haemolysis during receipt of </w:t>
      </w:r>
      <w:proofErr w:type="spellStart"/>
      <w:r w:rsidR="00E002E3" w:rsidRPr="00E002E3">
        <w:t>pegcetacoplan</w:t>
      </w:r>
      <w:proofErr w:type="spellEnd"/>
      <w:r w:rsidR="00E002E3" w:rsidRPr="00E002E3">
        <w:t xml:space="preserve"> is potentially life-threatening given that 3 of the 4 patients who had breakthrough haemolysis during </w:t>
      </w:r>
      <w:proofErr w:type="spellStart"/>
      <w:r w:rsidR="00E002E3" w:rsidRPr="00E002E3">
        <w:t>pegcetacoplan</w:t>
      </w:r>
      <w:proofErr w:type="spellEnd"/>
      <w:r w:rsidR="00E002E3" w:rsidRPr="00E002E3">
        <w:t xml:space="preserve"> therapy discontinued treatment, and none had major clinical consequences of long-lasting harm. </w:t>
      </w:r>
      <w:r w:rsidR="00E002E3" w:rsidRPr="00A05B02">
        <w:rPr>
          <w:iCs/>
        </w:rPr>
        <w:t>These claims could not be validated during the evaluation.</w:t>
      </w:r>
    </w:p>
    <w:p w14:paraId="1523B438" w14:textId="76642BC5" w:rsidR="00822C02" w:rsidRDefault="009149AA" w:rsidP="000C453B">
      <w:pPr>
        <w:pStyle w:val="ExecSumBodyText"/>
        <w:spacing w:after="160"/>
      </w:pPr>
      <w:r w:rsidRPr="009149AA">
        <w:t xml:space="preserve">In their response, the PEGASUS study authors recommended that patients switching from C5 inhibitors should be monitored closely for signs of breakthrough haemolysis. If breakthrough haemolysis occurs, the following options should be considered: immediate red cell transfusion, </w:t>
      </w:r>
      <w:proofErr w:type="spellStart"/>
      <w:r w:rsidRPr="009149AA">
        <w:t>pegcetacoplan</w:t>
      </w:r>
      <w:proofErr w:type="spellEnd"/>
      <w:r w:rsidRPr="009149AA">
        <w:t xml:space="preserve"> dose adjustment, short-term administration of eculizumab and identification and treatment of complement-amplifying conditions that may underlie the event.</w:t>
      </w:r>
      <w:r w:rsidRPr="009149AA">
        <w:rPr>
          <w:i/>
          <w:iCs/>
        </w:rPr>
        <w:t xml:space="preserve"> </w:t>
      </w:r>
      <w:r w:rsidRPr="00A05B02">
        <w:t>No data were provided in support of these recommendations. No documentation was available regarding the management of breakthrough haemolysis in the trial.</w:t>
      </w:r>
    </w:p>
    <w:p w14:paraId="7BF012EF" w14:textId="2539FBCD" w:rsidR="00831646" w:rsidRPr="00937F6D" w:rsidRDefault="00831646" w:rsidP="00583B86">
      <w:pPr>
        <w:pStyle w:val="ExecSumBodyText"/>
        <w:spacing w:after="160"/>
      </w:pPr>
      <w:r w:rsidRPr="00937F6D">
        <w:t>The ESC reflected on the original safety data from the eculizumab study, TRIUMPH (Hillmen et al, 2006</w:t>
      </w:r>
      <w:r w:rsidR="00583B86" w:rsidRPr="00937F6D">
        <w:rPr>
          <w:rStyle w:val="FootnoteReference"/>
        </w:rPr>
        <w:footnoteReference w:id="2"/>
      </w:r>
      <w:r w:rsidRPr="00937F6D">
        <w:t>), noting th</w:t>
      </w:r>
      <w:r w:rsidR="00583B86" w:rsidRPr="00937F6D">
        <w:t xml:space="preserve">at the most common adverse events reported in the eculizumab group were headache (44%), nasopharyngitis (23%), back pain (19%), and nausea (16%). </w:t>
      </w:r>
    </w:p>
    <w:p w14:paraId="04908C7F" w14:textId="415B9B7D" w:rsidR="007F1017" w:rsidRPr="00746BBB" w:rsidRDefault="007F1017" w:rsidP="00D86231">
      <w:pPr>
        <w:pStyle w:val="3-SubsectionHeading"/>
      </w:pPr>
      <w:bookmarkStart w:id="23" w:name="_Toc22897643"/>
      <w:bookmarkStart w:id="24" w:name="_Toc93497075"/>
      <w:r w:rsidRPr="00746BBB">
        <w:t>Benefits/harms</w:t>
      </w:r>
      <w:bookmarkEnd w:id="23"/>
      <w:bookmarkEnd w:id="24"/>
    </w:p>
    <w:p w14:paraId="2428E721" w14:textId="20C067BF" w:rsidR="007B5BE4" w:rsidRPr="00A05B02" w:rsidRDefault="00734BF5" w:rsidP="000C453B">
      <w:pPr>
        <w:pStyle w:val="ExecSumBodyText"/>
        <w:spacing w:after="160"/>
      </w:pPr>
      <w:r w:rsidRPr="00A05B02">
        <w:rPr>
          <w:snapToGrid/>
          <w:color w:val="000000" w:themeColor="text1"/>
          <w:lang w:val="en-US"/>
        </w:rPr>
        <w:t xml:space="preserve">A benefits/harms summary for the comparison of </w:t>
      </w:r>
      <w:proofErr w:type="spellStart"/>
      <w:r w:rsidRPr="00A05B02">
        <w:rPr>
          <w:snapToGrid/>
          <w:color w:val="000000" w:themeColor="text1"/>
          <w:lang w:val="en-US"/>
        </w:rPr>
        <w:t>pegcetacoplan</w:t>
      </w:r>
      <w:proofErr w:type="spellEnd"/>
      <w:r w:rsidRPr="00A05B02">
        <w:rPr>
          <w:snapToGrid/>
          <w:color w:val="000000" w:themeColor="text1"/>
          <w:lang w:val="en-US"/>
        </w:rPr>
        <w:t xml:space="preserve"> and eculizumab was not presented </w:t>
      </w:r>
      <w:r w:rsidR="007B5BE4" w:rsidRPr="00A05B02">
        <w:rPr>
          <w:snapToGrid/>
          <w:color w:val="000000" w:themeColor="text1"/>
          <w:lang w:val="en-US"/>
        </w:rPr>
        <w:t xml:space="preserve">due to </w:t>
      </w:r>
      <w:r w:rsidR="00893126" w:rsidRPr="00A05B02">
        <w:rPr>
          <w:snapToGrid/>
          <w:color w:val="000000" w:themeColor="text1"/>
          <w:lang w:val="en-US"/>
        </w:rPr>
        <w:t xml:space="preserve">limitations </w:t>
      </w:r>
      <w:r w:rsidR="00CF1829" w:rsidRPr="00A05B02">
        <w:rPr>
          <w:snapToGrid/>
          <w:color w:val="000000" w:themeColor="text1"/>
          <w:lang w:val="en-US"/>
        </w:rPr>
        <w:t>with</w:t>
      </w:r>
      <w:r w:rsidR="00893126" w:rsidRPr="00A05B02">
        <w:rPr>
          <w:snapToGrid/>
          <w:color w:val="000000" w:themeColor="text1"/>
          <w:lang w:val="en-US"/>
        </w:rPr>
        <w:t xml:space="preserve"> the available data. The clinical claim</w:t>
      </w:r>
      <w:r w:rsidR="00ED3043" w:rsidRPr="00A05B02">
        <w:rPr>
          <w:snapToGrid/>
          <w:color w:val="000000" w:themeColor="text1"/>
          <w:lang w:val="en-US"/>
        </w:rPr>
        <w:t>s</w:t>
      </w:r>
      <w:r w:rsidR="00893126" w:rsidRPr="00A05B02">
        <w:rPr>
          <w:snapToGrid/>
          <w:color w:val="000000" w:themeColor="text1"/>
          <w:lang w:val="en-US"/>
        </w:rPr>
        <w:t xml:space="preserve"> </w:t>
      </w:r>
      <w:r w:rsidR="00ED3043" w:rsidRPr="00A05B02">
        <w:rPr>
          <w:snapToGrid/>
          <w:color w:val="000000" w:themeColor="text1"/>
          <w:lang w:val="en-US"/>
        </w:rPr>
        <w:t xml:space="preserve">of superior </w:t>
      </w:r>
      <w:r w:rsidR="00A530D6" w:rsidRPr="00A05B02">
        <w:rPr>
          <w:snapToGrid/>
          <w:color w:val="000000" w:themeColor="text1"/>
          <w:lang w:val="en-US"/>
        </w:rPr>
        <w:t xml:space="preserve">improvements in </w:t>
      </w:r>
      <w:proofErr w:type="spellStart"/>
      <w:r w:rsidR="00A530D6" w:rsidRPr="00A05B02">
        <w:rPr>
          <w:snapToGrid/>
          <w:color w:val="000000" w:themeColor="text1"/>
          <w:lang w:val="en-US"/>
        </w:rPr>
        <w:t>haemoglobin</w:t>
      </w:r>
      <w:proofErr w:type="spellEnd"/>
      <w:r w:rsidR="00A530D6" w:rsidRPr="00A05B02">
        <w:rPr>
          <w:snapToGrid/>
          <w:color w:val="000000" w:themeColor="text1"/>
          <w:lang w:val="en-US"/>
        </w:rPr>
        <w:t xml:space="preserve"> level </w:t>
      </w:r>
      <w:r w:rsidR="00ED3043" w:rsidRPr="00A05B02">
        <w:rPr>
          <w:snapToGrid/>
          <w:color w:val="000000" w:themeColor="text1"/>
          <w:lang w:val="en-US"/>
        </w:rPr>
        <w:t xml:space="preserve">and non-inferior efficacy </w:t>
      </w:r>
      <w:r w:rsidR="00A530D6" w:rsidRPr="00A05B02">
        <w:rPr>
          <w:snapToGrid/>
          <w:color w:val="000000" w:themeColor="text1"/>
          <w:lang w:val="en-US"/>
        </w:rPr>
        <w:t xml:space="preserve">for PNH </w:t>
      </w:r>
      <w:r w:rsidR="00893126" w:rsidRPr="00A05B02">
        <w:rPr>
          <w:snapToGrid/>
          <w:color w:val="000000" w:themeColor="text1"/>
          <w:lang w:val="en-US"/>
        </w:rPr>
        <w:t>w</w:t>
      </w:r>
      <w:r w:rsidR="00ED3043" w:rsidRPr="00A05B02">
        <w:rPr>
          <w:snapToGrid/>
          <w:color w:val="000000" w:themeColor="text1"/>
          <w:lang w:val="en-US"/>
        </w:rPr>
        <w:t>ere</w:t>
      </w:r>
      <w:r w:rsidR="00893126" w:rsidRPr="00A05B02">
        <w:rPr>
          <w:snapToGrid/>
          <w:color w:val="000000" w:themeColor="text1"/>
          <w:lang w:val="en-US"/>
        </w:rPr>
        <w:t xml:space="preserve"> based on short-term</w:t>
      </w:r>
      <w:r w:rsidR="00615E71" w:rsidRPr="00A05B02">
        <w:rPr>
          <w:snapToGrid/>
          <w:color w:val="000000" w:themeColor="text1"/>
          <w:lang w:val="en-US"/>
        </w:rPr>
        <w:t>, 16-week outcomes of Hb level, transfusion avoidance</w:t>
      </w:r>
      <w:r w:rsidR="0097225C" w:rsidRPr="00A05B02">
        <w:rPr>
          <w:snapToGrid/>
          <w:color w:val="000000" w:themeColor="text1"/>
          <w:lang w:val="en-US"/>
        </w:rPr>
        <w:t>, reticulocyte count and quality of life</w:t>
      </w:r>
      <w:r w:rsidR="005E1511" w:rsidRPr="00A05B02">
        <w:rPr>
          <w:snapToGrid/>
          <w:color w:val="000000" w:themeColor="text1"/>
          <w:lang w:val="en-US"/>
        </w:rPr>
        <w:t>,</w:t>
      </w:r>
      <w:r w:rsidR="0097225C" w:rsidRPr="00A05B02">
        <w:rPr>
          <w:snapToGrid/>
          <w:color w:val="000000" w:themeColor="text1"/>
          <w:lang w:val="en-US"/>
        </w:rPr>
        <w:t xml:space="preserve"> </w:t>
      </w:r>
      <w:r w:rsidR="005E1511" w:rsidRPr="00A05B02">
        <w:rPr>
          <w:snapToGrid/>
          <w:color w:val="000000" w:themeColor="text1"/>
          <w:lang w:val="en-US"/>
        </w:rPr>
        <w:t>with</w:t>
      </w:r>
      <w:r w:rsidR="0097225C" w:rsidRPr="00A05B02">
        <w:rPr>
          <w:snapToGrid/>
          <w:color w:val="000000" w:themeColor="text1"/>
          <w:lang w:val="en-US"/>
        </w:rPr>
        <w:t xml:space="preserve"> no survival data or long-term outcomes including the prevention of thrombo</w:t>
      </w:r>
      <w:r w:rsidR="00561937" w:rsidRPr="00A05B02">
        <w:rPr>
          <w:snapToGrid/>
          <w:color w:val="000000" w:themeColor="text1"/>
          <w:lang w:val="en-US"/>
        </w:rPr>
        <w:t xml:space="preserve">embolism events. </w:t>
      </w:r>
      <w:r w:rsidR="00EB11B5" w:rsidRPr="00A05B02">
        <w:rPr>
          <w:snapToGrid/>
          <w:color w:val="000000" w:themeColor="text1"/>
          <w:lang w:val="en-US"/>
        </w:rPr>
        <w:t>In terms of safety, there ar</w:t>
      </w:r>
      <w:r w:rsidR="00252A2E" w:rsidRPr="00A05B02">
        <w:rPr>
          <w:snapToGrid/>
          <w:color w:val="000000" w:themeColor="text1"/>
          <w:lang w:val="en-US"/>
        </w:rPr>
        <w:t xml:space="preserve">e no comparative data beyond the 16-week </w:t>
      </w:r>
      <w:proofErr w:type="spellStart"/>
      <w:r w:rsidR="00252A2E" w:rsidRPr="00A05B02">
        <w:rPr>
          <w:snapToGrid/>
          <w:color w:val="000000" w:themeColor="text1"/>
          <w:lang w:val="en-US"/>
        </w:rPr>
        <w:t>randomised</w:t>
      </w:r>
      <w:proofErr w:type="spellEnd"/>
      <w:r w:rsidR="00252A2E" w:rsidRPr="00A05B02">
        <w:rPr>
          <w:snapToGrid/>
          <w:color w:val="000000" w:themeColor="text1"/>
          <w:lang w:val="en-US"/>
        </w:rPr>
        <w:t xml:space="preserve"> period of the trial and a lack of consensus in the </w:t>
      </w:r>
      <w:r w:rsidR="00252A2E" w:rsidRPr="00A05B02">
        <w:t xml:space="preserve">published literature regarding the safety of </w:t>
      </w:r>
      <w:proofErr w:type="spellStart"/>
      <w:r w:rsidR="00252A2E" w:rsidRPr="00A05B02">
        <w:t>pegcetacoplan</w:t>
      </w:r>
      <w:proofErr w:type="spellEnd"/>
      <w:r w:rsidR="00252A2E" w:rsidRPr="00A05B02">
        <w:t xml:space="preserve"> in terms of severity of breakthrough haemolysis events</w:t>
      </w:r>
      <w:r w:rsidR="00C94ECB" w:rsidRPr="00A05B02">
        <w:t>.</w:t>
      </w:r>
    </w:p>
    <w:p w14:paraId="7A1772B6" w14:textId="23BB3145" w:rsidR="00B60939" w:rsidRPr="00746BBB" w:rsidRDefault="00B60939" w:rsidP="00E9094A">
      <w:pPr>
        <w:pStyle w:val="3-SubsectionHeading"/>
      </w:pPr>
      <w:bookmarkStart w:id="25" w:name="_Toc22897644"/>
      <w:bookmarkStart w:id="26" w:name="_Toc93497076"/>
      <w:r w:rsidRPr="00746BBB">
        <w:lastRenderedPageBreak/>
        <w:t>Clinical claim</w:t>
      </w:r>
      <w:bookmarkEnd w:id="25"/>
      <w:bookmarkEnd w:id="26"/>
    </w:p>
    <w:p w14:paraId="289EAA5E" w14:textId="64B72CFA" w:rsidR="007C70FF" w:rsidRPr="00937F6D" w:rsidRDefault="00413E2A" w:rsidP="000C453B">
      <w:pPr>
        <w:pStyle w:val="ExecSumBodyText"/>
        <w:spacing w:after="160"/>
      </w:pPr>
      <w:r w:rsidRPr="00A05B02">
        <w:t xml:space="preserve">The submission described </w:t>
      </w:r>
      <w:proofErr w:type="spellStart"/>
      <w:r w:rsidRPr="00A05B02">
        <w:t>pegcetacoplan</w:t>
      </w:r>
      <w:proofErr w:type="spellEnd"/>
      <w:r w:rsidRPr="00A05B02">
        <w:t xml:space="preserve"> as superior in terms of </w:t>
      </w:r>
      <w:bookmarkStart w:id="27" w:name="_Hlk93389547"/>
      <w:r w:rsidRPr="00A05B02">
        <w:t xml:space="preserve">improvements in haemoglobin level </w:t>
      </w:r>
      <w:bookmarkEnd w:id="27"/>
      <w:r w:rsidRPr="00A05B02">
        <w:t>compared to eculizumab</w:t>
      </w:r>
      <w:r w:rsidRPr="000D47D4">
        <w:t xml:space="preserve">. The </w:t>
      </w:r>
      <w:r w:rsidR="00370957" w:rsidRPr="000D47D4">
        <w:t xml:space="preserve">ESC considered the </w:t>
      </w:r>
      <w:r w:rsidR="001654F2" w:rsidRPr="000D47D4">
        <w:t xml:space="preserve">superiority </w:t>
      </w:r>
      <w:r w:rsidRPr="000D47D4">
        <w:t xml:space="preserve">claim in terms of improvements in haemoglobin level </w:t>
      </w:r>
      <w:r w:rsidR="00370957" w:rsidRPr="000D47D4">
        <w:t>was</w:t>
      </w:r>
      <w:r w:rsidRPr="000D47D4">
        <w:t xml:space="preserve"> reasonable</w:t>
      </w:r>
      <w:r w:rsidR="004D160D" w:rsidRPr="00A05B02">
        <w:t xml:space="preserve"> </w:t>
      </w:r>
      <w:r w:rsidR="00370957" w:rsidRPr="00937F6D">
        <w:t xml:space="preserve">and would </w:t>
      </w:r>
      <w:r w:rsidR="00942913" w:rsidRPr="00937F6D">
        <w:t xml:space="preserve">likely </w:t>
      </w:r>
      <w:r w:rsidR="00370957" w:rsidRPr="00937F6D">
        <w:t>lead to improvements in quality of life</w:t>
      </w:r>
      <w:r w:rsidRPr="00937F6D">
        <w:t>.</w:t>
      </w:r>
    </w:p>
    <w:p w14:paraId="3B7035E4" w14:textId="0670C249" w:rsidR="00413E2A" w:rsidRPr="00A05B02" w:rsidRDefault="00413E2A" w:rsidP="000C453B">
      <w:pPr>
        <w:pStyle w:val="ExecSumBodyText"/>
        <w:spacing w:after="160"/>
      </w:pPr>
      <w:r w:rsidRPr="00A05B02">
        <w:t xml:space="preserve">The submission described </w:t>
      </w:r>
      <w:proofErr w:type="spellStart"/>
      <w:r w:rsidRPr="00A05B02">
        <w:t>pegcetacoplan</w:t>
      </w:r>
      <w:proofErr w:type="spellEnd"/>
      <w:r w:rsidRPr="00A05B02">
        <w:t xml:space="preserve"> as at least non-inferior in terms of efficacy compared to eculizumab. The clinical claim in the submission was not specific but appeared to be based on numerical improvements and statistical non-inferiority in terms of short-term outcomes of transfusion avoidance, reticulocyte count and quality of life (associated with fatigue). </w:t>
      </w:r>
      <w:r w:rsidR="00370957" w:rsidRPr="00937F6D">
        <w:t xml:space="preserve">The ESC noted that similar short-term outcome measures were used in the </w:t>
      </w:r>
      <w:proofErr w:type="spellStart"/>
      <w:r w:rsidR="00370957" w:rsidRPr="00937F6D">
        <w:t>ravulizumab</w:t>
      </w:r>
      <w:proofErr w:type="spellEnd"/>
      <w:r w:rsidR="00370957" w:rsidRPr="00937F6D">
        <w:t xml:space="preserve"> submissions (July 2021 and July 2022 PBAC meetings). </w:t>
      </w:r>
      <w:r w:rsidRPr="00937F6D">
        <w:t>T</w:t>
      </w:r>
      <w:r w:rsidRPr="00A05B02">
        <w:t xml:space="preserve">he results for change in LDH level did not meet the protocol-specified non-inferiority margin. The clinical claim </w:t>
      </w:r>
      <w:r w:rsidR="00370957" w:rsidRPr="000D47D4">
        <w:t>was uncertain</w:t>
      </w:r>
      <w:r w:rsidRPr="00A05B02">
        <w:t xml:space="preserve"> in terms of long-term outcomes including life-threatening events such as thrombosis and survival.</w:t>
      </w:r>
    </w:p>
    <w:p w14:paraId="583578DD" w14:textId="27203BEB" w:rsidR="00413E2A" w:rsidRPr="005A6055" w:rsidRDefault="00413E2A" w:rsidP="00370957">
      <w:pPr>
        <w:pStyle w:val="ExecSumBodyText"/>
        <w:spacing w:after="160"/>
      </w:pPr>
      <w:bookmarkStart w:id="28" w:name="_Hlk99554323"/>
      <w:r w:rsidRPr="00A05B02">
        <w:t xml:space="preserve">The submission described </w:t>
      </w:r>
      <w:proofErr w:type="spellStart"/>
      <w:r w:rsidRPr="00A05B02">
        <w:t>pegcetacoplan</w:t>
      </w:r>
      <w:proofErr w:type="spellEnd"/>
      <w:r w:rsidRPr="00A05B02">
        <w:t xml:space="preserve"> as at least non-inferior in terms of safety compared to eculizumab. </w:t>
      </w:r>
      <w:r w:rsidR="00370957" w:rsidRPr="00937F6D">
        <w:t>The ESC considered t</w:t>
      </w:r>
      <w:r w:rsidRPr="00937F6D">
        <w:t xml:space="preserve">his claim </w:t>
      </w:r>
      <w:r w:rsidR="00370957" w:rsidRPr="00937F6D">
        <w:t>was not well supported</w:t>
      </w:r>
      <w:r w:rsidRPr="00937F6D">
        <w:t xml:space="preserve"> based on the safety data from </w:t>
      </w:r>
      <w:r w:rsidR="00831646" w:rsidRPr="00937F6D">
        <w:t>PEGASUS, given patients who did not tolerate eculizumab were excluded from the trial</w:t>
      </w:r>
      <w:r w:rsidRPr="00937F6D">
        <w:t>.</w:t>
      </w:r>
      <w:r w:rsidR="00370957" w:rsidRPr="00937F6D">
        <w:t xml:space="preserve"> </w:t>
      </w:r>
      <w:r w:rsidR="00831646" w:rsidRPr="00937F6D">
        <w:t>T</w:t>
      </w:r>
      <w:r w:rsidR="00370957" w:rsidRPr="00937F6D">
        <w:t xml:space="preserve">he ESC </w:t>
      </w:r>
      <w:r w:rsidR="00831646" w:rsidRPr="00937F6D">
        <w:t xml:space="preserve">further </w:t>
      </w:r>
      <w:r w:rsidR="00370957" w:rsidRPr="00937F6D">
        <w:t xml:space="preserve">noted </w:t>
      </w:r>
      <w:r w:rsidR="00831646" w:rsidRPr="00937F6D">
        <w:t xml:space="preserve">that </w:t>
      </w:r>
      <w:r w:rsidR="00370957" w:rsidRPr="00937F6D">
        <w:t>all patients enrolled in PEGASUS were already stable on eculizumab and hence would be less likely to experience adverse events.</w:t>
      </w:r>
      <w:r w:rsidR="00831646" w:rsidRPr="00937F6D">
        <w:t xml:space="preserve"> </w:t>
      </w:r>
      <w:proofErr w:type="gramStart"/>
      <w:r w:rsidR="00831646" w:rsidRPr="00937F6D">
        <w:t>Referring back</w:t>
      </w:r>
      <w:proofErr w:type="gramEnd"/>
      <w:r w:rsidR="00831646" w:rsidRPr="00937F6D">
        <w:t xml:space="preserve"> to original eculizumab study (TRIUMPH, Hillmen et al 2006) it would appear that the two are similar in toxicity profiles and the </w:t>
      </w:r>
      <w:r w:rsidR="00831646" w:rsidRPr="005A6055">
        <w:t xml:space="preserve">non-inferior safety claim was </w:t>
      </w:r>
      <w:r w:rsidR="00E00C47" w:rsidRPr="005A6055">
        <w:t xml:space="preserve">likely </w:t>
      </w:r>
      <w:r w:rsidR="00831646" w:rsidRPr="005A6055">
        <w:t xml:space="preserve">reasonable. </w:t>
      </w:r>
    </w:p>
    <w:p w14:paraId="247D8D8C" w14:textId="1B6F1DA7" w:rsidR="00934577" w:rsidRPr="005A6055" w:rsidRDefault="00934577" w:rsidP="00934577">
      <w:pPr>
        <w:pStyle w:val="ExecSumBodyText"/>
      </w:pPr>
      <w:bookmarkStart w:id="29" w:name="_Hlk76376200"/>
      <w:bookmarkEnd w:id="28"/>
      <w:r w:rsidRPr="005A6055">
        <w:rPr>
          <w:iCs/>
        </w:rPr>
        <w:t>The</w:t>
      </w:r>
      <w:r w:rsidRPr="005A6055">
        <w:t xml:space="preserve"> PBAC considered that </w:t>
      </w:r>
      <w:r w:rsidR="00B310E6" w:rsidRPr="005A6055">
        <w:t xml:space="preserve">the evidence presented demonstrated a benefit in </w:t>
      </w:r>
      <w:r w:rsidR="007D7896" w:rsidRPr="005A6055">
        <w:t xml:space="preserve">short-term </w:t>
      </w:r>
      <w:r w:rsidR="00B310E6" w:rsidRPr="005A6055">
        <w:t xml:space="preserve">haematological outcomes. In addition, the PBAC considered that while uncertain, </w:t>
      </w:r>
      <w:r w:rsidRPr="005A6055">
        <w:t xml:space="preserve">the claim of non-inferior comparative effectiveness </w:t>
      </w:r>
      <w:r w:rsidR="00B310E6" w:rsidRPr="005A6055">
        <w:t xml:space="preserve">to the known benefits of eculizumab treatment in this population </w:t>
      </w:r>
      <w:r w:rsidRPr="005A6055">
        <w:t>was reasonabl</w:t>
      </w:r>
      <w:r w:rsidR="00B310E6" w:rsidRPr="005A6055">
        <w:t>e</w:t>
      </w:r>
      <w:r w:rsidRPr="005A6055">
        <w:t>.</w:t>
      </w:r>
    </w:p>
    <w:p w14:paraId="693417EA" w14:textId="67DE0C95" w:rsidR="00934577" w:rsidRPr="005A6055" w:rsidRDefault="00934577" w:rsidP="00934577">
      <w:pPr>
        <w:pStyle w:val="ExecSumBodyText"/>
      </w:pPr>
      <w:r w:rsidRPr="005A6055">
        <w:t>The PBAC considered that the claim of non-inferior</w:t>
      </w:r>
      <w:r w:rsidR="00B310E6" w:rsidRPr="005A6055">
        <w:t xml:space="preserve"> </w:t>
      </w:r>
      <w:r w:rsidRPr="005A6055">
        <w:t xml:space="preserve">comparative safety was </w:t>
      </w:r>
      <w:r w:rsidR="00B310E6" w:rsidRPr="005A6055">
        <w:t xml:space="preserve">uncertain but </w:t>
      </w:r>
      <w:r w:rsidRPr="005A6055">
        <w:t>reasonable.</w:t>
      </w:r>
      <w:bookmarkEnd w:id="29"/>
    </w:p>
    <w:p w14:paraId="76A157E2" w14:textId="6215E2DF" w:rsidR="00B310E6" w:rsidRPr="00B310E6" w:rsidRDefault="00B310E6" w:rsidP="00B310E6">
      <w:pPr>
        <w:pStyle w:val="ExecSumBodyText"/>
      </w:pPr>
      <w:r w:rsidRPr="00A05B02">
        <w:t xml:space="preserve">The submission claimed that as </w:t>
      </w:r>
      <w:proofErr w:type="spellStart"/>
      <w:r w:rsidRPr="00A05B02">
        <w:t>ravulizumab</w:t>
      </w:r>
      <w:proofErr w:type="spellEnd"/>
      <w:r w:rsidRPr="00A05B02">
        <w:t xml:space="preserve"> is a pharmacological analogue of eculizumab and the PBAC has previously considered </w:t>
      </w:r>
      <w:proofErr w:type="spellStart"/>
      <w:r w:rsidRPr="00A05B02">
        <w:t>ravulizumab</w:t>
      </w:r>
      <w:proofErr w:type="spellEnd"/>
      <w:r w:rsidRPr="00A05B02">
        <w:t xml:space="preserve"> as non-inferior in efficacy and safety compared to eculizumab, then the comparative results from the PEGASUS trial would also be indicative of comparative efficacy and safety between </w:t>
      </w:r>
      <w:proofErr w:type="spellStart"/>
      <w:r w:rsidRPr="00A05B02">
        <w:t>pegcetacoplan</w:t>
      </w:r>
      <w:proofErr w:type="spellEnd"/>
      <w:r w:rsidRPr="00A05B02">
        <w:t xml:space="preserve"> and </w:t>
      </w:r>
      <w:proofErr w:type="spellStart"/>
      <w:r w:rsidRPr="00A05B02">
        <w:t>ravulizumab</w:t>
      </w:r>
      <w:proofErr w:type="spellEnd"/>
      <w:r w:rsidRPr="00A05B02">
        <w:t xml:space="preserve">. </w:t>
      </w:r>
      <w:r w:rsidRPr="00937F6D">
        <w:t xml:space="preserve">The </w:t>
      </w:r>
      <w:r>
        <w:t xml:space="preserve">PBAC agreed with the </w:t>
      </w:r>
      <w:r w:rsidRPr="00937F6D">
        <w:t xml:space="preserve">ESC </w:t>
      </w:r>
      <w:r>
        <w:t>that</w:t>
      </w:r>
      <w:r w:rsidRPr="00937F6D">
        <w:t xml:space="preserve"> this claim was reasonable</w:t>
      </w:r>
      <w:r w:rsidRPr="00A05B02">
        <w:t>.</w:t>
      </w:r>
    </w:p>
    <w:p w14:paraId="74A1172E" w14:textId="128C170E" w:rsidR="00B60939" w:rsidRPr="00746BBB" w:rsidRDefault="00B60939" w:rsidP="00E9094A">
      <w:pPr>
        <w:pStyle w:val="3-SubsectionHeading"/>
      </w:pPr>
      <w:bookmarkStart w:id="30" w:name="_Toc22897645"/>
      <w:bookmarkStart w:id="31" w:name="_Toc93497077"/>
      <w:r w:rsidRPr="00746BBB">
        <w:t>Economic analysis</w:t>
      </w:r>
      <w:bookmarkEnd w:id="30"/>
      <w:bookmarkEnd w:id="31"/>
      <w:r w:rsidR="00491B3A" w:rsidRPr="00746BBB">
        <w:t xml:space="preserve"> </w:t>
      </w:r>
    </w:p>
    <w:p w14:paraId="65FE9243" w14:textId="78F008E8" w:rsidR="00142541" w:rsidRDefault="00620EE9" w:rsidP="000C453B">
      <w:pPr>
        <w:pStyle w:val="ExecSumBodyText"/>
        <w:spacing w:after="160"/>
      </w:pPr>
      <w:r w:rsidRPr="00620EE9">
        <w:t xml:space="preserve">The submission nominated the comparison of </w:t>
      </w:r>
      <w:proofErr w:type="spellStart"/>
      <w:r w:rsidRPr="00620EE9">
        <w:t>pegcetacoplan</w:t>
      </w:r>
      <w:proofErr w:type="spellEnd"/>
      <w:r w:rsidRPr="00620EE9">
        <w:t xml:space="preserve"> versus </w:t>
      </w:r>
      <w:proofErr w:type="spellStart"/>
      <w:r w:rsidRPr="00620EE9">
        <w:t>ravulizumab</w:t>
      </w:r>
      <w:proofErr w:type="spellEnd"/>
      <w:r w:rsidRPr="00620EE9">
        <w:t xml:space="preserve"> as the base case economic evaluation, claiming that </w:t>
      </w:r>
      <w:proofErr w:type="spellStart"/>
      <w:r w:rsidRPr="00620EE9">
        <w:t>ravulizumab</w:t>
      </w:r>
      <w:proofErr w:type="spellEnd"/>
      <w:r w:rsidRPr="00620EE9">
        <w:t xml:space="preserve"> is the most appropriate pricing comparator (based on a recent positive PBAC recommendation) and that the price of eculizumab may not be relevant as it </w:t>
      </w:r>
      <w:r w:rsidR="00A178B8">
        <w:t>was</w:t>
      </w:r>
      <w:r w:rsidRPr="00620EE9">
        <w:t xml:space="preserve"> listed on the LSDP</w:t>
      </w:r>
      <w:r w:rsidR="004064A3">
        <w:t xml:space="preserve"> at the time of the </w:t>
      </w:r>
      <w:r w:rsidR="004064A3">
        <w:lastRenderedPageBreak/>
        <w:t>submission</w:t>
      </w:r>
      <w:r w:rsidRPr="00620EE9">
        <w:t xml:space="preserve">. </w:t>
      </w:r>
      <w:r w:rsidR="005A4F16" w:rsidRPr="00937F6D">
        <w:t xml:space="preserve">The ESC noted both eculizumab and </w:t>
      </w:r>
      <w:proofErr w:type="spellStart"/>
      <w:r w:rsidR="005A4F16" w:rsidRPr="00937F6D">
        <w:t>ravulizumab</w:t>
      </w:r>
      <w:proofErr w:type="spellEnd"/>
      <w:r w:rsidR="005A4F16" w:rsidRPr="00937F6D">
        <w:t xml:space="preserve"> were recommended for PBS listing in July 2021, and the cost</w:t>
      </w:r>
      <w:r w:rsidR="00107BB9" w:rsidRPr="00937F6D">
        <w:t>s</w:t>
      </w:r>
      <w:r w:rsidR="005A4F16" w:rsidRPr="00937F6D">
        <w:t xml:space="preserve"> of both C5 inhibitors were considered relevant.</w:t>
      </w:r>
      <w:r w:rsidR="005A4F16">
        <w:rPr>
          <w:i/>
          <w:iCs/>
        </w:rPr>
        <w:t xml:space="preserve"> </w:t>
      </w:r>
      <w:r w:rsidRPr="00620EE9">
        <w:t xml:space="preserve">The sponsor proposed that </w:t>
      </w:r>
      <w:proofErr w:type="spellStart"/>
      <w:r w:rsidRPr="00620EE9">
        <w:t>pegcetacoplan</w:t>
      </w:r>
      <w:proofErr w:type="spellEnd"/>
      <w:r w:rsidRPr="00620EE9">
        <w:t xml:space="preserve"> be listed </w:t>
      </w:r>
      <w:proofErr w:type="gramStart"/>
      <w:r w:rsidR="005126B1" w:rsidRPr="000A62F7">
        <w:rPr>
          <w:color w:val="000000"/>
          <w:w w:val="15"/>
          <w:shd w:val="solid" w:color="000000" w:fill="000000"/>
          <w:fitText w:val="-20" w:id="-1500841458"/>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8"/>
          <w14:textFill>
            <w14:solidFill>
              <w14:srgbClr w14:val="000000">
                <w14:alpha w14:val="100000"/>
              </w14:srgbClr>
            </w14:solidFill>
          </w14:textFill>
        </w:rPr>
        <w:t>|</w:t>
      </w:r>
      <w:proofErr w:type="gramEnd"/>
      <w:r w:rsidR="005126B1" w:rsidRPr="005126B1">
        <w:t xml:space="preserve"> </w:t>
      </w:r>
      <w:r w:rsidR="005126B1" w:rsidRPr="000A62F7">
        <w:rPr>
          <w:color w:val="000000"/>
          <w:w w:val="15"/>
          <w:shd w:val="solid" w:color="000000" w:fill="000000"/>
          <w:fitText w:val="-20" w:id="-1500841457"/>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7"/>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56"/>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6"/>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72"/>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72"/>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71"/>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71"/>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70"/>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70"/>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9"/>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9"/>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8"/>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8"/>
          <w14:textFill>
            <w14:solidFill>
              <w14:srgbClr w14:val="000000">
                <w14:alpha w14:val="100000"/>
              </w14:srgbClr>
            </w14:solidFill>
          </w14:textFill>
        </w:rPr>
        <w:t>|</w:t>
      </w:r>
      <w:r w:rsidR="005126B1" w:rsidRPr="005126B1">
        <w:t xml:space="preserve"> </w:t>
      </w:r>
      <w:r w:rsidR="005126B1" w:rsidRPr="000A62F7">
        <w:rPr>
          <w:color w:val="000000"/>
          <w:w w:val="15"/>
          <w:shd w:val="solid" w:color="000000" w:fill="000000"/>
          <w:fitText w:val="-20" w:id="-1500841467"/>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7"/>
          <w14:textFill>
            <w14:solidFill>
              <w14:srgbClr w14:val="000000">
                <w14:alpha w14:val="100000"/>
              </w14:srgbClr>
            </w14:solidFill>
          </w14:textFill>
        </w:rPr>
        <w:t>|</w:t>
      </w:r>
      <w:r w:rsidR="00142541">
        <w:t xml:space="preserve"> (see </w:t>
      </w:r>
      <w:r w:rsidR="00142541">
        <w:fldChar w:fldCharType="begin"/>
      </w:r>
      <w:r w:rsidR="00142541">
        <w:instrText xml:space="preserve"> REF _Ref99630151 \h </w:instrText>
      </w:r>
      <w:r w:rsidR="00142541">
        <w:fldChar w:fldCharType="separate"/>
      </w:r>
      <w:r w:rsidR="000A62F7">
        <w:t xml:space="preserve">Table </w:t>
      </w:r>
      <w:r w:rsidR="000A62F7">
        <w:rPr>
          <w:noProof/>
        </w:rPr>
        <w:t>7</w:t>
      </w:r>
      <w:r w:rsidR="00142541">
        <w:fldChar w:fldCharType="end"/>
      </w:r>
      <w:r w:rsidR="00142541">
        <w:t>)</w:t>
      </w:r>
      <w:r w:rsidRPr="00620EE9">
        <w:t xml:space="preserve">. </w:t>
      </w:r>
      <w:r w:rsidR="00E72615" w:rsidRPr="00A05B02">
        <w:t xml:space="preserve">The cost-effectiveness of these treatments in the subgroup who have suboptimal haematological response has not </w:t>
      </w:r>
      <w:r w:rsidR="005A4F16">
        <w:t xml:space="preserve">previously </w:t>
      </w:r>
      <w:r w:rsidR="00E72615" w:rsidRPr="00A05B02">
        <w:t>been considered</w:t>
      </w:r>
      <w:r w:rsidR="005A4F16">
        <w:t xml:space="preserve"> by the PBAC</w:t>
      </w:r>
      <w:r w:rsidR="00E72615" w:rsidRPr="00A05B02">
        <w:t xml:space="preserve">. </w:t>
      </w:r>
    </w:p>
    <w:p w14:paraId="6CFAC3C7" w14:textId="6587C415" w:rsidR="00142541" w:rsidRPr="00746BBB" w:rsidRDefault="00142541" w:rsidP="00142541">
      <w:pPr>
        <w:pStyle w:val="Caption"/>
      </w:pPr>
      <w:bookmarkStart w:id="32" w:name="_Ref99630151"/>
      <w:r>
        <w:t xml:space="preserve">Table </w:t>
      </w:r>
      <w:fldSimple w:instr=" SEQ Table \* ARABIC ">
        <w:r w:rsidR="000A62F7">
          <w:rPr>
            <w:noProof/>
          </w:rPr>
          <w:t>7</w:t>
        </w:r>
      </w:fldSimple>
      <w:bookmarkEnd w:id="32"/>
      <w:r w:rsidRPr="00746BBB">
        <w:t xml:space="preserve">: </w:t>
      </w:r>
      <w:proofErr w:type="spellStart"/>
      <w:r w:rsidRPr="00746BBB">
        <w:t>Pegcetacoplan</w:t>
      </w:r>
      <w:proofErr w:type="spellEnd"/>
      <w:r w:rsidRPr="00746BBB">
        <w:t xml:space="preserve">, eculizumab and </w:t>
      </w:r>
      <w:proofErr w:type="spellStart"/>
      <w:r w:rsidRPr="00746BBB">
        <w:t>ravulizumab</w:t>
      </w:r>
      <w:proofErr w:type="spellEnd"/>
      <w:r w:rsidRPr="00746BBB">
        <w:t xml:space="preserve"> price calculations</w:t>
      </w:r>
    </w:p>
    <w:tbl>
      <w:tblPr>
        <w:tblStyle w:val="TableGrid"/>
        <w:tblW w:w="0" w:type="auto"/>
        <w:tblLook w:val="04A0" w:firstRow="1" w:lastRow="0" w:firstColumn="1" w:lastColumn="0" w:noHBand="0" w:noVBand="1"/>
      </w:tblPr>
      <w:tblGrid>
        <w:gridCol w:w="1896"/>
        <w:gridCol w:w="1375"/>
        <w:gridCol w:w="5746"/>
      </w:tblGrid>
      <w:tr w:rsidR="00E04710" w:rsidRPr="00746BBB" w14:paraId="3D5355E5" w14:textId="77777777" w:rsidTr="001419B3">
        <w:tc>
          <w:tcPr>
            <w:tcW w:w="1896" w:type="dxa"/>
            <w:vAlign w:val="center"/>
          </w:tcPr>
          <w:p w14:paraId="26F326BF" w14:textId="77777777" w:rsidR="00E04710" w:rsidRPr="00746BBB" w:rsidRDefault="00E04710" w:rsidP="001419B3">
            <w:pPr>
              <w:pStyle w:val="TableText"/>
              <w:jc w:val="center"/>
              <w:rPr>
                <w:b/>
                <w:bCs w:val="0"/>
              </w:rPr>
            </w:pPr>
          </w:p>
        </w:tc>
        <w:tc>
          <w:tcPr>
            <w:tcW w:w="1375" w:type="dxa"/>
            <w:vAlign w:val="center"/>
          </w:tcPr>
          <w:p w14:paraId="59224427" w14:textId="77777777" w:rsidR="00E04710" w:rsidRPr="00746BBB" w:rsidRDefault="00E04710" w:rsidP="001419B3">
            <w:pPr>
              <w:pStyle w:val="TableText"/>
              <w:jc w:val="center"/>
              <w:rPr>
                <w:b/>
                <w:bCs w:val="0"/>
              </w:rPr>
            </w:pPr>
            <w:r w:rsidRPr="00746BBB">
              <w:rPr>
                <w:b/>
                <w:bCs w:val="0"/>
              </w:rPr>
              <w:t>Value</w:t>
            </w:r>
          </w:p>
        </w:tc>
        <w:tc>
          <w:tcPr>
            <w:tcW w:w="5746" w:type="dxa"/>
            <w:vAlign w:val="center"/>
          </w:tcPr>
          <w:p w14:paraId="129D730C" w14:textId="77777777" w:rsidR="00E04710" w:rsidRPr="00746BBB" w:rsidRDefault="00E04710" w:rsidP="001419B3">
            <w:pPr>
              <w:pStyle w:val="TableText"/>
              <w:rPr>
                <w:b/>
                <w:bCs w:val="0"/>
              </w:rPr>
            </w:pPr>
            <w:r w:rsidRPr="00746BBB">
              <w:rPr>
                <w:b/>
                <w:bCs w:val="0"/>
              </w:rPr>
              <w:t>Source/calculation</w:t>
            </w:r>
          </w:p>
        </w:tc>
      </w:tr>
      <w:tr w:rsidR="00E04710" w:rsidRPr="00746BBB" w14:paraId="14764CEC" w14:textId="77777777" w:rsidTr="001419B3">
        <w:tc>
          <w:tcPr>
            <w:tcW w:w="9017" w:type="dxa"/>
            <w:gridSpan w:val="3"/>
          </w:tcPr>
          <w:p w14:paraId="4113176B" w14:textId="77777777" w:rsidR="00E04710" w:rsidRPr="00746BBB" w:rsidRDefault="00E04710" w:rsidP="001419B3">
            <w:pPr>
              <w:pStyle w:val="TableText"/>
              <w:rPr>
                <w:b/>
                <w:bCs w:val="0"/>
              </w:rPr>
            </w:pPr>
            <w:r w:rsidRPr="00746BBB">
              <w:rPr>
                <w:b/>
                <w:bCs w:val="0"/>
              </w:rPr>
              <w:t>Estimated cost of eculizumab</w:t>
            </w:r>
          </w:p>
        </w:tc>
      </w:tr>
      <w:tr w:rsidR="00E04710" w:rsidRPr="00746BBB" w14:paraId="4AFBB231" w14:textId="77777777" w:rsidTr="001419B3">
        <w:tc>
          <w:tcPr>
            <w:tcW w:w="1896" w:type="dxa"/>
            <w:vAlign w:val="center"/>
          </w:tcPr>
          <w:p w14:paraId="1971C68A" w14:textId="77777777" w:rsidR="00E04710" w:rsidRPr="00746BBB" w:rsidRDefault="00E04710" w:rsidP="001419B3">
            <w:pPr>
              <w:pStyle w:val="TableText"/>
            </w:pPr>
            <w:r w:rsidRPr="00746BBB">
              <w:t>AEMP per vial</w:t>
            </w:r>
          </w:p>
        </w:tc>
        <w:tc>
          <w:tcPr>
            <w:tcW w:w="1375" w:type="dxa"/>
            <w:vAlign w:val="center"/>
          </w:tcPr>
          <w:p w14:paraId="3CDA5694" w14:textId="77777777" w:rsidR="00E04710" w:rsidRPr="00746BBB" w:rsidRDefault="00E04710" w:rsidP="001419B3">
            <w:pPr>
              <w:pStyle w:val="TableText"/>
              <w:jc w:val="center"/>
            </w:pPr>
            <w:r w:rsidRPr="00746BBB">
              <w:t>$5,640.63</w:t>
            </w:r>
          </w:p>
        </w:tc>
        <w:tc>
          <w:tcPr>
            <w:tcW w:w="5746" w:type="dxa"/>
            <w:vAlign w:val="center"/>
          </w:tcPr>
          <w:p w14:paraId="1F383952" w14:textId="77777777" w:rsidR="00E04710" w:rsidRPr="00746BBB" w:rsidRDefault="00E04710" w:rsidP="001419B3">
            <w:pPr>
              <w:pStyle w:val="TableText"/>
            </w:pPr>
            <w:r w:rsidRPr="00746BBB">
              <w:t>Published AEMP for eculizumab for atypical haemolytic uraemic syndrome (</w:t>
            </w:r>
            <w:proofErr w:type="spellStart"/>
            <w:r w:rsidRPr="00746BBB">
              <w:t>aHUS</w:t>
            </w:r>
            <w:proofErr w:type="spellEnd"/>
            <w:r w:rsidRPr="00746BBB">
              <w:t>) (PBS items 10182XX, 10183Y, 10190H, 10191J, 10192K, 10194M, 10521R, 10525Y).</w:t>
            </w:r>
          </w:p>
        </w:tc>
      </w:tr>
      <w:tr w:rsidR="00E04710" w:rsidRPr="00746BBB" w14:paraId="60695CEB" w14:textId="77777777" w:rsidTr="001419B3">
        <w:tc>
          <w:tcPr>
            <w:tcW w:w="1896" w:type="dxa"/>
            <w:vAlign w:val="center"/>
          </w:tcPr>
          <w:p w14:paraId="34EFCC81" w14:textId="77777777" w:rsidR="00E04710" w:rsidRPr="00746BBB" w:rsidRDefault="00E04710" w:rsidP="001419B3">
            <w:pPr>
              <w:pStyle w:val="TableText"/>
            </w:pPr>
            <w:r w:rsidRPr="00746BBB">
              <w:t>Vials per dose</w:t>
            </w:r>
          </w:p>
        </w:tc>
        <w:tc>
          <w:tcPr>
            <w:tcW w:w="1375" w:type="dxa"/>
            <w:vAlign w:val="center"/>
          </w:tcPr>
          <w:p w14:paraId="6E854E5F" w14:textId="77777777" w:rsidR="00E04710" w:rsidRPr="00746BBB" w:rsidRDefault="00E04710" w:rsidP="001419B3">
            <w:pPr>
              <w:pStyle w:val="TableText"/>
              <w:jc w:val="center"/>
            </w:pPr>
            <w:r w:rsidRPr="00746BBB">
              <w:t>3</w:t>
            </w:r>
          </w:p>
        </w:tc>
        <w:tc>
          <w:tcPr>
            <w:tcW w:w="5746" w:type="dxa"/>
            <w:vAlign w:val="center"/>
          </w:tcPr>
          <w:p w14:paraId="0B1C86BB" w14:textId="77777777" w:rsidR="00E04710" w:rsidRPr="00746BBB" w:rsidRDefault="00E04710" w:rsidP="001419B3">
            <w:pPr>
              <w:pStyle w:val="TableText"/>
            </w:pPr>
            <w:r w:rsidRPr="00746BBB">
              <w:t xml:space="preserve">Number of vials required per 900 mg dose for the treatment of PNH. </w:t>
            </w:r>
          </w:p>
        </w:tc>
      </w:tr>
      <w:tr w:rsidR="00E04710" w:rsidRPr="00746BBB" w14:paraId="18A732C4" w14:textId="77777777" w:rsidTr="001419B3">
        <w:tc>
          <w:tcPr>
            <w:tcW w:w="1896" w:type="dxa"/>
            <w:vAlign w:val="center"/>
          </w:tcPr>
          <w:p w14:paraId="451E8AEC" w14:textId="77777777" w:rsidR="00E04710" w:rsidRPr="00746BBB" w:rsidRDefault="00E04710" w:rsidP="001419B3">
            <w:pPr>
              <w:pStyle w:val="TableText"/>
            </w:pPr>
            <w:r w:rsidRPr="00746BBB">
              <w:t>Cost per script (weighted DPMQ)</w:t>
            </w:r>
          </w:p>
        </w:tc>
        <w:tc>
          <w:tcPr>
            <w:tcW w:w="1375" w:type="dxa"/>
            <w:vAlign w:val="center"/>
          </w:tcPr>
          <w:p w14:paraId="3FC45A9F" w14:textId="74D608FF" w:rsidR="00E04710" w:rsidRPr="00746BBB" w:rsidRDefault="00E04710" w:rsidP="001419B3">
            <w:pPr>
              <w:pStyle w:val="TableText"/>
              <w:jc w:val="center"/>
            </w:pPr>
            <w:r w:rsidRPr="00746BBB">
              <w:t>$</w:t>
            </w:r>
            <w:r w:rsidR="005126B1" w:rsidRPr="000A62F7">
              <w:rPr>
                <w:rFonts w:hint="eastAsia"/>
                <w:color w:val="000000"/>
                <w:w w:val="15"/>
                <w:shd w:val="solid" w:color="000000" w:fill="000000"/>
                <w:fitText w:val="15" w:id="-1500841466"/>
                <w14:textFill>
                  <w14:solidFill>
                    <w14:srgbClr w14:val="000000">
                      <w14:alpha w14:val="100000"/>
                    </w14:srgbClr>
                  </w14:solidFill>
                </w14:textFill>
              </w:rPr>
              <w:t xml:space="preserve">　</w:t>
            </w:r>
            <w:r w:rsidR="005126B1" w:rsidRPr="000A62F7">
              <w:rPr>
                <w:color w:val="000000"/>
                <w:w w:val="15"/>
                <w:shd w:val="solid" w:color="000000" w:fill="000000"/>
                <w:fitText w:val="15" w:id="-1500841466"/>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66"/>
                <w14:textFill>
                  <w14:solidFill>
                    <w14:srgbClr w14:val="000000">
                      <w14:alpha w14:val="100000"/>
                    </w14:srgbClr>
                  </w14:solidFill>
                </w14:textFill>
              </w:rPr>
              <w:t xml:space="preserve">　</w:t>
            </w:r>
          </w:p>
        </w:tc>
        <w:tc>
          <w:tcPr>
            <w:tcW w:w="5746" w:type="dxa"/>
            <w:vAlign w:val="center"/>
          </w:tcPr>
          <w:p w14:paraId="6AD56C43" w14:textId="1452F7AC" w:rsidR="00E04710" w:rsidRPr="00746BBB" w:rsidRDefault="00E04710" w:rsidP="001419B3">
            <w:pPr>
              <w:pStyle w:val="TableText"/>
            </w:pPr>
            <w:r w:rsidRPr="00746BBB">
              <w:t xml:space="preserve">Calculated assuming 1 dose per script. Weighted DPMQ based </w:t>
            </w:r>
            <w:r w:rsidRPr="00427255">
              <w:t xml:space="preserve">on </w:t>
            </w:r>
            <w:r w:rsidR="005126B1" w:rsidRPr="005126B1">
              <w:rPr>
                <w:color w:val="000000"/>
                <w:spacing w:val="53"/>
                <w:shd w:val="solid" w:color="000000" w:fill="000000"/>
                <w:fitText w:val="331" w:id="-1500841465"/>
                <w14:textFill>
                  <w14:solidFill>
                    <w14:srgbClr w14:val="000000">
                      <w14:alpha w14:val="100000"/>
                    </w14:srgbClr>
                  </w14:solidFill>
                </w14:textFill>
              </w:rPr>
              <w:t>|||</w:t>
            </w:r>
            <w:r w:rsidR="005126B1" w:rsidRPr="005126B1">
              <w:rPr>
                <w:color w:val="000000"/>
                <w:spacing w:val="2"/>
                <w:shd w:val="solid" w:color="000000" w:fill="000000"/>
                <w:fitText w:val="331" w:id="-1500841465"/>
                <w14:textFill>
                  <w14:solidFill>
                    <w14:srgbClr w14:val="000000">
                      <w14:alpha w14:val="100000"/>
                    </w14:srgbClr>
                  </w14:solidFill>
                </w14:textFill>
              </w:rPr>
              <w:t>|</w:t>
            </w:r>
            <w:r w:rsidRPr="00746BBB">
              <w:t xml:space="preserve">% public hospital and </w:t>
            </w:r>
            <w:r w:rsidR="005126B1" w:rsidRPr="005126B1">
              <w:rPr>
                <w:color w:val="000000"/>
                <w:spacing w:val="50"/>
                <w:shd w:val="solid" w:color="000000" w:fill="000000"/>
                <w:fitText w:val="323" w:id="-1500841464"/>
                <w14:textFill>
                  <w14:solidFill>
                    <w14:srgbClr w14:val="000000">
                      <w14:alpha w14:val="100000"/>
                    </w14:srgbClr>
                  </w14:solidFill>
                </w14:textFill>
              </w:rPr>
              <w:t>|||</w:t>
            </w:r>
            <w:r w:rsidR="005126B1" w:rsidRPr="005126B1">
              <w:rPr>
                <w:color w:val="000000"/>
                <w:spacing w:val="3"/>
                <w:shd w:val="solid" w:color="000000" w:fill="000000"/>
                <w:fitText w:val="323" w:id="-1500841464"/>
                <w14:textFill>
                  <w14:solidFill>
                    <w14:srgbClr w14:val="000000">
                      <w14:alpha w14:val="100000"/>
                    </w14:srgbClr>
                  </w14:solidFill>
                </w14:textFill>
              </w:rPr>
              <w:t>|</w:t>
            </w:r>
            <w:r w:rsidRPr="00746BBB">
              <w:t xml:space="preserve">% private hospital split, representing the distribution of use for </w:t>
            </w:r>
            <w:proofErr w:type="spellStart"/>
            <w:r w:rsidRPr="00746BBB">
              <w:t>aHUS</w:t>
            </w:r>
            <w:proofErr w:type="spellEnd"/>
            <w:r w:rsidRPr="00746BBB">
              <w:t xml:space="preserve"> on the PBS.</w:t>
            </w:r>
          </w:p>
        </w:tc>
      </w:tr>
      <w:tr w:rsidR="00E04710" w:rsidRPr="00746BBB" w14:paraId="5A9509F7" w14:textId="77777777" w:rsidTr="001419B3">
        <w:tc>
          <w:tcPr>
            <w:tcW w:w="1896" w:type="dxa"/>
            <w:vAlign w:val="center"/>
          </w:tcPr>
          <w:p w14:paraId="61533662" w14:textId="77777777" w:rsidR="00E04710" w:rsidRPr="00746BBB" w:rsidRDefault="00E04710" w:rsidP="001419B3">
            <w:pPr>
              <w:pStyle w:val="TableText"/>
            </w:pPr>
            <w:r w:rsidRPr="00746BBB">
              <w:t>Dosing frequency</w:t>
            </w:r>
          </w:p>
        </w:tc>
        <w:tc>
          <w:tcPr>
            <w:tcW w:w="1375" w:type="dxa"/>
            <w:vAlign w:val="center"/>
          </w:tcPr>
          <w:p w14:paraId="505A3BBF" w14:textId="77777777" w:rsidR="00E04710" w:rsidRPr="00746BBB" w:rsidRDefault="00E04710" w:rsidP="001419B3">
            <w:pPr>
              <w:pStyle w:val="TableText"/>
              <w:jc w:val="center"/>
            </w:pPr>
            <w:r w:rsidRPr="00746BBB">
              <w:t>Every 14 days</w:t>
            </w:r>
          </w:p>
        </w:tc>
        <w:tc>
          <w:tcPr>
            <w:tcW w:w="5746" w:type="dxa"/>
            <w:vAlign w:val="center"/>
          </w:tcPr>
          <w:p w14:paraId="30B2E8AD" w14:textId="77777777" w:rsidR="00E04710" w:rsidRPr="00746BBB" w:rsidRDefault="00E04710" w:rsidP="001419B3">
            <w:pPr>
              <w:pStyle w:val="TableText"/>
            </w:pPr>
            <w:r w:rsidRPr="00746BBB">
              <w:t>Assumption.</w:t>
            </w:r>
          </w:p>
        </w:tc>
      </w:tr>
      <w:tr w:rsidR="00E04710" w:rsidRPr="00746BBB" w14:paraId="19591C24" w14:textId="77777777" w:rsidTr="001419B3">
        <w:tc>
          <w:tcPr>
            <w:tcW w:w="1896" w:type="dxa"/>
            <w:vAlign w:val="center"/>
          </w:tcPr>
          <w:p w14:paraId="22AC2FC2" w14:textId="77777777" w:rsidR="00E04710" w:rsidRPr="00746BBB" w:rsidRDefault="00E04710" w:rsidP="001419B3">
            <w:pPr>
              <w:pStyle w:val="TableText"/>
            </w:pPr>
            <w:r w:rsidRPr="00746BBB">
              <w:t>Doses/scripts per year</w:t>
            </w:r>
          </w:p>
        </w:tc>
        <w:tc>
          <w:tcPr>
            <w:tcW w:w="1375" w:type="dxa"/>
            <w:vAlign w:val="center"/>
          </w:tcPr>
          <w:p w14:paraId="42B0F5F3" w14:textId="77777777" w:rsidR="00E04710" w:rsidRPr="00746BBB" w:rsidRDefault="00E04710" w:rsidP="001419B3">
            <w:pPr>
              <w:pStyle w:val="TableText"/>
              <w:jc w:val="center"/>
            </w:pPr>
            <w:r w:rsidRPr="00746BBB">
              <w:t>26.09</w:t>
            </w:r>
          </w:p>
        </w:tc>
        <w:tc>
          <w:tcPr>
            <w:tcW w:w="5746" w:type="dxa"/>
            <w:vAlign w:val="center"/>
          </w:tcPr>
          <w:p w14:paraId="19D84844" w14:textId="77777777" w:rsidR="00E04710" w:rsidRPr="00746BBB" w:rsidRDefault="00E04710" w:rsidP="001419B3">
            <w:pPr>
              <w:pStyle w:val="TableText"/>
            </w:pPr>
            <w:r w:rsidRPr="00746BBB">
              <w:t xml:space="preserve">Calculated as 365.25 ÷ 14 days. </w:t>
            </w:r>
          </w:p>
        </w:tc>
      </w:tr>
      <w:tr w:rsidR="00E04710" w:rsidRPr="00746BBB" w14:paraId="1680F3DA" w14:textId="77777777" w:rsidTr="001419B3">
        <w:tc>
          <w:tcPr>
            <w:tcW w:w="1896" w:type="dxa"/>
            <w:vAlign w:val="center"/>
          </w:tcPr>
          <w:p w14:paraId="0A9956D7" w14:textId="77777777" w:rsidR="00E04710" w:rsidRPr="00746BBB" w:rsidRDefault="00E04710" w:rsidP="001419B3">
            <w:pPr>
              <w:pStyle w:val="TableText"/>
            </w:pPr>
            <w:r w:rsidRPr="00746BBB">
              <w:t>Annual drug cost</w:t>
            </w:r>
          </w:p>
        </w:tc>
        <w:tc>
          <w:tcPr>
            <w:tcW w:w="1375" w:type="dxa"/>
            <w:vAlign w:val="center"/>
          </w:tcPr>
          <w:p w14:paraId="37A52DB4" w14:textId="7B60B3E6" w:rsidR="00E04710" w:rsidRPr="00746BBB" w:rsidRDefault="00E04710" w:rsidP="001419B3">
            <w:pPr>
              <w:pStyle w:val="TableText"/>
              <w:jc w:val="center"/>
            </w:pPr>
            <w:r w:rsidRPr="00746BBB">
              <w:t>$</w:t>
            </w:r>
            <w:r w:rsidR="005126B1" w:rsidRPr="000A62F7">
              <w:rPr>
                <w:rFonts w:hint="eastAsia"/>
                <w:color w:val="000000"/>
                <w:w w:val="15"/>
                <w:shd w:val="solid" w:color="000000" w:fill="000000"/>
                <w:fitText w:val="15" w:id="-1500841463"/>
                <w14:textFill>
                  <w14:solidFill>
                    <w14:srgbClr w14:val="000000">
                      <w14:alpha w14:val="100000"/>
                    </w14:srgbClr>
                  </w14:solidFill>
                </w14:textFill>
              </w:rPr>
              <w:t xml:space="preserve">　</w:t>
            </w:r>
            <w:r w:rsidR="005126B1" w:rsidRPr="000A62F7">
              <w:rPr>
                <w:color w:val="000000"/>
                <w:w w:val="15"/>
                <w:shd w:val="solid" w:color="000000" w:fill="000000"/>
                <w:fitText w:val="15" w:id="-1500841463"/>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63"/>
                <w14:textFill>
                  <w14:solidFill>
                    <w14:srgbClr w14:val="000000">
                      <w14:alpha w14:val="100000"/>
                    </w14:srgbClr>
                  </w14:solidFill>
                </w14:textFill>
              </w:rPr>
              <w:t xml:space="preserve">　</w:t>
            </w:r>
          </w:p>
        </w:tc>
        <w:tc>
          <w:tcPr>
            <w:tcW w:w="5746" w:type="dxa"/>
            <w:vAlign w:val="center"/>
          </w:tcPr>
          <w:p w14:paraId="56D723B0" w14:textId="77777777" w:rsidR="00E04710" w:rsidRPr="00746BBB" w:rsidRDefault="00E04710" w:rsidP="001419B3">
            <w:pPr>
              <w:pStyle w:val="TableText"/>
            </w:pPr>
            <w:r w:rsidRPr="00746BBB">
              <w:t xml:space="preserve">The annual drug cost was calculated as cost per script x scripts per year.  </w:t>
            </w:r>
          </w:p>
        </w:tc>
      </w:tr>
      <w:tr w:rsidR="00E04710" w:rsidRPr="00746BBB" w14:paraId="639479A3" w14:textId="77777777" w:rsidTr="001419B3">
        <w:tc>
          <w:tcPr>
            <w:tcW w:w="9017" w:type="dxa"/>
            <w:gridSpan w:val="3"/>
          </w:tcPr>
          <w:p w14:paraId="6C17AEA9" w14:textId="77777777" w:rsidR="00E04710" w:rsidRPr="00746BBB" w:rsidRDefault="00E04710" w:rsidP="001419B3">
            <w:pPr>
              <w:pStyle w:val="TableText"/>
              <w:rPr>
                <w:b/>
                <w:bCs w:val="0"/>
              </w:rPr>
            </w:pPr>
            <w:r w:rsidRPr="00746BBB">
              <w:rPr>
                <w:b/>
                <w:bCs w:val="0"/>
              </w:rPr>
              <w:t xml:space="preserve">Estimated cost of </w:t>
            </w:r>
            <w:proofErr w:type="spellStart"/>
            <w:r w:rsidRPr="00746BBB">
              <w:rPr>
                <w:b/>
                <w:bCs w:val="0"/>
              </w:rPr>
              <w:t>pegcetacoplan</w:t>
            </w:r>
            <w:proofErr w:type="spellEnd"/>
          </w:p>
        </w:tc>
      </w:tr>
      <w:tr w:rsidR="00E04710" w:rsidRPr="00746BBB" w14:paraId="0A5AA26C" w14:textId="77777777" w:rsidTr="005126B1">
        <w:tc>
          <w:tcPr>
            <w:tcW w:w="1896" w:type="dxa"/>
            <w:vAlign w:val="center"/>
          </w:tcPr>
          <w:p w14:paraId="520B3FF3" w14:textId="77777777" w:rsidR="00E04710" w:rsidRPr="00746BBB" w:rsidRDefault="00E04710" w:rsidP="001419B3">
            <w:pPr>
              <w:pStyle w:val="TableText"/>
            </w:pPr>
            <w:r w:rsidRPr="00746BBB">
              <w:t>Dosing frequency</w:t>
            </w:r>
          </w:p>
        </w:tc>
        <w:tc>
          <w:tcPr>
            <w:tcW w:w="1375" w:type="dxa"/>
            <w:tcBorders>
              <w:bottom w:val="single" w:sz="4" w:space="0" w:color="auto"/>
            </w:tcBorders>
            <w:vAlign w:val="center"/>
          </w:tcPr>
          <w:p w14:paraId="14A13009" w14:textId="278B32E8" w:rsidR="00E04710" w:rsidRPr="00746BBB" w:rsidRDefault="00E04710" w:rsidP="001419B3">
            <w:pPr>
              <w:pStyle w:val="TableText"/>
              <w:jc w:val="center"/>
            </w:pPr>
            <w:r w:rsidRPr="00746BBB">
              <w:t xml:space="preserve">Every </w:t>
            </w:r>
            <w:r w:rsidR="005126B1" w:rsidRPr="005126B1">
              <w:rPr>
                <w:color w:val="000000"/>
                <w:spacing w:val="114"/>
                <w:shd w:val="solid" w:color="000000" w:fill="000000"/>
                <w:fitText w:val="200" w:id="-1500841462"/>
                <w14:textFill>
                  <w14:solidFill>
                    <w14:srgbClr w14:val="000000">
                      <w14:alpha w14:val="100000"/>
                    </w14:srgbClr>
                  </w14:solidFill>
                </w14:textFill>
              </w:rPr>
              <w:t>|</w:t>
            </w:r>
            <w:r w:rsidR="005126B1" w:rsidRPr="005126B1">
              <w:rPr>
                <w:color w:val="000000"/>
                <w:spacing w:val="1"/>
                <w:shd w:val="solid" w:color="000000" w:fill="000000"/>
                <w:fitText w:val="200" w:id="-1500841462"/>
                <w14:textFill>
                  <w14:solidFill>
                    <w14:srgbClr w14:val="000000">
                      <w14:alpha w14:val="100000"/>
                    </w14:srgbClr>
                  </w14:solidFill>
                </w14:textFill>
              </w:rPr>
              <w:t>|</w:t>
            </w:r>
            <w:r w:rsidRPr="00746BBB">
              <w:t xml:space="preserve"> days</w:t>
            </w:r>
          </w:p>
        </w:tc>
        <w:tc>
          <w:tcPr>
            <w:tcW w:w="5746" w:type="dxa"/>
            <w:vAlign w:val="center"/>
          </w:tcPr>
          <w:p w14:paraId="06BC8C2F" w14:textId="101ADE6C" w:rsidR="00E04710" w:rsidRPr="00746BBB" w:rsidRDefault="00E04710" w:rsidP="001419B3">
            <w:pPr>
              <w:pStyle w:val="TableText"/>
            </w:pPr>
            <w:r w:rsidRPr="00746BBB">
              <w:t xml:space="preserve">Based on circumstances of use of </w:t>
            </w:r>
            <w:proofErr w:type="spellStart"/>
            <w:r w:rsidRPr="00746BBB">
              <w:t>pegcetacoplan</w:t>
            </w:r>
            <w:proofErr w:type="spellEnd"/>
            <w:r w:rsidRPr="00746BBB">
              <w:t xml:space="preserve"> during the 16-week randomised controlled period of the key trial (2/41, 4.9% received dose escalation to 1,080 mg every 3 days; remaining patients received 1,080 mg twice weekly). The weighted average frequency of dosing was </w:t>
            </w:r>
            <w:r>
              <w:t xml:space="preserve">every </w:t>
            </w:r>
            <w:r w:rsidR="005126B1" w:rsidRPr="005126B1">
              <w:rPr>
                <w:color w:val="000000"/>
                <w:spacing w:val="53"/>
                <w:shd w:val="solid" w:color="000000" w:fill="000000"/>
                <w:fitText w:val="331" w:id="-1500841461"/>
                <w14:textFill>
                  <w14:solidFill>
                    <w14:srgbClr w14:val="000000">
                      <w14:alpha w14:val="100000"/>
                    </w14:srgbClr>
                  </w14:solidFill>
                </w14:textFill>
              </w:rPr>
              <w:t>|||</w:t>
            </w:r>
            <w:r w:rsidR="005126B1" w:rsidRPr="005126B1">
              <w:rPr>
                <w:color w:val="000000"/>
                <w:spacing w:val="2"/>
                <w:shd w:val="solid" w:color="000000" w:fill="000000"/>
                <w:fitText w:val="331" w:id="-1500841461"/>
                <w14:textFill>
                  <w14:solidFill>
                    <w14:srgbClr w14:val="000000">
                      <w14:alpha w14:val="100000"/>
                    </w14:srgbClr>
                  </w14:solidFill>
                </w14:textFill>
              </w:rPr>
              <w:t>|</w:t>
            </w:r>
            <w:r w:rsidRPr="00746BBB">
              <w:t xml:space="preserve"> days based on </w:t>
            </w:r>
            <w:r w:rsidR="005126B1" w:rsidRPr="005126B1">
              <w:rPr>
                <w:color w:val="000000"/>
                <w:spacing w:val="50"/>
                <w:shd w:val="solid" w:color="000000" w:fill="000000"/>
                <w:fitText w:val="323" w:id="-1500841460"/>
                <w14:textFill>
                  <w14:solidFill>
                    <w14:srgbClr w14:val="000000">
                      <w14:alpha w14:val="100000"/>
                    </w14:srgbClr>
                  </w14:solidFill>
                </w14:textFill>
              </w:rPr>
              <w:t>|||</w:t>
            </w:r>
            <w:r w:rsidR="005126B1" w:rsidRPr="005126B1">
              <w:rPr>
                <w:color w:val="000000"/>
                <w:spacing w:val="3"/>
                <w:shd w:val="solid" w:color="000000" w:fill="000000"/>
                <w:fitText w:val="323" w:id="-1500841460"/>
                <w14:textFill>
                  <w14:solidFill>
                    <w14:srgbClr w14:val="000000">
                      <w14:alpha w14:val="100000"/>
                    </w14:srgbClr>
                  </w14:solidFill>
                </w14:textFill>
              </w:rPr>
              <w:t>|</w:t>
            </w:r>
            <w:r w:rsidRPr="00746BBB">
              <w:t xml:space="preserve">% dosed every </w:t>
            </w:r>
            <w:r w:rsidR="005126B1" w:rsidRPr="005126B1">
              <w:rPr>
                <w:color w:val="000000"/>
                <w:spacing w:val="53"/>
                <w:shd w:val="solid" w:color="000000" w:fill="000000"/>
                <w:fitText w:val="331" w:id="-1500841459"/>
                <w14:textFill>
                  <w14:solidFill>
                    <w14:srgbClr w14:val="000000">
                      <w14:alpha w14:val="100000"/>
                    </w14:srgbClr>
                  </w14:solidFill>
                </w14:textFill>
              </w:rPr>
              <w:t>|||</w:t>
            </w:r>
            <w:r w:rsidR="005126B1" w:rsidRPr="005126B1">
              <w:rPr>
                <w:color w:val="000000"/>
                <w:spacing w:val="2"/>
                <w:shd w:val="solid" w:color="000000" w:fill="000000"/>
                <w:fitText w:val="331" w:id="-1500841459"/>
                <w14:textFill>
                  <w14:solidFill>
                    <w14:srgbClr w14:val="000000">
                      <w14:alpha w14:val="100000"/>
                    </w14:srgbClr>
                  </w14:solidFill>
                </w14:textFill>
              </w:rPr>
              <w:t>|</w:t>
            </w:r>
            <w:r w:rsidRPr="00746BBB">
              <w:t xml:space="preserve"> days and </w:t>
            </w:r>
            <w:r w:rsidR="005126B1" w:rsidRPr="005126B1">
              <w:rPr>
                <w:color w:val="000000"/>
                <w:spacing w:val="51"/>
                <w:shd w:val="solid" w:color="000000" w:fill="000000"/>
                <w:fitText w:val="324" w:id="-1500841458"/>
                <w14:textFill>
                  <w14:solidFill>
                    <w14:srgbClr w14:val="000000">
                      <w14:alpha w14:val="100000"/>
                    </w14:srgbClr>
                  </w14:solidFill>
                </w14:textFill>
              </w:rPr>
              <w:t>|||</w:t>
            </w:r>
            <w:r w:rsidR="005126B1" w:rsidRPr="005126B1">
              <w:rPr>
                <w:color w:val="000000"/>
                <w:spacing w:val="1"/>
                <w:shd w:val="solid" w:color="000000" w:fill="000000"/>
                <w:fitText w:val="324" w:id="-1500841458"/>
                <w14:textFill>
                  <w14:solidFill>
                    <w14:srgbClr w14:val="000000">
                      <w14:alpha w14:val="100000"/>
                    </w14:srgbClr>
                  </w14:solidFill>
                </w14:textFill>
              </w:rPr>
              <w:t>|</w:t>
            </w:r>
            <w:r w:rsidRPr="00746BBB">
              <w:t xml:space="preserve">% dosed every </w:t>
            </w:r>
            <w:r w:rsidR="005126B1" w:rsidRPr="005126B1">
              <w:rPr>
                <w:color w:val="000000"/>
                <w:spacing w:val="53"/>
                <w:shd w:val="solid" w:color="000000" w:fill="000000"/>
                <w:fitText w:val="331" w:id="-1500841457"/>
                <w14:textFill>
                  <w14:solidFill>
                    <w14:srgbClr w14:val="000000">
                      <w14:alpha w14:val="100000"/>
                    </w14:srgbClr>
                  </w14:solidFill>
                </w14:textFill>
              </w:rPr>
              <w:t>|||</w:t>
            </w:r>
            <w:r w:rsidR="005126B1" w:rsidRPr="005126B1">
              <w:rPr>
                <w:color w:val="000000"/>
                <w:spacing w:val="2"/>
                <w:shd w:val="solid" w:color="000000" w:fill="000000"/>
                <w:fitText w:val="331" w:id="-1500841457"/>
                <w14:textFill>
                  <w14:solidFill>
                    <w14:srgbClr w14:val="000000">
                      <w14:alpha w14:val="100000"/>
                    </w14:srgbClr>
                  </w14:solidFill>
                </w14:textFill>
              </w:rPr>
              <w:t>|</w:t>
            </w:r>
            <w:r w:rsidRPr="00746BBB">
              <w:t xml:space="preserve"> days.</w:t>
            </w:r>
          </w:p>
        </w:tc>
      </w:tr>
      <w:tr w:rsidR="00E04710" w:rsidRPr="00746BBB" w14:paraId="10938C8F" w14:textId="77777777" w:rsidTr="005126B1">
        <w:tc>
          <w:tcPr>
            <w:tcW w:w="1896" w:type="dxa"/>
            <w:vAlign w:val="center"/>
          </w:tcPr>
          <w:p w14:paraId="5215B751" w14:textId="77777777" w:rsidR="00E04710" w:rsidRPr="00746BBB" w:rsidRDefault="00E04710" w:rsidP="001419B3">
            <w:pPr>
              <w:pStyle w:val="TableText"/>
            </w:pPr>
            <w:r w:rsidRPr="00746BBB">
              <w:t>Doses per year</w:t>
            </w:r>
          </w:p>
        </w:tc>
        <w:tc>
          <w:tcPr>
            <w:tcW w:w="1375" w:type="dxa"/>
            <w:shd w:val="solid" w:color="000000" w:fill="000000"/>
            <w:vAlign w:val="center"/>
          </w:tcPr>
          <w:p w14:paraId="26266D1A" w14:textId="6226BC61" w:rsidR="00E04710" w:rsidRPr="00746BBB" w:rsidRDefault="005126B1" w:rsidP="001419B3">
            <w:pPr>
              <w:pStyle w:val="TableText"/>
              <w:jc w:val="center"/>
            </w:pPr>
            <w:r w:rsidRPr="005126B1">
              <w:rPr>
                <w:color w:val="000000"/>
                <w14:textFill>
                  <w14:solidFill>
                    <w14:srgbClr w14:val="000000">
                      <w14:alpha w14:val="100000"/>
                    </w14:srgbClr>
                  </w14:solidFill>
                </w14:textFill>
              </w:rPr>
              <w:t>|</w:t>
            </w:r>
          </w:p>
        </w:tc>
        <w:tc>
          <w:tcPr>
            <w:tcW w:w="5746" w:type="dxa"/>
            <w:vAlign w:val="center"/>
          </w:tcPr>
          <w:p w14:paraId="2B344DA5" w14:textId="1738C97B" w:rsidR="00E04710" w:rsidRPr="00746BBB" w:rsidRDefault="00E04710" w:rsidP="001419B3">
            <w:pPr>
              <w:pStyle w:val="TableText"/>
            </w:pPr>
            <w:r w:rsidRPr="00746BBB">
              <w:t xml:space="preserve">Calculated as 365.25 ÷ </w:t>
            </w:r>
            <w:r w:rsidR="005126B1" w:rsidRPr="005126B1">
              <w:rPr>
                <w:color w:val="000000"/>
                <w:spacing w:val="53"/>
                <w:shd w:val="solid" w:color="000000" w:fill="000000"/>
                <w:fitText w:val="331" w:id="-1500841456"/>
                <w14:textFill>
                  <w14:solidFill>
                    <w14:srgbClr w14:val="000000">
                      <w14:alpha w14:val="100000"/>
                    </w14:srgbClr>
                  </w14:solidFill>
                </w14:textFill>
              </w:rPr>
              <w:t>|||</w:t>
            </w:r>
            <w:proofErr w:type="gramStart"/>
            <w:r w:rsidR="005126B1" w:rsidRPr="005126B1">
              <w:rPr>
                <w:color w:val="000000"/>
                <w:spacing w:val="2"/>
                <w:shd w:val="solid" w:color="000000" w:fill="000000"/>
                <w:fitText w:val="331" w:id="-1500841456"/>
                <w14:textFill>
                  <w14:solidFill>
                    <w14:srgbClr w14:val="000000">
                      <w14:alpha w14:val="100000"/>
                    </w14:srgbClr>
                  </w14:solidFill>
                </w14:textFill>
              </w:rPr>
              <w:t>|</w:t>
            </w:r>
            <w:r w:rsidRPr="00427255">
              <w:t>.</w:t>
            </w:r>
            <w:r w:rsidR="005126B1" w:rsidRPr="005126B1">
              <w:rPr>
                <w:color w:val="000000"/>
                <w:spacing w:val="53"/>
                <w:shd w:val="solid" w:color="000000" w:fill="000000"/>
                <w:fitText w:val="331" w:id="-1500841472"/>
                <w14:textFill>
                  <w14:solidFill>
                    <w14:srgbClr w14:val="000000">
                      <w14:alpha w14:val="100000"/>
                    </w14:srgbClr>
                  </w14:solidFill>
                </w14:textFill>
              </w:rPr>
              <w:t>|</w:t>
            </w:r>
            <w:proofErr w:type="gramEnd"/>
            <w:r w:rsidR="005126B1" w:rsidRPr="005126B1">
              <w:rPr>
                <w:color w:val="000000"/>
                <w:spacing w:val="53"/>
                <w:shd w:val="solid" w:color="000000" w:fill="000000"/>
                <w:fitText w:val="331" w:id="-1500841472"/>
                <w14:textFill>
                  <w14:solidFill>
                    <w14:srgbClr w14:val="000000">
                      <w14:alpha w14:val="100000"/>
                    </w14:srgbClr>
                  </w14:solidFill>
                </w14:textFill>
              </w:rPr>
              <w:t>||</w:t>
            </w:r>
            <w:r w:rsidR="005126B1" w:rsidRPr="005126B1">
              <w:rPr>
                <w:color w:val="000000"/>
                <w:spacing w:val="2"/>
                <w:shd w:val="solid" w:color="000000" w:fill="000000"/>
                <w:fitText w:val="331" w:id="-1500841472"/>
                <w14:textFill>
                  <w14:solidFill>
                    <w14:srgbClr w14:val="000000">
                      <w14:alpha w14:val="100000"/>
                    </w14:srgbClr>
                  </w14:solidFill>
                </w14:textFill>
              </w:rPr>
              <w:t>|</w:t>
            </w:r>
            <w:r w:rsidRPr="00746BBB">
              <w:t xml:space="preserve"> days.  </w:t>
            </w:r>
          </w:p>
        </w:tc>
      </w:tr>
      <w:tr w:rsidR="00E04710" w:rsidRPr="00746BBB" w14:paraId="2F8C2FF3" w14:textId="77777777" w:rsidTr="005126B1">
        <w:tc>
          <w:tcPr>
            <w:tcW w:w="1896" w:type="dxa"/>
            <w:vAlign w:val="center"/>
          </w:tcPr>
          <w:p w14:paraId="078406B8" w14:textId="77777777" w:rsidR="00E04710" w:rsidRPr="00746BBB" w:rsidRDefault="00E04710" w:rsidP="001419B3">
            <w:pPr>
              <w:pStyle w:val="TableText"/>
            </w:pPr>
            <w:r w:rsidRPr="00746BBB">
              <w:t>Cost per dose</w:t>
            </w:r>
          </w:p>
        </w:tc>
        <w:tc>
          <w:tcPr>
            <w:tcW w:w="1375" w:type="dxa"/>
            <w:tcBorders>
              <w:bottom w:val="single" w:sz="4" w:space="0" w:color="auto"/>
            </w:tcBorders>
            <w:vAlign w:val="center"/>
          </w:tcPr>
          <w:p w14:paraId="6F02803B" w14:textId="113835AE" w:rsidR="00E04710" w:rsidRPr="00746BBB" w:rsidRDefault="00E04710" w:rsidP="001419B3">
            <w:pPr>
              <w:pStyle w:val="TableText"/>
              <w:jc w:val="center"/>
            </w:pPr>
            <w:r w:rsidRPr="00746BBB">
              <w:t>$</w:t>
            </w:r>
            <w:r w:rsidR="005126B1" w:rsidRPr="000A62F7">
              <w:rPr>
                <w:rFonts w:hint="eastAsia"/>
                <w:color w:val="000000"/>
                <w:w w:val="15"/>
                <w:shd w:val="solid" w:color="000000" w:fill="000000"/>
                <w:fitText w:val="15" w:id="-1500841471"/>
                <w14:textFill>
                  <w14:solidFill>
                    <w14:srgbClr w14:val="000000">
                      <w14:alpha w14:val="100000"/>
                    </w14:srgbClr>
                  </w14:solidFill>
                </w14:textFill>
              </w:rPr>
              <w:t xml:space="preserve">　</w:t>
            </w:r>
            <w:r w:rsidR="005126B1" w:rsidRPr="000A62F7">
              <w:rPr>
                <w:color w:val="000000"/>
                <w:w w:val="15"/>
                <w:shd w:val="solid" w:color="000000" w:fill="000000"/>
                <w:fitText w:val="15" w:id="-1500841471"/>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71"/>
                <w14:textFill>
                  <w14:solidFill>
                    <w14:srgbClr w14:val="000000">
                      <w14:alpha w14:val="100000"/>
                    </w14:srgbClr>
                  </w14:solidFill>
                </w14:textFill>
              </w:rPr>
              <w:t xml:space="preserve">　</w:t>
            </w:r>
          </w:p>
        </w:tc>
        <w:tc>
          <w:tcPr>
            <w:tcW w:w="5746" w:type="dxa"/>
            <w:vAlign w:val="center"/>
          </w:tcPr>
          <w:p w14:paraId="4DFE4AE6" w14:textId="77777777" w:rsidR="00E04710" w:rsidRPr="00746BBB" w:rsidRDefault="00E04710" w:rsidP="001419B3">
            <w:pPr>
              <w:pStyle w:val="TableText"/>
            </w:pPr>
            <w:r w:rsidRPr="00746BBB">
              <w:t xml:space="preserve">Calculated as annual eculizumab drug cost divided by </w:t>
            </w:r>
            <w:proofErr w:type="spellStart"/>
            <w:r>
              <w:t>pegcetacoplan</w:t>
            </w:r>
            <w:proofErr w:type="spellEnd"/>
            <w:r>
              <w:t xml:space="preserve"> </w:t>
            </w:r>
            <w:r w:rsidRPr="00746BBB">
              <w:t>doses per year.</w:t>
            </w:r>
          </w:p>
        </w:tc>
      </w:tr>
      <w:tr w:rsidR="00E04710" w:rsidRPr="00746BBB" w14:paraId="40B1342E" w14:textId="77777777" w:rsidTr="005126B1">
        <w:tc>
          <w:tcPr>
            <w:tcW w:w="1896" w:type="dxa"/>
            <w:vAlign w:val="center"/>
          </w:tcPr>
          <w:p w14:paraId="30184150" w14:textId="77777777" w:rsidR="00E04710" w:rsidRPr="00746BBB" w:rsidRDefault="00E04710" w:rsidP="001419B3">
            <w:pPr>
              <w:pStyle w:val="TableText"/>
            </w:pPr>
            <w:r w:rsidRPr="00746BBB">
              <w:t>Doses per script</w:t>
            </w:r>
          </w:p>
        </w:tc>
        <w:tc>
          <w:tcPr>
            <w:tcW w:w="1375" w:type="dxa"/>
            <w:shd w:val="solid" w:color="000000" w:fill="000000"/>
            <w:vAlign w:val="center"/>
          </w:tcPr>
          <w:p w14:paraId="2D8E7135" w14:textId="75DCC69B" w:rsidR="00E04710" w:rsidRPr="00746BBB" w:rsidRDefault="005126B1" w:rsidP="001419B3">
            <w:pPr>
              <w:pStyle w:val="TableText"/>
              <w:jc w:val="center"/>
            </w:pPr>
            <w:r w:rsidRPr="005126B1">
              <w:rPr>
                <w:color w:val="000000"/>
                <w14:textFill>
                  <w14:solidFill>
                    <w14:srgbClr w14:val="000000">
                      <w14:alpha w14:val="100000"/>
                    </w14:srgbClr>
                  </w14:solidFill>
                </w14:textFill>
              </w:rPr>
              <w:t>|</w:t>
            </w:r>
          </w:p>
        </w:tc>
        <w:tc>
          <w:tcPr>
            <w:tcW w:w="5746" w:type="dxa"/>
            <w:vAlign w:val="center"/>
          </w:tcPr>
          <w:p w14:paraId="4C99BB3F" w14:textId="77777777" w:rsidR="00E04710" w:rsidRPr="00746BBB" w:rsidRDefault="00E04710" w:rsidP="001419B3">
            <w:pPr>
              <w:pStyle w:val="TableText"/>
            </w:pPr>
            <w:r w:rsidRPr="00746BBB">
              <w:t>As per proposed PBS restriction.</w:t>
            </w:r>
          </w:p>
        </w:tc>
      </w:tr>
      <w:tr w:rsidR="00E04710" w:rsidRPr="00746BBB" w14:paraId="5900043E" w14:textId="77777777" w:rsidTr="001419B3">
        <w:tc>
          <w:tcPr>
            <w:tcW w:w="1896" w:type="dxa"/>
            <w:vAlign w:val="center"/>
          </w:tcPr>
          <w:p w14:paraId="692BAFCF" w14:textId="77777777" w:rsidR="00E04710" w:rsidRPr="00746BBB" w:rsidRDefault="00E04710" w:rsidP="001419B3">
            <w:pPr>
              <w:pStyle w:val="TableText"/>
            </w:pPr>
            <w:r w:rsidRPr="00746BBB">
              <w:t>Cost per script (DPMQ)</w:t>
            </w:r>
          </w:p>
        </w:tc>
        <w:tc>
          <w:tcPr>
            <w:tcW w:w="1375" w:type="dxa"/>
            <w:vAlign w:val="center"/>
          </w:tcPr>
          <w:p w14:paraId="4C049601" w14:textId="1E045F82" w:rsidR="00E04710" w:rsidRPr="00746BBB" w:rsidRDefault="00E04710" w:rsidP="001419B3">
            <w:pPr>
              <w:pStyle w:val="TableText"/>
              <w:jc w:val="center"/>
            </w:pPr>
            <w:r w:rsidRPr="00746BBB">
              <w:t>$</w:t>
            </w:r>
            <w:r w:rsidR="005126B1" w:rsidRPr="000A62F7">
              <w:rPr>
                <w:rFonts w:hint="eastAsia"/>
                <w:color w:val="000000"/>
                <w:w w:val="15"/>
                <w:shd w:val="solid" w:color="000000" w:fill="000000"/>
                <w:fitText w:val="15" w:id="-1500841470"/>
                <w14:textFill>
                  <w14:solidFill>
                    <w14:srgbClr w14:val="000000">
                      <w14:alpha w14:val="100000"/>
                    </w14:srgbClr>
                  </w14:solidFill>
                </w14:textFill>
              </w:rPr>
              <w:t xml:space="preserve">　</w:t>
            </w:r>
            <w:r w:rsidR="005126B1" w:rsidRPr="000A62F7">
              <w:rPr>
                <w:color w:val="000000"/>
                <w:w w:val="15"/>
                <w:shd w:val="solid" w:color="000000" w:fill="000000"/>
                <w:fitText w:val="15" w:id="-1500841470"/>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70"/>
                <w14:textFill>
                  <w14:solidFill>
                    <w14:srgbClr w14:val="000000">
                      <w14:alpha w14:val="100000"/>
                    </w14:srgbClr>
                  </w14:solidFill>
                </w14:textFill>
              </w:rPr>
              <w:t xml:space="preserve">　</w:t>
            </w:r>
          </w:p>
        </w:tc>
        <w:tc>
          <w:tcPr>
            <w:tcW w:w="5746" w:type="dxa"/>
            <w:vAlign w:val="center"/>
          </w:tcPr>
          <w:p w14:paraId="66FB7D3A" w14:textId="77777777" w:rsidR="00E04710" w:rsidRPr="00746BBB" w:rsidRDefault="00E04710" w:rsidP="001419B3">
            <w:pPr>
              <w:pStyle w:val="TableText"/>
            </w:pPr>
            <w:r w:rsidRPr="00746BBB">
              <w:t xml:space="preserve">Calculated as cost per dose x doses per script. </w:t>
            </w:r>
          </w:p>
        </w:tc>
      </w:tr>
      <w:tr w:rsidR="00E04710" w:rsidRPr="00746BBB" w14:paraId="3307753C" w14:textId="77777777" w:rsidTr="001419B3">
        <w:tc>
          <w:tcPr>
            <w:tcW w:w="1896" w:type="dxa"/>
            <w:vAlign w:val="center"/>
          </w:tcPr>
          <w:p w14:paraId="70AFA71F" w14:textId="77777777" w:rsidR="00E04710" w:rsidRPr="00746BBB" w:rsidRDefault="00E04710" w:rsidP="001419B3">
            <w:pPr>
              <w:pStyle w:val="TableText"/>
            </w:pPr>
            <w:r w:rsidRPr="00746BBB">
              <w:t>AEMP per vial</w:t>
            </w:r>
          </w:p>
        </w:tc>
        <w:tc>
          <w:tcPr>
            <w:tcW w:w="1375" w:type="dxa"/>
            <w:vAlign w:val="center"/>
          </w:tcPr>
          <w:p w14:paraId="1DAB3FFB" w14:textId="03E57FA4" w:rsidR="00E04710" w:rsidRPr="00746BBB" w:rsidRDefault="00E04710" w:rsidP="001419B3">
            <w:pPr>
              <w:pStyle w:val="TableText"/>
              <w:jc w:val="center"/>
            </w:pPr>
            <w:r w:rsidRPr="00746BBB">
              <w:t>$</w:t>
            </w:r>
            <w:r w:rsidR="005126B1" w:rsidRPr="000A62F7">
              <w:rPr>
                <w:rFonts w:hint="eastAsia"/>
                <w:color w:val="000000"/>
                <w:w w:val="15"/>
                <w:shd w:val="solid" w:color="000000" w:fill="000000"/>
                <w:fitText w:val="15" w:id="-1500841469"/>
                <w14:textFill>
                  <w14:solidFill>
                    <w14:srgbClr w14:val="000000">
                      <w14:alpha w14:val="100000"/>
                    </w14:srgbClr>
                  </w14:solidFill>
                </w14:textFill>
              </w:rPr>
              <w:t xml:space="preserve">　</w:t>
            </w:r>
            <w:r w:rsidR="005126B1" w:rsidRPr="000A62F7">
              <w:rPr>
                <w:color w:val="000000"/>
                <w:w w:val="15"/>
                <w:shd w:val="solid" w:color="000000" w:fill="000000"/>
                <w:fitText w:val="15" w:id="-1500841469"/>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69"/>
                <w14:textFill>
                  <w14:solidFill>
                    <w14:srgbClr w14:val="000000">
                      <w14:alpha w14:val="100000"/>
                    </w14:srgbClr>
                  </w14:solidFill>
                </w14:textFill>
              </w:rPr>
              <w:t xml:space="preserve">　</w:t>
            </w:r>
          </w:p>
        </w:tc>
        <w:tc>
          <w:tcPr>
            <w:tcW w:w="5746" w:type="dxa"/>
            <w:vAlign w:val="center"/>
          </w:tcPr>
          <w:p w14:paraId="4DC2536E" w14:textId="5FB61523" w:rsidR="00E04710" w:rsidRPr="00746BBB" w:rsidRDefault="00E04710" w:rsidP="001419B3">
            <w:pPr>
              <w:pStyle w:val="TableText"/>
            </w:pPr>
            <w:r w:rsidRPr="00746BBB">
              <w:t>The submission assumed a $</w:t>
            </w:r>
            <w:r w:rsidR="005126B1" w:rsidRPr="005126B1">
              <w:rPr>
                <w:color w:val="000000"/>
                <w:spacing w:val="53"/>
                <w:shd w:val="solid" w:color="000000" w:fill="000000"/>
                <w:fitText w:val="332" w:id="-1500841468"/>
                <w14:textFill>
                  <w14:solidFill>
                    <w14:srgbClr w14:val="000000">
                      <w14:alpha w14:val="100000"/>
                    </w14:srgbClr>
                  </w14:solidFill>
                </w14:textFill>
              </w:rPr>
              <w:t>|||</w:t>
            </w:r>
            <w:r w:rsidR="005126B1" w:rsidRPr="005126B1">
              <w:rPr>
                <w:color w:val="000000"/>
                <w:spacing w:val="3"/>
                <w:shd w:val="solid" w:color="000000" w:fill="000000"/>
                <w:fitText w:val="332" w:id="-1500841468"/>
                <w14:textFill>
                  <w14:solidFill>
                    <w14:srgbClr w14:val="000000">
                      <w14:alpha w14:val="100000"/>
                    </w14:srgbClr>
                  </w14:solidFill>
                </w14:textFill>
              </w:rPr>
              <w:t>|</w:t>
            </w:r>
            <w:r w:rsidRPr="00746BBB">
              <w:t xml:space="preserve"> fee and $</w:t>
            </w:r>
            <w:r w:rsidR="005126B1" w:rsidRPr="005126B1">
              <w:rPr>
                <w:color w:val="000000"/>
                <w:spacing w:val="53"/>
                <w:shd w:val="solid" w:color="000000" w:fill="000000"/>
                <w:fitText w:val="331" w:id="-1500841467"/>
                <w14:textFill>
                  <w14:solidFill>
                    <w14:srgbClr w14:val="000000">
                      <w14:alpha w14:val="100000"/>
                    </w14:srgbClr>
                  </w14:solidFill>
                </w14:textFill>
              </w:rPr>
              <w:t>|||</w:t>
            </w:r>
            <w:r w:rsidR="005126B1" w:rsidRPr="005126B1">
              <w:rPr>
                <w:color w:val="000000"/>
                <w:spacing w:val="2"/>
                <w:shd w:val="solid" w:color="000000" w:fill="000000"/>
                <w:fitText w:val="331" w:id="-1500841467"/>
                <w14:textFill>
                  <w14:solidFill>
                    <w14:srgbClr w14:val="000000">
                      <w14:alpha w14:val="100000"/>
                    </w14:srgbClr>
                  </w14:solidFill>
                </w14:textFill>
              </w:rPr>
              <w:t>|</w:t>
            </w:r>
            <w:r w:rsidRPr="00746BBB">
              <w:t xml:space="preserve"> mark-up would be applied to the Section 100 – HSD (Community Access) listing. The estimated AEMP for </w:t>
            </w:r>
            <w:r w:rsidR="005126B1" w:rsidRPr="005126B1">
              <w:rPr>
                <w:color w:val="000000"/>
                <w:spacing w:val="53"/>
                <w:shd w:val="solid" w:color="000000" w:fill="000000"/>
                <w:fitText w:val="331" w:id="-1500841466"/>
                <w14:textFill>
                  <w14:solidFill>
                    <w14:srgbClr w14:val="000000">
                      <w14:alpha w14:val="100000"/>
                    </w14:srgbClr>
                  </w14:solidFill>
                </w14:textFill>
              </w:rPr>
              <w:t>|||</w:t>
            </w:r>
            <w:r w:rsidR="005126B1" w:rsidRPr="005126B1">
              <w:rPr>
                <w:color w:val="000000"/>
                <w:spacing w:val="2"/>
                <w:shd w:val="solid" w:color="000000" w:fill="000000"/>
                <w:fitText w:val="331" w:id="-1500841466"/>
                <w14:textFill>
                  <w14:solidFill>
                    <w14:srgbClr w14:val="000000">
                      <w14:alpha w14:val="100000"/>
                    </w14:srgbClr>
                  </w14:solidFill>
                </w14:textFill>
              </w:rPr>
              <w:t>|</w:t>
            </w:r>
            <w:r w:rsidRPr="00746BBB">
              <w:t xml:space="preserve"> vials </w:t>
            </w:r>
            <w:proofErr w:type="gramStart"/>
            <w:r w:rsidRPr="00746BBB">
              <w:t>was</w:t>
            </w:r>
            <w:proofErr w:type="gramEnd"/>
            <w:r w:rsidRPr="00746BBB">
              <w:t xml:space="preserve"> calculated as $</w:t>
            </w:r>
            <w:r w:rsidR="005126B1" w:rsidRPr="005126B1">
              <w:rPr>
                <w:color w:val="000000"/>
                <w:spacing w:val="53"/>
                <w:shd w:val="solid" w:color="000000" w:fill="000000"/>
                <w:fitText w:val="331" w:id="-1500841465"/>
                <w14:textFill>
                  <w14:solidFill>
                    <w14:srgbClr w14:val="000000">
                      <w14:alpha w14:val="100000"/>
                    </w14:srgbClr>
                  </w14:solidFill>
                </w14:textFill>
              </w:rPr>
              <w:t>|||</w:t>
            </w:r>
            <w:r w:rsidR="005126B1" w:rsidRPr="005126B1">
              <w:rPr>
                <w:color w:val="000000"/>
                <w:spacing w:val="2"/>
                <w:shd w:val="solid" w:color="000000" w:fill="000000"/>
                <w:fitText w:val="331" w:id="-1500841465"/>
                <w14:textFill>
                  <w14:solidFill>
                    <w14:srgbClr w14:val="000000">
                      <w14:alpha w14:val="100000"/>
                    </w14:srgbClr>
                  </w14:solidFill>
                </w14:textFill>
              </w:rPr>
              <w:t>|</w:t>
            </w:r>
            <w:r w:rsidRPr="00746BBB">
              <w:t xml:space="preserve"> - $</w:t>
            </w:r>
            <w:r w:rsidR="005126B1" w:rsidRPr="005126B1">
              <w:rPr>
                <w:color w:val="000000"/>
                <w:spacing w:val="53"/>
                <w:shd w:val="solid" w:color="000000" w:fill="000000"/>
                <w:fitText w:val="331" w:id="-1500841464"/>
                <w14:textFill>
                  <w14:solidFill>
                    <w14:srgbClr w14:val="000000">
                      <w14:alpha w14:val="100000"/>
                    </w14:srgbClr>
                  </w14:solidFill>
                </w14:textFill>
              </w:rPr>
              <w:t>|||</w:t>
            </w:r>
            <w:r w:rsidR="005126B1" w:rsidRPr="005126B1">
              <w:rPr>
                <w:color w:val="000000"/>
                <w:spacing w:val="2"/>
                <w:shd w:val="solid" w:color="000000" w:fill="000000"/>
                <w:fitText w:val="331" w:id="-1500841464"/>
                <w14:textFill>
                  <w14:solidFill>
                    <w14:srgbClr w14:val="000000">
                      <w14:alpha w14:val="100000"/>
                    </w14:srgbClr>
                  </w14:solidFill>
                </w14:textFill>
              </w:rPr>
              <w:t>|</w:t>
            </w:r>
            <w:r w:rsidRPr="00746BBB">
              <w:t xml:space="preserve"> = $</w:t>
            </w:r>
            <w:r w:rsidR="005126B1" w:rsidRPr="005126B1">
              <w:rPr>
                <w:color w:val="000000"/>
                <w:spacing w:val="53"/>
                <w:shd w:val="solid" w:color="000000" w:fill="000000"/>
                <w:fitText w:val="332" w:id="-1500841463"/>
                <w14:textFill>
                  <w14:solidFill>
                    <w14:srgbClr w14:val="000000">
                      <w14:alpha w14:val="100000"/>
                    </w14:srgbClr>
                  </w14:solidFill>
                </w14:textFill>
              </w:rPr>
              <w:t>|||</w:t>
            </w:r>
            <w:r w:rsidR="005126B1" w:rsidRPr="005126B1">
              <w:rPr>
                <w:color w:val="000000"/>
                <w:spacing w:val="3"/>
                <w:shd w:val="solid" w:color="000000" w:fill="000000"/>
                <w:fitText w:val="332" w:id="-1500841463"/>
                <w14:textFill>
                  <w14:solidFill>
                    <w14:srgbClr w14:val="000000">
                      <w14:alpha w14:val="100000"/>
                    </w14:srgbClr>
                  </w14:solidFill>
                </w14:textFill>
              </w:rPr>
              <w:t>|</w:t>
            </w:r>
            <w:r w:rsidRPr="00746BBB">
              <w:t xml:space="preserve"> The estimated AEMP per vial was calculated as $</w:t>
            </w:r>
            <w:r w:rsidR="005126B1" w:rsidRPr="005126B1">
              <w:rPr>
                <w:color w:val="000000"/>
                <w:spacing w:val="51"/>
                <w:shd w:val="solid" w:color="000000" w:fill="000000"/>
                <w:fitText w:val="324" w:id="-1500841462"/>
                <w14:textFill>
                  <w14:solidFill>
                    <w14:srgbClr w14:val="000000">
                      <w14:alpha w14:val="100000"/>
                    </w14:srgbClr>
                  </w14:solidFill>
                </w14:textFill>
              </w:rPr>
              <w:t>|||</w:t>
            </w:r>
            <w:r w:rsidR="005126B1" w:rsidRPr="005126B1">
              <w:rPr>
                <w:color w:val="000000"/>
                <w:spacing w:val="1"/>
                <w:shd w:val="solid" w:color="000000" w:fill="000000"/>
                <w:fitText w:val="324" w:id="-1500841462"/>
                <w14:textFill>
                  <w14:solidFill>
                    <w14:srgbClr w14:val="000000">
                      <w14:alpha w14:val="100000"/>
                    </w14:srgbClr>
                  </w14:solidFill>
                </w14:textFill>
              </w:rPr>
              <w:t>|</w:t>
            </w:r>
            <w:r w:rsidRPr="00746BBB">
              <w:t xml:space="preserve"> ÷ </w:t>
            </w:r>
            <w:r w:rsidR="005126B1" w:rsidRPr="005126B1">
              <w:rPr>
                <w:color w:val="000000"/>
                <w:spacing w:val="50"/>
                <w:shd w:val="solid" w:color="000000" w:fill="000000"/>
                <w:fitText w:val="323" w:id="-1500841461"/>
                <w14:textFill>
                  <w14:solidFill>
                    <w14:srgbClr w14:val="000000">
                      <w14:alpha w14:val="100000"/>
                    </w14:srgbClr>
                  </w14:solidFill>
                </w14:textFill>
              </w:rPr>
              <w:t>|||</w:t>
            </w:r>
            <w:r w:rsidR="005126B1" w:rsidRPr="005126B1">
              <w:rPr>
                <w:color w:val="000000"/>
                <w:spacing w:val="3"/>
                <w:shd w:val="solid" w:color="000000" w:fill="000000"/>
                <w:fitText w:val="323" w:id="-1500841461"/>
                <w14:textFill>
                  <w14:solidFill>
                    <w14:srgbClr w14:val="000000">
                      <w14:alpha w14:val="100000"/>
                    </w14:srgbClr>
                  </w14:solidFill>
                </w14:textFill>
              </w:rPr>
              <w:t>|</w:t>
            </w:r>
            <w:r w:rsidRPr="00746BBB">
              <w:t xml:space="preserve"> = $</w:t>
            </w:r>
            <w:r w:rsidR="005126B1" w:rsidRPr="005126B1">
              <w:rPr>
                <w:color w:val="000000"/>
                <w:spacing w:val="53"/>
                <w:shd w:val="solid" w:color="000000" w:fill="000000"/>
                <w:fitText w:val="332" w:id="-1500841460"/>
                <w14:textFill>
                  <w14:solidFill>
                    <w14:srgbClr w14:val="000000">
                      <w14:alpha w14:val="100000"/>
                    </w14:srgbClr>
                  </w14:solidFill>
                </w14:textFill>
              </w:rPr>
              <w:t>|||</w:t>
            </w:r>
            <w:r w:rsidR="005126B1" w:rsidRPr="005126B1">
              <w:rPr>
                <w:color w:val="000000"/>
                <w:spacing w:val="3"/>
                <w:shd w:val="solid" w:color="000000" w:fill="000000"/>
                <w:fitText w:val="332" w:id="-1500841460"/>
                <w14:textFill>
                  <w14:solidFill>
                    <w14:srgbClr w14:val="000000">
                      <w14:alpha w14:val="100000"/>
                    </w14:srgbClr>
                  </w14:solidFill>
                </w14:textFill>
              </w:rPr>
              <w:t>|</w:t>
            </w:r>
            <w:r w:rsidRPr="00746BBB">
              <w:t>.</w:t>
            </w:r>
          </w:p>
        </w:tc>
      </w:tr>
      <w:tr w:rsidR="00E04710" w:rsidRPr="00746BBB" w14:paraId="0A041BE1" w14:textId="77777777" w:rsidTr="001419B3">
        <w:tc>
          <w:tcPr>
            <w:tcW w:w="9017" w:type="dxa"/>
            <w:gridSpan w:val="3"/>
            <w:vAlign w:val="center"/>
          </w:tcPr>
          <w:p w14:paraId="40294335" w14:textId="77777777" w:rsidR="00E04710" w:rsidRPr="00746BBB" w:rsidRDefault="00E04710" w:rsidP="001419B3">
            <w:pPr>
              <w:pStyle w:val="TableText"/>
              <w:rPr>
                <w:b/>
                <w:bCs w:val="0"/>
              </w:rPr>
            </w:pPr>
            <w:r w:rsidRPr="00746BBB">
              <w:rPr>
                <w:b/>
                <w:bCs w:val="0"/>
              </w:rPr>
              <w:t xml:space="preserve">Estimated cost of </w:t>
            </w:r>
            <w:proofErr w:type="spellStart"/>
            <w:r w:rsidRPr="00746BBB">
              <w:rPr>
                <w:b/>
                <w:bCs w:val="0"/>
              </w:rPr>
              <w:t>ravulizumab</w:t>
            </w:r>
            <w:proofErr w:type="spellEnd"/>
          </w:p>
        </w:tc>
      </w:tr>
      <w:tr w:rsidR="00E04710" w:rsidRPr="00746BBB" w14:paraId="6045F8AA" w14:textId="77777777" w:rsidTr="001419B3">
        <w:tc>
          <w:tcPr>
            <w:tcW w:w="1896" w:type="dxa"/>
            <w:vAlign w:val="center"/>
          </w:tcPr>
          <w:p w14:paraId="5AAE2F20" w14:textId="77777777" w:rsidR="00E04710" w:rsidRPr="00746BBB" w:rsidRDefault="00E04710" w:rsidP="001419B3">
            <w:pPr>
              <w:pStyle w:val="TableText"/>
            </w:pPr>
            <w:r w:rsidRPr="00746BBB">
              <w:t>Doses per year</w:t>
            </w:r>
          </w:p>
        </w:tc>
        <w:tc>
          <w:tcPr>
            <w:tcW w:w="1375" w:type="dxa"/>
            <w:vAlign w:val="center"/>
          </w:tcPr>
          <w:p w14:paraId="6752B4CA" w14:textId="77777777" w:rsidR="00E04710" w:rsidRPr="00746BBB" w:rsidRDefault="00E04710" w:rsidP="001419B3">
            <w:pPr>
              <w:pStyle w:val="TableText"/>
              <w:jc w:val="center"/>
            </w:pPr>
            <w:r w:rsidRPr="00746BBB">
              <w:t>6.52</w:t>
            </w:r>
          </w:p>
        </w:tc>
        <w:tc>
          <w:tcPr>
            <w:tcW w:w="5746" w:type="dxa"/>
            <w:vAlign w:val="center"/>
          </w:tcPr>
          <w:p w14:paraId="6AEEA53D" w14:textId="77777777" w:rsidR="00E04710" w:rsidRPr="00746BBB" w:rsidRDefault="00E04710" w:rsidP="001419B3">
            <w:pPr>
              <w:pStyle w:val="TableText"/>
            </w:pPr>
            <w:r w:rsidRPr="00746BBB">
              <w:t>Calculated based on recommended 8-weekly dosing interval (365.25 ÷ 56).</w:t>
            </w:r>
          </w:p>
        </w:tc>
      </w:tr>
      <w:tr w:rsidR="00E04710" w:rsidRPr="00746BBB" w14:paraId="13A7B41E" w14:textId="77777777" w:rsidTr="001419B3">
        <w:tc>
          <w:tcPr>
            <w:tcW w:w="1896" w:type="dxa"/>
            <w:vAlign w:val="center"/>
          </w:tcPr>
          <w:p w14:paraId="776173FC" w14:textId="77777777" w:rsidR="00E04710" w:rsidRPr="00746BBB" w:rsidRDefault="00E04710" w:rsidP="001419B3">
            <w:pPr>
              <w:pStyle w:val="TableText"/>
            </w:pPr>
            <w:r w:rsidRPr="00746BBB">
              <w:t xml:space="preserve">Vials per dose </w:t>
            </w:r>
          </w:p>
        </w:tc>
        <w:tc>
          <w:tcPr>
            <w:tcW w:w="1375" w:type="dxa"/>
            <w:vAlign w:val="center"/>
          </w:tcPr>
          <w:p w14:paraId="70AB8FC4" w14:textId="77777777" w:rsidR="00E04710" w:rsidRPr="00746BBB" w:rsidRDefault="00E04710" w:rsidP="001419B3">
            <w:pPr>
              <w:pStyle w:val="TableText"/>
              <w:jc w:val="center"/>
            </w:pPr>
            <w:r w:rsidRPr="00746BBB">
              <w:t>11</w:t>
            </w:r>
          </w:p>
        </w:tc>
        <w:tc>
          <w:tcPr>
            <w:tcW w:w="5746" w:type="dxa"/>
            <w:vAlign w:val="center"/>
          </w:tcPr>
          <w:p w14:paraId="00B750E9" w14:textId="77777777" w:rsidR="00E04710" w:rsidRPr="00746BBB" w:rsidRDefault="00E04710" w:rsidP="001419B3">
            <w:pPr>
              <w:pStyle w:val="TableText"/>
            </w:pPr>
            <w:r w:rsidRPr="00746BBB">
              <w:t xml:space="preserve">Estimated </w:t>
            </w:r>
            <w:bookmarkStart w:id="33" w:name="_Hlk99976357"/>
            <w:r w:rsidRPr="00746BBB">
              <w:t xml:space="preserve">maintenance dose of </w:t>
            </w:r>
            <w:proofErr w:type="spellStart"/>
            <w:r w:rsidRPr="00746BBB">
              <w:t>ravulizumab</w:t>
            </w:r>
            <w:proofErr w:type="spellEnd"/>
            <w:r w:rsidRPr="00746BBB">
              <w:t xml:space="preserve"> was 3,300 mg based on mean weight from the PEGASUS trial of 75.3 kg</w:t>
            </w:r>
            <w:bookmarkEnd w:id="33"/>
            <w:r w:rsidRPr="00746BBB">
              <w:t xml:space="preserve">. Calculated using 300 mg vial size. </w:t>
            </w:r>
          </w:p>
        </w:tc>
      </w:tr>
      <w:tr w:rsidR="00E04710" w:rsidRPr="00746BBB" w14:paraId="1023BABF" w14:textId="77777777" w:rsidTr="001419B3">
        <w:tc>
          <w:tcPr>
            <w:tcW w:w="1896" w:type="dxa"/>
            <w:vAlign w:val="center"/>
          </w:tcPr>
          <w:p w14:paraId="23B5A297" w14:textId="77777777" w:rsidR="00E04710" w:rsidRPr="00746BBB" w:rsidRDefault="00E04710" w:rsidP="001419B3">
            <w:pPr>
              <w:pStyle w:val="TableText"/>
            </w:pPr>
            <w:r w:rsidRPr="00746BBB">
              <w:t xml:space="preserve">Doses per script </w:t>
            </w:r>
          </w:p>
        </w:tc>
        <w:tc>
          <w:tcPr>
            <w:tcW w:w="1375" w:type="dxa"/>
            <w:vAlign w:val="center"/>
          </w:tcPr>
          <w:p w14:paraId="0A2B48F9" w14:textId="77777777" w:rsidR="00E04710" w:rsidRPr="00746BBB" w:rsidRDefault="00E04710" w:rsidP="001419B3">
            <w:pPr>
              <w:pStyle w:val="TableText"/>
              <w:jc w:val="center"/>
            </w:pPr>
            <w:r w:rsidRPr="00746BBB">
              <w:t xml:space="preserve">1 </w:t>
            </w:r>
          </w:p>
        </w:tc>
        <w:tc>
          <w:tcPr>
            <w:tcW w:w="5746" w:type="dxa"/>
            <w:vAlign w:val="center"/>
          </w:tcPr>
          <w:p w14:paraId="399B2693" w14:textId="77777777" w:rsidR="00E04710" w:rsidRPr="00746BBB" w:rsidRDefault="00E04710" w:rsidP="001419B3">
            <w:pPr>
              <w:pStyle w:val="TableText"/>
            </w:pPr>
            <w:r w:rsidRPr="00746BBB">
              <w:t>Assumption.</w:t>
            </w:r>
          </w:p>
        </w:tc>
      </w:tr>
      <w:tr w:rsidR="00E04710" w:rsidRPr="00746BBB" w14:paraId="3ACF9D8F" w14:textId="77777777" w:rsidTr="001419B3">
        <w:tc>
          <w:tcPr>
            <w:tcW w:w="1896" w:type="dxa"/>
            <w:vAlign w:val="center"/>
          </w:tcPr>
          <w:p w14:paraId="45BFEB62" w14:textId="77777777" w:rsidR="00E04710" w:rsidRPr="00746BBB" w:rsidRDefault="00E04710" w:rsidP="001419B3">
            <w:pPr>
              <w:pStyle w:val="TableText"/>
            </w:pPr>
            <w:r w:rsidRPr="00746BBB">
              <w:t>Cost per script (weighted DPMQ)</w:t>
            </w:r>
          </w:p>
        </w:tc>
        <w:tc>
          <w:tcPr>
            <w:tcW w:w="1375" w:type="dxa"/>
            <w:vAlign w:val="center"/>
          </w:tcPr>
          <w:p w14:paraId="6EB5D8B4" w14:textId="2A4B95AE" w:rsidR="00E04710" w:rsidRPr="000948F8" w:rsidRDefault="00E04710" w:rsidP="001419B3">
            <w:pPr>
              <w:pStyle w:val="TableText"/>
              <w:jc w:val="center"/>
              <w:rPr>
                <w:highlight w:val="green"/>
              </w:rPr>
            </w:pPr>
            <w:r w:rsidRPr="000948F8">
              <w:t>$</w:t>
            </w:r>
            <w:r w:rsidR="005126B1" w:rsidRPr="000A62F7">
              <w:rPr>
                <w:rFonts w:hint="eastAsia"/>
                <w:color w:val="000000"/>
                <w:w w:val="15"/>
                <w:shd w:val="solid" w:color="000000" w:fill="000000"/>
                <w:fitText w:val="15" w:id="-1500841459"/>
                <w14:textFill>
                  <w14:solidFill>
                    <w14:srgbClr w14:val="000000">
                      <w14:alpha w14:val="100000"/>
                    </w14:srgbClr>
                  </w14:solidFill>
                </w14:textFill>
              </w:rPr>
              <w:t xml:space="preserve">　</w:t>
            </w:r>
            <w:r w:rsidR="005126B1" w:rsidRPr="000A62F7">
              <w:rPr>
                <w:color w:val="000000"/>
                <w:w w:val="15"/>
                <w:shd w:val="solid" w:color="000000" w:fill="000000"/>
                <w:fitText w:val="15" w:id="-1500841459"/>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59"/>
                <w14:textFill>
                  <w14:solidFill>
                    <w14:srgbClr w14:val="000000">
                      <w14:alpha w14:val="100000"/>
                    </w14:srgbClr>
                  </w14:solidFill>
                </w14:textFill>
              </w:rPr>
              <w:t xml:space="preserve">　</w:t>
            </w:r>
          </w:p>
        </w:tc>
        <w:tc>
          <w:tcPr>
            <w:tcW w:w="5746" w:type="dxa"/>
            <w:vAlign w:val="center"/>
          </w:tcPr>
          <w:p w14:paraId="514763E1" w14:textId="032E3E1F" w:rsidR="00E04710" w:rsidRPr="00746BBB" w:rsidRDefault="00E04710" w:rsidP="001419B3">
            <w:pPr>
              <w:pStyle w:val="TableText"/>
            </w:pPr>
            <w:r w:rsidRPr="00746BBB">
              <w:t>Calculated using estimated annual cost of eculizumab ($</w:t>
            </w:r>
            <w:r w:rsidR="005126B1" w:rsidRPr="005126B1">
              <w:rPr>
                <w:color w:val="000000"/>
                <w:spacing w:val="53"/>
                <w:shd w:val="solid" w:color="000000" w:fill="000000"/>
                <w:fitText w:val="331" w:id="-1500841458"/>
                <w14:textFill>
                  <w14:solidFill>
                    <w14:srgbClr w14:val="000000">
                      <w14:alpha w14:val="100000"/>
                    </w14:srgbClr>
                  </w14:solidFill>
                </w14:textFill>
              </w:rPr>
              <w:t>|||</w:t>
            </w:r>
            <w:r w:rsidR="005126B1" w:rsidRPr="005126B1">
              <w:rPr>
                <w:color w:val="000000"/>
                <w:spacing w:val="2"/>
                <w:shd w:val="solid" w:color="000000" w:fill="000000"/>
                <w:fitText w:val="331" w:id="-1500841458"/>
                <w14:textFill>
                  <w14:solidFill>
                    <w14:srgbClr w14:val="000000">
                      <w14:alpha w14:val="100000"/>
                    </w14:srgbClr>
                  </w14:solidFill>
                </w14:textFill>
              </w:rPr>
              <w:t>|</w:t>
            </w:r>
            <w:r w:rsidRPr="00746BBB">
              <w:t xml:space="preserve">) divided by the number of </w:t>
            </w:r>
            <w:proofErr w:type="spellStart"/>
            <w:r>
              <w:t>ravulizumab</w:t>
            </w:r>
            <w:proofErr w:type="spellEnd"/>
            <w:r>
              <w:t xml:space="preserve"> </w:t>
            </w:r>
            <w:r w:rsidRPr="00746BBB">
              <w:t>doses per year (6.52).</w:t>
            </w:r>
          </w:p>
        </w:tc>
      </w:tr>
      <w:tr w:rsidR="00E04710" w:rsidRPr="00746BBB" w14:paraId="2021EAD9" w14:textId="77777777" w:rsidTr="001419B3">
        <w:tc>
          <w:tcPr>
            <w:tcW w:w="1896" w:type="dxa"/>
            <w:vAlign w:val="center"/>
          </w:tcPr>
          <w:p w14:paraId="49DC433A" w14:textId="77777777" w:rsidR="00E04710" w:rsidRPr="00746BBB" w:rsidRDefault="00E04710" w:rsidP="001419B3">
            <w:pPr>
              <w:pStyle w:val="TableText"/>
            </w:pPr>
            <w:r w:rsidRPr="00746BBB">
              <w:t>AEMP per vial</w:t>
            </w:r>
          </w:p>
        </w:tc>
        <w:tc>
          <w:tcPr>
            <w:tcW w:w="1375" w:type="dxa"/>
            <w:vAlign w:val="center"/>
          </w:tcPr>
          <w:p w14:paraId="220BDE77" w14:textId="6EE8271C" w:rsidR="00E04710" w:rsidRPr="00746BBB" w:rsidRDefault="00E04710" w:rsidP="001419B3">
            <w:pPr>
              <w:pStyle w:val="TableText"/>
              <w:jc w:val="center"/>
            </w:pPr>
            <w:r w:rsidRPr="00746BBB">
              <w:t>$</w:t>
            </w:r>
            <w:r w:rsidR="005126B1" w:rsidRPr="000A62F7">
              <w:rPr>
                <w:rFonts w:hint="eastAsia"/>
                <w:color w:val="000000"/>
                <w:w w:val="15"/>
                <w:shd w:val="solid" w:color="000000" w:fill="000000"/>
                <w:fitText w:val="15" w:id="-1500841457"/>
                <w14:textFill>
                  <w14:solidFill>
                    <w14:srgbClr w14:val="000000">
                      <w14:alpha w14:val="100000"/>
                    </w14:srgbClr>
                  </w14:solidFill>
                </w14:textFill>
              </w:rPr>
              <w:t xml:space="preserve">　</w:t>
            </w:r>
            <w:r w:rsidR="005126B1" w:rsidRPr="000A62F7">
              <w:rPr>
                <w:color w:val="000000"/>
                <w:w w:val="15"/>
                <w:shd w:val="solid" w:color="000000" w:fill="000000"/>
                <w:fitText w:val="15" w:id="-1500841457"/>
                <w14:textFill>
                  <w14:solidFill>
                    <w14:srgbClr w14:val="000000">
                      <w14:alpha w14:val="100000"/>
                    </w14:srgbClr>
                  </w14:solidFill>
                </w14:textFill>
              </w:rPr>
              <w:t>|</w:t>
            </w:r>
            <w:r w:rsidR="005126B1" w:rsidRPr="000A62F7">
              <w:rPr>
                <w:rFonts w:hint="eastAsia"/>
                <w:color w:val="000000"/>
                <w:spacing w:val="-50"/>
                <w:w w:val="15"/>
                <w:shd w:val="solid" w:color="000000" w:fill="000000"/>
                <w:fitText w:val="15" w:id="-1500841457"/>
                <w14:textFill>
                  <w14:solidFill>
                    <w14:srgbClr w14:val="000000">
                      <w14:alpha w14:val="100000"/>
                    </w14:srgbClr>
                  </w14:solidFill>
                </w14:textFill>
              </w:rPr>
              <w:t xml:space="preserve">　</w:t>
            </w:r>
          </w:p>
        </w:tc>
        <w:tc>
          <w:tcPr>
            <w:tcW w:w="5746" w:type="dxa"/>
            <w:vAlign w:val="center"/>
          </w:tcPr>
          <w:p w14:paraId="3C623F44" w14:textId="06243B66" w:rsidR="00E04710" w:rsidRPr="00746BBB" w:rsidRDefault="00E04710" w:rsidP="001419B3">
            <w:pPr>
              <w:pStyle w:val="TableText"/>
            </w:pPr>
            <w:r w:rsidRPr="00746BBB">
              <w:t>The AEMP for 11 vials was estimated by back calculating the public ($</w:t>
            </w:r>
            <w:r w:rsidR="005126B1" w:rsidRPr="005126B1">
              <w:rPr>
                <w:color w:val="000000"/>
                <w:spacing w:val="53"/>
                <w:shd w:val="solid" w:color="000000" w:fill="000000"/>
                <w:fitText w:val="331" w:id="-1500841456"/>
                <w14:textFill>
                  <w14:solidFill>
                    <w14:srgbClr w14:val="000000">
                      <w14:alpha w14:val="100000"/>
                    </w14:srgbClr>
                  </w14:solidFill>
                </w14:textFill>
              </w:rPr>
              <w:t>|||</w:t>
            </w:r>
            <w:r w:rsidR="005126B1" w:rsidRPr="005126B1">
              <w:rPr>
                <w:color w:val="000000"/>
                <w:spacing w:val="2"/>
                <w:shd w:val="solid" w:color="000000" w:fill="000000"/>
                <w:fitText w:val="331" w:id="-1500841456"/>
                <w14:textFill>
                  <w14:solidFill>
                    <w14:srgbClr w14:val="000000">
                      <w14:alpha w14:val="100000"/>
                    </w14:srgbClr>
                  </w14:solidFill>
                </w14:textFill>
              </w:rPr>
              <w:t>|</w:t>
            </w:r>
            <w:r w:rsidRPr="00746BBB">
              <w:t>) and private hospital DPMQ ($</w:t>
            </w:r>
            <w:r w:rsidR="005126B1" w:rsidRPr="005126B1">
              <w:rPr>
                <w:color w:val="000000"/>
                <w:spacing w:val="51"/>
                <w:shd w:val="solid" w:color="000000" w:fill="000000"/>
                <w:fitText w:val="324" w:id="-1500841472"/>
                <w14:textFill>
                  <w14:solidFill>
                    <w14:srgbClr w14:val="000000">
                      <w14:alpha w14:val="100000"/>
                    </w14:srgbClr>
                  </w14:solidFill>
                </w14:textFill>
              </w:rPr>
              <w:t>|||</w:t>
            </w:r>
            <w:r w:rsidR="005126B1" w:rsidRPr="005126B1">
              <w:rPr>
                <w:color w:val="000000"/>
                <w:spacing w:val="1"/>
                <w:shd w:val="solid" w:color="000000" w:fill="000000"/>
                <w:fitText w:val="324" w:id="-1500841472"/>
                <w14:textFill>
                  <w14:solidFill>
                    <w14:srgbClr w14:val="000000">
                      <w14:alpha w14:val="100000"/>
                    </w14:srgbClr>
                  </w14:solidFill>
                </w14:textFill>
              </w:rPr>
              <w:t>|</w:t>
            </w:r>
            <w:r w:rsidRPr="00746BBB">
              <w:t xml:space="preserve">) assuming a </w:t>
            </w:r>
            <w:r w:rsidRPr="000948F8">
              <w:t>90</w:t>
            </w:r>
            <w:r w:rsidRPr="00746BBB">
              <w:t>%/</w:t>
            </w:r>
            <w:r w:rsidRPr="000948F8">
              <w:t>10</w:t>
            </w:r>
            <w:r w:rsidRPr="00746BBB">
              <w:t xml:space="preserve">% public/private split (same as eculizumab for </w:t>
            </w:r>
            <w:proofErr w:type="spellStart"/>
            <w:r w:rsidRPr="00746BBB">
              <w:t>aHUS</w:t>
            </w:r>
            <w:proofErr w:type="spellEnd"/>
            <w:r w:rsidRPr="00746BBB">
              <w:t xml:space="preserve"> on the PBS). The AEMP per vial was calculated as $67,702.52 ÷ 11. </w:t>
            </w:r>
          </w:p>
        </w:tc>
      </w:tr>
    </w:tbl>
    <w:p w14:paraId="503B43D3" w14:textId="77777777" w:rsidR="00E04710" w:rsidRPr="00746BBB" w:rsidRDefault="00E04710" w:rsidP="00E04710">
      <w:pPr>
        <w:pStyle w:val="TableFooter"/>
      </w:pPr>
      <w:r w:rsidRPr="00746BBB">
        <w:t>Source: Table 3-10, p 140; Table 3-11, p 141 of the submission</w:t>
      </w:r>
    </w:p>
    <w:p w14:paraId="0CA5C9F3" w14:textId="77777777" w:rsidR="00E04710" w:rsidRDefault="00E04710" w:rsidP="00E04710">
      <w:pPr>
        <w:pStyle w:val="TableFooter"/>
      </w:pPr>
      <w:r w:rsidRPr="00746BBB">
        <w:t>Abbreviations: AEMP, ex-manufacturer price; DPMQ, dispensed price maximum quantity</w:t>
      </w:r>
    </w:p>
    <w:p w14:paraId="56932F1A" w14:textId="77777777" w:rsidR="00142541" w:rsidRDefault="00142541" w:rsidP="00142541">
      <w:pPr>
        <w:pStyle w:val="TableFooter"/>
      </w:pPr>
    </w:p>
    <w:p w14:paraId="299C893B" w14:textId="5C6474E5" w:rsidR="00142541" w:rsidRPr="00142541" w:rsidRDefault="00142541" w:rsidP="000C453B">
      <w:pPr>
        <w:pStyle w:val="ExecSumBodyText"/>
        <w:spacing w:after="160"/>
      </w:pPr>
      <w:bookmarkStart w:id="34" w:name="_Ref99974743"/>
      <w:bookmarkStart w:id="35" w:name="_Hlk99974662"/>
      <w:r w:rsidRPr="00142541">
        <w:t>The</w:t>
      </w:r>
      <w:r w:rsidR="0036514E">
        <w:t xml:space="preserve"> evaluation considered there</w:t>
      </w:r>
      <w:r w:rsidRPr="00142541">
        <w:t xml:space="preserve"> were multiple concerns with the approach used to estimate the AEMP of </w:t>
      </w:r>
      <w:proofErr w:type="spellStart"/>
      <w:r w:rsidRPr="00142541">
        <w:t>pegcetacoplan</w:t>
      </w:r>
      <w:proofErr w:type="spellEnd"/>
      <w:r w:rsidRPr="00142541">
        <w:t xml:space="preserve"> in the economic model of the submission. Key </w:t>
      </w:r>
      <w:r w:rsidRPr="00142541">
        <w:lastRenderedPageBreak/>
        <w:t xml:space="preserve">issues with the estimated annual drug costs of eculizumab and </w:t>
      </w:r>
      <w:proofErr w:type="spellStart"/>
      <w:r w:rsidRPr="00142541">
        <w:t>ravulizumab</w:t>
      </w:r>
      <w:proofErr w:type="spellEnd"/>
      <w:r w:rsidRPr="00142541">
        <w:t xml:space="preserve"> include the assumption that each script provides 1 dose (</w:t>
      </w:r>
      <w:proofErr w:type="gramStart"/>
      <w:r w:rsidRPr="00142541">
        <w:t>i.e.</w:t>
      </w:r>
      <w:proofErr w:type="gramEnd"/>
      <w:r w:rsidRPr="00142541">
        <w:t xml:space="preserve"> 2-week script coverage for eculizumab and 8-week script coverage for </w:t>
      </w:r>
      <w:proofErr w:type="spellStart"/>
      <w:r w:rsidRPr="00142541">
        <w:t>ravulizumab</w:t>
      </w:r>
      <w:proofErr w:type="spellEnd"/>
      <w:r w:rsidRPr="00142541">
        <w:t xml:space="preserve">) and the calculation of prices that were based on dispensed prices including fees and mark-ups. The estimated trial-based dosing frequency of </w:t>
      </w:r>
      <w:proofErr w:type="spellStart"/>
      <w:r w:rsidRPr="00142541">
        <w:t>pegcetacoplan</w:t>
      </w:r>
      <w:proofErr w:type="spellEnd"/>
      <w:r w:rsidRPr="00142541">
        <w:t xml:space="preserve"> is likely to result in underestimated </w:t>
      </w:r>
      <w:proofErr w:type="spellStart"/>
      <w:r w:rsidRPr="00142541">
        <w:t>pegcetacoplan</w:t>
      </w:r>
      <w:proofErr w:type="spellEnd"/>
      <w:r w:rsidRPr="00142541">
        <w:t xml:space="preserve"> drug costs with the open-label period data suggesting more patients received escalated doses over time.</w:t>
      </w:r>
      <w:bookmarkEnd w:id="34"/>
      <w:r w:rsidR="0036514E">
        <w:t xml:space="preserve"> The PBAC noted the estimated </w:t>
      </w:r>
      <w:r w:rsidR="0036514E" w:rsidRPr="00746BBB">
        <w:t xml:space="preserve">maintenance dose of </w:t>
      </w:r>
      <w:proofErr w:type="spellStart"/>
      <w:r w:rsidR="0036514E" w:rsidRPr="00746BBB">
        <w:t>ravulizumab</w:t>
      </w:r>
      <w:proofErr w:type="spellEnd"/>
      <w:r w:rsidR="0036514E" w:rsidRPr="00746BBB">
        <w:t xml:space="preserve"> was 3,300 mg </w:t>
      </w:r>
      <w:r w:rsidR="00D153B4">
        <w:t>administered 6.52 times per year (total dose 21,524 mg)</w:t>
      </w:r>
      <w:r w:rsidR="0036514E">
        <w:t xml:space="preserve">. The PBAC recalled that in its July 2021 consideration of </w:t>
      </w:r>
      <w:proofErr w:type="spellStart"/>
      <w:r w:rsidR="0036514E">
        <w:t>ravulizumab</w:t>
      </w:r>
      <w:proofErr w:type="spellEnd"/>
      <w:r w:rsidR="00D153B4">
        <w:t xml:space="preserve"> dosing was based on a maintenance dose of 3,288 mg administered 6.5 times per year (total dose 21,375 mg)</w:t>
      </w:r>
      <w:r w:rsidR="00EB40F2">
        <w:t xml:space="preserve"> </w:t>
      </w:r>
      <w:r w:rsidR="00D153B4">
        <w:t xml:space="preserve">(paragraph 6.64, Table 9, </w:t>
      </w:r>
      <w:proofErr w:type="spellStart"/>
      <w:r w:rsidR="00D153B4" w:rsidRPr="00846510">
        <w:t>ravulizumab</w:t>
      </w:r>
      <w:proofErr w:type="spellEnd"/>
      <w:r w:rsidR="00D153B4" w:rsidRPr="00846510">
        <w:t xml:space="preserve"> PSD, July 2021 PBAC meeting</w:t>
      </w:r>
      <w:r w:rsidR="00D153B4">
        <w:t xml:space="preserve">). </w:t>
      </w:r>
    </w:p>
    <w:bookmarkEnd w:id="35"/>
    <w:p w14:paraId="44234345" w14:textId="15383D83" w:rsidR="00E72615" w:rsidRPr="00A05B02" w:rsidRDefault="00E72615" w:rsidP="000C453B">
      <w:pPr>
        <w:pStyle w:val="ExecSumBodyText"/>
        <w:spacing w:after="160"/>
      </w:pPr>
      <w:r w:rsidRPr="00A05B02">
        <w:t xml:space="preserve">During the evaluation, cost-effectiveness analyses of </w:t>
      </w:r>
      <w:proofErr w:type="spellStart"/>
      <w:r w:rsidRPr="00A05B02">
        <w:t>pegcetacoplan</w:t>
      </w:r>
      <w:proofErr w:type="spellEnd"/>
      <w:r w:rsidRPr="00A05B02">
        <w:t xml:space="preserve"> versus eculizumab and </w:t>
      </w:r>
      <w:proofErr w:type="spellStart"/>
      <w:r w:rsidRPr="00A05B02">
        <w:t>pegcetacoplan</w:t>
      </w:r>
      <w:proofErr w:type="spellEnd"/>
      <w:r w:rsidRPr="00A05B02">
        <w:t xml:space="preserve"> versus </w:t>
      </w:r>
      <w:proofErr w:type="spellStart"/>
      <w:r w:rsidRPr="005A4F16">
        <w:t>ravulizumab</w:t>
      </w:r>
      <w:proofErr w:type="spellEnd"/>
      <w:r w:rsidRPr="005A4F16">
        <w:t xml:space="preserve"> were presented separately using results from the model provided in the submission (see relevant</w:t>
      </w:r>
      <w:r w:rsidRPr="00A05B02">
        <w:t xml:space="preserve"> sub-sections below).</w:t>
      </w:r>
    </w:p>
    <w:p w14:paraId="143E4472" w14:textId="3712F6FA" w:rsidR="0020204E" w:rsidRPr="00D23673" w:rsidRDefault="00D23673" w:rsidP="0020204E">
      <w:pPr>
        <w:pStyle w:val="ExecSumBodyText"/>
        <w:numPr>
          <w:ilvl w:val="0"/>
          <w:numId w:val="0"/>
        </w:numPr>
        <w:rPr>
          <w:b/>
          <w:bCs/>
          <w:i/>
          <w:iCs/>
        </w:rPr>
      </w:pPr>
      <w:proofErr w:type="spellStart"/>
      <w:r w:rsidRPr="00D23673">
        <w:rPr>
          <w:b/>
          <w:bCs/>
          <w:i/>
          <w:iCs/>
        </w:rPr>
        <w:t>Pegcetacoplan</w:t>
      </w:r>
      <w:proofErr w:type="spellEnd"/>
      <w:r w:rsidRPr="00D23673">
        <w:rPr>
          <w:b/>
          <w:bCs/>
          <w:i/>
          <w:iCs/>
        </w:rPr>
        <w:t xml:space="preserve"> versus eculizumab</w:t>
      </w:r>
    </w:p>
    <w:p w14:paraId="017351E5" w14:textId="380FF153" w:rsidR="00E45366" w:rsidRDefault="00F93CD3" w:rsidP="000C453B">
      <w:pPr>
        <w:pStyle w:val="ExecSumBodyText"/>
        <w:spacing w:after="160"/>
      </w:pPr>
      <w:r w:rsidRPr="00620EE9">
        <w:t xml:space="preserve">The submission presented a cost-utility analysis of </w:t>
      </w:r>
      <w:proofErr w:type="spellStart"/>
      <w:r w:rsidRPr="00620EE9">
        <w:t>pegcetacoplan</w:t>
      </w:r>
      <w:proofErr w:type="spellEnd"/>
      <w:r w:rsidRPr="00620EE9">
        <w:t xml:space="preserve"> versus </w:t>
      </w:r>
      <w:r>
        <w:t xml:space="preserve">eculizumab </w:t>
      </w:r>
      <w:r w:rsidRPr="00620EE9">
        <w:t xml:space="preserve">for the treatment of adult patients with PNH who have a Hb level &lt;10.5 g/dL despite receiving a stable dose of C5 inhibitor treatment for at least 3 months. </w:t>
      </w:r>
      <w:r w:rsidR="009603E8">
        <w:t xml:space="preserve">The economic evaluation was a cost-utility analysis based on data from the PEGASUS trial and other modelled variables. </w:t>
      </w:r>
      <w:r w:rsidR="00220D6A">
        <w:t xml:space="preserve"> </w:t>
      </w:r>
    </w:p>
    <w:p w14:paraId="2195599D" w14:textId="14F0E7B5" w:rsidR="00BE1E02" w:rsidRPr="00641FB3" w:rsidRDefault="00BE1E02" w:rsidP="002D7D3A">
      <w:pPr>
        <w:pStyle w:val="Caption"/>
      </w:pPr>
      <w:r w:rsidRPr="00641FB3">
        <w:lastRenderedPageBreak/>
        <w:t xml:space="preserve">Table </w:t>
      </w:r>
      <w:fldSimple w:instr=" SEQ Table \* ARABIC ">
        <w:r w:rsidR="000A62F7">
          <w:rPr>
            <w:noProof/>
          </w:rPr>
          <w:t>8</w:t>
        </w:r>
      </w:fldSimple>
      <w:r w:rsidRPr="00641FB3">
        <w:t xml:space="preserve">: </w:t>
      </w:r>
      <w:r>
        <w:t xml:space="preserve">Key components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81"/>
        <w:gridCol w:w="7636"/>
      </w:tblGrid>
      <w:tr w:rsidR="00BE1E02" w:rsidRPr="003D1DE4" w14:paraId="6A748A25" w14:textId="77777777" w:rsidTr="003F456B">
        <w:trPr>
          <w:tblHeader/>
        </w:trPr>
        <w:tc>
          <w:tcPr>
            <w:tcW w:w="766" w:type="pct"/>
            <w:shd w:val="clear" w:color="auto" w:fill="auto"/>
            <w:vAlign w:val="center"/>
          </w:tcPr>
          <w:p w14:paraId="799BAC0E" w14:textId="77777777" w:rsidR="00BE1E02" w:rsidRPr="00641FB3" w:rsidRDefault="00BE1E02" w:rsidP="003F456B">
            <w:pPr>
              <w:pStyle w:val="Tableheadingrow"/>
            </w:pPr>
            <w:r w:rsidRPr="00641FB3">
              <w:t>Component</w:t>
            </w:r>
          </w:p>
        </w:tc>
        <w:tc>
          <w:tcPr>
            <w:tcW w:w="4234" w:type="pct"/>
            <w:shd w:val="clear" w:color="auto" w:fill="auto"/>
            <w:vAlign w:val="center"/>
          </w:tcPr>
          <w:p w14:paraId="642494FD" w14:textId="77777777" w:rsidR="00BE1E02" w:rsidRPr="00641FB3" w:rsidRDefault="00BE1E02" w:rsidP="003F456B">
            <w:pPr>
              <w:pStyle w:val="Tableheadingrow"/>
            </w:pPr>
            <w:r w:rsidRPr="00641FB3">
              <w:t>Summary</w:t>
            </w:r>
          </w:p>
        </w:tc>
      </w:tr>
      <w:tr w:rsidR="00BE1E02" w:rsidRPr="00E2771E" w14:paraId="414BE8D7" w14:textId="77777777" w:rsidTr="003F456B">
        <w:tc>
          <w:tcPr>
            <w:tcW w:w="766" w:type="pct"/>
            <w:shd w:val="clear" w:color="auto" w:fill="auto"/>
            <w:vAlign w:val="center"/>
          </w:tcPr>
          <w:p w14:paraId="13E49E49" w14:textId="77777777" w:rsidR="00BE1E02" w:rsidRPr="00E2771E" w:rsidRDefault="00BE1E02" w:rsidP="003F456B">
            <w:pPr>
              <w:pStyle w:val="TableText"/>
            </w:pPr>
            <w:r>
              <w:t>Treatments</w:t>
            </w:r>
          </w:p>
        </w:tc>
        <w:tc>
          <w:tcPr>
            <w:tcW w:w="4234" w:type="pct"/>
            <w:shd w:val="clear" w:color="auto" w:fill="auto"/>
            <w:vAlign w:val="center"/>
          </w:tcPr>
          <w:p w14:paraId="44991F20" w14:textId="77777777" w:rsidR="00BE1E02" w:rsidRPr="00E2771E" w:rsidRDefault="00BE1E02" w:rsidP="003F456B">
            <w:pPr>
              <w:pStyle w:val="TableText"/>
            </w:pPr>
            <w:proofErr w:type="spellStart"/>
            <w:r>
              <w:t>Pegcetacoplan</w:t>
            </w:r>
            <w:proofErr w:type="spellEnd"/>
            <w:r>
              <w:t xml:space="preserve"> versus eculizumab</w:t>
            </w:r>
          </w:p>
        </w:tc>
      </w:tr>
      <w:tr w:rsidR="00BE1E02" w:rsidRPr="00E2771E" w14:paraId="28D84EF1" w14:textId="77777777" w:rsidTr="003F456B">
        <w:tc>
          <w:tcPr>
            <w:tcW w:w="766" w:type="pct"/>
            <w:shd w:val="clear" w:color="auto" w:fill="auto"/>
            <w:vAlign w:val="center"/>
          </w:tcPr>
          <w:p w14:paraId="18304E42" w14:textId="77777777" w:rsidR="00BE1E02" w:rsidRPr="00E2771E" w:rsidRDefault="00BE1E02" w:rsidP="003F456B">
            <w:pPr>
              <w:pStyle w:val="TableText"/>
            </w:pPr>
            <w:r w:rsidRPr="00E2771E">
              <w:t>Time horizon</w:t>
            </w:r>
          </w:p>
        </w:tc>
        <w:tc>
          <w:tcPr>
            <w:tcW w:w="4234" w:type="pct"/>
            <w:shd w:val="clear" w:color="auto" w:fill="auto"/>
            <w:vAlign w:val="center"/>
          </w:tcPr>
          <w:p w14:paraId="1036FEC4" w14:textId="59E0AFAE" w:rsidR="00BE1E02" w:rsidRPr="00E2771E" w:rsidRDefault="00BE1E02" w:rsidP="003F456B">
            <w:pPr>
              <w:pStyle w:val="TableText"/>
            </w:pPr>
            <w:r>
              <w:t>51.2</w:t>
            </w:r>
            <w:r w:rsidRPr="00E2771E">
              <w:t xml:space="preserve"> years in the model base case</w:t>
            </w:r>
            <w:r w:rsidR="0022403A">
              <w:t xml:space="preserve"> (to age 100 years)</w:t>
            </w:r>
            <w:r w:rsidRPr="00E2771E">
              <w:t xml:space="preserve"> versus </w:t>
            </w:r>
            <w:r>
              <w:t xml:space="preserve">48 weeks in the PEGASUS trial (16 weeks randomised controlled period and 32 weeks open label </w:t>
            </w:r>
            <w:proofErr w:type="spellStart"/>
            <w:r>
              <w:t>pegcetacoplan</w:t>
            </w:r>
            <w:proofErr w:type="spellEnd"/>
            <w:r>
              <w:t xml:space="preserve"> period)</w:t>
            </w:r>
          </w:p>
        </w:tc>
      </w:tr>
      <w:tr w:rsidR="00BE1E02" w:rsidRPr="00E2771E" w14:paraId="3A582CA4" w14:textId="77777777" w:rsidTr="003F456B">
        <w:tc>
          <w:tcPr>
            <w:tcW w:w="766" w:type="pct"/>
            <w:shd w:val="clear" w:color="auto" w:fill="auto"/>
            <w:vAlign w:val="center"/>
          </w:tcPr>
          <w:p w14:paraId="0D592DB3" w14:textId="77777777" w:rsidR="00BE1E02" w:rsidRPr="00E2771E" w:rsidRDefault="00BE1E02" w:rsidP="003F456B">
            <w:pPr>
              <w:pStyle w:val="TableText"/>
            </w:pPr>
            <w:r w:rsidRPr="00E2771E">
              <w:t>Outcomes</w:t>
            </w:r>
          </w:p>
        </w:tc>
        <w:tc>
          <w:tcPr>
            <w:tcW w:w="4234" w:type="pct"/>
            <w:shd w:val="clear" w:color="auto" w:fill="auto"/>
            <w:vAlign w:val="center"/>
          </w:tcPr>
          <w:p w14:paraId="313ADDB5" w14:textId="378938D5" w:rsidR="00BE1E02" w:rsidRPr="00E2771E" w:rsidRDefault="00BE1E02" w:rsidP="003F456B">
            <w:pPr>
              <w:pStyle w:val="TableText"/>
            </w:pPr>
            <w:r w:rsidRPr="00E2771E">
              <w:t>L</w:t>
            </w:r>
            <w:r>
              <w:t xml:space="preserve">ife-years </w:t>
            </w:r>
            <w:r w:rsidRPr="00E2771E">
              <w:t xml:space="preserve">and </w:t>
            </w:r>
            <w:r>
              <w:t>quality-adjusted life-years (QALY</w:t>
            </w:r>
            <w:r w:rsidR="0022403A">
              <w:t>s</w:t>
            </w:r>
            <w:r>
              <w:t xml:space="preserve">) </w:t>
            </w:r>
          </w:p>
        </w:tc>
      </w:tr>
      <w:tr w:rsidR="00BE1E02" w:rsidRPr="00E2771E" w14:paraId="2ADD7D29" w14:textId="77777777" w:rsidTr="003F456B">
        <w:tc>
          <w:tcPr>
            <w:tcW w:w="766" w:type="pct"/>
            <w:shd w:val="clear" w:color="auto" w:fill="auto"/>
            <w:vAlign w:val="center"/>
          </w:tcPr>
          <w:p w14:paraId="63B558C8" w14:textId="77777777" w:rsidR="00BE1E02" w:rsidRPr="00E2771E" w:rsidRDefault="00BE1E02" w:rsidP="003F456B">
            <w:pPr>
              <w:pStyle w:val="TableText"/>
            </w:pPr>
            <w:r w:rsidRPr="00E2771E">
              <w:t>Methods used to generate results</w:t>
            </w:r>
          </w:p>
        </w:tc>
        <w:tc>
          <w:tcPr>
            <w:tcW w:w="4234" w:type="pct"/>
            <w:shd w:val="clear" w:color="auto" w:fill="auto"/>
            <w:vAlign w:val="center"/>
          </w:tcPr>
          <w:p w14:paraId="3F1BDC41" w14:textId="77777777" w:rsidR="00BE1E02" w:rsidRPr="00E2771E" w:rsidRDefault="00BE1E02" w:rsidP="003F456B">
            <w:pPr>
              <w:pStyle w:val="TableText"/>
            </w:pPr>
            <w:r>
              <w:t>Markov cohort model</w:t>
            </w:r>
          </w:p>
        </w:tc>
      </w:tr>
      <w:tr w:rsidR="00BE1E02" w:rsidRPr="00E2771E" w14:paraId="6EC51BD5" w14:textId="77777777" w:rsidTr="003F456B">
        <w:tc>
          <w:tcPr>
            <w:tcW w:w="766" w:type="pct"/>
            <w:shd w:val="clear" w:color="auto" w:fill="auto"/>
            <w:vAlign w:val="center"/>
          </w:tcPr>
          <w:p w14:paraId="0E1755AE" w14:textId="77777777" w:rsidR="00BE1E02" w:rsidRPr="00E2771E" w:rsidRDefault="00BE1E02" w:rsidP="003F456B">
            <w:pPr>
              <w:pStyle w:val="TableText"/>
            </w:pPr>
            <w:r w:rsidRPr="00E2771E">
              <w:t>Health states</w:t>
            </w:r>
          </w:p>
        </w:tc>
        <w:tc>
          <w:tcPr>
            <w:tcW w:w="4234" w:type="pct"/>
            <w:shd w:val="clear" w:color="auto" w:fill="auto"/>
            <w:vAlign w:val="center"/>
          </w:tcPr>
          <w:p w14:paraId="303EA823" w14:textId="45982664" w:rsidR="00BE1E02" w:rsidRPr="00E2771E" w:rsidRDefault="00BE1E02" w:rsidP="003F456B">
            <w:pPr>
              <w:pStyle w:val="TableText"/>
            </w:pPr>
            <w:r>
              <w:t>No transfusion and Hb&lt;10.5, no transfusion and Hb≥10.5, transfusion required</w:t>
            </w:r>
            <w:r w:rsidR="0022403A">
              <w:t>,</w:t>
            </w:r>
            <w:r>
              <w:t xml:space="preserve"> dead</w:t>
            </w:r>
          </w:p>
        </w:tc>
      </w:tr>
      <w:tr w:rsidR="00BE1E02" w:rsidRPr="00E2771E" w14:paraId="2EBAF179" w14:textId="77777777" w:rsidTr="003F456B">
        <w:tc>
          <w:tcPr>
            <w:tcW w:w="766" w:type="pct"/>
            <w:shd w:val="clear" w:color="auto" w:fill="auto"/>
            <w:vAlign w:val="center"/>
          </w:tcPr>
          <w:p w14:paraId="1AC9A168" w14:textId="77777777" w:rsidR="00BE1E02" w:rsidRPr="00E2771E" w:rsidRDefault="00BE1E02" w:rsidP="003F456B">
            <w:pPr>
              <w:pStyle w:val="TableText"/>
            </w:pPr>
            <w:r w:rsidRPr="00E2771E">
              <w:t>Cycle length</w:t>
            </w:r>
          </w:p>
        </w:tc>
        <w:tc>
          <w:tcPr>
            <w:tcW w:w="4234" w:type="pct"/>
            <w:shd w:val="clear" w:color="auto" w:fill="auto"/>
            <w:vAlign w:val="center"/>
          </w:tcPr>
          <w:p w14:paraId="4441E354" w14:textId="77777777" w:rsidR="00BE1E02" w:rsidRPr="00E2771E" w:rsidRDefault="00BE1E02" w:rsidP="003F456B">
            <w:pPr>
              <w:pStyle w:val="TableText"/>
            </w:pPr>
            <w:r>
              <w:t xml:space="preserve">4 weeks, half-cycle corrections </w:t>
            </w:r>
          </w:p>
        </w:tc>
      </w:tr>
      <w:tr w:rsidR="00BE1E02" w:rsidRPr="00E2771E" w14:paraId="039FAAD0" w14:textId="77777777" w:rsidTr="003F456B">
        <w:tc>
          <w:tcPr>
            <w:tcW w:w="766" w:type="pct"/>
            <w:shd w:val="clear" w:color="auto" w:fill="auto"/>
            <w:vAlign w:val="center"/>
          </w:tcPr>
          <w:p w14:paraId="54CE6E45" w14:textId="77777777" w:rsidR="00BE1E02" w:rsidRPr="00E2771E" w:rsidRDefault="00BE1E02" w:rsidP="003F456B">
            <w:pPr>
              <w:pStyle w:val="TableText"/>
            </w:pPr>
            <w:r>
              <w:t>Transition probabilities</w:t>
            </w:r>
          </w:p>
        </w:tc>
        <w:tc>
          <w:tcPr>
            <w:tcW w:w="4234" w:type="pct"/>
            <w:shd w:val="clear" w:color="auto" w:fill="auto"/>
            <w:vAlign w:val="center"/>
          </w:tcPr>
          <w:p w14:paraId="0E693991" w14:textId="77777777" w:rsidR="00BE1E02" w:rsidRDefault="00BE1E02" w:rsidP="003F456B">
            <w:pPr>
              <w:pStyle w:val="TableText"/>
            </w:pPr>
            <w:r>
              <w:t xml:space="preserve">Transition probabilities to the alive health states were derived using a re-analysis of patient-level data from the PEGASUS trial classifying patients into the defined health states by transfusion status and Hb level. The re-analysis was used to inform a multinomial regression model that predicted the current health state based on the prior health state (last 4 weeks), treatment, visit category and age. Two sets of transition probabilities were derived for each treatment arm, used in the first 4-week cycle and all subsequent cycles in the model. </w:t>
            </w:r>
          </w:p>
          <w:p w14:paraId="75D223BF" w14:textId="77777777" w:rsidR="00BE1E02" w:rsidRDefault="00BE1E02" w:rsidP="003F456B">
            <w:pPr>
              <w:pStyle w:val="TableText"/>
            </w:pPr>
          </w:p>
          <w:p w14:paraId="19B25FCF" w14:textId="2FF11F17" w:rsidR="00BE1E02" w:rsidRDefault="00BE1E02" w:rsidP="003F456B">
            <w:pPr>
              <w:pStyle w:val="TableText"/>
            </w:pPr>
            <w:r>
              <w:t xml:space="preserve">Treatment discontinuations were based on the study discontinuation rate in the trial and assumptions, applied as a one-off </w:t>
            </w:r>
            <w:r w:rsidR="0022403A">
              <w:t>probability</w:t>
            </w:r>
            <w:r>
              <w:t xml:space="preserve"> at 16 weeks in the model to the </w:t>
            </w:r>
            <w:proofErr w:type="spellStart"/>
            <w:r>
              <w:t>pegcetacoplan</w:t>
            </w:r>
            <w:proofErr w:type="spellEnd"/>
            <w:r>
              <w:t xml:space="preserve"> arm only. Patients who discontinued were assumed to switch to </w:t>
            </w:r>
            <w:proofErr w:type="spellStart"/>
            <w:r>
              <w:t>ravulizumab</w:t>
            </w:r>
            <w:proofErr w:type="spellEnd"/>
            <w:r>
              <w:t xml:space="preserve"> treatment for the remainder of the modelled duration. Patients switching to </w:t>
            </w:r>
            <w:proofErr w:type="spellStart"/>
            <w:r>
              <w:t>ravulizumab</w:t>
            </w:r>
            <w:proofErr w:type="spellEnd"/>
            <w:r>
              <w:t xml:space="preserve"> were assumed to remain in their prior health state or die. Patients treated with eculizumab and </w:t>
            </w:r>
            <w:proofErr w:type="spellStart"/>
            <w:r>
              <w:t>ravulizumab</w:t>
            </w:r>
            <w:proofErr w:type="spellEnd"/>
            <w:r>
              <w:t xml:space="preserve"> (in those discontinuing from </w:t>
            </w:r>
            <w:proofErr w:type="spellStart"/>
            <w:r>
              <w:t>pegcetacoplan</w:t>
            </w:r>
            <w:proofErr w:type="spellEnd"/>
            <w:r>
              <w:t xml:space="preserve">) were assumed to be 100% persistent to therapy. </w:t>
            </w:r>
          </w:p>
          <w:p w14:paraId="6B1240C5" w14:textId="77777777" w:rsidR="00BE1E02" w:rsidRDefault="00BE1E02" w:rsidP="003F456B">
            <w:pPr>
              <w:pStyle w:val="TableText"/>
            </w:pPr>
          </w:p>
          <w:p w14:paraId="364BA4BA" w14:textId="77777777" w:rsidR="00BE1E02" w:rsidRDefault="00BE1E02" w:rsidP="003F456B">
            <w:pPr>
              <w:pStyle w:val="TableText"/>
            </w:pPr>
            <w:r>
              <w:t xml:space="preserve">The probability of death was based on age- and gender-adjusted Australian general population mortality.  </w:t>
            </w:r>
          </w:p>
          <w:p w14:paraId="0EFB416D" w14:textId="77777777" w:rsidR="00BE1E02" w:rsidRDefault="00BE1E02" w:rsidP="003F456B">
            <w:pPr>
              <w:pStyle w:val="TableText"/>
            </w:pPr>
          </w:p>
          <w:p w14:paraId="58099B82" w14:textId="77777777" w:rsidR="00BE1E02" w:rsidRPr="00E2771E" w:rsidRDefault="00BE1E02" w:rsidP="003F456B">
            <w:pPr>
              <w:pStyle w:val="TableText"/>
            </w:pPr>
            <w:r>
              <w:t xml:space="preserve">94% of QALYs and 94% of cost savings are accrued in the extrapolated period  </w:t>
            </w:r>
          </w:p>
        </w:tc>
      </w:tr>
      <w:tr w:rsidR="00BE1E02" w:rsidRPr="00E2771E" w14:paraId="4F4FEA2E" w14:textId="77777777" w:rsidTr="003F456B">
        <w:tc>
          <w:tcPr>
            <w:tcW w:w="766" w:type="pct"/>
            <w:shd w:val="clear" w:color="auto" w:fill="auto"/>
            <w:vAlign w:val="center"/>
          </w:tcPr>
          <w:p w14:paraId="1F68A636" w14:textId="77777777" w:rsidR="00BE1E02" w:rsidRDefault="00BE1E02" w:rsidP="003F456B">
            <w:pPr>
              <w:pStyle w:val="TableText"/>
            </w:pPr>
            <w:r>
              <w:t>Costs</w:t>
            </w:r>
          </w:p>
        </w:tc>
        <w:tc>
          <w:tcPr>
            <w:tcW w:w="4234" w:type="pct"/>
            <w:shd w:val="clear" w:color="auto" w:fill="auto"/>
            <w:vAlign w:val="center"/>
          </w:tcPr>
          <w:p w14:paraId="0CBD2562" w14:textId="25DA33C7" w:rsidR="00BE1E02" w:rsidRPr="00E2771E" w:rsidRDefault="00BE1E02" w:rsidP="003F456B">
            <w:pPr>
              <w:pStyle w:val="TableText"/>
            </w:pPr>
            <w:r>
              <w:t xml:space="preserve">Drug acquisition costs for </w:t>
            </w:r>
            <w:proofErr w:type="spellStart"/>
            <w:r>
              <w:t>pegcetacoplan</w:t>
            </w:r>
            <w:proofErr w:type="spellEnd"/>
            <w:r>
              <w:t xml:space="preserve">, eculizumab and </w:t>
            </w:r>
            <w:proofErr w:type="spellStart"/>
            <w:r>
              <w:t>ravulizumab</w:t>
            </w:r>
            <w:proofErr w:type="spellEnd"/>
            <w:r>
              <w:t xml:space="preserve"> estimated assuming </w:t>
            </w:r>
            <w:r w:rsidR="005126B1" w:rsidRPr="005126B1">
              <w:rPr>
                <w:color w:val="000000"/>
                <w:spacing w:val="50"/>
                <w:shd w:val="solid" w:color="000000" w:fill="000000"/>
                <w:fitText w:val="323" w:id="-1500841471"/>
                <w14:textFill>
                  <w14:solidFill>
                    <w14:srgbClr w14:val="000000">
                      <w14:alpha w14:val="100000"/>
                    </w14:srgbClr>
                  </w14:solidFill>
                </w14:textFill>
              </w:rPr>
              <w:t>|||</w:t>
            </w:r>
            <w:r w:rsidR="005126B1" w:rsidRPr="005126B1">
              <w:rPr>
                <w:color w:val="000000"/>
                <w:spacing w:val="3"/>
                <w:shd w:val="solid" w:color="000000" w:fill="000000"/>
                <w:fitText w:val="323" w:id="-1500841471"/>
                <w14:textFill>
                  <w14:solidFill>
                    <w14:srgbClr w14:val="000000">
                      <w14:alpha w14:val="100000"/>
                    </w14:srgbClr>
                  </w14:solidFill>
                </w14:textFill>
              </w:rPr>
              <w:t>|</w:t>
            </w:r>
            <w:r w:rsidR="005126B1" w:rsidRPr="005126B1">
              <w:t xml:space="preserve"> </w:t>
            </w:r>
            <w:r w:rsidR="005126B1" w:rsidRPr="005126B1">
              <w:rPr>
                <w:color w:val="000000"/>
                <w:spacing w:val="50"/>
                <w:shd w:val="solid" w:color="000000" w:fill="000000"/>
                <w:fitText w:val="323" w:id="-1500841470"/>
                <w14:textFill>
                  <w14:solidFill>
                    <w14:srgbClr w14:val="000000">
                      <w14:alpha w14:val="100000"/>
                    </w14:srgbClr>
                  </w14:solidFill>
                </w14:textFill>
              </w:rPr>
              <w:t>|||</w:t>
            </w:r>
            <w:r w:rsidR="005126B1" w:rsidRPr="005126B1">
              <w:rPr>
                <w:color w:val="000000"/>
                <w:spacing w:val="3"/>
                <w:shd w:val="solid" w:color="000000" w:fill="000000"/>
                <w:fitText w:val="323" w:id="-1500841470"/>
                <w14:textFill>
                  <w14:solidFill>
                    <w14:srgbClr w14:val="000000">
                      <w14:alpha w14:val="100000"/>
                    </w14:srgbClr>
                  </w14:solidFill>
                </w14:textFill>
              </w:rPr>
              <w:t>|</w:t>
            </w:r>
            <w:r>
              <w:t xml:space="preserve"> based on the published price of eculizumab for atypical haemolytic uraemic syndrome on the PBS as a proxy. One-off administration costs included for </w:t>
            </w:r>
            <w:proofErr w:type="spellStart"/>
            <w:r>
              <w:t>pegcetacoplan</w:t>
            </w:r>
            <w:proofErr w:type="spellEnd"/>
            <w:r>
              <w:t xml:space="preserve"> and ongoing administration costs for eculizumab and </w:t>
            </w:r>
            <w:proofErr w:type="spellStart"/>
            <w:r>
              <w:t>ravulizumab</w:t>
            </w:r>
            <w:proofErr w:type="spellEnd"/>
            <w:r>
              <w:t xml:space="preserve">. Vaccine costs (initial and boosters) included for both treatment arms. Disease management costs based on blood transfusions, iron overload treatment and monitoring costs. Adverse event costs based on serious adverse events in the trial. </w:t>
            </w:r>
          </w:p>
        </w:tc>
      </w:tr>
      <w:tr w:rsidR="00BE1E02" w:rsidRPr="00E2771E" w14:paraId="3AFF035D" w14:textId="77777777" w:rsidTr="003F456B">
        <w:tc>
          <w:tcPr>
            <w:tcW w:w="766" w:type="pct"/>
            <w:shd w:val="clear" w:color="auto" w:fill="auto"/>
            <w:vAlign w:val="center"/>
          </w:tcPr>
          <w:p w14:paraId="47D7CEC9" w14:textId="77777777" w:rsidR="00BE1E02" w:rsidRPr="001F4081" w:rsidRDefault="00BE1E02" w:rsidP="003F456B">
            <w:pPr>
              <w:pStyle w:val="TableText"/>
            </w:pPr>
            <w:r>
              <w:t>Health related quality of life</w:t>
            </w:r>
          </w:p>
        </w:tc>
        <w:tc>
          <w:tcPr>
            <w:tcW w:w="4234" w:type="pct"/>
            <w:shd w:val="clear" w:color="auto" w:fill="auto"/>
            <w:vAlign w:val="center"/>
          </w:tcPr>
          <w:p w14:paraId="3A3C6BC4" w14:textId="3FDB971C" w:rsidR="00BE1E02" w:rsidRPr="00E2771E" w:rsidRDefault="003273A8" w:rsidP="003F456B">
            <w:pPr>
              <w:pStyle w:val="TableText"/>
            </w:pPr>
            <w:r w:rsidRPr="00C0725B">
              <w:t xml:space="preserve">Trial-based EORTC QLQ-C30 scores from the PEGASUS trial </w:t>
            </w:r>
            <w:r>
              <w:t xml:space="preserve">were </w:t>
            </w:r>
            <w:r w:rsidRPr="00C0725B">
              <w:t xml:space="preserve">mapped to EQ-5D-3L utility estimates using the Longworth 2014 mapping algorithm. Using mapped values, a Tobit regression model was used to predict the </w:t>
            </w:r>
            <w:r>
              <w:t xml:space="preserve">following </w:t>
            </w:r>
            <w:r w:rsidRPr="00C0725B">
              <w:t>health state utilities</w:t>
            </w:r>
            <w:r>
              <w:t>: no transfusion and Hb&lt;10.5: 0.7553, no transfusion and Hb≥10.5: 0.8192 and transfusion required: 0.7202. The iron chelation therapy disutility of -0.0092 per cycle was derived from a published cost-effectiveness analysis. An age-specific utility adjustment was applied based on age-related decline in general population utility estimates.</w:t>
            </w:r>
          </w:p>
        </w:tc>
      </w:tr>
      <w:tr w:rsidR="00BE1E02" w:rsidRPr="00E2771E" w14:paraId="0EBBD3DB" w14:textId="77777777" w:rsidTr="003F456B">
        <w:tc>
          <w:tcPr>
            <w:tcW w:w="766" w:type="pct"/>
            <w:shd w:val="clear" w:color="auto" w:fill="auto"/>
            <w:vAlign w:val="center"/>
          </w:tcPr>
          <w:p w14:paraId="6430D35C" w14:textId="77777777" w:rsidR="00BE1E02" w:rsidRDefault="00BE1E02" w:rsidP="003F456B">
            <w:pPr>
              <w:pStyle w:val="TableText"/>
            </w:pPr>
            <w:r>
              <w:t>Discount rate</w:t>
            </w:r>
          </w:p>
        </w:tc>
        <w:tc>
          <w:tcPr>
            <w:tcW w:w="4234" w:type="pct"/>
            <w:shd w:val="clear" w:color="auto" w:fill="auto"/>
            <w:vAlign w:val="center"/>
          </w:tcPr>
          <w:p w14:paraId="402962B0" w14:textId="77777777" w:rsidR="00BE1E02" w:rsidRDefault="00BE1E02" w:rsidP="003F456B">
            <w:pPr>
              <w:pStyle w:val="TableText"/>
            </w:pPr>
            <w:r w:rsidRPr="00EE5936">
              <w:t>5% for costs and outcomes, applied annually</w:t>
            </w:r>
          </w:p>
        </w:tc>
      </w:tr>
      <w:tr w:rsidR="00BE1E02" w:rsidRPr="00E2771E" w14:paraId="419D26B1" w14:textId="77777777" w:rsidTr="003F456B">
        <w:tc>
          <w:tcPr>
            <w:tcW w:w="766" w:type="pct"/>
            <w:shd w:val="clear" w:color="auto" w:fill="auto"/>
            <w:vAlign w:val="center"/>
          </w:tcPr>
          <w:p w14:paraId="56BB2AD6" w14:textId="77777777" w:rsidR="00BE1E02" w:rsidRDefault="00BE1E02" w:rsidP="003F456B">
            <w:pPr>
              <w:pStyle w:val="TableText"/>
            </w:pPr>
            <w:r>
              <w:t>Software package</w:t>
            </w:r>
          </w:p>
        </w:tc>
        <w:tc>
          <w:tcPr>
            <w:tcW w:w="4234" w:type="pct"/>
            <w:shd w:val="clear" w:color="auto" w:fill="auto"/>
            <w:vAlign w:val="center"/>
          </w:tcPr>
          <w:p w14:paraId="65672902" w14:textId="77777777" w:rsidR="00BE1E02" w:rsidRDefault="00BE1E02" w:rsidP="003F456B">
            <w:pPr>
              <w:pStyle w:val="TableText"/>
            </w:pPr>
            <w:r>
              <w:t>Excel</w:t>
            </w:r>
          </w:p>
        </w:tc>
      </w:tr>
    </w:tbl>
    <w:p w14:paraId="44E21C88" w14:textId="77777777" w:rsidR="00BE1E02" w:rsidRDefault="00BE1E02" w:rsidP="00BE1E02">
      <w:pPr>
        <w:pStyle w:val="TableFigureFooter"/>
      </w:pPr>
      <w:r>
        <w:t>Source: Table 3-1, p 125; and Sections 3.4 to 3.6, pp 130-148 of the submission</w:t>
      </w:r>
    </w:p>
    <w:p w14:paraId="56A9D2A5" w14:textId="594A8C78" w:rsidR="00BE1E02" w:rsidRDefault="00BE1E02" w:rsidP="004F574B">
      <w:pPr>
        <w:pStyle w:val="TableFigureFooter"/>
      </w:pPr>
      <w:r>
        <w:t>Abbreviations: Hb, haemoglobin</w:t>
      </w:r>
    </w:p>
    <w:p w14:paraId="16C8653C" w14:textId="07C0048F" w:rsidR="008C5739" w:rsidRPr="00A05B02" w:rsidRDefault="000E0109" w:rsidP="000C453B">
      <w:pPr>
        <w:pStyle w:val="ExecSumBodyText"/>
        <w:spacing w:after="160"/>
      </w:pPr>
      <w:r w:rsidRPr="00A05B02">
        <w:t>Overall, the</w:t>
      </w:r>
      <w:r w:rsidR="006A7873" w:rsidRPr="00A05B02">
        <w:t>re was a lack of transparency relating to various key inputs in the model that hindered the evaluation of the economic analysis</w:t>
      </w:r>
      <w:r w:rsidR="007E0D44" w:rsidRPr="00A05B02">
        <w:t>, including the re-analysis of patient-level data used to derive the transition probabilities</w:t>
      </w:r>
      <w:r w:rsidR="00FA2129" w:rsidRPr="00A05B02">
        <w:t xml:space="preserve">, assumptions regarding patient flow during the trial, limited documentation regarding the estimation of utility values, </w:t>
      </w:r>
      <w:r w:rsidR="008C4C32" w:rsidRPr="00A05B02">
        <w:t xml:space="preserve">source data informing costs associated with blood transfusion and disease monitoring and </w:t>
      </w:r>
      <w:r w:rsidR="00021C39" w:rsidRPr="00A05B02">
        <w:t xml:space="preserve">source </w:t>
      </w:r>
      <w:r w:rsidR="0007592D" w:rsidRPr="00A05B02">
        <w:t xml:space="preserve">data used to calculate adverse event rates. </w:t>
      </w:r>
      <w:r w:rsidR="008C5739" w:rsidRPr="00A05B02">
        <w:t xml:space="preserve"> </w:t>
      </w:r>
    </w:p>
    <w:p w14:paraId="545D1907" w14:textId="77777777" w:rsidR="00B41D66" w:rsidRDefault="00B41D66" w:rsidP="000C453B">
      <w:pPr>
        <w:pStyle w:val="ExecSumBodyText"/>
        <w:spacing w:after="160"/>
      </w:pPr>
      <w:r>
        <w:t>The economic evaluation was based on a Markov cohort state transition model using a four-week cycle length. The model consisted of four mutually exclusive health states:</w:t>
      </w:r>
    </w:p>
    <w:p w14:paraId="60DA9E55" w14:textId="66ACA97F" w:rsidR="00B41D66" w:rsidRDefault="00B41D66" w:rsidP="00224F4B">
      <w:pPr>
        <w:pStyle w:val="ExecSumBodyText"/>
        <w:numPr>
          <w:ilvl w:val="0"/>
          <w:numId w:val="9"/>
        </w:numPr>
        <w:spacing w:after="0"/>
        <w:ind w:left="1077" w:hanging="357"/>
      </w:pPr>
      <w:r>
        <w:lastRenderedPageBreak/>
        <w:t>No transfusion and Hb&lt;10.5: patients who did not require a red blood cell transfusion in the 4 weeks prior and</w:t>
      </w:r>
      <w:r w:rsidR="00006AFE">
        <w:t xml:space="preserve"> had a</w:t>
      </w:r>
      <w:r>
        <w:t xml:space="preserve"> Hb level less than 10.5 g/dL.</w:t>
      </w:r>
    </w:p>
    <w:p w14:paraId="3DF9058F" w14:textId="68AD46E1" w:rsidR="00B41D66" w:rsidRDefault="00B41D66" w:rsidP="00224F4B">
      <w:pPr>
        <w:pStyle w:val="ExecSumBodyText"/>
        <w:numPr>
          <w:ilvl w:val="0"/>
          <w:numId w:val="9"/>
        </w:numPr>
        <w:spacing w:after="0"/>
        <w:ind w:left="1077" w:hanging="357"/>
      </w:pPr>
      <w:r>
        <w:t>No transfusion and Hb≥10.5: patients who did not require a red blood cell transfusion in the 4 weeks prior and</w:t>
      </w:r>
      <w:r w:rsidR="00006AFE">
        <w:t xml:space="preserve"> had a</w:t>
      </w:r>
      <w:r>
        <w:t xml:space="preserve"> Hb level of 10.5 g/dL or greater.</w:t>
      </w:r>
    </w:p>
    <w:p w14:paraId="15572142" w14:textId="77777777" w:rsidR="00B41D66" w:rsidRDefault="00B41D66" w:rsidP="00224F4B">
      <w:pPr>
        <w:pStyle w:val="ExecSumBodyText"/>
        <w:numPr>
          <w:ilvl w:val="0"/>
          <w:numId w:val="9"/>
        </w:numPr>
        <w:spacing w:after="0"/>
        <w:ind w:left="1077" w:hanging="357"/>
      </w:pPr>
      <w:r>
        <w:t>Transfusion required: patients who required a red blood cell transfusion in the 4 weeks prior.</w:t>
      </w:r>
    </w:p>
    <w:p w14:paraId="4AA3A071" w14:textId="77777777" w:rsidR="00B41D66" w:rsidRDefault="00B41D66" w:rsidP="00224F4B">
      <w:pPr>
        <w:pStyle w:val="ExecSumBodyText"/>
        <w:numPr>
          <w:ilvl w:val="0"/>
          <w:numId w:val="9"/>
        </w:numPr>
        <w:spacing w:after="160"/>
      </w:pPr>
      <w:r>
        <w:t>Dead: absorbing health state.</w:t>
      </w:r>
    </w:p>
    <w:p w14:paraId="6C7B99C5" w14:textId="41C89E15" w:rsidR="001F038B" w:rsidRDefault="00B41D66" w:rsidP="000C453B">
      <w:pPr>
        <w:pStyle w:val="ExecSumBodyText"/>
        <w:spacing w:after="160"/>
      </w:pPr>
      <w:r w:rsidRPr="00B41D66">
        <w:t>All patients begin in the baseline health state of no transfusion and Hb&lt;10.5. In the first cycle, patients can remain in the baseline state, transition to the no transfusion and Hb≥10.5 state, transition to the transfusion required state or die. In subsequent cycles, patients can remain in their state or transition to any of the states in the model. Death is an absorbing state.</w:t>
      </w:r>
    </w:p>
    <w:p w14:paraId="4865701C" w14:textId="5E55DCD9" w:rsidR="00054419" w:rsidRPr="00A05B02" w:rsidRDefault="00054419" w:rsidP="000C453B">
      <w:pPr>
        <w:pStyle w:val="ExecSumBodyText"/>
        <w:spacing w:after="160"/>
      </w:pPr>
      <w:r w:rsidRPr="00054419">
        <w:t xml:space="preserve">The submission stated that a Hb level of less than 10.5 g/dL was chosen to be consistent with the inclusion criteria of </w:t>
      </w:r>
      <w:r w:rsidRPr="00A05B02">
        <w:t xml:space="preserve">the PEGASUS trial. The use of Hb levels to represent differences in costs and outcomes in patients who are not receiving transfusions was inadequately discussed in the submission. It may not be appropriate to assume differences due to Hb levels alone in the absence of clinical symptoms.   </w:t>
      </w:r>
    </w:p>
    <w:p w14:paraId="1F06668C" w14:textId="648C2959" w:rsidR="00054419" w:rsidRPr="00A05B02" w:rsidRDefault="00DE2ED9" w:rsidP="000C453B">
      <w:pPr>
        <w:pStyle w:val="ExecSumBodyText"/>
        <w:spacing w:after="160"/>
      </w:pPr>
      <w:r w:rsidRPr="00A05B02">
        <w:t xml:space="preserve">Transfusion status was determined based on whether patients required a transfusion in the previous 4 weeks. The 4-week cycle length appears short given transfusion avoidance was measured over a 16-week period in the key trial of </w:t>
      </w:r>
      <w:proofErr w:type="spellStart"/>
      <w:r w:rsidRPr="00A05B02">
        <w:t>pegcetacoplan</w:t>
      </w:r>
      <w:proofErr w:type="spellEnd"/>
      <w:r w:rsidRPr="00A05B02">
        <w:t xml:space="preserve"> and over a 26-week period in Trial 302 of </w:t>
      </w:r>
      <w:proofErr w:type="spellStart"/>
      <w:r w:rsidRPr="00A05B02">
        <w:t>ravulizumab</w:t>
      </w:r>
      <w:proofErr w:type="spellEnd"/>
      <w:r w:rsidRPr="00A05B02">
        <w:t xml:space="preserve"> versus eculizumab. The LSDP eligibility criteria for eculizumab includes having at least 4 transfusions over a 12-month period. The clinical importance of modelled outcomes based on transfusion status and/or Hb level over a 4-week duration was uncertain.</w:t>
      </w:r>
    </w:p>
    <w:p w14:paraId="701B3071" w14:textId="73E0C003" w:rsidR="00001E26" w:rsidRPr="00A05B02" w:rsidRDefault="00001E26" w:rsidP="000C453B">
      <w:pPr>
        <w:pStyle w:val="ExecSumBodyText"/>
        <w:spacing w:after="160"/>
      </w:pPr>
      <w:r w:rsidRPr="00A05B02">
        <w:t xml:space="preserve">Overall, the model structure limited the attribution of costs and benefits to health states based on transfusion status and Hb levels alone, without adequately accounting for other disease-related symptoms or need for medical interventions apart from treatment of iron overload. The exclusion of haemolytic events in the base case of the economic model was inadequately justified given the occurrence of these events during the trial, some of which were serious or life-threatening. All treatment discontinuations of </w:t>
      </w:r>
      <w:proofErr w:type="spellStart"/>
      <w:r w:rsidRPr="00A05B02">
        <w:t>pegcetacoplan</w:t>
      </w:r>
      <w:proofErr w:type="spellEnd"/>
      <w:r w:rsidRPr="00A05B02">
        <w:t xml:space="preserve"> in the randomised controlled period of the trial were due to breakthrough haemolysis.</w:t>
      </w:r>
      <w:r w:rsidR="00DC3674">
        <w:t xml:space="preserve"> The pre-PBAC response argued that </w:t>
      </w:r>
      <w:r w:rsidR="00DC3674" w:rsidRPr="00DC3674">
        <w:t>not all disease-related complications or medical interventions were modelled because no differences are expected between treatments in this regard.</w:t>
      </w:r>
    </w:p>
    <w:p w14:paraId="220ECCEE" w14:textId="213DA2F9" w:rsidR="00001E26" w:rsidRPr="00A05B02" w:rsidRDefault="00001E26" w:rsidP="000C453B">
      <w:pPr>
        <w:pStyle w:val="ExecSumBodyText"/>
        <w:spacing w:after="160"/>
      </w:pPr>
      <w:r w:rsidRPr="00A05B02">
        <w:t xml:space="preserve">The use of health states defined by transfusion status and Hb levels assumed equivalence in the treatment efficacy of </w:t>
      </w:r>
      <w:proofErr w:type="spellStart"/>
      <w:r w:rsidRPr="00A05B02">
        <w:t>pegcetacoplan</w:t>
      </w:r>
      <w:proofErr w:type="spellEnd"/>
      <w:r w:rsidRPr="00A05B02">
        <w:t xml:space="preserve"> versus eculizumab for the prevention of long-term outcomes including life-threatening events such as thrombosis and survival. No data were provided in support of this assumption.</w:t>
      </w:r>
    </w:p>
    <w:p w14:paraId="54A1F1B7" w14:textId="3124E8AC" w:rsidR="00693F6E" w:rsidRPr="00286F41" w:rsidRDefault="00693F6E" w:rsidP="000C453B">
      <w:pPr>
        <w:pStyle w:val="ExecSumBodyText"/>
        <w:spacing w:after="160"/>
        <w:rPr>
          <w:i/>
          <w:iCs/>
        </w:rPr>
      </w:pPr>
      <w:r>
        <w:t xml:space="preserve">The </w:t>
      </w:r>
      <w:r w:rsidR="00286F41">
        <w:t xml:space="preserve">figure below </w:t>
      </w:r>
      <w:r w:rsidR="00286F41" w:rsidRPr="00286F41">
        <w:t>is a Markov trace over time for the health states of no transfusion and Hb&lt;10.5, no transfusion and Hb≥10.5, transfusion required and dead.</w:t>
      </w:r>
    </w:p>
    <w:p w14:paraId="12B4CD37" w14:textId="1F994F70" w:rsidR="00286F41" w:rsidRDefault="00286F41" w:rsidP="002D7D3A">
      <w:pPr>
        <w:pStyle w:val="Caption"/>
      </w:pPr>
      <w:r>
        <w:lastRenderedPageBreak/>
        <w:t xml:space="preserve">Figure </w:t>
      </w:r>
      <w:fldSimple w:instr=" SEQ Figure \* ARABIC ">
        <w:r w:rsidR="000A62F7">
          <w:rPr>
            <w:noProof/>
          </w:rPr>
          <w:t>1</w:t>
        </w:r>
      </w:fldSimple>
      <w:r>
        <w:t>: Markov trace over time for health states in the economic model</w:t>
      </w:r>
    </w:p>
    <w:p w14:paraId="3D3174CC" w14:textId="77777777" w:rsidR="00286F41" w:rsidRDefault="00286F41" w:rsidP="00286F41">
      <w:r>
        <w:rPr>
          <w:noProof/>
        </w:rPr>
        <w:drawing>
          <wp:inline distT="0" distB="0" distL="0" distR="0" wp14:anchorId="24E1F3DE" wp14:editId="082BC3EA">
            <wp:extent cx="5704513" cy="3715878"/>
            <wp:effectExtent l="0" t="0" r="0" b="0"/>
            <wp:docPr id="8" name="Picture 8" descr="A picture containing graphical user interface&#10;&#10;Figure 1: Markov trace over time for health states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Figure 1: Markov trace over time for health states in the economic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099" cy="3734498"/>
                    </a:xfrm>
                    <a:prstGeom prst="rect">
                      <a:avLst/>
                    </a:prstGeom>
                    <a:noFill/>
                  </pic:spPr>
                </pic:pic>
              </a:graphicData>
            </a:graphic>
          </wp:inline>
        </w:drawing>
      </w:r>
    </w:p>
    <w:p w14:paraId="2D5A8A55" w14:textId="77777777" w:rsidR="00286F41" w:rsidRDefault="00286F41" w:rsidP="00286F41">
      <w:pPr>
        <w:pStyle w:val="TableFigureFooter"/>
      </w:pPr>
      <w:r>
        <w:t xml:space="preserve">Source: constructed during the evaluation </w:t>
      </w:r>
      <w:r w:rsidRPr="00F2395F">
        <w:t>using the ‘</w:t>
      </w:r>
      <w:proofErr w:type="spellStart"/>
      <w:r w:rsidRPr="00F2395F">
        <w:t>Pegcetacoplan_CEA_AUS_FINAL</w:t>
      </w:r>
      <w:proofErr w:type="spellEnd"/>
      <w:r w:rsidRPr="00F2395F">
        <w:t>’ Excel workbook of the submission</w:t>
      </w:r>
    </w:p>
    <w:p w14:paraId="6FFEE1BA" w14:textId="6D9B4FFE" w:rsidR="00286F41" w:rsidRPr="00286F41" w:rsidRDefault="00286F41" w:rsidP="00286F41">
      <w:pPr>
        <w:pStyle w:val="TableFigureFooter"/>
      </w:pPr>
      <w:r>
        <w:t>Abbreviation: TA, transfusion avoidance</w:t>
      </w:r>
    </w:p>
    <w:p w14:paraId="2B5F3719" w14:textId="7CDEC7E3" w:rsidR="002524D5" w:rsidRPr="00286F41" w:rsidRDefault="00286F41" w:rsidP="000C453B">
      <w:pPr>
        <w:pStyle w:val="ExecSumBodyText"/>
        <w:spacing w:after="160"/>
      </w:pPr>
      <w:r w:rsidRPr="00286F41">
        <w:t>The Markov trace shows rapid transitions in the first 2 model cycles (described in more detail below). After this timepoint, the proportion of patients remaining in each alive health state appeared stable over time except for a general decline due to death which occurred equally between health states.</w:t>
      </w:r>
    </w:p>
    <w:p w14:paraId="489E6752" w14:textId="4613E239" w:rsidR="00AB19EF" w:rsidRPr="00937F6D" w:rsidRDefault="00286F41" w:rsidP="000C453B">
      <w:pPr>
        <w:pStyle w:val="ExecSumBodyText"/>
        <w:spacing w:after="160"/>
      </w:pPr>
      <w:r w:rsidRPr="00286F41">
        <w:t xml:space="preserve">The trace shows </w:t>
      </w:r>
      <w:proofErr w:type="gramStart"/>
      <w:r w:rsidRPr="00286F41">
        <w:t>the majority of</w:t>
      </w:r>
      <w:proofErr w:type="gramEnd"/>
      <w:r w:rsidRPr="00286F41">
        <w:t xml:space="preserve"> patients in the </w:t>
      </w:r>
      <w:proofErr w:type="spellStart"/>
      <w:r w:rsidRPr="00286F41">
        <w:t>pegcetacoplan</w:t>
      </w:r>
      <w:proofErr w:type="spellEnd"/>
      <w:r w:rsidRPr="00286F41">
        <w:t xml:space="preserve"> arm remain in the no transfusion and Hb≥10.5 health state for most of the modelled duration, with a relatively small proportion of patients in the no transfusion and Hb&lt;10.5 health state and very few patients in the transfusion required health state.</w:t>
      </w:r>
      <w:r w:rsidR="005F26A0">
        <w:t xml:space="preserve"> </w:t>
      </w:r>
      <w:r w:rsidR="005F26A0" w:rsidRPr="00937F6D">
        <w:t>The ESC considered this was implausible.</w:t>
      </w:r>
      <w:r w:rsidR="00641CA2">
        <w:t xml:space="preserve"> The pre-PBAC response argued that data from the 48-week open label period showed that patients in the </w:t>
      </w:r>
      <w:proofErr w:type="spellStart"/>
      <w:r w:rsidR="00641CA2">
        <w:t>pegcetacoplan</w:t>
      </w:r>
      <w:proofErr w:type="spellEnd"/>
      <w:r w:rsidR="00641CA2">
        <w:t xml:space="preserve"> arm have significant and sustained improvement in their Hb level. In addition, the pre-PBAC </w:t>
      </w:r>
      <w:proofErr w:type="gramStart"/>
      <w:r w:rsidR="00641CA2">
        <w:t>response  stated</w:t>
      </w:r>
      <w:proofErr w:type="gramEnd"/>
      <w:r w:rsidR="00641CA2">
        <w:t xml:space="preserve"> that throughout the 48 week open label period 73% of patients continuing on </w:t>
      </w:r>
      <w:proofErr w:type="spellStart"/>
      <w:r w:rsidR="00641CA2">
        <w:t>pegcetacoplan</w:t>
      </w:r>
      <w:proofErr w:type="spellEnd"/>
      <w:r w:rsidR="00641CA2">
        <w:t xml:space="preserve"> monotherapy and 7</w:t>
      </w:r>
      <w:r w:rsidR="00D66543">
        <w:t>2</w:t>
      </w:r>
      <w:r w:rsidR="00641CA2">
        <w:t xml:space="preserve">% of patients in the cross-over group from eculizumab to </w:t>
      </w:r>
      <w:proofErr w:type="spellStart"/>
      <w:r w:rsidR="00641CA2">
        <w:t>pegcetacoplan</w:t>
      </w:r>
      <w:proofErr w:type="spellEnd"/>
      <w:r w:rsidR="00641CA2">
        <w:t xml:space="preserve"> remain transfusion independent. As such, the pre-PBAC response argued that it was clinically plausible that patients treated with </w:t>
      </w:r>
      <w:proofErr w:type="spellStart"/>
      <w:r w:rsidR="00641CA2">
        <w:t>pegcetacoplan</w:t>
      </w:r>
      <w:proofErr w:type="spellEnd"/>
      <w:r w:rsidR="00641CA2">
        <w:t xml:space="preserve"> would remain in the optimal health state. </w:t>
      </w:r>
      <w:r w:rsidR="00B577C2">
        <w:t xml:space="preserve">The PBAC considered that while </w:t>
      </w:r>
      <w:proofErr w:type="spellStart"/>
      <w:r w:rsidR="00B577C2">
        <w:t>pegcetacoplan</w:t>
      </w:r>
      <w:proofErr w:type="spellEnd"/>
      <w:r w:rsidR="00B577C2">
        <w:t xml:space="preserve"> likely improved transfusion avoidance, the magnitude of improvement varied over time (see paragraph </w:t>
      </w:r>
      <w:r w:rsidR="00B577C2">
        <w:fldChar w:fldCharType="begin"/>
      </w:r>
      <w:r w:rsidR="00B577C2">
        <w:instrText xml:space="preserve"> REF _Ref99541745 \r \h </w:instrText>
      </w:r>
      <w:r w:rsidR="00B577C2">
        <w:fldChar w:fldCharType="separate"/>
      </w:r>
      <w:r w:rsidR="000A62F7">
        <w:t>6.28</w:t>
      </w:r>
      <w:r w:rsidR="00B577C2">
        <w:fldChar w:fldCharType="end"/>
      </w:r>
      <w:r w:rsidR="00B577C2">
        <w:t xml:space="preserve">). The PBAC agreed with the ESC that the health state assumptions made for </w:t>
      </w:r>
      <w:proofErr w:type="spellStart"/>
      <w:r w:rsidR="00B577C2">
        <w:t>pegcetacoplan</w:t>
      </w:r>
      <w:proofErr w:type="spellEnd"/>
      <w:r w:rsidR="00B577C2">
        <w:t xml:space="preserve"> were im</w:t>
      </w:r>
      <w:r w:rsidR="008F6009">
        <w:t xml:space="preserve">plausible. </w:t>
      </w:r>
      <w:r w:rsidR="00B577C2">
        <w:t xml:space="preserve"> </w:t>
      </w:r>
    </w:p>
    <w:p w14:paraId="35E08715" w14:textId="51BFC16C" w:rsidR="00286F41" w:rsidRDefault="00286F41" w:rsidP="000C453B">
      <w:pPr>
        <w:pStyle w:val="ExecSumBodyText"/>
        <w:spacing w:after="160"/>
      </w:pPr>
      <w:r w:rsidRPr="00286F41">
        <w:lastRenderedPageBreak/>
        <w:t>In the eculizumab arm, more patients remained in the no transfusion and Hb&lt;10.5 health state with marginally fewer patients in the transfusion required health state and almost no patients in the no transfusion and Hb≥10.5 health state.</w:t>
      </w:r>
    </w:p>
    <w:p w14:paraId="446C1C2F" w14:textId="38E75AD7" w:rsidR="00286F41" w:rsidRPr="00A05B02" w:rsidRDefault="00286F41" w:rsidP="000C453B">
      <w:pPr>
        <w:pStyle w:val="ExecSumBodyText"/>
        <w:spacing w:after="160"/>
      </w:pPr>
      <w:r w:rsidRPr="00A05B02">
        <w:t xml:space="preserve">The difference in the distribution of patients across the alive health states between arms was the driver of cost savings and improved quality of life associated with </w:t>
      </w:r>
      <w:proofErr w:type="spellStart"/>
      <w:r w:rsidRPr="00A05B02">
        <w:t>pegcetacoplan</w:t>
      </w:r>
      <w:proofErr w:type="spellEnd"/>
      <w:r w:rsidRPr="00A05B02">
        <w:t xml:space="preserve"> in the model. There was no difference in survival between the </w:t>
      </w:r>
      <w:proofErr w:type="spellStart"/>
      <w:r w:rsidRPr="00A05B02">
        <w:t>pegcetacoplan</w:t>
      </w:r>
      <w:proofErr w:type="spellEnd"/>
      <w:r w:rsidRPr="00A05B02">
        <w:t xml:space="preserve"> and eculizumab arms.</w:t>
      </w:r>
    </w:p>
    <w:p w14:paraId="1E94B449" w14:textId="3FA38191" w:rsidR="00286F41" w:rsidRPr="00A05B02" w:rsidRDefault="00286F41" w:rsidP="000C453B">
      <w:pPr>
        <w:pStyle w:val="ExecSumBodyText"/>
        <w:spacing w:after="160"/>
      </w:pPr>
      <w:r w:rsidRPr="00A05B02">
        <w:t xml:space="preserve">Based on the Markov trace, approximately 50% of patients with PNH treated with </w:t>
      </w:r>
      <w:proofErr w:type="spellStart"/>
      <w:r w:rsidRPr="00A05B02">
        <w:t>pegcetacoplan</w:t>
      </w:r>
      <w:proofErr w:type="spellEnd"/>
      <w:r w:rsidRPr="00A05B02">
        <w:t xml:space="preserve">, eculizumab and </w:t>
      </w:r>
      <w:proofErr w:type="spellStart"/>
      <w:r w:rsidRPr="00A05B02">
        <w:t>ravulizumab</w:t>
      </w:r>
      <w:proofErr w:type="spellEnd"/>
      <w:r w:rsidRPr="00A05B02">
        <w:t xml:space="preserve"> were still alive at</w:t>
      </w:r>
      <w:r w:rsidR="00CE7114" w:rsidRPr="00A05B02">
        <w:t xml:space="preserve"> age</w:t>
      </w:r>
      <w:r w:rsidRPr="00A05B02">
        <w:t xml:space="preserve"> 86.8 years (modelled duration 38 years). This </w:t>
      </w:r>
      <w:proofErr w:type="gramStart"/>
      <w:r w:rsidRPr="00A05B02">
        <w:t>was based on the assumption</w:t>
      </w:r>
      <w:proofErr w:type="gramEnd"/>
      <w:r w:rsidRPr="00A05B02">
        <w:t xml:space="preserve"> that the subgroup of PNH patients who have suboptimal haematological response to C5 inhibitors but continue with treatment would have the same mortality as the general population. This assumption did not appear clinically plausible and was inconsistent with data suggesting </w:t>
      </w:r>
      <w:r w:rsidR="00CE7114" w:rsidRPr="00A05B02">
        <w:t>23%</w:t>
      </w:r>
      <w:r w:rsidRPr="00A05B02">
        <w:t xml:space="preserve"> of patients experienced serious and life-threatening events during the </w:t>
      </w:r>
      <w:r w:rsidR="00C4343B" w:rsidRPr="00A05B02">
        <w:t>whole study period</w:t>
      </w:r>
      <w:r w:rsidRPr="00A05B02">
        <w:t xml:space="preserve">.  </w:t>
      </w:r>
    </w:p>
    <w:p w14:paraId="426D93A3" w14:textId="77777777" w:rsidR="00E35B53" w:rsidRPr="00746BBB" w:rsidRDefault="00E35B53" w:rsidP="000C453B">
      <w:pPr>
        <w:pStyle w:val="ExecSumBodyText"/>
        <w:spacing w:after="160"/>
      </w:pPr>
      <w:r>
        <w:t xml:space="preserve">Key drivers of the economic model are summarised in the table below. </w:t>
      </w:r>
    </w:p>
    <w:p w14:paraId="7369F8E5" w14:textId="58E32B0B" w:rsidR="00E35B53" w:rsidRPr="00746BBB" w:rsidRDefault="00E35B53" w:rsidP="00EB40F2">
      <w:pPr>
        <w:pStyle w:val="Caption"/>
      </w:pPr>
      <w:r w:rsidRPr="00746BBB">
        <w:lastRenderedPageBreak/>
        <w:t xml:space="preserve">Table </w:t>
      </w:r>
      <w:fldSimple w:instr=" SEQ Table \* ARABIC ">
        <w:r w:rsidR="000A62F7">
          <w:rPr>
            <w:noProof/>
          </w:rPr>
          <w:t>9</w:t>
        </w:r>
      </w:fldSimple>
      <w:r w:rsidRPr="00746BB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6618"/>
        <w:gridCol w:w="1127"/>
      </w:tblGrid>
      <w:tr w:rsidR="00E35B53" w:rsidRPr="00746BBB" w14:paraId="78601119" w14:textId="77777777" w:rsidTr="006561E9">
        <w:trPr>
          <w:cantSplit/>
          <w:tblHeader/>
        </w:trPr>
        <w:tc>
          <w:tcPr>
            <w:tcW w:w="705" w:type="pct"/>
            <w:shd w:val="clear" w:color="auto" w:fill="auto"/>
            <w:vAlign w:val="center"/>
          </w:tcPr>
          <w:p w14:paraId="437E6247" w14:textId="77777777" w:rsidR="00E35B53" w:rsidRPr="00746BBB" w:rsidRDefault="00E35B53" w:rsidP="00EB40F2">
            <w:pPr>
              <w:pStyle w:val="Tableheadingrow"/>
              <w:widowControl w:val="0"/>
              <w:jc w:val="center"/>
              <w:rPr>
                <w:lang w:val="en-AU"/>
              </w:rPr>
            </w:pPr>
            <w:r w:rsidRPr="00746BBB">
              <w:rPr>
                <w:lang w:val="en-AU"/>
              </w:rPr>
              <w:t>Description</w:t>
            </w:r>
          </w:p>
        </w:tc>
        <w:tc>
          <w:tcPr>
            <w:tcW w:w="3670" w:type="pct"/>
            <w:shd w:val="clear" w:color="auto" w:fill="auto"/>
            <w:vAlign w:val="center"/>
          </w:tcPr>
          <w:p w14:paraId="628D05A6" w14:textId="77777777" w:rsidR="00E35B53" w:rsidRPr="00846510" w:rsidRDefault="00E35B53" w:rsidP="00EB40F2">
            <w:pPr>
              <w:pStyle w:val="Tableheadingrow"/>
              <w:widowControl w:val="0"/>
              <w:jc w:val="center"/>
              <w:rPr>
                <w:lang w:val="en-AU"/>
              </w:rPr>
            </w:pPr>
            <w:r w:rsidRPr="00846510">
              <w:rPr>
                <w:lang w:val="en-AU"/>
              </w:rPr>
              <w:t>Method/Value</w:t>
            </w:r>
          </w:p>
        </w:tc>
        <w:tc>
          <w:tcPr>
            <w:tcW w:w="625" w:type="pct"/>
            <w:shd w:val="clear" w:color="auto" w:fill="auto"/>
            <w:vAlign w:val="center"/>
          </w:tcPr>
          <w:p w14:paraId="4AE96F4F" w14:textId="60D0AF7F" w:rsidR="00E35B53" w:rsidRPr="00846510" w:rsidRDefault="00E35B53" w:rsidP="00EB40F2">
            <w:pPr>
              <w:pStyle w:val="Tableheadingrow"/>
              <w:widowControl w:val="0"/>
              <w:jc w:val="center"/>
              <w:rPr>
                <w:lang w:val="en-AU"/>
              </w:rPr>
            </w:pPr>
            <w:r w:rsidRPr="00846510">
              <w:rPr>
                <w:lang w:val="en-AU"/>
              </w:rPr>
              <w:t>Impact</w:t>
            </w:r>
          </w:p>
        </w:tc>
      </w:tr>
      <w:tr w:rsidR="00E35B53" w:rsidRPr="00746BBB" w14:paraId="146393CB" w14:textId="77777777" w:rsidTr="006561E9">
        <w:trPr>
          <w:cantSplit/>
        </w:trPr>
        <w:tc>
          <w:tcPr>
            <w:tcW w:w="705" w:type="pct"/>
            <w:shd w:val="clear" w:color="auto" w:fill="auto"/>
            <w:vAlign w:val="center"/>
          </w:tcPr>
          <w:p w14:paraId="187CDF66" w14:textId="56F3EC9A" w:rsidR="00E35B53" w:rsidRPr="00746BBB" w:rsidRDefault="004E57DB" w:rsidP="00EB40F2">
            <w:pPr>
              <w:pStyle w:val="TableText"/>
              <w:widowControl w:val="0"/>
              <w:jc w:val="center"/>
            </w:pPr>
            <w:r>
              <w:t>Model structure</w:t>
            </w:r>
          </w:p>
        </w:tc>
        <w:tc>
          <w:tcPr>
            <w:tcW w:w="3670" w:type="pct"/>
            <w:shd w:val="clear" w:color="auto" w:fill="auto"/>
            <w:vAlign w:val="center"/>
          </w:tcPr>
          <w:p w14:paraId="4C62680A" w14:textId="7D0624A9" w:rsidR="00E35B53" w:rsidRPr="00846510" w:rsidRDefault="00A135C6" w:rsidP="00EB40F2">
            <w:pPr>
              <w:pStyle w:val="TableText"/>
              <w:widowControl w:val="0"/>
            </w:pPr>
            <w:r w:rsidRPr="00846510">
              <w:t xml:space="preserve">The model structure was </w:t>
            </w:r>
            <w:r w:rsidR="00335979" w:rsidRPr="00846510">
              <w:t>limited to health states based on transfusion status and Hb levels alone</w:t>
            </w:r>
            <w:r w:rsidR="00930C85" w:rsidRPr="00846510">
              <w:t xml:space="preserve"> which favoured </w:t>
            </w:r>
            <w:proofErr w:type="spellStart"/>
            <w:r w:rsidR="00930C85" w:rsidRPr="00846510">
              <w:t>pegcetacoplan</w:t>
            </w:r>
            <w:proofErr w:type="spellEnd"/>
            <w:r w:rsidR="00930C85" w:rsidRPr="00846510">
              <w:t xml:space="preserve"> due to the claimed benefits and reduced costs associated with the defined health states. </w:t>
            </w:r>
          </w:p>
        </w:tc>
        <w:tc>
          <w:tcPr>
            <w:tcW w:w="625" w:type="pct"/>
            <w:shd w:val="clear" w:color="auto" w:fill="auto"/>
            <w:vAlign w:val="center"/>
          </w:tcPr>
          <w:p w14:paraId="4B12340C" w14:textId="431E2F61" w:rsidR="00E35B53" w:rsidRPr="00846510" w:rsidRDefault="004E57DB" w:rsidP="00EB40F2">
            <w:pPr>
              <w:pStyle w:val="TableText"/>
              <w:widowControl w:val="0"/>
              <w:jc w:val="center"/>
            </w:pPr>
            <w:r w:rsidRPr="00846510">
              <w:t xml:space="preserve">High, favours </w:t>
            </w:r>
            <w:proofErr w:type="spellStart"/>
            <w:r w:rsidR="00C1020D" w:rsidRPr="00846510">
              <w:t>pegcetacoplan</w:t>
            </w:r>
            <w:proofErr w:type="spellEnd"/>
          </w:p>
        </w:tc>
      </w:tr>
      <w:tr w:rsidR="00E35B53" w:rsidRPr="00746BBB" w14:paraId="4A7E5691" w14:textId="77777777" w:rsidTr="006561E9">
        <w:trPr>
          <w:cantSplit/>
        </w:trPr>
        <w:tc>
          <w:tcPr>
            <w:tcW w:w="705" w:type="pct"/>
            <w:shd w:val="clear" w:color="auto" w:fill="auto"/>
            <w:vAlign w:val="center"/>
          </w:tcPr>
          <w:p w14:paraId="4B2987A5" w14:textId="6938B8AF" w:rsidR="00E35B53" w:rsidRPr="00746BBB" w:rsidRDefault="00465554" w:rsidP="00EB40F2">
            <w:pPr>
              <w:pStyle w:val="TableText"/>
              <w:widowControl w:val="0"/>
              <w:jc w:val="center"/>
            </w:pPr>
            <w:r>
              <w:t>Health state t</w:t>
            </w:r>
            <w:r w:rsidR="00723419">
              <w:t>ransition probabilities</w:t>
            </w:r>
          </w:p>
        </w:tc>
        <w:tc>
          <w:tcPr>
            <w:tcW w:w="3670" w:type="pct"/>
            <w:shd w:val="clear" w:color="auto" w:fill="auto"/>
            <w:vAlign w:val="center"/>
          </w:tcPr>
          <w:p w14:paraId="1345A7ED" w14:textId="3AD0DAC8" w:rsidR="00E35B53" w:rsidRPr="00846510" w:rsidRDefault="008D6C67" w:rsidP="00EB40F2">
            <w:pPr>
              <w:pStyle w:val="TableText"/>
              <w:widowControl w:val="0"/>
            </w:pPr>
            <w:r w:rsidRPr="00846510">
              <w:t>The transition probabilities were estimated using patient-level data from the PEGASUS trial by first classifying patients into the pre-defined health states of the model (no transfusion and Hb&lt;10.5, no transfusion and Hb≥10.5 and transfusion required) depending on their medical characterisation on the planned visits during the PEGASUS study treatment period. This re-analysis of transfusions and Hb levels using individual patient data could not be evaluated or reconciled with key trial outcomes in the clinical section as the data were not presented in the submission. The analysis was requested from the sponsor during the evaluation, however, the sponsor responded that they were unable to provide the patient-level data used for the analysis as it was against company policy to release such information.</w:t>
            </w:r>
            <w:r w:rsidR="004138CE" w:rsidRPr="00846510">
              <w:t xml:space="preserve"> The implementation of these inputs was the primary driver of modelled cost savings and incremental benefit associated with </w:t>
            </w:r>
            <w:proofErr w:type="spellStart"/>
            <w:r w:rsidR="004138CE" w:rsidRPr="00846510">
              <w:t>pegcetacoplan</w:t>
            </w:r>
            <w:proofErr w:type="spellEnd"/>
            <w:r w:rsidR="004138CE" w:rsidRPr="00846510">
              <w:t>, due to the difference in time spent in each health state between treatment arms.</w:t>
            </w:r>
          </w:p>
        </w:tc>
        <w:tc>
          <w:tcPr>
            <w:tcW w:w="625" w:type="pct"/>
            <w:shd w:val="clear" w:color="auto" w:fill="auto"/>
            <w:vAlign w:val="center"/>
          </w:tcPr>
          <w:p w14:paraId="7247E08C" w14:textId="0F51A105" w:rsidR="00E35B53" w:rsidRPr="00846510" w:rsidRDefault="004138CE" w:rsidP="00EB40F2">
            <w:pPr>
              <w:pStyle w:val="TableText"/>
              <w:widowControl w:val="0"/>
              <w:jc w:val="center"/>
            </w:pPr>
            <w:r w:rsidRPr="00846510">
              <w:t xml:space="preserve">High, favours </w:t>
            </w:r>
            <w:proofErr w:type="spellStart"/>
            <w:r w:rsidRPr="00846510">
              <w:t>pegcetacoplan</w:t>
            </w:r>
            <w:proofErr w:type="spellEnd"/>
          </w:p>
        </w:tc>
      </w:tr>
      <w:tr w:rsidR="00E35B53" w:rsidRPr="00746BBB" w14:paraId="27BFAC91" w14:textId="77777777" w:rsidTr="006561E9">
        <w:trPr>
          <w:cantSplit/>
        </w:trPr>
        <w:tc>
          <w:tcPr>
            <w:tcW w:w="705" w:type="pct"/>
            <w:shd w:val="clear" w:color="auto" w:fill="auto"/>
            <w:vAlign w:val="center"/>
          </w:tcPr>
          <w:p w14:paraId="6BCBCE51" w14:textId="73DD4A34" w:rsidR="00E35B53" w:rsidRPr="00746BBB" w:rsidRDefault="00200C2E" w:rsidP="00EB40F2">
            <w:pPr>
              <w:pStyle w:val="TableText"/>
              <w:widowControl w:val="0"/>
              <w:jc w:val="center"/>
            </w:pPr>
            <w:r>
              <w:t>Treatment discontinuations</w:t>
            </w:r>
          </w:p>
        </w:tc>
        <w:tc>
          <w:tcPr>
            <w:tcW w:w="3670" w:type="pct"/>
            <w:shd w:val="clear" w:color="auto" w:fill="auto"/>
            <w:vAlign w:val="center"/>
          </w:tcPr>
          <w:p w14:paraId="04B6EADF" w14:textId="0B2267C8" w:rsidR="00E35B53" w:rsidRPr="00846510" w:rsidRDefault="00200C2E" w:rsidP="00EB40F2">
            <w:pPr>
              <w:pStyle w:val="TableText"/>
              <w:widowControl w:val="0"/>
            </w:pPr>
            <w:r w:rsidRPr="00846510">
              <w:t xml:space="preserve">The submission made </w:t>
            </w:r>
            <w:proofErr w:type="gramStart"/>
            <w:r w:rsidRPr="00846510">
              <w:t>a number of</w:t>
            </w:r>
            <w:proofErr w:type="gramEnd"/>
            <w:r w:rsidRPr="00846510">
              <w:t xml:space="preserve"> claims pertaining to patient flow during the trial (treatment discontinuations, study discontinuations and continuation to the open label period) and management of breakthrough haemolysis that could not be validated during the evaluation as the data were not provided in the submission. The submission made further assumptions to derive the treatment </w:t>
            </w:r>
            <w:r w:rsidR="00280EA3" w:rsidRPr="00846510">
              <w:t>discontinuation</w:t>
            </w:r>
            <w:r w:rsidRPr="00846510">
              <w:t xml:space="preserve"> rates and consequences following discontinuation that were inadequately supported. </w:t>
            </w:r>
            <w:r w:rsidR="00280EA3" w:rsidRPr="00846510">
              <w:t>T</w:t>
            </w:r>
            <w:r w:rsidR="00766146" w:rsidRPr="00846510">
              <w:t xml:space="preserve">he assumed consequences following discontinuation favoured </w:t>
            </w:r>
            <w:proofErr w:type="spellStart"/>
            <w:r w:rsidR="00766146" w:rsidRPr="00846510">
              <w:t>pegcetacoplan</w:t>
            </w:r>
            <w:proofErr w:type="spellEnd"/>
            <w:r w:rsidR="00766146" w:rsidRPr="00846510">
              <w:t xml:space="preserve"> as patients switching to </w:t>
            </w:r>
            <w:proofErr w:type="spellStart"/>
            <w:r w:rsidR="00766146" w:rsidRPr="00846510">
              <w:t>ravulizumab</w:t>
            </w:r>
            <w:proofErr w:type="spellEnd"/>
            <w:r w:rsidR="00766146" w:rsidRPr="00846510">
              <w:t xml:space="preserve"> have a fixed health status in terms of Hb level and transfusion requirements over the remaining modelled duration.</w:t>
            </w:r>
            <w:r w:rsidRPr="00846510">
              <w:t xml:space="preserve">  </w:t>
            </w:r>
          </w:p>
        </w:tc>
        <w:tc>
          <w:tcPr>
            <w:tcW w:w="625" w:type="pct"/>
            <w:shd w:val="clear" w:color="auto" w:fill="auto"/>
            <w:vAlign w:val="center"/>
          </w:tcPr>
          <w:p w14:paraId="785D20C9" w14:textId="57D78721" w:rsidR="00E35B53" w:rsidRPr="00846510" w:rsidRDefault="00766146" w:rsidP="00EB40F2">
            <w:pPr>
              <w:pStyle w:val="TableText"/>
              <w:widowControl w:val="0"/>
              <w:jc w:val="center"/>
            </w:pPr>
            <w:r w:rsidRPr="00846510">
              <w:t xml:space="preserve">High, favours </w:t>
            </w:r>
            <w:proofErr w:type="spellStart"/>
            <w:r w:rsidRPr="00846510">
              <w:t>pegcetacoplan</w:t>
            </w:r>
            <w:proofErr w:type="spellEnd"/>
          </w:p>
        </w:tc>
      </w:tr>
      <w:tr w:rsidR="00280EA3" w:rsidRPr="00746BBB" w14:paraId="182D45E3" w14:textId="77777777" w:rsidTr="006561E9">
        <w:trPr>
          <w:cantSplit/>
        </w:trPr>
        <w:tc>
          <w:tcPr>
            <w:tcW w:w="705" w:type="pct"/>
            <w:shd w:val="clear" w:color="auto" w:fill="auto"/>
            <w:vAlign w:val="center"/>
          </w:tcPr>
          <w:p w14:paraId="2C63E618" w14:textId="4A22B7C9" w:rsidR="00280EA3" w:rsidRDefault="00280EA3" w:rsidP="006561E9">
            <w:pPr>
              <w:pStyle w:val="TableText"/>
              <w:keepNext w:val="0"/>
              <w:widowControl w:val="0"/>
              <w:jc w:val="center"/>
            </w:pPr>
            <w:r>
              <w:t>Background mortality</w:t>
            </w:r>
          </w:p>
        </w:tc>
        <w:tc>
          <w:tcPr>
            <w:tcW w:w="3670" w:type="pct"/>
            <w:shd w:val="clear" w:color="auto" w:fill="auto"/>
            <w:vAlign w:val="center"/>
          </w:tcPr>
          <w:p w14:paraId="0F7EECAA" w14:textId="0E892007" w:rsidR="00280EA3" w:rsidRPr="00846510" w:rsidRDefault="00280EA3" w:rsidP="006561E9">
            <w:pPr>
              <w:pStyle w:val="TableText"/>
              <w:keepNext w:val="0"/>
              <w:widowControl w:val="0"/>
            </w:pPr>
            <w:r w:rsidRPr="00846510">
              <w:t xml:space="preserve">The submission calculated age- and gender-specific mortality rates in the Australian population based on the Australian Bureau of Statistics 2017-2019 life tables. This was used as background mortality in all health states, assuming that patients with PNH who are treated with </w:t>
            </w:r>
            <w:proofErr w:type="spellStart"/>
            <w:r w:rsidRPr="00846510">
              <w:t>pegcetacoplan</w:t>
            </w:r>
            <w:proofErr w:type="spellEnd"/>
            <w:r w:rsidRPr="00846510">
              <w:t xml:space="preserve">, eculizumab and </w:t>
            </w:r>
            <w:proofErr w:type="spellStart"/>
            <w:r w:rsidRPr="00846510">
              <w:t>ravulizumab</w:t>
            </w:r>
            <w:proofErr w:type="spellEnd"/>
            <w:r w:rsidRPr="00846510">
              <w:t xml:space="preserve"> have the same mortality rate as the general population.</w:t>
            </w:r>
            <w:r w:rsidR="001104E4" w:rsidRPr="00846510">
              <w:t xml:space="preserve"> No </w:t>
            </w:r>
            <w:r w:rsidR="00607E3A" w:rsidRPr="00846510">
              <w:t>data are available</w:t>
            </w:r>
            <w:r w:rsidR="001436B8" w:rsidRPr="00846510">
              <w:t xml:space="preserve"> to support non-inferior survival </w:t>
            </w:r>
            <w:r w:rsidR="005868F7" w:rsidRPr="00846510">
              <w:t>between these treatments. The assumption that treated patients achieve general population mortality was</w:t>
            </w:r>
            <w:r w:rsidRPr="00846510">
              <w:t xml:space="preserve"> inadequately supported given </w:t>
            </w:r>
            <w:r w:rsidR="00C4343B" w:rsidRPr="00846510">
              <w:t>23%</w:t>
            </w:r>
            <w:r w:rsidRPr="00846510">
              <w:t xml:space="preserve"> of treated patients</w:t>
            </w:r>
            <w:r w:rsidR="005868F7" w:rsidRPr="00846510">
              <w:t xml:space="preserve"> </w:t>
            </w:r>
            <w:r w:rsidRPr="00846510">
              <w:t xml:space="preserve">continued to experience serious or life-threatening events over the 48-week </w:t>
            </w:r>
            <w:r w:rsidR="00AA0908" w:rsidRPr="00846510">
              <w:t>trial.</w:t>
            </w:r>
          </w:p>
        </w:tc>
        <w:tc>
          <w:tcPr>
            <w:tcW w:w="625" w:type="pct"/>
            <w:shd w:val="clear" w:color="auto" w:fill="auto"/>
            <w:vAlign w:val="center"/>
          </w:tcPr>
          <w:p w14:paraId="1349FAF5" w14:textId="77CFC4F6" w:rsidR="00280EA3" w:rsidRPr="00846510" w:rsidRDefault="000773F6" w:rsidP="006561E9">
            <w:pPr>
              <w:pStyle w:val="TableText"/>
              <w:keepNext w:val="0"/>
              <w:widowControl w:val="0"/>
              <w:jc w:val="center"/>
            </w:pPr>
            <w:r w:rsidRPr="00846510">
              <w:t xml:space="preserve">High, favours </w:t>
            </w:r>
            <w:proofErr w:type="spellStart"/>
            <w:r w:rsidRPr="00846510">
              <w:t>pegcetacoplan</w:t>
            </w:r>
            <w:proofErr w:type="spellEnd"/>
          </w:p>
        </w:tc>
      </w:tr>
      <w:tr w:rsidR="00465554" w:rsidRPr="00746BBB" w14:paraId="5D572918" w14:textId="77777777" w:rsidTr="006561E9">
        <w:trPr>
          <w:cantSplit/>
        </w:trPr>
        <w:tc>
          <w:tcPr>
            <w:tcW w:w="705" w:type="pct"/>
            <w:shd w:val="clear" w:color="auto" w:fill="auto"/>
            <w:vAlign w:val="center"/>
          </w:tcPr>
          <w:p w14:paraId="38148D48" w14:textId="64C11153" w:rsidR="00465554" w:rsidRDefault="00465554" w:rsidP="006561E9">
            <w:pPr>
              <w:pStyle w:val="TableText"/>
              <w:keepNext w:val="0"/>
              <w:widowControl w:val="0"/>
              <w:jc w:val="center"/>
            </w:pPr>
            <w:r>
              <w:t>Iron overload treatment</w:t>
            </w:r>
          </w:p>
        </w:tc>
        <w:tc>
          <w:tcPr>
            <w:tcW w:w="3670" w:type="pct"/>
            <w:shd w:val="clear" w:color="auto" w:fill="auto"/>
            <w:vAlign w:val="center"/>
          </w:tcPr>
          <w:p w14:paraId="077CCA7E" w14:textId="6B15AA70" w:rsidR="006B1436" w:rsidRPr="00846510" w:rsidRDefault="006561E9" w:rsidP="006561E9">
            <w:pPr>
              <w:pStyle w:val="TableText"/>
              <w:keepNext w:val="0"/>
              <w:widowControl w:val="0"/>
            </w:pPr>
            <w:r w:rsidRPr="00846510">
              <w:t xml:space="preserve">The proportion of patients requiring iron overload treatment in the model was estimated using prior medication use of </w:t>
            </w:r>
            <w:proofErr w:type="spellStart"/>
            <w:r w:rsidRPr="00846510">
              <w:t>deferasirox</w:t>
            </w:r>
            <w:proofErr w:type="spellEnd"/>
            <w:r w:rsidRPr="00846510">
              <w:t xml:space="preserve"> (19/80, 23.75%) or </w:t>
            </w:r>
            <w:proofErr w:type="spellStart"/>
            <w:r w:rsidRPr="00846510">
              <w:t>desferrioxamine</w:t>
            </w:r>
            <w:proofErr w:type="spellEnd"/>
            <w:r w:rsidRPr="00846510">
              <w:t xml:space="preserve"> (3/80, 3.75%) within 12 weeks of the screening visit of the PEGASUS trial. The use of historical estimates was inadequately justified given the availability of utilisation data for iron chelation therapies during the trial.</w:t>
            </w:r>
            <w:r w:rsidR="006B1436" w:rsidRPr="00846510">
              <w:t xml:space="preserve"> The submission </w:t>
            </w:r>
            <w:r w:rsidR="0052662E" w:rsidRPr="00846510">
              <w:t xml:space="preserve">inappropriately </w:t>
            </w:r>
            <w:r w:rsidR="006B1436" w:rsidRPr="00846510">
              <w:t xml:space="preserve">used the same fixed utilisation estimates of iron chelation therapies to represent the proportion of patients requiring treatment for iron overload in each treatment arm regardless of changes in the proportion of patients in each health state. The submission </w:t>
            </w:r>
            <w:r w:rsidR="0052662E" w:rsidRPr="00846510">
              <w:t xml:space="preserve">inappropriately </w:t>
            </w:r>
            <w:r w:rsidR="006B1436" w:rsidRPr="00846510">
              <w:t xml:space="preserve">assumed that patients receiving </w:t>
            </w:r>
            <w:proofErr w:type="spellStart"/>
            <w:r w:rsidR="006B1436" w:rsidRPr="00846510">
              <w:t>pegcetacoplan</w:t>
            </w:r>
            <w:proofErr w:type="spellEnd"/>
            <w:r w:rsidR="006B1436" w:rsidRPr="00846510">
              <w:t xml:space="preserve"> do not require chelation therapy for iron overload as they have sufficient haemoglobin levels that allow for therapeutic venesection (removal of iron by removing blood) whereas patients receiving eculizumab would be treated with iron chelation therapy for iron overload.</w:t>
            </w:r>
            <w:r w:rsidR="00746197" w:rsidRPr="00846510">
              <w:t xml:space="preserve"> This assumption led to differences in costs and quality of life that favoured </w:t>
            </w:r>
            <w:proofErr w:type="spellStart"/>
            <w:r w:rsidR="00746197" w:rsidRPr="00846510">
              <w:t>pegcetacoplan</w:t>
            </w:r>
            <w:proofErr w:type="spellEnd"/>
            <w:r w:rsidR="00746197" w:rsidRPr="00846510">
              <w:t xml:space="preserve">. </w:t>
            </w:r>
            <w:r w:rsidR="0052662E" w:rsidRPr="00846510">
              <w:t xml:space="preserve"> </w:t>
            </w:r>
          </w:p>
        </w:tc>
        <w:tc>
          <w:tcPr>
            <w:tcW w:w="625" w:type="pct"/>
            <w:shd w:val="clear" w:color="auto" w:fill="auto"/>
            <w:vAlign w:val="center"/>
          </w:tcPr>
          <w:p w14:paraId="5970F440" w14:textId="2F6DF4EA" w:rsidR="00465554" w:rsidRPr="00846510" w:rsidRDefault="006B1436" w:rsidP="006561E9">
            <w:pPr>
              <w:pStyle w:val="TableText"/>
              <w:keepNext w:val="0"/>
              <w:widowControl w:val="0"/>
              <w:jc w:val="center"/>
            </w:pPr>
            <w:r w:rsidRPr="00846510">
              <w:t xml:space="preserve">High, favours </w:t>
            </w:r>
            <w:proofErr w:type="spellStart"/>
            <w:r w:rsidRPr="00846510">
              <w:t>pegcetacoplan</w:t>
            </w:r>
            <w:proofErr w:type="spellEnd"/>
          </w:p>
        </w:tc>
      </w:tr>
      <w:tr w:rsidR="000773F6" w:rsidRPr="00746BBB" w14:paraId="3314C456" w14:textId="77777777" w:rsidTr="006561E9">
        <w:trPr>
          <w:cantSplit/>
        </w:trPr>
        <w:tc>
          <w:tcPr>
            <w:tcW w:w="705" w:type="pct"/>
            <w:shd w:val="clear" w:color="auto" w:fill="auto"/>
            <w:vAlign w:val="center"/>
          </w:tcPr>
          <w:p w14:paraId="2C36870F" w14:textId="6EBB3130" w:rsidR="000773F6" w:rsidRDefault="000773F6" w:rsidP="006561E9">
            <w:pPr>
              <w:pStyle w:val="TableText"/>
              <w:keepNext w:val="0"/>
              <w:widowControl w:val="0"/>
              <w:jc w:val="center"/>
            </w:pPr>
            <w:r>
              <w:lastRenderedPageBreak/>
              <w:t>Health state utility values</w:t>
            </w:r>
          </w:p>
        </w:tc>
        <w:tc>
          <w:tcPr>
            <w:tcW w:w="3670" w:type="pct"/>
            <w:shd w:val="clear" w:color="auto" w:fill="auto"/>
            <w:vAlign w:val="center"/>
          </w:tcPr>
          <w:p w14:paraId="42E80950" w14:textId="09E3F3AE" w:rsidR="000773F6" w:rsidRPr="00846510" w:rsidRDefault="00EA4A99" w:rsidP="006561E9">
            <w:pPr>
              <w:pStyle w:val="TableText"/>
              <w:keepNext w:val="0"/>
              <w:widowControl w:val="0"/>
            </w:pPr>
            <w:r w:rsidRPr="00846510">
              <w:t>Health state utilities were derived using</w:t>
            </w:r>
            <w:r w:rsidR="000773F6" w:rsidRPr="00846510">
              <w:t xml:space="preserve"> </w:t>
            </w:r>
            <w:r w:rsidRPr="00846510">
              <w:t xml:space="preserve">EORTC QLQ-C30 scores </w:t>
            </w:r>
            <w:r w:rsidR="0086773B" w:rsidRPr="00846510">
              <w:t>in the PEGASUS study, mapped to EQ-5D-3L utility values using a multinomial regression model and UK tariffs</w:t>
            </w:r>
            <w:r w:rsidR="00465554" w:rsidRPr="00846510">
              <w:t xml:space="preserve"> </w:t>
            </w:r>
            <w:r w:rsidR="006561E9" w:rsidRPr="00846510">
              <w:t xml:space="preserve">based on cancer patients </w:t>
            </w:r>
            <w:r w:rsidR="00465554" w:rsidRPr="00846510">
              <w:t>(Longworth 2014).</w:t>
            </w:r>
            <w:r w:rsidRPr="00846510">
              <w:t xml:space="preserve"> </w:t>
            </w:r>
            <w:r w:rsidR="00465554" w:rsidRPr="00846510">
              <w:t xml:space="preserve">The PBAC has previously questioned the appropriateness of EORTC QLQ-C30 scores used in trials of eculizumab and </w:t>
            </w:r>
            <w:proofErr w:type="spellStart"/>
            <w:r w:rsidR="00465554" w:rsidRPr="00846510">
              <w:t>ravulizumab</w:t>
            </w:r>
            <w:proofErr w:type="spellEnd"/>
            <w:r w:rsidR="00465554" w:rsidRPr="00846510">
              <w:t xml:space="preserve">, noting the instrument is specifically used to assess the health-related quality of life of cancer patients (para 7.7, </w:t>
            </w:r>
            <w:proofErr w:type="spellStart"/>
            <w:r w:rsidR="00465554" w:rsidRPr="00846510">
              <w:t>ravulizumab</w:t>
            </w:r>
            <w:proofErr w:type="spellEnd"/>
            <w:r w:rsidR="00465554" w:rsidRPr="00846510">
              <w:t xml:space="preserve"> PSD, July 2020 PBAC meeting). The predictability of the mapping algorithm when used for a bleeding disorder (unrelated to cancer) is unclear. </w:t>
            </w:r>
            <w:r w:rsidR="006561E9" w:rsidRPr="00846510">
              <w:t>The reliability of the Tobit regression model used to estimate the health state utilities was uncertain due to limited documentation in the submission. The application of different utility values to the no transfusion health states assumed a difference in quality of life could be attributed to Hb level alone, which was inadequately justified in the submission.</w:t>
            </w:r>
          </w:p>
        </w:tc>
        <w:tc>
          <w:tcPr>
            <w:tcW w:w="625" w:type="pct"/>
            <w:shd w:val="clear" w:color="auto" w:fill="auto"/>
            <w:vAlign w:val="center"/>
          </w:tcPr>
          <w:p w14:paraId="5ABA2B1C" w14:textId="39F1F9A2" w:rsidR="000773F6" w:rsidRPr="00846510" w:rsidRDefault="00E54DB9" w:rsidP="006561E9">
            <w:pPr>
              <w:pStyle w:val="TableText"/>
              <w:keepNext w:val="0"/>
              <w:widowControl w:val="0"/>
              <w:jc w:val="center"/>
            </w:pPr>
            <w:r w:rsidRPr="00846510">
              <w:t xml:space="preserve">High, favours </w:t>
            </w:r>
            <w:proofErr w:type="spellStart"/>
            <w:r w:rsidRPr="00846510">
              <w:t>pegcetacoplan</w:t>
            </w:r>
            <w:proofErr w:type="spellEnd"/>
          </w:p>
        </w:tc>
      </w:tr>
      <w:tr w:rsidR="00E54DB9" w:rsidRPr="00746BBB" w14:paraId="0B23D6BF" w14:textId="77777777" w:rsidTr="00A922DF">
        <w:trPr>
          <w:cantSplit/>
          <w:trHeight w:val="1051"/>
        </w:trPr>
        <w:tc>
          <w:tcPr>
            <w:tcW w:w="705" w:type="pct"/>
            <w:shd w:val="clear" w:color="auto" w:fill="auto"/>
            <w:vAlign w:val="center"/>
          </w:tcPr>
          <w:p w14:paraId="6FDF2983" w14:textId="6B35BC62" w:rsidR="00E54DB9" w:rsidRDefault="00E54DB9" w:rsidP="006561E9">
            <w:pPr>
              <w:pStyle w:val="TableText"/>
              <w:keepNext w:val="0"/>
              <w:widowControl w:val="0"/>
              <w:jc w:val="center"/>
            </w:pPr>
            <w:r>
              <w:t>Complement inhibitor treatment costs</w:t>
            </w:r>
          </w:p>
        </w:tc>
        <w:tc>
          <w:tcPr>
            <w:tcW w:w="3670" w:type="pct"/>
            <w:shd w:val="clear" w:color="auto" w:fill="auto"/>
            <w:vAlign w:val="center"/>
          </w:tcPr>
          <w:p w14:paraId="5F486D04" w14:textId="299FC680" w:rsidR="00E54DB9" w:rsidRPr="00846510" w:rsidRDefault="00071159" w:rsidP="006561E9">
            <w:pPr>
              <w:pStyle w:val="TableText"/>
              <w:keepNext w:val="0"/>
              <w:widowControl w:val="0"/>
            </w:pPr>
            <w:r w:rsidRPr="00846510">
              <w:t xml:space="preserve">Drug acquisition costs for </w:t>
            </w:r>
            <w:proofErr w:type="spellStart"/>
            <w:r w:rsidRPr="00846510">
              <w:t>pegcetacoplan</w:t>
            </w:r>
            <w:proofErr w:type="spellEnd"/>
            <w:r w:rsidRPr="00846510">
              <w:t xml:space="preserve">, eculizumab and </w:t>
            </w:r>
            <w:proofErr w:type="spellStart"/>
            <w:r w:rsidRPr="00846510">
              <w:t>ravulizumab</w:t>
            </w:r>
            <w:proofErr w:type="spellEnd"/>
            <w:r w:rsidRPr="00846510">
              <w:t xml:space="preserve"> were calculated </w:t>
            </w:r>
            <w:r w:rsidRPr="009D5C41">
              <w:t xml:space="preserve">assuming </w:t>
            </w:r>
            <w:r w:rsidR="005126B1" w:rsidRPr="005126B1">
              <w:rPr>
                <w:color w:val="000000"/>
                <w:spacing w:val="53"/>
                <w:shd w:val="solid" w:color="000000" w:fill="000000"/>
                <w:fitText w:val="331" w:id="-1500841469"/>
                <w14:textFill>
                  <w14:solidFill>
                    <w14:srgbClr w14:val="000000">
                      <w14:alpha w14:val="100000"/>
                    </w14:srgbClr>
                  </w14:solidFill>
                </w14:textFill>
              </w:rPr>
              <w:t>|||</w:t>
            </w:r>
            <w:r w:rsidR="005126B1" w:rsidRPr="005126B1">
              <w:rPr>
                <w:color w:val="000000"/>
                <w:spacing w:val="2"/>
                <w:shd w:val="solid" w:color="000000" w:fill="000000"/>
                <w:fitText w:val="331" w:id="-1500841469"/>
                <w14:textFill>
                  <w14:solidFill>
                    <w14:srgbClr w14:val="000000">
                      <w14:alpha w14:val="100000"/>
                    </w14:srgbClr>
                  </w14:solidFill>
                </w14:textFill>
              </w:rPr>
              <w:t>|</w:t>
            </w:r>
            <w:r w:rsidR="005126B1" w:rsidRPr="005126B1">
              <w:t xml:space="preserve"> </w:t>
            </w:r>
            <w:r w:rsidR="005126B1" w:rsidRPr="005126B1">
              <w:rPr>
                <w:color w:val="000000"/>
                <w:spacing w:val="53"/>
                <w:shd w:val="solid" w:color="000000" w:fill="000000"/>
                <w:fitText w:val="332" w:id="-1500841468"/>
                <w14:textFill>
                  <w14:solidFill>
                    <w14:srgbClr w14:val="000000">
                      <w14:alpha w14:val="100000"/>
                    </w14:srgbClr>
                  </w14:solidFill>
                </w14:textFill>
              </w:rPr>
              <w:t>|||</w:t>
            </w:r>
            <w:r w:rsidR="005126B1" w:rsidRPr="005126B1">
              <w:rPr>
                <w:color w:val="000000"/>
                <w:spacing w:val="3"/>
                <w:shd w:val="solid" w:color="000000" w:fill="000000"/>
                <w:fitText w:val="332" w:id="-1500841468"/>
                <w14:textFill>
                  <w14:solidFill>
                    <w14:srgbClr w14:val="000000">
                      <w14:alpha w14:val="100000"/>
                    </w14:srgbClr>
                  </w14:solidFill>
                </w14:textFill>
              </w:rPr>
              <w:t>|</w:t>
            </w:r>
            <w:r w:rsidR="005126B1" w:rsidRPr="005126B1">
              <w:t xml:space="preserve"> </w:t>
            </w:r>
            <w:r w:rsidRPr="009D5C41">
              <w:t xml:space="preserve">on an annual basis </w:t>
            </w:r>
            <w:r w:rsidRPr="00846510">
              <w:t xml:space="preserve">(maintenance year only) should eculizumab and </w:t>
            </w:r>
            <w:proofErr w:type="spellStart"/>
            <w:r w:rsidRPr="00846510">
              <w:t>ravulizumab</w:t>
            </w:r>
            <w:proofErr w:type="spellEnd"/>
            <w:r w:rsidRPr="00846510">
              <w:t xml:space="preserve"> be listed on the PBS. </w:t>
            </w:r>
            <w:r w:rsidR="00A922DF" w:rsidRPr="00846510">
              <w:t>The submission used the published eculizumab price for atypical haemolytic uraemic syndrome (</w:t>
            </w:r>
            <w:proofErr w:type="spellStart"/>
            <w:r w:rsidR="00A922DF" w:rsidRPr="00846510">
              <w:t>aHUS</w:t>
            </w:r>
            <w:proofErr w:type="spellEnd"/>
            <w:r w:rsidR="00A922DF" w:rsidRPr="00846510">
              <w:t xml:space="preserve">) on the PBS as a proxy for the published price of eculizumab for PNH on the PBS. The published PBS price of eculizumab for </w:t>
            </w:r>
            <w:proofErr w:type="spellStart"/>
            <w:r w:rsidR="00A922DF" w:rsidRPr="00846510">
              <w:t>aHUS</w:t>
            </w:r>
            <w:proofErr w:type="spellEnd"/>
            <w:r w:rsidR="00A922DF" w:rsidRPr="00846510">
              <w:t xml:space="preserve"> is unlikely to represent the PBS price of eculizumab for PNH. There were multiple concerns with the approach used in the submission including assumptions surrounding PBS script coverage for eculizumab and </w:t>
            </w:r>
            <w:proofErr w:type="spellStart"/>
            <w:r w:rsidR="00A922DF" w:rsidRPr="00846510">
              <w:t>ravulizumab</w:t>
            </w:r>
            <w:proofErr w:type="spellEnd"/>
            <w:r w:rsidR="00A922DF" w:rsidRPr="00846510">
              <w:t xml:space="preserve">, the use of DPMQ rather than AEMP in the pricing calculations, </w:t>
            </w:r>
            <w:r w:rsidR="005417BE" w:rsidRPr="00846510">
              <w:t xml:space="preserve">assumed circumstances of use of </w:t>
            </w:r>
            <w:proofErr w:type="spellStart"/>
            <w:r w:rsidR="005417BE" w:rsidRPr="00846510">
              <w:t>pegcetacoplan</w:t>
            </w:r>
            <w:proofErr w:type="spellEnd"/>
            <w:r w:rsidR="005417BE" w:rsidRPr="00846510">
              <w:t xml:space="preserve"> (</w:t>
            </w:r>
            <w:proofErr w:type="gramStart"/>
            <w:r w:rsidR="005417BE" w:rsidRPr="00846510">
              <w:t>i.e.</w:t>
            </w:r>
            <w:proofErr w:type="gramEnd"/>
            <w:r w:rsidR="005417BE" w:rsidRPr="00846510">
              <w:t xml:space="preserve"> proportion with dose escalation)</w:t>
            </w:r>
            <w:r w:rsidR="00A66CB8" w:rsidRPr="00846510">
              <w:t xml:space="preserve"> and </w:t>
            </w:r>
            <w:r w:rsidR="005417BE" w:rsidRPr="00846510">
              <w:t xml:space="preserve">assumption of equivalent cost between </w:t>
            </w:r>
            <w:r w:rsidR="00A66CB8" w:rsidRPr="00846510">
              <w:t xml:space="preserve">eculizumab and </w:t>
            </w:r>
            <w:proofErr w:type="spellStart"/>
            <w:r w:rsidR="00A66CB8" w:rsidRPr="00846510">
              <w:t>ravulizumab</w:t>
            </w:r>
            <w:proofErr w:type="spellEnd"/>
            <w:r w:rsidR="00A66CB8" w:rsidRPr="00846510">
              <w:t>. Overall, the submission’s approach was</w:t>
            </w:r>
            <w:r w:rsidR="005417BE" w:rsidRPr="00846510">
              <w:t xml:space="preserve"> </w:t>
            </w:r>
            <w:r w:rsidR="00A66CB8" w:rsidRPr="00846510">
              <w:t xml:space="preserve">reliant on the assumption that the effective prices of eculizumab and </w:t>
            </w:r>
            <w:proofErr w:type="spellStart"/>
            <w:r w:rsidR="00A66CB8" w:rsidRPr="00846510">
              <w:t>ravulizumab</w:t>
            </w:r>
            <w:proofErr w:type="spellEnd"/>
            <w:r w:rsidR="00A66CB8" w:rsidRPr="00846510">
              <w:t xml:space="preserve"> represent a cost-effective price for </w:t>
            </w:r>
            <w:proofErr w:type="spellStart"/>
            <w:r w:rsidR="00A66CB8" w:rsidRPr="00846510">
              <w:t>pegcetacoplan</w:t>
            </w:r>
            <w:proofErr w:type="spellEnd"/>
            <w:r w:rsidR="00A66CB8" w:rsidRPr="00846510">
              <w:t xml:space="preserve">. The relevance of both eculizumab and </w:t>
            </w:r>
            <w:proofErr w:type="spellStart"/>
            <w:r w:rsidR="00A66CB8" w:rsidRPr="00846510">
              <w:t>ravulizumab</w:t>
            </w:r>
            <w:proofErr w:type="spellEnd"/>
            <w:r w:rsidR="00A66CB8" w:rsidRPr="00846510">
              <w:t xml:space="preserve"> prices was uncertain as the cost-effectiveness of these treatments in the subgroup who have suboptimal haematological response has not been considered.</w:t>
            </w:r>
            <w:r w:rsidR="00386304">
              <w:rPr>
                <w:i/>
                <w:iCs/>
              </w:rPr>
              <w:t xml:space="preserve"> </w:t>
            </w:r>
          </w:p>
        </w:tc>
        <w:tc>
          <w:tcPr>
            <w:tcW w:w="625" w:type="pct"/>
            <w:shd w:val="clear" w:color="auto" w:fill="auto"/>
            <w:vAlign w:val="center"/>
          </w:tcPr>
          <w:p w14:paraId="788B17FA" w14:textId="1A47785B" w:rsidR="00E54DB9" w:rsidRPr="00846510" w:rsidRDefault="00071159" w:rsidP="006561E9">
            <w:pPr>
              <w:pStyle w:val="TableText"/>
              <w:keepNext w:val="0"/>
              <w:widowControl w:val="0"/>
              <w:jc w:val="center"/>
            </w:pPr>
            <w:r w:rsidRPr="00846510">
              <w:t>Unclear</w:t>
            </w:r>
          </w:p>
        </w:tc>
      </w:tr>
      <w:tr w:rsidR="0032156C" w:rsidRPr="00746BBB" w14:paraId="68149582" w14:textId="77777777" w:rsidTr="0032156C">
        <w:trPr>
          <w:cantSplit/>
          <w:trHeight w:val="198"/>
        </w:trPr>
        <w:tc>
          <w:tcPr>
            <w:tcW w:w="705" w:type="pct"/>
            <w:shd w:val="clear" w:color="auto" w:fill="auto"/>
            <w:vAlign w:val="center"/>
          </w:tcPr>
          <w:p w14:paraId="63A4E157" w14:textId="6E3E2022" w:rsidR="0032156C" w:rsidRDefault="0098397E" w:rsidP="006561E9">
            <w:pPr>
              <w:pStyle w:val="TableText"/>
              <w:keepNext w:val="0"/>
              <w:widowControl w:val="0"/>
              <w:jc w:val="center"/>
            </w:pPr>
            <w:r>
              <w:t>Drug administration costs, blood transfusion costs, disease monitoring costs</w:t>
            </w:r>
          </w:p>
        </w:tc>
        <w:tc>
          <w:tcPr>
            <w:tcW w:w="3670" w:type="pct"/>
            <w:shd w:val="clear" w:color="auto" w:fill="auto"/>
            <w:vAlign w:val="center"/>
          </w:tcPr>
          <w:p w14:paraId="4765C1F0" w14:textId="74BDB3C0" w:rsidR="0032156C" w:rsidRPr="00846510" w:rsidRDefault="0098397E" w:rsidP="006561E9">
            <w:pPr>
              <w:pStyle w:val="TableText"/>
              <w:keepNext w:val="0"/>
              <w:widowControl w:val="0"/>
            </w:pPr>
            <w:r w:rsidRPr="00846510">
              <w:t xml:space="preserve">The estimation of these costs </w:t>
            </w:r>
            <w:r w:rsidR="000B36CA" w:rsidRPr="00846510">
              <w:t xml:space="preserve">was reliant on data sources and assumptions </w:t>
            </w:r>
            <w:r w:rsidR="00492736" w:rsidRPr="00846510">
              <w:t xml:space="preserve">that </w:t>
            </w:r>
            <w:r w:rsidR="000B36CA" w:rsidRPr="00846510">
              <w:t xml:space="preserve">were inadequately justified in the submission, which resulted in substantial cost offsets. The cumulative impact of these inputs on the economic analysis </w:t>
            </w:r>
            <w:r w:rsidR="00ED26EA" w:rsidRPr="00846510">
              <w:t>is</w:t>
            </w:r>
            <w:r w:rsidR="000B36CA" w:rsidRPr="00846510">
              <w:t xml:space="preserve"> likely to be substantial. </w:t>
            </w:r>
          </w:p>
        </w:tc>
        <w:tc>
          <w:tcPr>
            <w:tcW w:w="625" w:type="pct"/>
            <w:shd w:val="clear" w:color="auto" w:fill="auto"/>
            <w:vAlign w:val="center"/>
          </w:tcPr>
          <w:p w14:paraId="25CDED47" w14:textId="7ACF9746" w:rsidR="0032156C" w:rsidRPr="00846510" w:rsidRDefault="000B36CA" w:rsidP="006561E9">
            <w:pPr>
              <w:pStyle w:val="TableText"/>
              <w:keepNext w:val="0"/>
              <w:widowControl w:val="0"/>
              <w:jc w:val="center"/>
            </w:pPr>
            <w:r w:rsidRPr="00846510">
              <w:t xml:space="preserve">High, favours </w:t>
            </w:r>
            <w:proofErr w:type="spellStart"/>
            <w:r w:rsidRPr="00846510">
              <w:t>pegcetacoplan</w:t>
            </w:r>
            <w:proofErr w:type="spellEnd"/>
          </w:p>
        </w:tc>
      </w:tr>
    </w:tbl>
    <w:p w14:paraId="03CE4288" w14:textId="567CF2C1" w:rsidR="00E35B53" w:rsidRPr="00E35B53" w:rsidRDefault="00E35B53" w:rsidP="00E35B53">
      <w:pPr>
        <w:pStyle w:val="TableFigureFooter"/>
      </w:pPr>
      <w:r w:rsidRPr="00746BBB">
        <w:t xml:space="preserve">Source: </w:t>
      </w:r>
      <w:r w:rsidR="000A0C5A">
        <w:t>constructed during the evaluation</w:t>
      </w:r>
    </w:p>
    <w:p w14:paraId="1EAE795E" w14:textId="6CFE8A89" w:rsidR="006D609D" w:rsidRPr="00746BBB" w:rsidRDefault="006D609D" w:rsidP="00BB00B3">
      <w:pPr>
        <w:pStyle w:val="ExecSumBodyText"/>
      </w:pPr>
      <w:r>
        <w:t xml:space="preserve">The results of the modelled economic evaluation </w:t>
      </w:r>
      <w:r w:rsidR="000D7D3E">
        <w:t xml:space="preserve">are presented in the table below. </w:t>
      </w:r>
    </w:p>
    <w:p w14:paraId="2C1B62F3" w14:textId="03591E27" w:rsidR="001F4081" w:rsidRPr="00746BBB" w:rsidRDefault="001F4081" w:rsidP="002D7D3A">
      <w:pPr>
        <w:pStyle w:val="Caption"/>
      </w:pPr>
      <w:r w:rsidRPr="00746BBB">
        <w:t xml:space="preserve">Table </w:t>
      </w:r>
      <w:fldSimple w:instr=" SEQ Table \* ARABIC ">
        <w:r w:rsidR="000A62F7">
          <w:rPr>
            <w:noProof/>
          </w:rPr>
          <w:t>10</w:t>
        </w:r>
      </w:fldSimple>
      <w:r w:rsidRPr="00746BBB">
        <w:t>: Results of the economic evaluation</w:t>
      </w:r>
      <w:r w:rsidR="00F53CB3">
        <w:t xml:space="preserve"> of </w:t>
      </w:r>
      <w:proofErr w:type="spellStart"/>
      <w:r w:rsidR="00F53CB3">
        <w:t>pegcetacoplan</w:t>
      </w:r>
      <w:proofErr w:type="spellEnd"/>
      <w:r w:rsidR="00F53CB3">
        <w:t xml:space="preserve"> versus eculizumab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521"/>
        <w:gridCol w:w="2357"/>
      </w:tblGrid>
      <w:tr w:rsidR="001F4081" w:rsidRPr="00746BBB" w14:paraId="68913410" w14:textId="77777777" w:rsidTr="005126B1">
        <w:trPr>
          <w:cantSplit/>
          <w:tblHeader/>
        </w:trPr>
        <w:tc>
          <w:tcPr>
            <w:tcW w:w="942" w:type="pct"/>
            <w:shd w:val="clear" w:color="auto" w:fill="FFFFFF"/>
          </w:tcPr>
          <w:p w14:paraId="135635B3" w14:textId="77777777" w:rsidR="001F4081" w:rsidRPr="00746BBB" w:rsidRDefault="001F4081" w:rsidP="00BB732D">
            <w:pPr>
              <w:pStyle w:val="Tableheadingrow"/>
              <w:jc w:val="center"/>
              <w:rPr>
                <w:lang w:val="en-AU"/>
              </w:rPr>
            </w:pPr>
          </w:p>
        </w:tc>
        <w:tc>
          <w:tcPr>
            <w:tcW w:w="1353" w:type="pct"/>
            <w:tcBorders>
              <w:bottom w:val="single" w:sz="4" w:space="0" w:color="auto"/>
            </w:tcBorders>
            <w:shd w:val="clear" w:color="auto" w:fill="FFFFFF"/>
          </w:tcPr>
          <w:p w14:paraId="386C4C4A" w14:textId="68318AC9" w:rsidR="001F4081" w:rsidRPr="00746BBB" w:rsidRDefault="000D7D3E" w:rsidP="00BB732D">
            <w:pPr>
              <w:pStyle w:val="Tableheadingrow"/>
              <w:jc w:val="center"/>
              <w:rPr>
                <w:lang w:val="en-AU"/>
              </w:rPr>
            </w:pPr>
            <w:proofErr w:type="spellStart"/>
            <w:r>
              <w:rPr>
                <w:lang w:val="en-AU"/>
              </w:rPr>
              <w:t>Pegcetacoplan</w:t>
            </w:r>
            <w:proofErr w:type="spellEnd"/>
          </w:p>
        </w:tc>
        <w:tc>
          <w:tcPr>
            <w:tcW w:w="1398" w:type="pct"/>
            <w:tcBorders>
              <w:bottom w:val="single" w:sz="4" w:space="0" w:color="auto"/>
            </w:tcBorders>
            <w:shd w:val="clear" w:color="auto" w:fill="FFFFFF"/>
          </w:tcPr>
          <w:p w14:paraId="2DB78ED2" w14:textId="3E611273" w:rsidR="001F4081" w:rsidRPr="00746BBB" w:rsidRDefault="000D7D3E" w:rsidP="00BB732D">
            <w:pPr>
              <w:pStyle w:val="Tableheadingrow"/>
              <w:jc w:val="center"/>
              <w:rPr>
                <w:lang w:val="en-AU"/>
              </w:rPr>
            </w:pPr>
            <w:r>
              <w:rPr>
                <w:lang w:val="en-AU"/>
              </w:rPr>
              <w:t>Eculizumab</w:t>
            </w:r>
          </w:p>
        </w:tc>
        <w:tc>
          <w:tcPr>
            <w:tcW w:w="1307" w:type="pct"/>
            <w:shd w:val="clear" w:color="auto" w:fill="FFFFFF"/>
            <w:vAlign w:val="center"/>
          </w:tcPr>
          <w:p w14:paraId="75EEE341" w14:textId="77777777" w:rsidR="001F4081" w:rsidRPr="00746BBB" w:rsidRDefault="001F4081" w:rsidP="00BB732D">
            <w:pPr>
              <w:pStyle w:val="Tableheadingrow"/>
              <w:jc w:val="center"/>
              <w:rPr>
                <w:lang w:val="en-AU"/>
              </w:rPr>
            </w:pPr>
            <w:r w:rsidRPr="00746BBB">
              <w:rPr>
                <w:lang w:val="en-AU"/>
              </w:rPr>
              <w:t>Increment</w:t>
            </w:r>
          </w:p>
        </w:tc>
      </w:tr>
      <w:tr w:rsidR="005B21FB" w:rsidRPr="00746BBB" w14:paraId="784390F2" w14:textId="77777777" w:rsidTr="005126B1">
        <w:trPr>
          <w:cantSplit/>
        </w:trPr>
        <w:tc>
          <w:tcPr>
            <w:tcW w:w="942" w:type="pct"/>
            <w:shd w:val="clear" w:color="auto" w:fill="auto"/>
          </w:tcPr>
          <w:p w14:paraId="258748F8" w14:textId="13E27AFE" w:rsidR="005B21FB" w:rsidRPr="00746BBB" w:rsidRDefault="005B21FB" w:rsidP="005B21FB">
            <w:pPr>
              <w:pStyle w:val="TableText"/>
            </w:pPr>
            <w:bookmarkStart w:id="36" w:name="_Hlk95809501"/>
            <w:r w:rsidRPr="00746BBB">
              <w:t>Costs</w:t>
            </w:r>
            <w:r w:rsidR="005B177A">
              <w:t xml:space="preserve"> ($)</w:t>
            </w:r>
          </w:p>
        </w:tc>
        <w:tc>
          <w:tcPr>
            <w:tcW w:w="1353" w:type="pct"/>
            <w:shd w:val="solid" w:color="000000" w:fill="000000"/>
            <w:vAlign w:val="center"/>
          </w:tcPr>
          <w:p w14:paraId="52070EEF" w14:textId="29013F18" w:rsidR="005B21FB" w:rsidRPr="005B177A" w:rsidRDefault="005126B1" w:rsidP="005B21FB">
            <w:pPr>
              <w:pStyle w:val="TableText"/>
              <w:jc w:val="center"/>
              <w:rPr>
                <w:highlight w:val="yellow"/>
              </w:rPr>
            </w:pPr>
            <w:r w:rsidRPr="005126B1">
              <w:rPr>
                <w:color w:val="000000"/>
                <w14:textFill>
                  <w14:solidFill>
                    <w14:srgbClr w14:val="000000">
                      <w14:alpha w14:val="100000"/>
                    </w14:srgbClr>
                  </w14:solidFill>
                </w14:textFill>
              </w:rPr>
              <w:t>|</w:t>
            </w:r>
          </w:p>
        </w:tc>
        <w:tc>
          <w:tcPr>
            <w:tcW w:w="1398" w:type="pct"/>
            <w:shd w:val="solid" w:color="000000" w:fill="000000"/>
            <w:vAlign w:val="center"/>
          </w:tcPr>
          <w:p w14:paraId="73D4D38B" w14:textId="7686D666" w:rsidR="005B21FB" w:rsidRPr="005B177A" w:rsidRDefault="005126B1" w:rsidP="005B21FB">
            <w:pPr>
              <w:pStyle w:val="TableText"/>
              <w:jc w:val="center"/>
              <w:rPr>
                <w:highlight w:val="yellow"/>
              </w:rPr>
            </w:pPr>
            <w:r w:rsidRPr="005126B1">
              <w:rPr>
                <w:color w:val="000000"/>
                <w14:textFill>
                  <w14:solidFill>
                    <w14:srgbClr w14:val="000000">
                      <w14:alpha w14:val="100000"/>
                    </w14:srgbClr>
                  </w14:solidFill>
                </w14:textFill>
              </w:rPr>
              <w:t>|</w:t>
            </w:r>
          </w:p>
        </w:tc>
        <w:tc>
          <w:tcPr>
            <w:tcW w:w="1307" w:type="pct"/>
            <w:shd w:val="clear" w:color="auto" w:fill="auto"/>
            <w:vAlign w:val="center"/>
          </w:tcPr>
          <w:p w14:paraId="46C46AD7" w14:textId="2974B1BA" w:rsidR="005B21FB" w:rsidRPr="005B177A" w:rsidRDefault="005B21FB" w:rsidP="005B21FB">
            <w:pPr>
              <w:pStyle w:val="TableText"/>
              <w:jc w:val="center"/>
              <w:rPr>
                <w:highlight w:val="yellow"/>
              </w:rPr>
            </w:pPr>
            <w:r w:rsidRPr="000948F8">
              <w:t>-</w:t>
            </w:r>
            <w:r w:rsidR="005126B1" w:rsidRPr="005126B1">
              <w:rPr>
                <w:color w:val="000000"/>
                <w:shd w:val="solid" w:color="000000" w:fill="000000"/>
                <w14:textFill>
                  <w14:solidFill>
                    <w14:srgbClr w14:val="000000">
                      <w14:alpha w14:val="100000"/>
                    </w14:srgbClr>
                  </w14:solidFill>
                </w14:textFill>
              </w:rPr>
              <w:t>|</w:t>
            </w:r>
          </w:p>
        </w:tc>
      </w:tr>
      <w:tr w:rsidR="00327285" w:rsidRPr="00746BBB" w14:paraId="3C2D9272" w14:textId="77777777" w:rsidTr="00327285">
        <w:trPr>
          <w:cantSplit/>
        </w:trPr>
        <w:tc>
          <w:tcPr>
            <w:tcW w:w="942" w:type="pct"/>
            <w:shd w:val="clear" w:color="auto" w:fill="auto"/>
          </w:tcPr>
          <w:p w14:paraId="595EC370" w14:textId="77777777" w:rsidR="00327285" w:rsidRPr="00746BBB" w:rsidRDefault="00327285" w:rsidP="00327285">
            <w:pPr>
              <w:pStyle w:val="TableText"/>
            </w:pPr>
            <w:r w:rsidRPr="00746BBB">
              <w:t>QALYS</w:t>
            </w:r>
          </w:p>
        </w:tc>
        <w:tc>
          <w:tcPr>
            <w:tcW w:w="1353" w:type="pct"/>
            <w:shd w:val="clear" w:color="auto" w:fill="auto"/>
          </w:tcPr>
          <w:p w14:paraId="237C7F26" w14:textId="7EAE74CF" w:rsidR="00327285" w:rsidRPr="005B21FB" w:rsidRDefault="00327285" w:rsidP="00327285">
            <w:pPr>
              <w:pStyle w:val="TableText"/>
              <w:jc w:val="center"/>
            </w:pPr>
            <w:r w:rsidRPr="009A08E0">
              <w:t>13.10</w:t>
            </w:r>
          </w:p>
        </w:tc>
        <w:tc>
          <w:tcPr>
            <w:tcW w:w="1398" w:type="pct"/>
            <w:shd w:val="clear" w:color="auto" w:fill="auto"/>
          </w:tcPr>
          <w:p w14:paraId="7A269803" w14:textId="05C420F0" w:rsidR="00327285" w:rsidRPr="005B21FB" w:rsidRDefault="00327285" w:rsidP="00327285">
            <w:pPr>
              <w:pStyle w:val="TableText"/>
              <w:jc w:val="center"/>
            </w:pPr>
            <w:r w:rsidRPr="009A08E0">
              <w:t>11.86</w:t>
            </w:r>
          </w:p>
        </w:tc>
        <w:tc>
          <w:tcPr>
            <w:tcW w:w="1307" w:type="pct"/>
            <w:shd w:val="clear" w:color="auto" w:fill="auto"/>
            <w:vAlign w:val="center"/>
          </w:tcPr>
          <w:p w14:paraId="35A2A8AC" w14:textId="0F1CEF7C" w:rsidR="00327285" w:rsidRPr="005B21FB" w:rsidRDefault="00327285" w:rsidP="00327285">
            <w:pPr>
              <w:pStyle w:val="TableText"/>
              <w:jc w:val="center"/>
            </w:pPr>
            <w:r w:rsidRPr="005B21FB">
              <w:t>1.2</w:t>
            </w:r>
            <w:r w:rsidR="002B50AD">
              <w:t>4</w:t>
            </w:r>
          </w:p>
        </w:tc>
      </w:tr>
      <w:bookmarkEnd w:id="36"/>
      <w:tr w:rsidR="005F7588" w:rsidRPr="00746BBB" w14:paraId="587FBB40" w14:textId="77777777" w:rsidTr="006B35E6">
        <w:trPr>
          <w:cantSplit/>
        </w:trPr>
        <w:tc>
          <w:tcPr>
            <w:tcW w:w="3693" w:type="pct"/>
            <w:gridSpan w:val="3"/>
            <w:tcBorders>
              <w:right w:val="single" w:sz="4" w:space="0" w:color="000000"/>
            </w:tcBorders>
            <w:shd w:val="clear" w:color="auto" w:fill="auto"/>
          </w:tcPr>
          <w:p w14:paraId="0CBE77B7" w14:textId="77777777" w:rsidR="005F7588" w:rsidRPr="00746BBB" w:rsidRDefault="005F7588" w:rsidP="00BB732D">
            <w:pPr>
              <w:pStyle w:val="Tableheadingrow"/>
              <w:rPr>
                <w:lang w:val="en-AU"/>
              </w:rPr>
            </w:pPr>
            <w:r w:rsidRPr="00746BBB">
              <w:rPr>
                <w:lang w:val="en-AU"/>
              </w:rPr>
              <w:t>Incremental cost per QALY gained</w:t>
            </w:r>
          </w:p>
        </w:tc>
        <w:tc>
          <w:tcPr>
            <w:tcW w:w="1307" w:type="pct"/>
            <w:tcBorders>
              <w:left w:val="single" w:sz="4" w:space="0" w:color="000000"/>
            </w:tcBorders>
            <w:shd w:val="clear" w:color="auto" w:fill="auto"/>
          </w:tcPr>
          <w:p w14:paraId="02036D2B" w14:textId="06E96644" w:rsidR="005F7588" w:rsidRPr="005B21FB" w:rsidRDefault="005B21FB" w:rsidP="00D33F93">
            <w:pPr>
              <w:keepNext/>
              <w:keepLines/>
              <w:jc w:val="center"/>
              <w:rPr>
                <w:rFonts w:ascii="Arial Narrow" w:eastAsia="Calibri" w:hAnsi="Arial Narrow"/>
                <w:b/>
                <w:sz w:val="20"/>
                <w:szCs w:val="20"/>
              </w:rPr>
            </w:pPr>
            <w:r w:rsidRPr="005B21FB">
              <w:rPr>
                <w:rFonts w:ascii="Arial Narrow" w:eastAsia="Calibri" w:hAnsi="Arial Narrow"/>
                <w:b/>
                <w:sz w:val="20"/>
                <w:szCs w:val="20"/>
              </w:rPr>
              <w:t>Dominant</w:t>
            </w:r>
          </w:p>
        </w:tc>
      </w:tr>
    </w:tbl>
    <w:p w14:paraId="6899C968" w14:textId="3B2E9D21" w:rsidR="005F7588" w:rsidRPr="00746BBB" w:rsidRDefault="005F7588" w:rsidP="00BB732D">
      <w:pPr>
        <w:pStyle w:val="TableFigureFooter"/>
        <w:rPr>
          <w:rStyle w:val="TableFigureCaptionChar"/>
        </w:rPr>
      </w:pPr>
      <w:r w:rsidRPr="00746BBB">
        <w:t xml:space="preserve">Source: </w:t>
      </w:r>
      <w:r w:rsidR="00E978EC" w:rsidRPr="00E978EC">
        <w:t>constructed during the evaluation using the ‘</w:t>
      </w:r>
      <w:proofErr w:type="spellStart"/>
      <w:r w:rsidR="00E978EC" w:rsidRPr="00E978EC">
        <w:t>Pegcetacoplan_CEA_AUS_FINAL</w:t>
      </w:r>
      <w:proofErr w:type="spellEnd"/>
      <w:r w:rsidR="00E978EC" w:rsidRPr="00E978EC">
        <w:t>’ Excel workbook of the submission</w:t>
      </w:r>
    </w:p>
    <w:p w14:paraId="3DE90AAE" w14:textId="492DCFD0" w:rsidR="001F4081" w:rsidRPr="00746BBB" w:rsidRDefault="00E978EC" w:rsidP="00BB732D">
      <w:pPr>
        <w:pStyle w:val="TableFigureFooter"/>
        <w:rPr>
          <w:rFonts w:eastAsia="Calibri"/>
          <w:szCs w:val="20"/>
        </w:rPr>
      </w:pPr>
      <w:r>
        <w:rPr>
          <w:rFonts w:eastAsia="Calibri"/>
          <w:szCs w:val="20"/>
        </w:rPr>
        <w:t xml:space="preserve">Abbreviation: </w:t>
      </w:r>
      <w:r w:rsidR="000207C9" w:rsidRPr="00746BBB">
        <w:rPr>
          <w:rFonts w:eastAsia="Calibri"/>
          <w:szCs w:val="20"/>
        </w:rPr>
        <w:t>QALY</w:t>
      </w:r>
      <w:r>
        <w:rPr>
          <w:rFonts w:eastAsia="Calibri"/>
          <w:szCs w:val="20"/>
        </w:rPr>
        <w:t xml:space="preserve">, </w:t>
      </w:r>
      <w:r w:rsidR="001F4081" w:rsidRPr="00746BBB">
        <w:rPr>
          <w:rFonts w:eastAsia="Calibri"/>
          <w:szCs w:val="20"/>
        </w:rPr>
        <w:t>quality adjusted life year</w:t>
      </w:r>
    </w:p>
    <w:p w14:paraId="08114BA1" w14:textId="521EB65B" w:rsidR="000D7D3E" w:rsidRDefault="000D7D3E" w:rsidP="000C453B">
      <w:pPr>
        <w:pStyle w:val="ExecSumBodyText"/>
        <w:spacing w:after="160"/>
      </w:pPr>
      <w:r w:rsidRPr="008E7535">
        <w:t xml:space="preserve">The claimed benefits and reduced cost associated with </w:t>
      </w:r>
      <w:proofErr w:type="spellStart"/>
      <w:r w:rsidRPr="008E7535">
        <w:t>pegcetacoplan</w:t>
      </w:r>
      <w:proofErr w:type="spellEnd"/>
      <w:r w:rsidRPr="008E7535">
        <w:t xml:space="preserve"> versus eculizumab </w:t>
      </w:r>
      <w:r w:rsidRPr="009D5C41">
        <w:t xml:space="preserve">when assuming </w:t>
      </w:r>
      <w:proofErr w:type="gramStart"/>
      <w:r w:rsidR="005126B1" w:rsidRPr="000A62F7">
        <w:rPr>
          <w:color w:val="000000"/>
          <w:w w:val="15"/>
          <w:shd w:val="solid" w:color="000000" w:fill="000000"/>
          <w:fitText w:val="-20" w:id="-1500841467"/>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7"/>
          <w14:textFill>
            <w14:solidFill>
              <w14:srgbClr w14:val="000000">
                <w14:alpha w14:val="100000"/>
              </w14:srgbClr>
            </w14:solidFill>
          </w14:textFill>
        </w:rPr>
        <w:t>|</w:t>
      </w:r>
      <w:proofErr w:type="gramEnd"/>
      <w:r w:rsidR="005126B1" w:rsidRPr="005126B1">
        <w:t xml:space="preserve"> </w:t>
      </w:r>
      <w:r w:rsidR="005126B1" w:rsidRPr="000A62F7">
        <w:rPr>
          <w:color w:val="000000"/>
          <w:w w:val="15"/>
          <w:shd w:val="solid" w:color="000000" w:fill="000000"/>
          <w:fitText w:val="-20" w:id="-1500841466"/>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6"/>
          <w14:textFill>
            <w14:solidFill>
              <w14:srgbClr w14:val="000000">
                <w14:alpha w14:val="100000"/>
              </w14:srgbClr>
            </w14:solidFill>
          </w14:textFill>
        </w:rPr>
        <w:t>|</w:t>
      </w:r>
      <w:r w:rsidRPr="008E7535">
        <w:t xml:space="preserve"> resulted in a ‘dominant’ base case. The results were consistently dominant due to the claim of superior quality of life outcomes, assumed equivalence in terms of survival outcomes and claim of reduced costs associated with administration, blood transfusions, disease monitoring and iron overload.</w:t>
      </w:r>
    </w:p>
    <w:p w14:paraId="49124DC1" w14:textId="101D4885" w:rsidR="008E7535" w:rsidRPr="00846510" w:rsidRDefault="008E7535" w:rsidP="000C453B">
      <w:pPr>
        <w:pStyle w:val="ExecSumBodyText"/>
        <w:spacing w:after="160"/>
      </w:pPr>
      <w:r w:rsidRPr="00846510">
        <w:t xml:space="preserve">These results </w:t>
      </w:r>
      <w:r w:rsidR="00E416F7">
        <w:t>were</w:t>
      </w:r>
      <w:r w:rsidR="00E416F7" w:rsidRPr="00846510">
        <w:t xml:space="preserve"> </w:t>
      </w:r>
      <w:r w:rsidRPr="00846510">
        <w:t>not considered reliable due to the following concerns with the modelled cost savings and outcomes:</w:t>
      </w:r>
    </w:p>
    <w:p w14:paraId="6A3EBB79" w14:textId="77777777" w:rsidR="00D02AC0" w:rsidRPr="00846510" w:rsidRDefault="008E7535" w:rsidP="00224F4B">
      <w:pPr>
        <w:pStyle w:val="ExecSumBodyText"/>
        <w:numPr>
          <w:ilvl w:val="0"/>
          <w:numId w:val="10"/>
        </w:numPr>
        <w:spacing w:after="0"/>
        <w:ind w:left="1077" w:hanging="357"/>
      </w:pPr>
      <w:r w:rsidRPr="00846510">
        <w:lastRenderedPageBreak/>
        <w:t xml:space="preserve">The </w:t>
      </w:r>
      <w:r w:rsidR="00E678B8" w:rsidRPr="00846510">
        <w:t xml:space="preserve">appropriateness of the </w:t>
      </w:r>
      <w:r w:rsidRPr="00846510">
        <w:t>model structure</w:t>
      </w:r>
      <w:r w:rsidR="00E678B8" w:rsidRPr="00846510">
        <w:t xml:space="preserve"> and validity of </w:t>
      </w:r>
      <w:r w:rsidR="00E07452" w:rsidRPr="00846510">
        <w:t>predicted outcomes was uncertain. Modelled outcomes were</w:t>
      </w:r>
      <w:r w:rsidRPr="00846510">
        <w:t xml:space="preserve"> limited </w:t>
      </w:r>
      <w:r w:rsidR="00E07452" w:rsidRPr="00846510">
        <w:t>to differences</w:t>
      </w:r>
      <w:r w:rsidRPr="00846510">
        <w:t xml:space="preserve"> based on transfusion status and Hb level alone, without adequately accounting for </w:t>
      </w:r>
      <w:r w:rsidR="00381AA6" w:rsidRPr="00846510">
        <w:t xml:space="preserve">other disease-related complications. </w:t>
      </w:r>
    </w:p>
    <w:p w14:paraId="038574CA" w14:textId="4E73D5B5" w:rsidR="008E7535" w:rsidRPr="00846510" w:rsidRDefault="008E7535" w:rsidP="00224F4B">
      <w:pPr>
        <w:pStyle w:val="ExecSumBodyText"/>
        <w:numPr>
          <w:ilvl w:val="0"/>
          <w:numId w:val="10"/>
        </w:numPr>
        <w:spacing w:after="0"/>
        <w:ind w:left="1077" w:hanging="357"/>
      </w:pPr>
      <w:r w:rsidRPr="00846510">
        <w:t xml:space="preserve">The </w:t>
      </w:r>
      <w:r w:rsidR="002637CA" w:rsidRPr="00846510">
        <w:t>assumption of</w:t>
      </w:r>
      <w:r w:rsidR="00D02AC0" w:rsidRPr="00846510">
        <w:t xml:space="preserve"> </w:t>
      </w:r>
      <w:r w:rsidRPr="00846510">
        <w:t xml:space="preserve">non-inferior efficacy of </w:t>
      </w:r>
      <w:proofErr w:type="spellStart"/>
      <w:r w:rsidRPr="00846510">
        <w:t>pegcetacoplan</w:t>
      </w:r>
      <w:proofErr w:type="spellEnd"/>
      <w:r w:rsidRPr="00846510">
        <w:t xml:space="preserve"> versus eculizumab for the prevention of long-term outcomes including life-threatening events such as thrombosis and survival</w:t>
      </w:r>
      <w:r w:rsidR="002637CA" w:rsidRPr="00846510">
        <w:t xml:space="preserve"> was </w:t>
      </w:r>
      <w:r w:rsidR="007700A8">
        <w:t>uncertain</w:t>
      </w:r>
      <w:r w:rsidR="002637CA" w:rsidRPr="00846510">
        <w:t>.</w:t>
      </w:r>
    </w:p>
    <w:p w14:paraId="31DE13F1" w14:textId="2CA5B08E" w:rsidR="008E7535" w:rsidRPr="00846510" w:rsidRDefault="008E7535" w:rsidP="00224F4B">
      <w:pPr>
        <w:pStyle w:val="ExecSumBodyText"/>
        <w:numPr>
          <w:ilvl w:val="0"/>
          <w:numId w:val="10"/>
        </w:numPr>
        <w:spacing w:after="0"/>
        <w:ind w:left="1077" w:hanging="357"/>
      </w:pPr>
      <w:r w:rsidRPr="00846510">
        <w:t>The difference</w:t>
      </w:r>
      <w:r w:rsidR="00ED26EA" w:rsidRPr="00846510">
        <w:t>s</w:t>
      </w:r>
      <w:r w:rsidRPr="00846510">
        <w:t xml:space="preserve"> in costs and outcomes were primarily driven by time spent in the optimal health state, using transition probabilities that could not be validated during the evaluation as the source analysis was not provided. </w:t>
      </w:r>
    </w:p>
    <w:p w14:paraId="2FAFE4FC" w14:textId="77777777" w:rsidR="008E7535" w:rsidRPr="00846510" w:rsidRDefault="008E7535" w:rsidP="00224F4B">
      <w:pPr>
        <w:pStyle w:val="ExecSumBodyText"/>
        <w:numPr>
          <w:ilvl w:val="0"/>
          <w:numId w:val="10"/>
        </w:numPr>
        <w:spacing w:after="0"/>
        <w:ind w:left="1077" w:hanging="357"/>
      </w:pPr>
      <w:r w:rsidRPr="00846510">
        <w:t xml:space="preserve">Modelled cost savings associated with </w:t>
      </w:r>
      <w:proofErr w:type="spellStart"/>
      <w:r w:rsidRPr="00846510">
        <w:t>pegcetacoplan</w:t>
      </w:r>
      <w:proofErr w:type="spellEnd"/>
      <w:r w:rsidRPr="00846510">
        <w:t xml:space="preserve"> were substantial and largely based on cost inputs that were inadequately justified including drug administration costs, blood transfusion costs, disease monitoring costs and iron overload treatment costs. </w:t>
      </w:r>
    </w:p>
    <w:p w14:paraId="09F0689F" w14:textId="77777777" w:rsidR="008E7535" w:rsidRPr="00846510" w:rsidRDefault="008E7535" w:rsidP="00224F4B">
      <w:pPr>
        <w:pStyle w:val="ExecSumBodyText"/>
        <w:numPr>
          <w:ilvl w:val="0"/>
          <w:numId w:val="10"/>
        </w:numPr>
        <w:spacing w:after="160"/>
      </w:pPr>
      <w:r w:rsidRPr="00846510">
        <w:t xml:space="preserve">Modelled improvements in quality of life were uncertain as they </w:t>
      </w:r>
      <w:proofErr w:type="gramStart"/>
      <w:r w:rsidRPr="00846510">
        <w:t>were based on the assumption</w:t>
      </w:r>
      <w:proofErr w:type="gramEnd"/>
      <w:r w:rsidRPr="00846510">
        <w:t xml:space="preserve"> that any differences could be attributed to transfusion status and Hb levels alone. This approach inappropriately assumed no other factors had an impact on quality of life including the occurrence of serious or life-threatening events and treatment modality (</w:t>
      </w:r>
      <w:proofErr w:type="gramStart"/>
      <w:r w:rsidRPr="00846510">
        <w:t>e.g.</w:t>
      </w:r>
      <w:proofErr w:type="gramEnd"/>
      <w:r w:rsidRPr="00846510">
        <w:t xml:space="preserve"> higher frequency of administrations associated with </w:t>
      </w:r>
      <w:proofErr w:type="spellStart"/>
      <w:r w:rsidRPr="00846510">
        <w:t>pegcetacoplan</w:t>
      </w:r>
      <w:proofErr w:type="spellEnd"/>
      <w:r w:rsidRPr="00846510">
        <w:t xml:space="preserve">). </w:t>
      </w:r>
    </w:p>
    <w:p w14:paraId="72FDA78A" w14:textId="4C6EF03D" w:rsidR="000D7D3E" w:rsidRDefault="00B12AEB" w:rsidP="000C453B">
      <w:pPr>
        <w:pStyle w:val="ExecSumBodyText"/>
        <w:spacing w:after="160"/>
      </w:pPr>
      <w:r>
        <w:t xml:space="preserve">Results of sensitivity analyses </w:t>
      </w:r>
      <w:r w:rsidR="00386304">
        <w:t>showed</w:t>
      </w:r>
      <w:r>
        <w:t xml:space="preserve"> </w:t>
      </w:r>
      <w:r w:rsidR="00386304">
        <w:t>t</w:t>
      </w:r>
      <w:r w:rsidR="004B5AB1" w:rsidRPr="004B5AB1">
        <w:t xml:space="preserve">he results remained dominant despite changes in any parameter, which is expected given greater time spent in the optimal health state (no transfusion and Hb≥10.5) and assumed equivalence in terms of survival outcomes leading to reduced costs and improved quality of life with </w:t>
      </w:r>
      <w:proofErr w:type="spellStart"/>
      <w:r w:rsidR="004B5AB1" w:rsidRPr="004B5AB1">
        <w:t>pegcetacoplan</w:t>
      </w:r>
      <w:proofErr w:type="spellEnd"/>
      <w:r w:rsidR="004B5AB1" w:rsidRPr="004B5AB1">
        <w:t xml:space="preserve"> treatment. </w:t>
      </w:r>
    </w:p>
    <w:p w14:paraId="397DFEA3" w14:textId="718DB4CA" w:rsidR="009C28BF" w:rsidRPr="00386304" w:rsidRDefault="00535AFF" w:rsidP="000C453B">
      <w:pPr>
        <w:pStyle w:val="ExecSumBodyText"/>
        <w:spacing w:after="160"/>
      </w:pPr>
      <w:bookmarkStart w:id="37" w:name="_Ref99975423"/>
      <w:r w:rsidRPr="00535AFF">
        <w:t xml:space="preserve">The submission acknowledged that the proportion of patients receiving </w:t>
      </w:r>
      <w:proofErr w:type="spellStart"/>
      <w:r w:rsidRPr="00535AFF">
        <w:t>pegcetacoplan</w:t>
      </w:r>
      <w:proofErr w:type="spellEnd"/>
      <w:r w:rsidRPr="00535AFF">
        <w:t xml:space="preserve"> dose escalations</w:t>
      </w:r>
      <w:r>
        <w:t xml:space="preserve"> (4.9% during the randomised period</w:t>
      </w:r>
      <w:r w:rsidR="00AF63FE">
        <w:t xml:space="preserve"> used in the base case versus 19.5% during the open label period)</w:t>
      </w:r>
      <w:r w:rsidRPr="00535AFF">
        <w:t xml:space="preserve"> had the largest impact on the difference in costs between arms. However, the submission claimed that the use of trial-based estimates may bias against </w:t>
      </w:r>
      <w:proofErr w:type="spellStart"/>
      <w:r w:rsidRPr="00535AFF">
        <w:t>pegcetacoplan</w:t>
      </w:r>
      <w:proofErr w:type="spellEnd"/>
      <w:r w:rsidRPr="00535AFF">
        <w:t xml:space="preserve"> as dose escalations may only be temporary in practice while the sensitivity analysis assumed ongoing escalated dosing frequency. </w:t>
      </w:r>
      <w:r w:rsidRPr="00386304">
        <w:t>No data were provided in support of this claim. Neither</w:t>
      </w:r>
      <w:r w:rsidR="00ED26EA" w:rsidRPr="00386304">
        <w:t xml:space="preserve"> the</w:t>
      </w:r>
      <w:r w:rsidRPr="00386304">
        <w:t xml:space="preserve"> trial protocol nor the draft product information indicated that dose frequency escalations would be temporary.</w:t>
      </w:r>
      <w:bookmarkEnd w:id="37"/>
    </w:p>
    <w:p w14:paraId="2AFB70AA" w14:textId="70F5E437" w:rsidR="00050A5B" w:rsidRPr="00050A5B" w:rsidRDefault="00050A5B" w:rsidP="00EB40F2">
      <w:pPr>
        <w:pStyle w:val="ExecSumBodyText"/>
        <w:keepNext/>
        <w:numPr>
          <w:ilvl w:val="0"/>
          <w:numId w:val="0"/>
        </w:numPr>
        <w:rPr>
          <w:b/>
          <w:bCs/>
          <w:i/>
          <w:iCs/>
        </w:rPr>
      </w:pPr>
      <w:proofErr w:type="spellStart"/>
      <w:r>
        <w:rPr>
          <w:b/>
          <w:bCs/>
          <w:i/>
          <w:iCs/>
        </w:rPr>
        <w:t>Pegcetacoplan</w:t>
      </w:r>
      <w:proofErr w:type="spellEnd"/>
      <w:r>
        <w:rPr>
          <w:b/>
          <w:bCs/>
          <w:i/>
          <w:iCs/>
        </w:rPr>
        <w:t xml:space="preserve"> versus </w:t>
      </w:r>
      <w:proofErr w:type="spellStart"/>
      <w:r>
        <w:rPr>
          <w:b/>
          <w:bCs/>
          <w:i/>
          <w:iCs/>
        </w:rPr>
        <w:t>ravulizumab</w:t>
      </w:r>
      <w:proofErr w:type="spellEnd"/>
    </w:p>
    <w:p w14:paraId="52648D8E" w14:textId="470BBD78" w:rsidR="00050A5B" w:rsidRPr="00846510" w:rsidRDefault="00050A5B" w:rsidP="00EB40F2">
      <w:pPr>
        <w:pStyle w:val="ExecSumBodyText"/>
        <w:keepNext/>
        <w:spacing w:after="160"/>
      </w:pPr>
      <w:r w:rsidRPr="00846510">
        <w:t xml:space="preserve">The model structure and inputs for the </w:t>
      </w:r>
      <w:proofErr w:type="spellStart"/>
      <w:r w:rsidRPr="00846510">
        <w:t>pegcetacoplan</w:t>
      </w:r>
      <w:proofErr w:type="spellEnd"/>
      <w:r w:rsidRPr="00846510">
        <w:t xml:space="preserve"> versus </w:t>
      </w:r>
      <w:proofErr w:type="spellStart"/>
      <w:r w:rsidRPr="00846510">
        <w:t>ravulizumab</w:t>
      </w:r>
      <w:proofErr w:type="spellEnd"/>
      <w:r w:rsidRPr="00846510">
        <w:t xml:space="preserve"> comparison were largely the same as for the </w:t>
      </w:r>
      <w:proofErr w:type="spellStart"/>
      <w:r w:rsidRPr="00846510">
        <w:t>pegcetacoplan</w:t>
      </w:r>
      <w:proofErr w:type="spellEnd"/>
      <w:r w:rsidRPr="00846510">
        <w:t xml:space="preserve"> versus eculizumab comparison, except for a relatively small difference in administration costs and adverse events costs.</w:t>
      </w:r>
    </w:p>
    <w:p w14:paraId="28708FD1" w14:textId="2EB836CE" w:rsidR="00050A5B" w:rsidRPr="00846510" w:rsidRDefault="00050A5B" w:rsidP="000C453B">
      <w:pPr>
        <w:pStyle w:val="ExecSumBodyText"/>
        <w:spacing w:after="160"/>
      </w:pPr>
      <w:r w:rsidRPr="00846510">
        <w:t xml:space="preserve">The submission’s approach assumed non-inferiority between </w:t>
      </w:r>
      <w:proofErr w:type="spellStart"/>
      <w:r w:rsidRPr="00846510">
        <w:t>ravulizumab</w:t>
      </w:r>
      <w:proofErr w:type="spellEnd"/>
      <w:r w:rsidRPr="00846510">
        <w:t xml:space="preserve"> and eculizumab within the target population. The submission claimed that as </w:t>
      </w:r>
      <w:proofErr w:type="spellStart"/>
      <w:r w:rsidRPr="00846510">
        <w:t>ravulizumab</w:t>
      </w:r>
      <w:proofErr w:type="spellEnd"/>
      <w:r w:rsidRPr="00846510">
        <w:t xml:space="preserve"> </w:t>
      </w:r>
      <w:r w:rsidRPr="00846510">
        <w:lastRenderedPageBreak/>
        <w:t xml:space="preserve">is a pharmacological analogue of eculizumab and the PBAC has previously considered </w:t>
      </w:r>
      <w:proofErr w:type="spellStart"/>
      <w:r w:rsidRPr="00846510">
        <w:t>ravulizumab</w:t>
      </w:r>
      <w:proofErr w:type="spellEnd"/>
      <w:r w:rsidRPr="00846510">
        <w:t xml:space="preserve"> as non-inferior in efficacy and safety compared to eculizumab, then the comparative results from the PEGASUS trial would also be indicative of comparative efficacy and safety between </w:t>
      </w:r>
      <w:proofErr w:type="spellStart"/>
      <w:r w:rsidRPr="00846510">
        <w:t>pegcetacoplan</w:t>
      </w:r>
      <w:proofErr w:type="spellEnd"/>
      <w:r w:rsidRPr="00846510">
        <w:t xml:space="preserve"> and </w:t>
      </w:r>
      <w:proofErr w:type="spellStart"/>
      <w:r w:rsidRPr="00846510">
        <w:t>ravulizumab</w:t>
      </w:r>
      <w:proofErr w:type="spellEnd"/>
      <w:r w:rsidRPr="00846510">
        <w:t xml:space="preserve">. While the assumption of non-inferiority between </w:t>
      </w:r>
      <w:proofErr w:type="spellStart"/>
      <w:r w:rsidRPr="00846510">
        <w:t>ravulizumab</w:t>
      </w:r>
      <w:proofErr w:type="spellEnd"/>
      <w:r w:rsidRPr="00846510">
        <w:t xml:space="preserve"> and eculizumab </w:t>
      </w:r>
      <w:r w:rsidR="00386304" w:rsidRPr="008F6009">
        <w:t>was</w:t>
      </w:r>
      <w:r w:rsidR="00386304" w:rsidRPr="00846510">
        <w:t xml:space="preserve"> </w:t>
      </w:r>
      <w:r w:rsidRPr="00846510">
        <w:t>reasonable, the magnitude of benefit in the subgroup with suboptimal haematological response was unknown.</w:t>
      </w:r>
    </w:p>
    <w:p w14:paraId="25F78FB8" w14:textId="12C2B6ED" w:rsidR="00050A5B" w:rsidRPr="00846510" w:rsidRDefault="00FE1836" w:rsidP="000C453B">
      <w:pPr>
        <w:pStyle w:val="ExecSumBodyText"/>
        <w:spacing w:after="160"/>
      </w:pPr>
      <w:r w:rsidRPr="00846510">
        <w:t xml:space="preserve">The estimated costs of </w:t>
      </w:r>
      <w:proofErr w:type="spellStart"/>
      <w:r w:rsidRPr="00846510">
        <w:t>ravulizumab</w:t>
      </w:r>
      <w:proofErr w:type="spellEnd"/>
      <w:r w:rsidRPr="00846510">
        <w:t xml:space="preserve"> treatment were the same as applied in the </w:t>
      </w:r>
      <w:proofErr w:type="spellStart"/>
      <w:r w:rsidRPr="00846510">
        <w:t>pegcetacoplan</w:t>
      </w:r>
      <w:proofErr w:type="spellEnd"/>
      <w:r w:rsidRPr="00846510">
        <w:t xml:space="preserve"> versus eculizumab model, to patients who discontinued </w:t>
      </w:r>
      <w:proofErr w:type="spellStart"/>
      <w:r w:rsidRPr="00846510">
        <w:t>pegcetacoplan</w:t>
      </w:r>
      <w:proofErr w:type="spellEnd"/>
      <w:r w:rsidRPr="00846510">
        <w:t xml:space="preserve"> and switched to </w:t>
      </w:r>
      <w:proofErr w:type="spellStart"/>
      <w:r w:rsidRPr="00846510">
        <w:t>ravulizumab</w:t>
      </w:r>
      <w:proofErr w:type="spellEnd"/>
      <w:r w:rsidRPr="00846510">
        <w:t xml:space="preserve">. There were concerns with the basis of </w:t>
      </w:r>
      <w:proofErr w:type="spellStart"/>
      <w:r w:rsidRPr="00846510">
        <w:t>ravulizumab’s</w:t>
      </w:r>
      <w:proofErr w:type="spellEnd"/>
      <w:r w:rsidRPr="00846510">
        <w:t xml:space="preserve"> price (assumption of equivalence to eculizumab’s price), the inclusion of fees and mark-ups in the </w:t>
      </w:r>
      <w:proofErr w:type="gramStart"/>
      <w:r w:rsidR="005126B1" w:rsidRPr="000A62F7">
        <w:rPr>
          <w:color w:val="000000"/>
          <w:w w:val="15"/>
          <w:shd w:val="solid" w:color="000000" w:fill="000000"/>
          <w:fitText w:val="-20" w:id="-1500841465"/>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5"/>
          <w14:textFill>
            <w14:solidFill>
              <w14:srgbClr w14:val="000000">
                <w14:alpha w14:val="100000"/>
              </w14:srgbClr>
            </w14:solidFill>
          </w14:textFill>
        </w:rPr>
        <w:t>|</w:t>
      </w:r>
      <w:proofErr w:type="gramEnd"/>
      <w:r w:rsidR="005126B1" w:rsidRPr="005126B1">
        <w:t xml:space="preserve"> </w:t>
      </w:r>
      <w:r w:rsidR="005126B1" w:rsidRPr="000A62F7">
        <w:rPr>
          <w:color w:val="000000"/>
          <w:w w:val="15"/>
          <w:shd w:val="solid" w:color="000000" w:fill="000000"/>
          <w:fitText w:val="-20" w:id="-1500841464"/>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4"/>
          <w14:textFill>
            <w14:solidFill>
              <w14:srgbClr w14:val="000000">
                <w14:alpha w14:val="100000"/>
              </w14:srgbClr>
            </w14:solidFill>
          </w14:textFill>
        </w:rPr>
        <w:t>|</w:t>
      </w:r>
      <w:r w:rsidRPr="00846510">
        <w:t xml:space="preserve"> calculations,</w:t>
      </w:r>
      <w:r w:rsidR="00ED26EA" w:rsidRPr="00846510">
        <w:t xml:space="preserve"> and</w:t>
      </w:r>
      <w:r w:rsidRPr="00846510">
        <w:t xml:space="preserve"> potential applicability issues with trial-based weights used to determine the dose of </w:t>
      </w:r>
      <w:proofErr w:type="spellStart"/>
      <w:r w:rsidRPr="00846510">
        <w:t>ravulizumab</w:t>
      </w:r>
      <w:proofErr w:type="spellEnd"/>
      <w:r w:rsidRPr="00846510">
        <w:t>.</w:t>
      </w:r>
    </w:p>
    <w:p w14:paraId="5B4600BF" w14:textId="4DF1035B" w:rsidR="005E3BFA" w:rsidRPr="00846510" w:rsidRDefault="005E3BFA" w:rsidP="000C453B">
      <w:pPr>
        <w:pStyle w:val="ExecSumBodyText"/>
        <w:spacing w:after="160"/>
      </w:pPr>
      <w:r w:rsidRPr="00846510">
        <w:t xml:space="preserve">The estimated administration cost for </w:t>
      </w:r>
      <w:proofErr w:type="spellStart"/>
      <w:r w:rsidRPr="00846510">
        <w:t>ravulizumab</w:t>
      </w:r>
      <w:proofErr w:type="spellEnd"/>
      <w:r w:rsidRPr="00846510">
        <w:t xml:space="preserve"> was inappropriate as it was based on an assumed infusion duration of 2 hours. The assumption was based on outdated information, with an updated product information (October 2021 revision) recommending infusion durations of 40 minutes for 3,300 mg. The Manual of Resource Items v5.0 recommends the use of a standard MBS consultation item if there is no specific MBS item for the administration of the proposed drug.</w:t>
      </w:r>
    </w:p>
    <w:p w14:paraId="321A9360" w14:textId="54F92F71" w:rsidR="005E3BFA" w:rsidRPr="00846510" w:rsidRDefault="00A358B5" w:rsidP="000C453B">
      <w:pPr>
        <w:pStyle w:val="ExecSumBodyText"/>
        <w:spacing w:after="160"/>
      </w:pPr>
      <w:r w:rsidRPr="00846510">
        <w:t xml:space="preserve">Adverse event costs were the same as applied to patients </w:t>
      </w:r>
      <w:r w:rsidR="00EA4174" w:rsidRPr="00846510">
        <w:t xml:space="preserve">who discontinued </w:t>
      </w:r>
      <w:proofErr w:type="spellStart"/>
      <w:r w:rsidR="00EA4174" w:rsidRPr="00846510">
        <w:t>pegcetacoplan</w:t>
      </w:r>
      <w:proofErr w:type="spellEnd"/>
      <w:r w:rsidR="00EA4174" w:rsidRPr="00846510">
        <w:t xml:space="preserve"> and switched to </w:t>
      </w:r>
      <w:proofErr w:type="spellStart"/>
      <w:r w:rsidR="00EA4174" w:rsidRPr="00846510">
        <w:t>ravulizumab</w:t>
      </w:r>
      <w:proofErr w:type="spellEnd"/>
      <w:r w:rsidR="00EA4174" w:rsidRPr="00846510">
        <w:t xml:space="preserve"> in the comparison against eculizumab. </w:t>
      </w:r>
      <w:r w:rsidR="009602A6" w:rsidRPr="00846510">
        <w:t>These costs should not be considered reliable due to the inadequately justified selection of adverse events, poor documentation surrounding the derivation of adverse event rates and inappropriate costing approach used in the submission.</w:t>
      </w:r>
    </w:p>
    <w:p w14:paraId="3FC78C95" w14:textId="656911E9" w:rsidR="009602A6" w:rsidRDefault="009602A6" w:rsidP="000C453B">
      <w:pPr>
        <w:pStyle w:val="ExecSumBodyText"/>
        <w:spacing w:after="160"/>
      </w:pPr>
      <w:r>
        <w:t xml:space="preserve">The results of the modelled economic evaluation are presented in the table below. </w:t>
      </w:r>
    </w:p>
    <w:p w14:paraId="6B7D3ACD" w14:textId="45BF8796" w:rsidR="009602A6" w:rsidRPr="00746BBB" w:rsidRDefault="009602A6" w:rsidP="002D7D3A">
      <w:pPr>
        <w:pStyle w:val="Caption"/>
      </w:pPr>
      <w:r w:rsidRPr="00746BBB">
        <w:t xml:space="preserve">Table </w:t>
      </w:r>
      <w:fldSimple w:instr=" SEQ Table \* ARABIC ">
        <w:r w:rsidR="000A62F7">
          <w:rPr>
            <w:noProof/>
          </w:rPr>
          <w:t>11</w:t>
        </w:r>
      </w:fldSimple>
      <w:r w:rsidRPr="00746BBB">
        <w:t>: Results of the economic evaluation</w:t>
      </w:r>
      <w:r w:rsidR="00F53CB3">
        <w:t xml:space="preserve"> of </w:t>
      </w:r>
      <w:proofErr w:type="spellStart"/>
      <w:r w:rsidR="00F53CB3">
        <w:t>pegcetacoplan</w:t>
      </w:r>
      <w:proofErr w:type="spellEnd"/>
      <w:r w:rsidR="00F53CB3">
        <w:t xml:space="preserve"> versus </w:t>
      </w:r>
      <w:proofErr w:type="spellStart"/>
      <w:r w:rsidR="00F53CB3">
        <w:t>ravulizumab</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9602A6" w:rsidRPr="00746BBB" w14:paraId="25A8A7AF" w14:textId="77777777" w:rsidTr="005126B1">
        <w:trPr>
          <w:tblHeader/>
        </w:trPr>
        <w:tc>
          <w:tcPr>
            <w:tcW w:w="1529" w:type="pct"/>
            <w:vAlign w:val="center"/>
          </w:tcPr>
          <w:p w14:paraId="3E45B133" w14:textId="77777777" w:rsidR="009602A6" w:rsidRPr="00746BBB" w:rsidRDefault="009602A6" w:rsidP="003F456B">
            <w:pPr>
              <w:pStyle w:val="Tableheadingrow"/>
              <w:rPr>
                <w:lang w:val="en-AU"/>
              </w:rPr>
            </w:pPr>
            <w:r w:rsidRPr="00746BBB">
              <w:rPr>
                <w:lang w:val="en-AU"/>
              </w:rPr>
              <w:t>Component</w:t>
            </w:r>
          </w:p>
        </w:tc>
        <w:tc>
          <w:tcPr>
            <w:tcW w:w="1359" w:type="pct"/>
            <w:tcBorders>
              <w:bottom w:val="single" w:sz="4" w:space="0" w:color="auto"/>
            </w:tcBorders>
            <w:vAlign w:val="center"/>
          </w:tcPr>
          <w:p w14:paraId="12ABCC91" w14:textId="77777777" w:rsidR="009602A6" w:rsidRPr="00746BBB" w:rsidRDefault="009602A6" w:rsidP="003F456B">
            <w:pPr>
              <w:pStyle w:val="Tableheadingrow"/>
              <w:jc w:val="center"/>
              <w:rPr>
                <w:lang w:val="en-AU"/>
              </w:rPr>
            </w:pPr>
            <w:proofErr w:type="spellStart"/>
            <w:r w:rsidRPr="00746BBB">
              <w:rPr>
                <w:lang w:val="en-AU"/>
              </w:rPr>
              <w:t>Pegcetacoplan</w:t>
            </w:r>
            <w:proofErr w:type="spellEnd"/>
          </w:p>
        </w:tc>
        <w:tc>
          <w:tcPr>
            <w:tcW w:w="1274" w:type="pct"/>
            <w:tcBorders>
              <w:bottom w:val="single" w:sz="4" w:space="0" w:color="auto"/>
            </w:tcBorders>
            <w:vAlign w:val="center"/>
          </w:tcPr>
          <w:p w14:paraId="63D3A4C0" w14:textId="77777777" w:rsidR="009602A6" w:rsidRPr="00746BBB" w:rsidRDefault="009602A6" w:rsidP="003F456B">
            <w:pPr>
              <w:pStyle w:val="Tableheadingrow"/>
              <w:jc w:val="center"/>
              <w:rPr>
                <w:lang w:val="en-AU"/>
              </w:rPr>
            </w:pPr>
            <w:proofErr w:type="spellStart"/>
            <w:r w:rsidRPr="00746BBB">
              <w:rPr>
                <w:lang w:val="en-AU"/>
              </w:rPr>
              <w:t>Ravulizumab</w:t>
            </w:r>
            <w:proofErr w:type="spellEnd"/>
          </w:p>
        </w:tc>
        <w:tc>
          <w:tcPr>
            <w:tcW w:w="838" w:type="pct"/>
            <w:vAlign w:val="center"/>
          </w:tcPr>
          <w:p w14:paraId="49643DEE" w14:textId="77777777" w:rsidR="009602A6" w:rsidRPr="00746BBB" w:rsidRDefault="009602A6" w:rsidP="003F456B">
            <w:pPr>
              <w:pStyle w:val="Tableheadingrow"/>
              <w:jc w:val="center"/>
              <w:rPr>
                <w:lang w:val="en-AU"/>
              </w:rPr>
            </w:pPr>
            <w:r w:rsidRPr="00746BBB">
              <w:rPr>
                <w:lang w:val="en-AU"/>
              </w:rPr>
              <w:t>Increment</w:t>
            </w:r>
          </w:p>
        </w:tc>
      </w:tr>
      <w:tr w:rsidR="009602A6" w:rsidRPr="00746BBB" w14:paraId="3B2C372E" w14:textId="77777777" w:rsidTr="005126B1">
        <w:tc>
          <w:tcPr>
            <w:tcW w:w="1529" w:type="pct"/>
            <w:vAlign w:val="center"/>
          </w:tcPr>
          <w:p w14:paraId="52359E58" w14:textId="56EDDDD8" w:rsidR="009602A6" w:rsidRPr="00746BBB" w:rsidRDefault="009602A6" w:rsidP="003F456B">
            <w:pPr>
              <w:pStyle w:val="TableText"/>
              <w:rPr>
                <w:rFonts w:ascii="Times" w:hAnsi="Times"/>
              </w:rPr>
            </w:pPr>
            <w:r w:rsidRPr="00746BBB">
              <w:t>Costs</w:t>
            </w:r>
            <w:r w:rsidR="005B177A">
              <w:t xml:space="preserve"> ($)</w:t>
            </w:r>
          </w:p>
        </w:tc>
        <w:tc>
          <w:tcPr>
            <w:tcW w:w="1359" w:type="pct"/>
            <w:shd w:val="solid" w:color="000000" w:fill="000000"/>
            <w:vAlign w:val="center"/>
          </w:tcPr>
          <w:p w14:paraId="6E087187" w14:textId="34C9AD9B" w:rsidR="009602A6" w:rsidRPr="005B177A" w:rsidRDefault="005126B1" w:rsidP="003F456B">
            <w:pPr>
              <w:pStyle w:val="TableText"/>
              <w:jc w:val="center"/>
              <w:rPr>
                <w:highlight w:val="yellow"/>
              </w:rPr>
            </w:pPr>
            <w:r w:rsidRPr="005126B1">
              <w:rPr>
                <w:color w:val="000000"/>
                <w14:textFill>
                  <w14:solidFill>
                    <w14:srgbClr w14:val="000000">
                      <w14:alpha w14:val="100000"/>
                    </w14:srgbClr>
                  </w14:solidFill>
                </w14:textFill>
              </w:rPr>
              <w:t>|</w:t>
            </w:r>
          </w:p>
        </w:tc>
        <w:tc>
          <w:tcPr>
            <w:tcW w:w="1274" w:type="pct"/>
            <w:shd w:val="solid" w:color="000000" w:fill="000000"/>
            <w:vAlign w:val="center"/>
          </w:tcPr>
          <w:p w14:paraId="54F846E5" w14:textId="48FEE991" w:rsidR="009602A6" w:rsidRPr="005B177A" w:rsidRDefault="005126B1" w:rsidP="003F456B">
            <w:pPr>
              <w:pStyle w:val="TableText"/>
              <w:jc w:val="center"/>
              <w:rPr>
                <w:highlight w:val="yellow"/>
              </w:rPr>
            </w:pPr>
            <w:r w:rsidRPr="005126B1">
              <w:rPr>
                <w:color w:val="000000"/>
                <w14:textFill>
                  <w14:solidFill>
                    <w14:srgbClr w14:val="000000">
                      <w14:alpha w14:val="100000"/>
                    </w14:srgbClr>
                  </w14:solidFill>
                </w14:textFill>
              </w:rPr>
              <w:t>|</w:t>
            </w:r>
          </w:p>
        </w:tc>
        <w:tc>
          <w:tcPr>
            <w:tcW w:w="838" w:type="pct"/>
            <w:vAlign w:val="center"/>
          </w:tcPr>
          <w:p w14:paraId="53C4ACF6" w14:textId="1FCBF0CE" w:rsidR="009602A6" w:rsidRPr="005B177A" w:rsidRDefault="009602A6" w:rsidP="003F456B">
            <w:pPr>
              <w:pStyle w:val="TableText"/>
              <w:jc w:val="center"/>
              <w:rPr>
                <w:highlight w:val="yellow"/>
              </w:rPr>
            </w:pPr>
            <w:r w:rsidRPr="000948F8">
              <w:t>-</w:t>
            </w:r>
            <w:r w:rsidR="005126B1" w:rsidRPr="005126B1">
              <w:rPr>
                <w:color w:val="000000"/>
                <w:shd w:val="solid" w:color="000000" w:fill="000000"/>
                <w14:textFill>
                  <w14:solidFill>
                    <w14:srgbClr w14:val="000000">
                      <w14:alpha w14:val="100000"/>
                    </w14:srgbClr>
                  </w14:solidFill>
                </w14:textFill>
              </w:rPr>
              <w:t>|</w:t>
            </w:r>
          </w:p>
        </w:tc>
      </w:tr>
      <w:tr w:rsidR="009602A6" w:rsidRPr="00746BBB" w14:paraId="5B1702FB" w14:textId="77777777" w:rsidTr="003F456B">
        <w:tc>
          <w:tcPr>
            <w:tcW w:w="1529" w:type="pct"/>
            <w:vAlign w:val="center"/>
          </w:tcPr>
          <w:p w14:paraId="2A4DA313" w14:textId="77777777" w:rsidR="009602A6" w:rsidRPr="00746BBB" w:rsidRDefault="009602A6" w:rsidP="003F456B">
            <w:pPr>
              <w:pStyle w:val="TableText"/>
              <w:rPr>
                <w:rFonts w:ascii="Times" w:hAnsi="Times"/>
              </w:rPr>
            </w:pPr>
            <w:r w:rsidRPr="00746BBB">
              <w:t>QALYs</w:t>
            </w:r>
          </w:p>
        </w:tc>
        <w:tc>
          <w:tcPr>
            <w:tcW w:w="1359" w:type="pct"/>
            <w:vAlign w:val="center"/>
          </w:tcPr>
          <w:p w14:paraId="7F75CEB0" w14:textId="77777777" w:rsidR="009602A6" w:rsidRPr="00746BBB" w:rsidRDefault="009602A6" w:rsidP="003F456B">
            <w:pPr>
              <w:pStyle w:val="TableText"/>
              <w:jc w:val="center"/>
            </w:pPr>
            <w:r w:rsidRPr="00746BBB">
              <w:t>13.10</w:t>
            </w:r>
          </w:p>
        </w:tc>
        <w:tc>
          <w:tcPr>
            <w:tcW w:w="1274" w:type="pct"/>
            <w:vAlign w:val="center"/>
          </w:tcPr>
          <w:p w14:paraId="65873E61" w14:textId="77777777" w:rsidR="009602A6" w:rsidRPr="00746BBB" w:rsidRDefault="009602A6" w:rsidP="003F456B">
            <w:pPr>
              <w:pStyle w:val="TableText"/>
              <w:jc w:val="center"/>
            </w:pPr>
            <w:r w:rsidRPr="00746BBB">
              <w:t>11.86</w:t>
            </w:r>
          </w:p>
        </w:tc>
        <w:tc>
          <w:tcPr>
            <w:tcW w:w="838" w:type="pct"/>
            <w:vAlign w:val="center"/>
          </w:tcPr>
          <w:p w14:paraId="1071069A" w14:textId="77777777" w:rsidR="009602A6" w:rsidRPr="00746BBB" w:rsidRDefault="009602A6" w:rsidP="003F456B">
            <w:pPr>
              <w:pStyle w:val="TableText"/>
              <w:jc w:val="center"/>
            </w:pPr>
            <w:r w:rsidRPr="00746BBB">
              <w:t>1.24</w:t>
            </w:r>
          </w:p>
        </w:tc>
      </w:tr>
      <w:tr w:rsidR="009602A6" w:rsidRPr="00746BBB" w14:paraId="3A551B69" w14:textId="77777777" w:rsidTr="003F456B">
        <w:tc>
          <w:tcPr>
            <w:tcW w:w="4162" w:type="pct"/>
            <w:gridSpan w:val="3"/>
            <w:vAlign w:val="center"/>
          </w:tcPr>
          <w:p w14:paraId="1CDA4A80" w14:textId="77777777" w:rsidR="009602A6" w:rsidRPr="00746BBB" w:rsidRDefault="009602A6" w:rsidP="003F456B">
            <w:pPr>
              <w:pStyle w:val="TableText"/>
              <w:rPr>
                <w:rFonts w:ascii="Times" w:hAnsi="Times"/>
                <w:b/>
              </w:rPr>
            </w:pPr>
            <w:r w:rsidRPr="00746BBB">
              <w:rPr>
                <w:b/>
              </w:rPr>
              <w:t>Incremental cost/QALY gained</w:t>
            </w:r>
          </w:p>
        </w:tc>
        <w:tc>
          <w:tcPr>
            <w:tcW w:w="838" w:type="pct"/>
            <w:vAlign w:val="center"/>
          </w:tcPr>
          <w:p w14:paraId="7D68D8E1" w14:textId="77777777" w:rsidR="009602A6" w:rsidRPr="00746BBB" w:rsidRDefault="009602A6" w:rsidP="003F456B">
            <w:pPr>
              <w:pStyle w:val="TableText"/>
              <w:jc w:val="center"/>
              <w:rPr>
                <w:b/>
                <w:bCs w:val="0"/>
              </w:rPr>
            </w:pPr>
            <w:r w:rsidRPr="00746BBB">
              <w:rPr>
                <w:b/>
                <w:bCs w:val="0"/>
              </w:rPr>
              <w:t>Dominant</w:t>
            </w:r>
          </w:p>
        </w:tc>
      </w:tr>
    </w:tbl>
    <w:p w14:paraId="6E0965BB" w14:textId="77777777" w:rsidR="009602A6" w:rsidRPr="00746BBB" w:rsidRDefault="009602A6" w:rsidP="009602A6">
      <w:pPr>
        <w:pStyle w:val="TableFigureFooter"/>
      </w:pPr>
      <w:r w:rsidRPr="00746BBB">
        <w:t>Source: Table 3-25, p 154 of the submission</w:t>
      </w:r>
    </w:p>
    <w:p w14:paraId="0AE0F310" w14:textId="7075F2AF" w:rsidR="009602A6" w:rsidRPr="00F53CB3" w:rsidRDefault="009602A6" w:rsidP="00F53CB3">
      <w:pPr>
        <w:pStyle w:val="TableFigureFooter"/>
        <w:rPr>
          <w:sz w:val="20"/>
        </w:rPr>
      </w:pPr>
      <w:r w:rsidRPr="00746BBB">
        <w:t>Abbreviation: QALY, quality-adjusted life year</w:t>
      </w:r>
    </w:p>
    <w:p w14:paraId="769DD811" w14:textId="7866048D" w:rsidR="009602A6" w:rsidRPr="00846510" w:rsidRDefault="00F53CB3" w:rsidP="000C453B">
      <w:pPr>
        <w:pStyle w:val="ExecSumBodyText"/>
        <w:spacing w:after="160"/>
      </w:pPr>
      <w:r w:rsidRPr="00846510">
        <w:t>Results were consistent with the comparison versus eculizumab, although the cost savings were smaller due to differences in administration costs</w:t>
      </w:r>
      <w:r w:rsidR="008120F5" w:rsidRPr="00846510">
        <w:t xml:space="preserve"> and adverse event costs</w:t>
      </w:r>
      <w:r w:rsidRPr="00846510">
        <w:t>.</w:t>
      </w:r>
    </w:p>
    <w:p w14:paraId="472842D7" w14:textId="7B6E452A" w:rsidR="00C25D9C" w:rsidRPr="00746BBB" w:rsidRDefault="00C25D9C" w:rsidP="00BB732D">
      <w:pPr>
        <w:pStyle w:val="3-SubsectionHeading"/>
      </w:pPr>
      <w:bookmarkStart w:id="38" w:name="_Toc22897646"/>
      <w:bookmarkStart w:id="39" w:name="_Toc93497078"/>
      <w:r w:rsidRPr="00746BBB">
        <w:t>Drug cost/patient/year</w:t>
      </w:r>
      <w:bookmarkEnd w:id="38"/>
      <w:bookmarkEnd w:id="39"/>
    </w:p>
    <w:p w14:paraId="55CFC00C" w14:textId="02BC36B6" w:rsidR="00C156A0" w:rsidRPr="00846510" w:rsidRDefault="00C156A0" w:rsidP="000C453B">
      <w:pPr>
        <w:pStyle w:val="ExecSumBodyText"/>
        <w:spacing w:after="160"/>
        <w:rPr>
          <w:snapToGrid/>
        </w:rPr>
      </w:pPr>
      <w:r>
        <w:rPr>
          <w:snapToGrid/>
        </w:rPr>
        <w:t xml:space="preserve">The estimated drug costs per patient per year </w:t>
      </w:r>
      <w:r w:rsidR="00896F3F">
        <w:rPr>
          <w:snapToGrid/>
        </w:rPr>
        <w:t xml:space="preserve">were </w:t>
      </w:r>
      <w:r w:rsidR="00896F3F" w:rsidRPr="009D5C41">
        <w:rPr>
          <w:snapToGrid/>
        </w:rPr>
        <w:t xml:space="preserve">calculated assuming </w:t>
      </w:r>
      <w:r w:rsidR="005126B1" w:rsidRPr="005126B1">
        <w:rPr>
          <w:snapToGrid/>
          <w:color w:val="000000"/>
          <w:w w:val="61"/>
          <w:shd w:val="solid" w:color="000000" w:fill="000000"/>
          <w:fitText w:val="473" w:id="-1500841463"/>
          <w14:textFill>
            <w14:solidFill>
              <w14:srgbClr w14:val="000000">
                <w14:alpha w14:val="100000"/>
              </w14:srgbClr>
            </w14:solidFill>
          </w14:textFill>
        </w:rPr>
        <w:t>||</w:t>
      </w:r>
      <w:proofErr w:type="gramStart"/>
      <w:r w:rsidR="005126B1" w:rsidRPr="005126B1">
        <w:rPr>
          <w:snapToGrid/>
          <w:color w:val="000000"/>
          <w:w w:val="61"/>
          <w:shd w:val="solid" w:color="000000" w:fill="000000"/>
          <w:fitText w:val="473" w:id="-1500841463"/>
          <w14:textFill>
            <w14:solidFill>
              <w14:srgbClr w14:val="000000">
                <w14:alpha w14:val="100000"/>
              </w14:srgbClr>
            </w14:solidFill>
          </w14:textFill>
        </w:rPr>
        <w:t>|  |</w:t>
      </w:r>
      <w:proofErr w:type="gramEnd"/>
      <w:r w:rsidR="005126B1" w:rsidRPr="005126B1">
        <w:rPr>
          <w:snapToGrid/>
          <w:color w:val="000000"/>
          <w:w w:val="61"/>
          <w:shd w:val="solid" w:color="000000" w:fill="000000"/>
          <w:fitText w:val="473" w:id="-1500841463"/>
          <w14:textFill>
            <w14:solidFill>
              <w14:srgbClr w14:val="000000">
                <w14:alpha w14:val="100000"/>
              </w14:srgbClr>
            </w14:solidFill>
          </w14:textFill>
        </w:rPr>
        <w:t>|</w:t>
      </w:r>
      <w:r w:rsidR="005126B1" w:rsidRPr="005126B1">
        <w:rPr>
          <w:snapToGrid/>
          <w:color w:val="000000"/>
          <w:spacing w:val="3"/>
          <w:w w:val="61"/>
          <w:shd w:val="solid" w:color="000000" w:fill="000000"/>
          <w:fitText w:val="473" w:id="-1500841463"/>
          <w14:textFill>
            <w14:solidFill>
              <w14:srgbClr w14:val="000000">
                <w14:alpha w14:val="100000"/>
              </w14:srgbClr>
            </w14:solidFill>
          </w14:textFill>
        </w:rPr>
        <w:t>|</w:t>
      </w:r>
      <w:r w:rsidR="005126B1" w:rsidRPr="005126B1">
        <w:rPr>
          <w:snapToGrid/>
        </w:rPr>
        <w:t xml:space="preserve"> </w:t>
      </w:r>
      <w:r w:rsidR="005126B1" w:rsidRPr="005126B1">
        <w:rPr>
          <w:snapToGrid/>
          <w:color w:val="000000"/>
          <w:w w:val="61"/>
          <w:shd w:val="solid" w:color="000000" w:fill="000000"/>
          <w:fitText w:val="473" w:id="-1500841462"/>
          <w14:textFill>
            <w14:solidFill>
              <w14:srgbClr w14:val="000000">
                <w14:alpha w14:val="100000"/>
              </w14:srgbClr>
            </w14:solidFill>
          </w14:textFill>
        </w:rPr>
        <w:t>|||  ||</w:t>
      </w:r>
      <w:r w:rsidR="005126B1" w:rsidRPr="005126B1">
        <w:rPr>
          <w:snapToGrid/>
          <w:color w:val="000000"/>
          <w:spacing w:val="3"/>
          <w:w w:val="61"/>
          <w:shd w:val="solid" w:color="000000" w:fill="000000"/>
          <w:fitText w:val="473" w:id="-1500841462"/>
          <w14:textFill>
            <w14:solidFill>
              <w14:srgbClr w14:val="000000">
                <w14:alpha w14:val="100000"/>
              </w14:srgbClr>
            </w14:solidFill>
          </w14:textFill>
        </w:rPr>
        <w:t>|</w:t>
      </w:r>
      <w:r w:rsidR="005126B1" w:rsidRPr="005126B1">
        <w:rPr>
          <w:snapToGrid/>
        </w:rPr>
        <w:t xml:space="preserve"> </w:t>
      </w:r>
      <w:r w:rsidR="00896F3F" w:rsidRPr="009D5C41">
        <w:rPr>
          <w:snapToGrid/>
        </w:rPr>
        <w:t xml:space="preserve">between </w:t>
      </w:r>
      <w:proofErr w:type="spellStart"/>
      <w:r w:rsidR="00896F3F" w:rsidRPr="009D5C41">
        <w:rPr>
          <w:snapToGrid/>
        </w:rPr>
        <w:t>pegcetacoplan</w:t>
      </w:r>
      <w:proofErr w:type="spellEnd"/>
      <w:r w:rsidR="00896F3F" w:rsidRPr="009D5C41">
        <w:rPr>
          <w:snapToGrid/>
        </w:rPr>
        <w:t xml:space="preserve">, eculizumab and </w:t>
      </w:r>
      <w:proofErr w:type="spellStart"/>
      <w:r w:rsidR="00896F3F" w:rsidRPr="009D5C41">
        <w:rPr>
          <w:snapToGrid/>
        </w:rPr>
        <w:t>ravulizumab</w:t>
      </w:r>
      <w:proofErr w:type="spellEnd"/>
      <w:r w:rsidR="00896F3F">
        <w:rPr>
          <w:snapToGrid/>
        </w:rPr>
        <w:t>.</w:t>
      </w:r>
      <w:r w:rsidR="007E2EF7">
        <w:rPr>
          <w:snapToGrid/>
        </w:rPr>
        <w:t xml:space="preserve"> The submission acknowledged </w:t>
      </w:r>
      <w:r w:rsidR="007E2EF7" w:rsidRPr="007E2EF7">
        <w:rPr>
          <w:snapToGrid/>
        </w:rPr>
        <w:t xml:space="preserve">that the PBS listing status and prices of eculizumab and </w:t>
      </w:r>
      <w:proofErr w:type="spellStart"/>
      <w:r w:rsidR="007E2EF7" w:rsidRPr="007E2EF7">
        <w:rPr>
          <w:snapToGrid/>
        </w:rPr>
        <w:t>ravulizumab</w:t>
      </w:r>
      <w:proofErr w:type="spellEnd"/>
      <w:r w:rsidR="007E2EF7" w:rsidRPr="007E2EF7">
        <w:rPr>
          <w:snapToGrid/>
        </w:rPr>
        <w:t xml:space="preserve"> for PNH were unknown at the time of submission. Therefore, the submission used the published eculizumab price for </w:t>
      </w:r>
      <w:proofErr w:type="spellStart"/>
      <w:r w:rsidR="008120F5">
        <w:rPr>
          <w:snapToGrid/>
        </w:rPr>
        <w:t>aHUS</w:t>
      </w:r>
      <w:proofErr w:type="spellEnd"/>
      <w:r w:rsidR="007E2EF7" w:rsidRPr="007E2EF7">
        <w:rPr>
          <w:snapToGrid/>
        </w:rPr>
        <w:t xml:space="preserve"> on the PBS as a proxy for the published price of eculizumab </w:t>
      </w:r>
      <w:r w:rsidR="007E2EF7" w:rsidRPr="007E2EF7">
        <w:rPr>
          <w:snapToGrid/>
        </w:rPr>
        <w:lastRenderedPageBreak/>
        <w:t>for PNH on the PBS</w:t>
      </w:r>
      <w:r w:rsidR="007E2EF7" w:rsidRPr="00846510">
        <w:rPr>
          <w:snapToGrid/>
        </w:rPr>
        <w:t xml:space="preserve">. </w:t>
      </w:r>
      <w:r w:rsidR="00216D90" w:rsidRPr="00846510">
        <w:rPr>
          <w:snapToGrid/>
        </w:rPr>
        <w:t xml:space="preserve">The same costs </w:t>
      </w:r>
      <w:r w:rsidR="00BB0647" w:rsidRPr="00846510">
        <w:rPr>
          <w:snapToGrid/>
        </w:rPr>
        <w:t xml:space="preserve">were applied in the economic analysis and financial estimates. </w:t>
      </w:r>
    </w:p>
    <w:p w14:paraId="3DBFE151" w14:textId="1F238BA6" w:rsidR="00494207" w:rsidRPr="000C770D" w:rsidRDefault="00775672" w:rsidP="000C453B">
      <w:pPr>
        <w:pStyle w:val="ExecSumBodyText"/>
        <w:spacing w:after="160"/>
        <w:rPr>
          <w:snapToGrid/>
        </w:rPr>
      </w:pPr>
      <w:r w:rsidRPr="000C770D">
        <w:rPr>
          <w:snapToGrid/>
        </w:rPr>
        <w:t xml:space="preserve">The estimated drug cost per patient per year for </w:t>
      </w:r>
      <w:proofErr w:type="spellStart"/>
      <w:r w:rsidRPr="000C770D">
        <w:rPr>
          <w:snapToGrid/>
        </w:rPr>
        <w:t>pegcetacoplan</w:t>
      </w:r>
      <w:proofErr w:type="spellEnd"/>
      <w:r w:rsidRPr="000C770D">
        <w:rPr>
          <w:snapToGrid/>
        </w:rPr>
        <w:t xml:space="preserve">, based on a proposed DPMQ </w:t>
      </w:r>
      <w:r w:rsidRPr="00790945">
        <w:rPr>
          <w:snapToGrid/>
        </w:rPr>
        <w:t>of $</w:t>
      </w:r>
      <w:proofErr w:type="gramStart"/>
      <w:r w:rsidR="005126B1" w:rsidRPr="000A62F7">
        <w:rPr>
          <w:snapToGrid/>
          <w:color w:val="000000"/>
          <w:w w:val="15"/>
          <w:shd w:val="solid" w:color="000000" w:fill="000000"/>
          <w:fitText w:val="-20" w:id="-1500841461"/>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61"/>
          <w14:textFill>
            <w14:solidFill>
              <w14:srgbClr w14:val="000000">
                <w14:alpha w14:val="100000"/>
              </w14:srgbClr>
            </w14:solidFill>
          </w14:textFill>
        </w:rPr>
        <w:t>|</w:t>
      </w:r>
      <w:proofErr w:type="gramEnd"/>
      <w:r w:rsidRPr="00790945">
        <w:rPr>
          <w:snapToGrid/>
        </w:rPr>
        <w:t xml:space="preserve"> for </w:t>
      </w:r>
      <w:r w:rsidR="005126B1" w:rsidRPr="000A62F7">
        <w:rPr>
          <w:snapToGrid/>
          <w:color w:val="000000"/>
          <w:w w:val="15"/>
          <w:shd w:val="solid" w:color="000000" w:fill="000000"/>
          <w:fitText w:val="-20" w:id="-1500841460"/>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60"/>
          <w14:textFill>
            <w14:solidFill>
              <w14:srgbClr w14:val="000000">
                <w14:alpha w14:val="100000"/>
              </w14:srgbClr>
            </w14:solidFill>
          </w14:textFill>
        </w:rPr>
        <w:t>|</w:t>
      </w:r>
      <w:r w:rsidRPr="00790945">
        <w:rPr>
          <w:snapToGrid/>
        </w:rPr>
        <w:t xml:space="preserve"> x 1,080 mg vials, was $</w:t>
      </w:r>
      <w:r w:rsidR="005126B1" w:rsidRPr="000A62F7">
        <w:rPr>
          <w:snapToGrid/>
          <w:color w:val="000000"/>
          <w:w w:val="15"/>
          <w:shd w:val="solid" w:color="000000" w:fill="000000"/>
          <w:fitText w:val="-20" w:id="-1500841459"/>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59"/>
          <w14:textFill>
            <w14:solidFill>
              <w14:srgbClr w14:val="000000">
                <w14:alpha w14:val="100000"/>
              </w14:srgbClr>
            </w14:solidFill>
          </w14:textFill>
        </w:rPr>
        <w:t>|</w:t>
      </w:r>
      <w:r w:rsidRPr="00790945">
        <w:rPr>
          <w:snapToGrid/>
        </w:rPr>
        <w:t xml:space="preserve"> in a maintenance year (</w:t>
      </w:r>
      <w:r w:rsidR="005126B1" w:rsidRPr="000A62F7">
        <w:rPr>
          <w:snapToGrid/>
          <w:color w:val="000000"/>
          <w:w w:val="15"/>
          <w:shd w:val="solid" w:color="000000" w:fill="000000"/>
          <w:fitText w:val="-20" w:id="-1500841458"/>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58"/>
          <w14:textFill>
            <w14:solidFill>
              <w14:srgbClr w14:val="000000">
                <w14:alpha w14:val="100000"/>
              </w14:srgbClr>
            </w14:solidFill>
          </w14:textFill>
        </w:rPr>
        <w:t>|</w:t>
      </w:r>
      <w:r w:rsidRPr="00790945">
        <w:rPr>
          <w:snapToGrid/>
        </w:rPr>
        <w:t xml:space="preserve"> scripts).</w:t>
      </w:r>
    </w:p>
    <w:p w14:paraId="32895B3C" w14:textId="23F20A90" w:rsidR="00775672" w:rsidRPr="000C770D" w:rsidRDefault="00775672" w:rsidP="000C453B">
      <w:pPr>
        <w:pStyle w:val="ExecSumBodyText"/>
        <w:spacing w:after="160"/>
        <w:rPr>
          <w:snapToGrid/>
        </w:rPr>
      </w:pPr>
      <w:r w:rsidRPr="000C770D">
        <w:rPr>
          <w:snapToGrid/>
        </w:rPr>
        <w:t xml:space="preserve">The estimated </w:t>
      </w:r>
      <w:r w:rsidRPr="00790945">
        <w:rPr>
          <w:snapToGrid/>
        </w:rPr>
        <w:t>drug cost per patient per year for eculizumab, based on an estimated weighted DPMQ of $</w:t>
      </w:r>
      <w:proofErr w:type="gramStart"/>
      <w:r w:rsidR="005126B1" w:rsidRPr="000A62F7">
        <w:rPr>
          <w:snapToGrid/>
          <w:color w:val="000000"/>
          <w:w w:val="15"/>
          <w:shd w:val="solid" w:color="000000" w:fill="000000"/>
          <w:fitText w:val="-20" w:id="-1500841457"/>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57"/>
          <w14:textFill>
            <w14:solidFill>
              <w14:srgbClr w14:val="000000">
                <w14:alpha w14:val="100000"/>
              </w14:srgbClr>
            </w14:solidFill>
          </w14:textFill>
        </w:rPr>
        <w:t>|</w:t>
      </w:r>
      <w:proofErr w:type="gramEnd"/>
      <w:r w:rsidRPr="00790945">
        <w:rPr>
          <w:snapToGrid/>
        </w:rPr>
        <w:t xml:space="preserve"> for </w:t>
      </w:r>
      <w:r w:rsidR="005126B1" w:rsidRPr="000A62F7">
        <w:rPr>
          <w:snapToGrid/>
          <w:color w:val="000000"/>
          <w:w w:val="15"/>
          <w:shd w:val="solid" w:color="000000" w:fill="000000"/>
          <w:fitText w:val="-20" w:id="-1500841456"/>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56"/>
          <w14:textFill>
            <w14:solidFill>
              <w14:srgbClr w14:val="000000">
                <w14:alpha w14:val="100000"/>
              </w14:srgbClr>
            </w14:solidFill>
          </w14:textFill>
        </w:rPr>
        <w:t>|</w:t>
      </w:r>
      <w:r w:rsidRPr="00790945">
        <w:rPr>
          <w:snapToGrid/>
        </w:rPr>
        <w:t xml:space="preserve"> x 300 mg vials, was $</w:t>
      </w:r>
      <w:r w:rsidR="005126B1" w:rsidRPr="000A62F7">
        <w:rPr>
          <w:snapToGrid/>
          <w:color w:val="000000"/>
          <w:w w:val="15"/>
          <w:shd w:val="solid" w:color="000000" w:fill="000000"/>
          <w:fitText w:val="-20" w:id="-1500841472"/>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72"/>
          <w14:textFill>
            <w14:solidFill>
              <w14:srgbClr w14:val="000000">
                <w14:alpha w14:val="100000"/>
              </w14:srgbClr>
            </w14:solidFill>
          </w14:textFill>
        </w:rPr>
        <w:t>|</w:t>
      </w:r>
      <w:r w:rsidRPr="00790945">
        <w:rPr>
          <w:snapToGrid/>
        </w:rPr>
        <w:t xml:space="preserve"> in a maintenance year (26.09 scripts).</w:t>
      </w:r>
      <w:r w:rsidRPr="000C770D">
        <w:rPr>
          <w:snapToGrid/>
        </w:rPr>
        <w:t xml:space="preserve">  </w:t>
      </w:r>
    </w:p>
    <w:p w14:paraId="4EE8DFBE" w14:textId="04047500" w:rsidR="000C770D" w:rsidRDefault="000C770D" w:rsidP="000C453B">
      <w:pPr>
        <w:pStyle w:val="ExecSumBodyText"/>
        <w:spacing w:after="160"/>
        <w:rPr>
          <w:snapToGrid/>
        </w:rPr>
      </w:pPr>
      <w:r w:rsidRPr="000C770D">
        <w:rPr>
          <w:snapToGrid/>
        </w:rPr>
        <w:t xml:space="preserve">The estimated drug cost per patient per year for </w:t>
      </w:r>
      <w:proofErr w:type="spellStart"/>
      <w:r w:rsidRPr="000C770D">
        <w:rPr>
          <w:snapToGrid/>
        </w:rPr>
        <w:t>ravulizumab</w:t>
      </w:r>
      <w:proofErr w:type="spellEnd"/>
      <w:r w:rsidRPr="000C770D">
        <w:rPr>
          <w:snapToGrid/>
        </w:rPr>
        <w:t>, based on an estimated weighted DPMQ of $</w:t>
      </w:r>
      <w:proofErr w:type="gramStart"/>
      <w:r w:rsidR="005126B1" w:rsidRPr="000A62F7">
        <w:rPr>
          <w:snapToGrid/>
          <w:color w:val="000000"/>
          <w:w w:val="15"/>
          <w:shd w:val="solid" w:color="000000" w:fill="000000"/>
          <w:fitText w:val="-20" w:id="-1500841471"/>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71"/>
          <w14:textFill>
            <w14:solidFill>
              <w14:srgbClr w14:val="000000">
                <w14:alpha w14:val="100000"/>
              </w14:srgbClr>
            </w14:solidFill>
          </w14:textFill>
        </w:rPr>
        <w:t>|</w:t>
      </w:r>
      <w:proofErr w:type="gramEnd"/>
      <w:r w:rsidRPr="000C770D">
        <w:rPr>
          <w:snapToGrid/>
        </w:rPr>
        <w:t xml:space="preserve"> for </w:t>
      </w:r>
      <w:r w:rsidR="005126B1" w:rsidRPr="000A62F7">
        <w:rPr>
          <w:snapToGrid/>
          <w:color w:val="000000"/>
          <w:w w:val="15"/>
          <w:shd w:val="solid" w:color="000000" w:fill="000000"/>
          <w:fitText w:val="-20" w:id="-1500841470"/>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70"/>
          <w14:textFill>
            <w14:solidFill>
              <w14:srgbClr w14:val="000000">
                <w14:alpha w14:val="100000"/>
              </w14:srgbClr>
            </w14:solidFill>
          </w14:textFill>
        </w:rPr>
        <w:t>|</w:t>
      </w:r>
      <w:r w:rsidRPr="000C770D">
        <w:rPr>
          <w:snapToGrid/>
        </w:rPr>
        <w:t xml:space="preserve"> x 300 mg vials, was $</w:t>
      </w:r>
      <w:r w:rsidR="005126B1" w:rsidRPr="000A62F7">
        <w:rPr>
          <w:snapToGrid/>
          <w:color w:val="000000"/>
          <w:w w:val="15"/>
          <w:shd w:val="solid" w:color="000000" w:fill="000000"/>
          <w:fitText w:val="-20" w:id="-1500841469"/>
          <w14:textFill>
            <w14:solidFill>
              <w14:srgbClr w14:val="000000">
                <w14:alpha w14:val="100000"/>
              </w14:srgbClr>
            </w14:solidFill>
          </w14:textFill>
        </w:rPr>
        <w:t xml:space="preserve">|  </w:t>
      </w:r>
      <w:r w:rsidR="005126B1" w:rsidRPr="000A62F7">
        <w:rPr>
          <w:snapToGrid/>
          <w:color w:val="000000"/>
          <w:spacing w:val="-69"/>
          <w:w w:val="15"/>
          <w:shd w:val="solid" w:color="000000" w:fill="000000"/>
          <w:fitText w:val="-20" w:id="-1500841469"/>
          <w14:textFill>
            <w14:solidFill>
              <w14:srgbClr w14:val="000000">
                <w14:alpha w14:val="100000"/>
              </w14:srgbClr>
            </w14:solidFill>
          </w14:textFill>
        </w:rPr>
        <w:t>|</w:t>
      </w:r>
      <w:r w:rsidRPr="000C770D">
        <w:rPr>
          <w:snapToGrid/>
        </w:rPr>
        <w:t xml:space="preserve"> in a maintenance year (6.52 scripts).</w:t>
      </w:r>
    </w:p>
    <w:p w14:paraId="4AD5407E" w14:textId="07D27E2D" w:rsidR="00F251D9" w:rsidRPr="00934577" w:rsidRDefault="00F251D9" w:rsidP="000C453B">
      <w:pPr>
        <w:pStyle w:val="ExecSumBodyText"/>
        <w:spacing w:after="160"/>
      </w:pPr>
      <w:r w:rsidRPr="00846510">
        <w:t xml:space="preserve">The submission inappropriately assumed that the drug acquisition costs of </w:t>
      </w:r>
      <w:proofErr w:type="spellStart"/>
      <w:r w:rsidRPr="00846510">
        <w:t>ravulizumab</w:t>
      </w:r>
      <w:proofErr w:type="spellEnd"/>
      <w:r w:rsidRPr="00846510">
        <w:t xml:space="preserve"> would be equivalent to eculizumab. The cost-minimisation analysis which formed the basis of PBAC’s positive recommendation for </w:t>
      </w:r>
      <w:proofErr w:type="spellStart"/>
      <w:r w:rsidRPr="00846510">
        <w:t>ravulizumab</w:t>
      </w:r>
      <w:proofErr w:type="spellEnd"/>
      <w:r w:rsidRPr="00846510">
        <w:t xml:space="preserve"> included cost offsets associated with differences in administration frequencies between </w:t>
      </w:r>
      <w:proofErr w:type="spellStart"/>
      <w:r w:rsidRPr="00846510">
        <w:t>ravulizumab</w:t>
      </w:r>
      <w:proofErr w:type="spellEnd"/>
      <w:r w:rsidRPr="00846510">
        <w:t xml:space="preserve"> and eculizumab (para 6.67, </w:t>
      </w:r>
      <w:bookmarkStart w:id="40" w:name="_Hlk99977154"/>
      <w:proofErr w:type="spellStart"/>
      <w:r w:rsidRPr="00846510">
        <w:t>ravulizumab</w:t>
      </w:r>
      <w:proofErr w:type="spellEnd"/>
      <w:r w:rsidRPr="00846510">
        <w:t xml:space="preserve"> PSD, July 2021 PBAC meeting</w:t>
      </w:r>
      <w:bookmarkEnd w:id="40"/>
      <w:r w:rsidRPr="00846510">
        <w:t xml:space="preserve">). </w:t>
      </w:r>
      <w:r w:rsidR="007700A8">
        <w:t>Thus, the</w:t>
      </w:r>
      <w:r w:rsidRPr="00846510">
        <w:t xml:space="preserve"> drug cost of </w:t>
      </w:r>
      <w:proofErr w:type="spellStart"/>
      <w:r w:rsidRPr="00846510">
        <w:t>ravulizumab</w:t>
      </w:r>
      <w:proofErr w:type="spellEnd"/>
      <w:r w:rsidRPr="00846510">
        <w:t xml:space="preserve"> is likely to be higher than the estimated cost of eculizumab.</w:t>
      </w:r>
      <w:r w:rsidR="00386304">
        <w:t xml:space="preserve"> </w:t>
      </w:r>
    </w:p>
    <w:p w14:paraId="268768EF" w14:textId="3626F292" w:rsidR="00B60939" w:rsidRPr="00746BBB" w:rsidRDefault="00B60939" w:rsidP="002B05A1">
      <w:pPr>
        <w:pStyle w:val="3-SubsectionHeading"/>
      </w:pPr>
      <w:bookmarkStart w:id="41" w:name="_Toc22897647"/>
      <w:bookmarkStart w:id="42" w:name="_Toc93497079"/>
      <w:r w:rsidRPr="00746BBB">
        <w:t>Estimated PBS usage &amp; financial implications</w:t>
      </w:r>
      <w:bookmarkEnd w:id="41"/>
      <w:bookmarkEnd w:id="42"/>
    </w:p>
    <w:p w14:paraId="04B31D2D" w14:textId="0FE9F1AA" w:rsidR="0072416F" w:rsidRPr="006F4DC0" w:rsidRDefault="00C25D9C" w:rsidP="000C453B">
      <w:pPr>
        <w:pStyle w:val="ExecSumBodyText"/>
        <w:spacing w:after="160"/>
        <w:rPr>
          <w:color w:val="0066FF"/>
        </w:rPr>
      </w:pPr>
      <w:r w:rsidRPr="00746BBB">
        <w:t xml:space="preserve">This submission </w:t>
      </w:r>
      <w:r w:rsidR="00B201A4" w:rsidRPr="00746BBB">
        <w:t>w</w:t>
      </w:r>
      <w:r w:rsidR="00846510">
        <w:t xml:space="preserve">as </w:t>
      </w:r>
      <w:r w:rsidRPr="00746BBB">
        <w:t>not</w:t>
      </w:r>
      <w:r w:rsidR="00D23D11" w:rsidRPr="00746BBB">
        <w:t xml:space="preserve"> </w:t>
      </w:r>
      <w:r w:rsidRPr="00746BBB">
        <w:t>considered by DUSC</w:t>
      </w:r>
      <w:r w:rsidRPr="00746BBB">
        <w:rPr>
          <w:color w:val="0070C0"/>
        </w:rPr>
        <w:t>.</w:t>
      </w:r>
      <w:r w:rsidR="00BC591F" w:rsidRPr="00746BBB">
        <w:rPr>
          <w:color w:val="0070C0"/>
        </w:rPr>
        <w:t xml:space="preserve"> </w:t>
      </w:r>
      <w:r w:rsidR="009451DF" w:rsidRPr="009451DF">
        <w:t xml:space="preserve">The submission </w:t>
      </w:r>
      <w:r w:rsidR="009451DF">
        <w:t xml:space="preserve">used an epidemiological approach to estimate the utilisation and financial impacts associated with the PBS listing of </w:t>
      </w:r>
      <w:proofErr w:type="spellStart"/>
      <w:r w:rsidR="009451DF">
        <w:t>pegcetacoplan</w:t>
      </w:r>
      <w:proofErr w:type="spellEnd"/>
      <w:r w:rsidR="009451DF">
        <w:t xml:space="preserve">, for the treatment of adult patients with PNH who have </w:t>
      </w:r>
      <w:r w:rsidR="009451DF" w:rsidRPr="00746BBB">
        <w:t>inadequate clinical response to C5 inhibitor treatment (haemoglobin level &lt;10.5 g/dL after ≥3 months of stable treatment)</w:t>
      </w:r>
      <w:r w:rsidR="009451DF">
        <w:t>.</w:t>
      </w:r>
    </w:p>
    <w:p w14:paraId="502AAA1B" w14:textId="0F964626" w:rsidR="006F4DC0" w:rsidRPr="006F4DC0" w:rsidRDefault="006F4DC0" w:rsidP="000C453B">
      <w:pPr>
        <w:pStyle w:val="ExecSumBodyText"/>
        <w:spacing w:after="160"/>
        <w:rPr>
          <w:color w:val="0066FF"/>
        </w:rPr>
      </w:pPr>
      <w:r>
        <w:t>Key inputs used to derive the financial estimates are presented in the table below.</w:t>
      </w:r>
    </w:p>
    <w:p w14:paraId="562D5989" w14:textId="3AF145D6" w:rsidR="006F4DC0" w:rsidRPr="003253E7" w:rsidRDefault="006F4DC0" w:rsidP="00EB40F2">
      <w:pPr>
        <w:pStyle w:val="Caption"/>
      </w:pPr>
      <w:r>
        <w:t xml:space="preserve">Table </w:t>
      </w:r>
      <w:fldSimple w:instr=" SEQ Table \* ARABIC ">
        <w:r w:rsidR="000A62F7">
          <w:rPr>
            <w:noProof/>
          </w:rPr>
          <w:t>12</w:t>
        </w:r>
      </w:fldSimple>
      <w:r w:rsidRPr="003253E7">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36"/>
        <w:gridCol w:w="3711"/>
        <w:gridCol w:w="3870"/>
      </w:tblGrid>
      <w:tr w:rsidR="006F4DC0" w:rsidRPr="003253E7" w14:paraId="01DCE577" w14:textId="77777777" w:rsidTr="00AD0808">
        <w:trPr>
          <w:cantSplit/>
          <w:tblHeader/>
        </w:trPr>
        <w:tc>
          <w:tcPr>
            <w:tcW w:w="796" w:type="pct"/>
            <w:shd w:val="clear" w:color="auto" w:fill="auto"/>
            <w:vAlign w:val="center"/>
          </w:tcPr>
          <w:p w14:paraId="24D0BFC0" w14:textId="77777777" w:rsidR="006F4DC0" w:rsidRPr="000C453B" w:rsidRDefault="006F4DC0" w:rsidP="00EB40F2">
            <w:pPr>
              <w:pStyle w:val="Tableheadingrow"/>
              <w:rPr>
                <w:szCs w:val="20"/>
                <w:lang w:val="en-AU"/>
              </w:rPr>
            </w:pPr>
            <w:r w:rsidRPr="000C453B">
              <w:rPr>
                <w:szCs w:val="20"/>
                <w:lang w:val="en-AU"/>
              </w:rPr>
              <w:t>Parameter</w:t>
            </w:r>
          </w:p>
        </w:tc>
        <w:tc>
          <w:tcPr>
            <w:tcW w:w="2058" w:type="pct"/>
            <w:shd w:val="clear" w:color="auto" w:fill="auto"/>
            <w:vAlign w:val="center"/>
          </w:tcPr>
          <w:p w14:paraId="77590090" w14:textId="77777777" w:rsidR="006F4DC0" w:rsidRPr="000C453B" w:rsidRDefault="006F4DC0" w:rsidP="00EB40F2">
            <w:pPr>
              <w:pStyle w:val="Tableheadingrow"/>
              <w:jc w:val="center"/>
              <w:rPr>
                <w:szCs w:val="20"/>
                <w:lang w:val="en-AU"/>
              </w:rPr>
            </w:pPr>
            <w:r w:rsidRPr="000C453B">
              <w:rPr>
                <w:szCs w:val="20"/>
                <w:lang w:val="en-AU"/>
              </w:rPr>
              <w:t>Value applied and source</w:t>
            </w:r>
          </w:p>
        </w:tc>
        <w:tc>
          <w:tcPr>
            <w:tcW w:w="2146" w:type="pct"/>
            <w:shd w:val="clear" w:color="auto" w:fill="auto"/>
            <w:vAlign w:val="center"/>
          </w:tcPr>
          <w:p w14:paraId="2C779005" w14:textId="77777777" w:rsidR="006F4DC0" w:rsidRPr="00846510" w:rsidRDefault="006F4DC0" w:rsidP="00EB40F2">
            <w:pPr>
              <w:pStyle w:val="Tableheadingrow"/>
              <w:jc w:val="center"/>
              <w:rPr>
                <w:szCs w:val="20"/>
                <w:lang w:val="en-AU"/>
              </w:rPr>
            </w:pPr>
            <w:r w:rsidRPr="00846510">
              <w:rPr>
                <w:szCs w:val="20"/>
                <w:lang w:val="en-AU"/>
              </w:rPr>
              <w:t>Comment</w:t>
            </w:r>
          </w:p>
        </w:tc>
      </w:tr>
      <w:tr w:rsidR="006F4DC0" w:rsidRPr="003253E7" w14:paraId="61B9DFE7" w14:textId="77777777" w:rsidTr="00AD0808">
        <w:trPr>
          <w:cantSplit/>
          <w:trHeight w:val="155"/>
        </w:trPr>
        <w:tc>
          <w:tcPr>
            <w:tcW w:w="5000" w:type="pct"/>
            <w:gridSpan w:val="3"/>
            <w:shd w:val="clear" w:color="auto" w:fill="auto"/>
            <w:vAlign w:val="center"/>
          </w:tcPr>
          <w:p w14:paraId="125BAAF3" w14:textId="77777777" w:rsidR="006F4DC0" w:rsidRPr="00846510" w:rsidRDefault="006F4DC0" w:rsidP="00EB40F2">
            <w:pPr>
              <w:pStyle w:val="TableText"/>
              <w:widowControl w:val="0"/>
              <w:rPr>
                <w:b/>
                <w:bCs w:val="0"/>
                <w:szCs w:val="20"/>
              </w:rPr>
            </w:pPr>
            <w:r w:rsidRPr="00846510">
              <w:rPr>
                <w:b/>
                <w:bCs w:val="0"/>
                <w:szCs w:val="20"/>
              </w:rPr>
              <w:t>Eligible population and utilisation estimates</w:t>
            </w:r>
          </w:p>
        </w:tc>
      </w:tr>
      <w:tr w:rsidR="006F4DC0" w:rsidRPr="003253E7" w14:paraId="709EA2C6" w14:textId="77777777" w:rsidTr="00AD0808">
        <w:trPr>
          <w:cantSplit/>
          <w:trHeight w:val="622"/>
        </w:trPr>
        <w:tc>
          <w:tcPr>
            <w:tcW w:w="796" w:type="pct"/>
            <w:shd w:val="clear" w:color="auto" w:fill="auto"/>
            <w:vAlign w:val="center"/>
          </w:tcPr>
          <w:p w14:paraId="32CF9788" w14:textId="77777777" w:rsidR="006F4DC0" w:rsidRPr="000C453B" w:rsidRDefault="006F4DC0" w:rsidP="00EB40F2">
            <w:pPr>
              <w:pStyle w:val="TableText"/>
              <w:rPr>
                <w:szCs w:val="20"/>
              </w:rPr>
            </w:pPr>
            <w:r w:rsidRPr="000C453B">
              <w:rPr>
                <w:szCs w:val="20"/>
              </w:rPr>
              <w:t>PNH prevalence</w:t>
            </w:r>
          </w:p>
        </w:tc>
        <w:tc>
          <w:tcPr>
            <w:tcW w:w="2058" w:type="pct"/>
            <w:shd w:val="clear" w:color="auto" w:fill="auto"/>
            <w:vAlign w:val="center"/>
          </w:tcPr>
          <w:p w14:paraId="60F5047C" w14:textId="77777777" w:rsidR="006F4DC0" w:rsidRPr="000C453B" w:rsidRDefault="006F4DC0" w:rsidP="00EB40F2">
            <w:pPr>
              <w:pStyle w:val="TableText"/>
              <w:rPr>
                <w:szCs w:val="20"/>
              </w:rPr>
            </w:pPr>
            <w:r w:rsidRPr="000C453B">
              <w:rPr>
                <w:szCs w:val="20"/>
              </w:rPr>
              <w:t xml:space="preserve">1.66/100,000/year. Based on an incidence and prevalence study in Yorkshire, England on patients diagnosed with PNH from 1991-2006 (Hill 2006, abstract only) and expert opinion.  </w:t>
            </w:r>
          </w:p>
        </w:tc>
        <w:tc>
          <w:tcPr>
            <w:tcW w:w="2146" w:type="pct"/>
            <w:vMerge w:val="restart"/>
            <w:shd w:val="clear" w:color="auto" w:fill="auto"/>
            <w:vAlign w:val="center"/>
          </w:tcPr>
          <w:p w14:paraId="32B9FF36" w14:textId="77777777" w:rsidR="006F4DC0" w:rsidRPr="00846510" w:rsidRDefault="006F4DC0" w:rsidP="00EB40F2">
            <w:pPr>
              <w:pStyle w:val="TableText"/>
              <w:widowControl w:val="0"/>
              <w:rPr>
                <w:szCs w:val="20"/>
              </w:rPr>
            </w:pPr>
            <w:r w:rsidRPr="00846510">
              <w:rPr>
                <w:szCs w:val="20"/>
              </w:rPr>
              <w:t xml:space="preserve">The results from the Hill study should be interpreted with caution due to limited detail available from the abstract. The results may not be applicable to the current Australian setting as the data were relatively old and collected prior to the established use of eculizumab for the treatment of PNH. </w:t>
            </w:r>
          </w:p>
          <w:p w14:paraId="24807F41" w14:textId="77777777" w:rsidR="006F4DC0" w:rsidRPr="00846510" w:rsidRDefault="006F4DC0" w:rsidP="00EB40F2">
            <w:pPr>
              <w:pStyle w:val="TableText"/>
              <w:rPr>
                <w:szCs w:val="20"/>
              </w:rPr>
            </w:pPr>
            <w:r w:rsidRPr="00846510">
              <w:rPr>
                <w:szCs w:val="20"/>
              </w:rPr>
              <w:t>The prevalence estimate used in the submission was higher than the estimate reported in the Hill study of 1.59/100,000/year and could not be validated during the evaluation.</w:t>
            </w:r>
          </w:p>
        </w:tc>
      </w:tr>
      <w:tr w:rsidR="006F4DC0" w:rsidRPr="003253E7" w14:paraId="05722E95" w14:textId="77777777" w:rsidTr="00AD0808">
        <w:trPr>
          <w:cantSplit/>
          <w:trHeight w:val="692"/>
        </w:trPr>
        <w:tc>
          <w:tcPr>
            <w:tcW w:w="796" w:type="pct"/>
            <w:shd w:val="clear" w:color="auto" w:fill="auto"/>
            <w:vAlign w:val="center"/>
          </w:tcPr>
          <w:p w14:paraId="10D76EAF" w14:textId="77777777" w:rsidR="006F4DC0" w:rsidRPr="000C453B" w:rsidRDefault="006F4DC0" w:rsidP="00EB40F2">
            <w:pPr>
              <w:pStyle w:val="TableText"/>
              <w:rPr>
                <w:szCs w:val="20"/>
              </w:rPr>
            </w:pPr>
            <w:r w:rsidRPr="000C453B">
              <w:rPr>
                <w:szCs w:val="20"/>
              </w:rPr>
              <w:t>PNH incidence</w:t>
            </w:r>
          </w:p>
        </w:tc>
        <w:tc>
          <w:tcPr>
            <w:tcW w:w="2058" w:type="pct"/>
            <w:shd w:val="clear" w:color="auto" w:fill="auto"/>
            <w:vAlign w:val="center"/>
          </w:tcPr>
          <w:p w14:paraId="33BDE0A7" w14:textId="77777777" w:rsidR="006F4DC0" w:rsidRPr="000C453B" w:rsidRDefault="006F4DC0" w:rsidP="00EB40F2">
            <w:pPr>
              <w:pStyle w:val="TableText"/>
              <w:rPr>
                <w:szCs w:val="20"/>
              </w:rPr>
            </w:pPr>
            <w:r w:rsidRPr="000C453B">
              <w:rPr>
                <w:szCs w:val="20"/>
              </w:rPr>
              <w:t xml:space="preserve">0.13/100,000/year. Based on the Hill 2006 study (described above) and expert opinion. </w:t>
            </w:r>
          </w:p>
        </w:tc>
        <w:tc>
          <w:tcPr>
            <w:tcW w:w="2146" w:type="pct"/>
            <w:vMerge/>
            <w:shd w:val="clear" w:color="auto" w:fill="auto"/>
            <w:vAlign w:val="center"/>
          </w:tcPr>
          <w:p w14:paraId="16603F89" w14:textId="77777777" w:rsidR="006F4DC0" w:rsidRPr="00846510" w:rsidRDefault="006F4DC0" w:rsidP="00EB40F2">
            <w:pPr>
              <w:pStyle w:val="TableText"/>
              <w:rPr>
                <w:szCs w:val="20"/>
              </w:rPr>
            </w:pPr>
          </w:p>
        </w:tc>
      </w:tr>
      <w:tr w:rsidR="006F4DC0" w:rsidRPr="003253E7" w14:paraId="7101BF92" w14:textId="77777777" w:rsidTr="00AD0808">
        <w:trPr>
          <w:cantSplit/>
        </w:trPr>
        <w:tc>
          <w:tcPr>
            <w:tcW w:w="796" w:type="pct"/>
            <w:shd w:val="clear" w:color="auto" w:fill="auto"/>
            <w:vAlign w:val="center"/>
          </w:tcPr>
          <w:p w14:paraId="0871CC5F" w14:textId="77777777" w:rsidR="006F4DC0" w:rsidRPr="000C453B" w:rsidRDefault="006F4DC0" w:rsidP="003F456B">
            <w:pPr>
              <w:pStyle w:val="TableText"/>
              <w:keepNext w:val="0"/>
              <w:rPr>
                <w:szCs w:val="20"/>
              </w:rPr>
            </w:pPr>
            <w:r w:rsidRPr="000C453B">
              <w:rPr>
                <w:szCs w:val="20"/>
              </w:rPr>
              <w:t>Proportion treated with a C5 inhibitor</w:t>
            </w:r>
          </w:p>
        </w:tc>
        <w:tc>
          <w:tcPr>
            <w:tcW w:w="2058" w:type="pct"/>
            <w:shd w:val="clear" w:color="auto" w:fill="auto"/>
            <w:vAlign w:val="center"/>
          </w:tcPr>
          <w:p w14:paraId="10B9FB82" w14:textId="77777777" w:rsidR="006F4DC0" w:rsidRPr="000C453B" w:rsidRDefault="006F4DC0" w:rsidP="003F456B">
            <w:pPr>
              <w:pStyle w:val="TableText"/>
              <w:keepNext w:val="0"/>
              <w:rPr>
                <w:szCs w:val="20"/>
              </w:rPr>
            </w:pPr>
            <w:r w:rsidRPr="000C453B">
              <w:rPr>
                <w:szCs w:val="20"/>
              </w:rPr>
              <w:t xml:space="preserve">33.3%. Based on the proportion of patients with classic PNH (702/2356, 30% reported with haemolytic PNH) in the </w:t>
            </w:r>
            <w:proofErr w:type="spellStart"/>
            <w:r w:rsidRPr="000C453B">
              <w:rPr>
                <w:szCs w:val="20"/>
              </w:rPr>
              <w:t>Socie</w:t>
            </w:r>
            <w:proofErr w:type="spellEnd"/>
            <w:r w:rsidRPr="000C453B">
              <w:rPr>
                <w:szCs w:val="20"/>
              </w:rPr>
              <w:t xml:space="preserve"> 2016 study of patients in the International PNH registry and expert opinion. </w:t>
            </w:r>
          </w:p>
        </w:tc>
        <w:tc>
          <w:tcPr>
            <w:tcW w:w="2146" w:type="pct"/>
            <w:shd w:val="clear" w:color="auto" w:fill="auto"/>
            <w:vAlign w:val="center"/>
          </w:tcPr>
          <w:p w14:paraId="49F25709" w14:textId="77777777" w:rsidR="006F4DC0" w:rsidRPr="00846510" w:rsidRDefault="006F4DC0" w:rsidP="003F456B">
            <w:pPr>
              <w:pStyle w:val="TableText"/>
              <w:keepNext w:val="0"/>
              <w:rPr>
                <w:szCs w:val="20"/>
              </w:rPr>
            </w:pPr>
            <w:r w:rsidRPr="00846510">
              <w:rPr>
                <w:szCs w:val="20"/>
              </w:rPr>
              <w:t xml:space="preserve">The expert opinion was not provided in the submission. It was unclear whether the distribution of subcategories of PNH from the registry were applicable to the Australian setting, and whether all patients with classic PNH would qualify for treatment with a C5 inhibitor.    </w:t>
            </w:r>
          </w:p>
        </w:tc>
      </w:tr>
      <w:tr w:rsidR="006F4DC0" w:rsidRPr="003253E7" w14:paraId="085A81D9" w14:textId="77777777" w:rsidTr="00AD0808">
        <w:trPr>
          <w:cantSplit/>
        </w:trPr>
        <w:tc>
          <w:tcPr>
            <w:tcW w:w="796" w:type="pct"/>
            <w:shd w:val="clear" w:color="auto" w:fill="auto"/>
            <w:vAlign w:val="center"/>
          </w:tcPr>
          <w:p w14:paraId="6B1F32EE" w14:textId="77777777" w:rsidR="006F4DC0" w:rsidRPr="000C453B" w:rsidRDefault="006F4DC0" w:rsidP="003F456B">
            <w:pPr>
              <w:pStyle w:val="TableText"/>
              <w:keepNext w:val="0"/>
              <w:rPr>
                <w:szCs w:val="20"/>
              </w:rPr>
            </w:pPr>
            <w:r w:rsidRPr="000C453B">
              <w:rPr>
                <w:szCs w:val="20"/>
              </w:rPr>
              <w:lastRenderedPageBreak/>
              <w:t>Patients with Hb&lt;10.5 g/dL, no transfusion</w:t>
            </w:r>
          </w:p>
        </w:tc>
        <w:tc>
          <w:tcPr>
            <w:tcW w:w="2058" w:type="pct"/>
            <w:shd w:val="clear" w:color="auto" w:fill="auto"/>
            <w:vAlign w:val="center"/>
          </w:tcPr>
          <w:p w14:paraId="26F1CE12" w14:textId="77777777" w:rsidR="006F4DC0" w:rsidRPr="000C453B" w:rsidRDefault="006F4DC0" w:rsidP="003F456B">
            <w:pPr>
              <w:pStyle w:val="TableText"/>
              <w:keepNext w:val="0"/>
              <w:rPr>
                <w:szCs w:val="20"/>
              </w:rPr>
            </w:pPr>
            <w:r w:rsidRPr="000C453B">
              <w:rPr>
                <w:szCs w:val="20"/>
              </w:rPr>
              <w:t>43.9%. Based on an exploratory study of persistent extravascular haemolysis in PNH patients treated with eculizumab (</w:t>
            </w:r>
            <w:proofErr w:type="spellStart"/>
            <w:r w:rsidRPr="000C453B">
              <w:rPr>
                <w:szCs w:val="20"/>
              </w:rPr>
              <w:t>Risitano</w:t>
            </w:r>
            <w:proofErr w:type="spellEnd"/>
            <w:r w:rsidRPr="000C453B">
              <w:rPr>
                <w:szCs w:val="20"/>
              </w:rPr>
              <w:t xml:space="preserve"> 2009). Proportion based on 18/41 patients with major haematological response (transfusion independence and Hb levels of ≥8 g/dL)</w:t>
            </w:r>
          </w:p>
        </w:tc>
        <w:tc>
          <w:tcPr>
            <w:tcW w:w="2146" w:type="pct"/>
            <w:vMerge w:val="restart"/>
            <w:shd w:val="clear" w:color="auto" w:fill="auto"/>
            <w:vAlign w:val="center"/>
          </w:tcPr>
          <w:p w14:paraId="257B5AE3" w14:textId="404F5E1A" w:rsidR="006F4DC0" w:rsidRPr="00846510" w:rsidRDefault="006F4DC0" w:rsidP="003F456B">
            <w:pPr>
              <w:pStyle w:val="TableText"/>
              <w:keepNext w:val="0"/>
              <w:rPr>
                <w:szCs w:val="20"/>
              </w:rPr>
            </w:pPr>
            <w:r w:rsidRPr="00846510">
              <w:rPr>
                <w:szCs w:val="20"/>
              </w:rPr>
              <w:t>The determination of the eligible population was based on suboptimal haematological response (defined as Hb level less than 10.5 g/dL as per the proposed restrictions). The proportion of patients meeting the nominated Hb threshold was based on a relatively old exploratory analysis of haematological response to eculizumab. The applicability of these estimates to the PBS population was uncertain as it was based on a mix of continuing and newly treated eculizumab patients from the eculizumab extension trial which may not represent patients who have received treatment for much longer durations.</w:t>
            </w:r>
          </w:p>
        </w:tc>
      </w:tr>
      <w:tr w:rsidR="006F4DC0" w:rsidRPr="003253E7" w14:paraId="63D12229" w14:textId="77777777" w:rsidTr="00AD0808">
        <w:trPr>
          <w:cantSplit/>
        </w:trPr>
        <w:tc>
          <w:tcPr>
            <w:tcW w:w="796" w:type="pct"/>
            <w:shd w:val="clear" w:color="auto" w:fill="auto"/>
            <w:vAlign w:val="center"/>
          </w:tcPr>
          <w:p w14:paraId="13340AF9" w14:textId="77777777" w:rsidR="006F4DC0" w:rsidRPr="000C453B" w:rsidRDefault="006F4DC0" w:rsidP="003F456B">
            <w:pPr>
              <w:pStyle w:val="TableText"/>
              <w:keepNext w:val="0"/>
              <w:rPr>
                <w:szCs w:val="20"/>
              </w:rPr>
            </w:pPr>
            <w:r w:rsidRPr="000C453B">
              <w:rPr>
                <w:szCs w:val="20"/>
              </w:rPr>
              <w:t>Patients with Hb&lt;10.5 g/dL, transfusion required</w:t>
            </w:r>
          </w:p>
        </w:tc>
        <w:tc>
          <w:tcPr>
            <w:tcW w:w="2058" w:type="pct"/>
            <w:shd w:val="clear" w:color="auto" w:fill="auto"/>
            <w:vAlign w:val="center"/>
          </w:tcPr>
          <w:p w14:paraId="4E959B38" w14:textId="77777777" w:rsidR="006F4DC0" w:rsidRPr="000C453B" w:rsidRDefault="006F4DC0" w:rsidP="003F456B">
            <w:pPr>
              <w:pStyle w:val="TableText"/>
              <w:keepNext w:val="0"/>
              <w:rPr>
                <w:szCs w:val="20"/>
              </w:rPr>
            </w:pPr>
            <w:r w:rsidRPr="000C453B">
              <w:rPr>
                <w:szCs w:val="20"/>
              </w:rPr>
              <w:t xml:space="preserve">19.5%. Based on the </w:t>
            </w:r>
            <w:proofErr w:type="spellStart"/>
            <w:r w:rsidRPr="000C453B">
              <w:rPr>
                <w:szCs w:val="20"/>
              </w:rPr>
              <w:t>Risitano</w:t>
            </w:r>
            <w:proofErr w:type="spellEnd"/>
            <w:r w:rsidRPr="000C453B">
              <w:rPr>
                <w:szCs w:val="20"/>
              </w:rPr>
              <w:t xml:space="preserve"> study (described above). Proportion based on 8/41 patients with partial/minor response (patients with ≥50% or no reduction in transfusions).</w:t>
            </w:r>
          </w:p>
        </w:tc>
        <w:tc>
          <w:tcPr>
            <w:tcW w:w="2146" w:type="pct"/>
            <w:vMerge/>
            <w:shd w:val="clear" w:color="auto" w:fill="auto"/>
            <w:vAlign w:val="center"/>
          </w:tcPr>
          <w:p w14:paraId="5C7085FD" w14:textId="77777777" w:rsidR="006F4DC0" w:rsidRPr="00846510" w:rsidRDefault="006F4DC0" w:rsidP="003F456B">
            <w:pPr>
              <w:pStyle w:val="TableText"/>
              <w:keepNext w:val="0"/>
              <w:rPr>
                <w:szCs w:val="20"/>
              </w:rPr>
            </w:pPr>
          </w:p>
        </w:tc>
      </w:tr>
      <w:tr w:rsidR="006F4DC0" w:rsidRPr="003253E7" w14:paraId="57D6167F" w14:textId="77777777" w:rsidTr="00AD0808">
        <w:trPr>
          <w:cantSplit/>
        </w:trPr>
        <w:tc>
          <w:tcPr>
            <w:tcW w:w="796" w:type="pct"/>
            <w:shd w:val="clear" w:color="auto" w:fill="auto"/>
            <w:vAlign w:val="center"/>
          </w:tcPr>
          <w:p w14:paraId="69186445" w14:textId="77777777" w:rsidR="006F4DC0" w:rsidRPr="000C453B" w:rsidRDefault="006F4DC0" w:rsidP="003F456B">
            <w:pPr>
              <w:pStyle w:val="TableText"/>
              <w:keepNext w:val="0"/>
              <w:rPr>
                <w:szCs w:val="20"/>
              </w:rPr>
            </w:pPr>
            <w:r w:rsidRPr="000C453B">
              <w:rPr>
                <w:szCs w:val="20"/>
              </w:rPr>
              <w:t>Uptake rate in patients with no transfusion</w:t>
            </w:r>
          </w:p>
        </w:tc>
        <w:tc>
          <w:tcPr>
            <w:tcW w:w="2058" w:type="pct"/>
            <w:shd w:val="clear" w:color="auto" w:fill="auto"/>
            <w:vAlign w:val="center"/>
          </w:tcPr>
          <w:p w14:paraId="67CBA20D" w14:textId="0AB71C42" w:rsidR="006F4DC0" w:rsidRPr="000C453B" w:rsidRDefault="005126B1" w:rsidP="003F456B">
            <w:pPr>
              <w:pStyle w:val="TableText"/>
              <w:keepNext w:val="0"/>
              <w:rPr>
                <w:szCs w:val="20"/>
              </w:rPr>
            </w:pPr>
            <w:r w:rsidRPr="005126B1">
              <w:rPr>
                <w:color w:val="000000"/>
                <w:spacing w:val="53"/>
                <w:szCs w:val="20"/>
                <w:shd w:val="solid" w:color="000000" w:fill="000000"/>
                <w:fitText w:val="331" w:id="-1500841468"/>
                <w14:textFill>
                  <w14:solidFill>
                    <w14:srgbClr w14:val="000000">
                      <w14:alpha w14:val="100000"/>
                    </w14:srgbClr>
                  </w14:solidFill>
                </w14:textFill>
              </w:rPr>
              <w:t>|||</w:t>
            </w:r>
            <w:r w:rsidRPr="005126B1">
              <w:rPr>
                <w:color w:val="000000"/>
                <w:spacing w:val="2"/>
                <w:szCs w:val="20"/>
                <w:shd w:val="solid" w:color="000000" w:fill="000000"/>
                <w:fitText w:val="331" w:id="-1500841468"/>
                <w14:textFill>
                  <w14:solidFill>
                    <w14:srgbClr w14:val="000000">
                      <w14:alpha w14:val="100000"/>
                    </w14:srgbClr>
                  </w14:solidFill>
                </w14:textFill>
              </w:rPr>
              <w:t>|</w:t>
            </w:r>
            <w:r w:rsidR="006F4DC0" w:rsidRPr="00C6194C">
              <w:rPr>
                <w:szCs w:val="20"/>
              </w:rPr>
              <w:t>-</w:t>
            </w:r>
            <w:r w:rsidRPr="005126B1">
              <w:rPr>
                <w:color w:val="000000"/>
                <w:spacing w:val="53"/>
                <w:szCs w:val="20"/>
                <w:shd w:val="solid" w:color="000000" w:fill="000000"/>
                <w:fitText w:val="331" w:id="-1500841467"/>
                <w14:textFill>
                  <w14:solidFill>
                    <w14:srgbClr w14:val="000000">
                      <w14:alpha w14:val="100000"/>
                    </w14:srgbClr>
                  </w14:solidFill>
                </w14:textFill>
              </w:rPr>
              <w:t>|||</w:t>
            </w:r>
            <w:r w:rsidRPr="005126B1">
              <w:rPr>
                <w:color w:val="000000"/>
                <w:spacing w:val="2"/>
                <w:szCs w:val="20"/>
                <w:shd w:val="solid" w:color="000000" w:fill="000000"/>
                <w:fitText w:val="331" w:id="-1500841467"/>
                <w14:textFill>
                  <w14:solidFill>
                    <w14:srgbClr w14:val="000000">
                      <w14:alpha w14:val="100000"/>
                    </w14:srgbClr>
                  </w14:solidFill>
                </w14:textFill>
              </w:rPr>
              <w:t>|</w:t>
            </w:r>
            <w:r w:rsidR="006F4DC0" w:rsidRPr="000C453B">
              <w:rPr>
                <w:szCs w:val="20"/>
              </w:rPr>
              <w:t>%. Assumption based on the expectation of a modest uptake due to transfusion independence and a lower perceived clinical need.</w:t>
            </w:r>
          </w:p>
        </w:tc>
        <w:tc>
          <w:tcPr>
            <w:tcW w:w="2146" w:type="pct"/>
            <w:vMerge w:val="restart"/>
            <w:shd w:val="clear" w:color="auto" w:fill="auto"/>
            <w:vAlign w:val="center"/>
          </w:tcPr>
          <w:p w14:paraId="0A14B7A6" w14:textId="1150ADAC" w:rsidR="006F4DC0" w:rsidRPr="00846510" w:rsidRDefault="006F4DC0" w:rsidP="003F456B">
            <w:pPr>
              <w:pStyle w:val="TableText"/>
              <w:keepNext w:val="0"/>
              <w:rPr>
                <w:szCs w:val="20"/>
              </w:rPr>
            </w:pPr>
            <w:r w:rsidRPr="00846510">
              <w:rPr>
                <w:szCs w:val="20"/>
              </w:rPr>
              <w:t xml:space="preserve">The definition of transfusion dependence/ independence was not clear in the submission but is likely subjective in practice based on frequency of transfusions as well as number of units of blood transfused. No clear definition of clinical need was provided in the submission. Overall, the uptake of </w:t>
            </w:r>
            <w:proofErr w:type="spellStart"/>
            <w:r w:rsidRPr="00846510">
              <w:rPr>
                <w:szCs w:val="20"/>
              </w:rPr>
              <w:t>pegcetacoplan</w:t>
            </w:r>
            <w:proofErr w:type="spellEnd"/>
            <w:r w:rsidRPr="00846510">
              <w:rPr>
                <w:szCs w:val="20"/>
              </w:rPr>
              <w:t xml:space="preserve"> in the Australian setting is uncertain.</w:t>
            </w:r>
          </w:p>
        </w:tc>
      </w:tr>
      <w:tr w:rsidR="006F4DC0" w:rsidRPr="003253E7" w14:paraId="1DBF7EFD" w14:textId="77777777" w:rsidTr="00AD0808">
        <w:trPr>
          <w:cantSplit/>
        </w:trPr>
        <w:tc>
          <w:tcPr>
            <w:tcW w:w="796" w:type="pct"/>
            <w:shd w:val="clear" w:color="auto" w:fill="auto"/>
            <w:vAlign w:val="center"/>
          </w:tcPr>
          <w:p w14:paraId="4B29F302" w14:textId="77777777" w:rsidR="006F4DC0" w:rsidRPr="000C453B" w:rsidRDefault="006F4DC0" w:rsidP="003F456B">
            <w:pPr>
              <w:pStyle w:val="TableText"/>
              <w:keepNext w:val="0"/>
              <w:rPr>
                <w:szCs w:val="20"/>
              </w:rPr>
            </w:pPr>
            <w:r w:rsidRPr="000C453B">
              <w:rPr>
                <w:szCs w:val="20"/>
              </w:rPr>
              <w:t>Uptake rate in patients requiring transfusion</w:t>
            </w:r>
          </w:p>
        </w:tc>
        <w:tc>
          <w:tcPr>
            <w:tcW w:w="2058" w:type="pct"/>
            <w:shd w:val="clear" w:color="auto" w:fill="auto"/>
            <w:vAlign w:val="center"/>
          </w:tcPr>
          <w:p w14:paraId="235C6AA5" w14:textId="29794795" w:rsidR="006F4DC0" w:rsidRPr="000C453B" w:rsidRDefault="005126B1" w:rsidP="003F456B">
            <w:pPr>
              <w:pStyle w:val="TableText"/>
              <w:keepNext w:val="0"/>
              <w:rPr>
                <w:szCs w:val="20"/>
              </w:rPr>
            </w:pPr>
            <w:r w:rsidRPr="005126B1">
              <w:rPr>
                <w:color w:val="000000"/>
                <w:spacing w:val="53"/>
                <w:szCs w:val="20"/>
                <w:shd w:val="solid" w:color="000000" w:fill="000000"/>
                <w:fitText w:val="331" w:id="-1500841466"/>
                <w14:textFill>
                  <w14:solidFill>
                    <w14:srgbClr w14:val="000000">
                      <w14:alpha w14:val="100000"/>
                    </w14:srgbClr>
                  </w14:solidFill>
                </w14:textFill>
              </w:rPr>
              <w:t>|||</w:t>
            </w:r>
            <w:r w:rsidRPr="005126B1">
              <w:rPr>
                <w:color w:val="000000"/>
                <w:spacing w:val="2"/>
                <w:szCs w:val="20"/>
                <w:shd w:val="solid" w:color="000000" w:fill="000000"/>
                <w:fitText w:val="331" w:id="-1500841466"/>
                <w14:textFill>
                  <w14:solidFill>
                    <w14:srgbClr w14:val="000000">
                      <w14:alpha w14:val="100000"/>
                    </w14:srgbClr>
                  </w14:solidFill>
                </w14:textFill>
              </w:rPr>
              <w:t>|</w:t>
            </w:r>
            <w:r w:rsidR="006F4DC0" w:rsidRPr="00C6194C">
              <w:rPr>
                <w:szCs w:val="20"/>
              </w:rPr>
              <w:t>-</w:t>
            </w:r>
            <w:r w:rsidRPr="005126B1">
              <w:rPr>
                <w:color w:val="000000"/>
                <w:spacing w:val="53"/>
                <w:szCs w:val="20"/>
                <w:shd w:val="solid" w:color="000000" w:fill="000000"/>
                <w:fitText w:val="331" w:id="-1500841465"/>
                <w14:textFill>
                  <w14:solidFill>
                    <w14:srgbClr w14:val="000000">
                      <w14:alpha w14:val="100000"/>
                    </w14:srgbClr>
                  </w14:solidFill>
                </w14:textFill>
              </w:rPr>
              <w:t>|||</w:t>
            </w:r>
            <w:r w:rsidRPr="005126B1">
              <w:rPr>
                <w:color w:val="000000"/>
                <w:spacing w:val="2"/>
                <w:szCs w:val="20"/>
                <w:shd w:val="solid" w:color="000000" w:fill="000000"/>
                <w:fitText w:val="331" w:id="-1500841465"/>
                <w14:textFill>
                  <w14:solidFill>
                    <w14:srgbClr w14:val="000000">
                      <w14:alpha w14:val="100000"/>
                    </w14:srgbClr>
                  </w14:solidFill>
                </w14:textFill>
              </w:rPr>
              <w:t>|</w:t>
            </w:r>
            <w:r w:rsidR="006F4DC0" w:rsidRPr="000C453B">
              <w:rPr>
                <w:szCs w:val="20"/>
              </w:rPr>
              <w:t xml:space="preserve">%. Assumption based on the expectation of higher uptake due to greater clinical need. </w:t>
            </w:r>
          </w:p>
        </w:tc>
        <w:tc>
          <w:tcPr>
            <w:tcW w:w="2146" w:type="pct"/>
            <w:vMerge/>
            <w:shd w:val="clear" w:color="auto" w:fill="auto"/>
            <w:vAlign w:val="center"/>
          </w:tcPr>
          <w:p w14:paraId="2B740A65" w14:textId="77777777" w:rsidR="006F4DC0" w:rsidRPr="00846510" w:rsidRDefault="006F4DC0" w:rsidP="003F456B">
            <w:pPr>
              <w:pStyle w:val="TableText"/>
              <w:keepNext w:val="0"/>
              <w:rPr>
                <w:szCs w:val="20"/>
              </w:rPr>
            </w:pPr>
          </w:p>
        </w:tc>
      </w:tr>
      <w:tr w:rsidR="006F4DC0" w:rsidRPr="003253E7" w14:paraId="710B4561" w14:textId="77777777" w:rsidTr="00AD0808">
        <w:trPr>
          <w:cantSplit/>
        </w:trPr>
        <w:tc>
          <w:tcPr>
            <w:tcW w:w="796" w:type="pct"/>
            <w:shd w:val="clear" w:color="auto" w:fill="auto"/>
            <w:vAlign w:val="center"/>
          </w:tcPr>
          <w:p w14:paraId="56776F86" w14:textId="77777777" w:rsidR="006F4DC0" w:rsidRPr="000C453B" w:rsidRDefault="006F4DC0" w:rsidP="003F456B">
            <w:pPr>
              <w:pStyle w:val="TableText"/>
              <w:keepNext w:val="0"/>
              <w:rPr>
                <w:szCs w:val="20"/>
              </w:rPr>
            </w:pPr>
            <w:proofErr w:type="spellStart"/>
            <w:r w:rsidRPr="000C453B">
              <w:rPr>
                <w:szCs w:val="20"/>
              </w:rPr>
              <w:t>Pegcetacoplan</w:t>
            </w:r>
            <w:proofErr w:type="spellEnd"/>
            <w:r w:rsidRPr="000C453B">
              <w:rPr>
                <w:szCs w:val="20"/>
              </w:rPr>
              <w:t xml:space="preserve"> treatment persistence</w:t>
            </w:r>
          </w:p>
        </w:tc>
        <w:tc>
          <w:tcPr>
            <w:tcW w:w="2058" w:type="pct"/>
            <w:shd w:val="clear" w:color="auto" w:fill="auto"/>
            <w:vAlign w:val="center"/>
          </w:tcPr>
          <w:p w14:paraId="3EFE49B0" w14:textId="77777777" w:rsidR="006F4DC0" w:rsidRPr="000C453B" w:rsidRDefault="006F4DC0" w:rsidP="003F456B">
            <w:pPr>
              <w:pStyle w:val="TableText"/>
              <w:keepNext w:val="0"/>
              <w:rPr>
                <w:szCs w:val="20"/>
              </w:rPr>
            </w:pPr>
            <w:r w:rsidRPr="000C453B">
              <w:rPr>
                <w:szCs w:val="20"/>
              </w:rPr>
              <w:t xml:space="preserve">97.56%. Based on the </w:t>
            </w:r>
            <w:proofErr w:type="spellStart"/>
            <w:r w:rsidRPr="000C453B">
              <w:rPr>
                <w:szCs w:val="20"/>
              </w:rPr>
              <w:t>pegcetacoplan</w:t>
            </w:r>
            <w:proofErr w:type="spellEnd"/>
            <w:r w:rsidRPr="000C453B">
              <w:rPr>
                <w:szCs w:val="20"/>
              </w:rPr>
              <w:t xml:space="preserve"> discontinuation rate of 2.44% applied in the economic model of the submission. Patients were assumed to discontinue treatment after receiving the initial script (4 weeks) only.</w:t>
            </w:r>
          </w:p>
        </w:tc>
        <w:tc>
          <w:tcPr>
            <w:tcW w:w="2146" w:type="pct"/>
            <w:shd w:val="clear" w:color="auto" w:fill="auto"/>
            <w:vAlign w:val="center"/>
          </w:tcPr>
          <w:p w14:paraId="3C5DAEE4" w14:textId="77777777" w:rsidR="006F4DC0" w:rsidRPr="00846510" w:rsidRDefault="006F4DC0" w:rsidP="003F456B">
            <w:pPr>
              <w:pStyle w:val="TableText"/>
              <w:keepNext w:val="0"/>
              <w:widowControl w:val="0"/>
              <w:rPr>
                <w:szCs w:val="20"/>
              </w:rPr>
            </w:pPr>
            <w:r w:rsidRPr="00846510">
              <w:rPr>
                <w:szCs w:val="20"/>
              </w:rPr>
              <w:t xml:space="preserve">The discontinuation rate was inconsistent with trial data indicating 3 patients (7.3%) had stopped </w:t>
            </w:r>
            <w:proofErr w:type="spellStart"/>
            <w:r w:rsidRPr="00846510">
              <w:rPr>
                <w:szCs w:val="20"/>
              </w:rPr>
              <w:t>pegcetacoplan</w:t>
            </w:r>
            <w:proofErr w:type="spellEnd"/>
            <w:r w:rsidRPr="00846510">
              <w:rPr>
                <w:szCs w:val="20"/>
              </w:rPr>
              <w:t xml:space="preserve"> due to breakthrough haemolysis. The assumption of 100% persistence after 4 weeks of treatment was inappropriate as it did not account for demonstration of clinical improvement or stabilisation of disease that were proposed as continuing treatment criteria in the restriction. </w:t>
            </w:r>
          </w:p>
        </w:tc>
      </w:tr>
      <w:tr w:rsidR="006F4DC0" w:rsidRPr="003253E7" w14:paraId="4418B8F6" w14:textId="77777777" w:rsidTr="00AD0808">
        <w:trPr>
          <w:cantSplit/>
        </w:trPr>
        <w:tc>
          <w:tcPr>
            <w:tcW w:w="796" w:type="pct"/>
            <w:shd w:val="clear" w:color="auto" w:fill="auto"/>
            <w:vAlign w:val="center"/>
          </w:tcPr>
          <w:p w14:paraId="5871914C" w14:textId="77777777" w:rsidR="006F4DC0" w:rsidRPr="000C453B" w:rsidRDefault="006F4DC0" w:rsidP="003F456B">
            <w:pPr>
              <w:pStyle w:val="TableText"/>
              <w:keepNext w:val="0"/>
              <w:rPr>
                <w:szCs w:val="20"/>
              </w:rPr>
            </w:pPr>
            <w:r w:rsidRPr="000C453B">
              <w:rPr>
                <w:szCs w:val="20"/>
              </w:rPr>
              <w:t xml:space="preserve">Adherence to complement inhibitors </w:t>
            </w:r>
          </w:p>
        </w:tc>
        <w:tc>
          <w:tcPr>
            <w:tcW w:w="2058" w:type="pct"/>
            <w:shd w:val="clear" w:color="auto" w:fill="auto"/>
            <w:vAlign w:val="center"/>
          </w:tcPr>
          <w:p w14:paraId="17E00294" w14:textId="77777777" w:rsidR="006F4DC0" w:rsidRPr="000C453B" w:rsidRDefault="006F4DC0" w:rsidP="003F456B">
            <w:pPr>
              <w:pStyle w:val="TableText"/>
              <w:keepNext w:val="0"/>
              <w:rPr>
                <w:szCs w:val="20"/>
              </w:rPr>
            </w:pPr>
            <w:r w:rsidRPr="000C453B">
              <w:rPr>
                <w:szCs w:val="20"/>
              </w:rPr>
              <w:t xml:space="preserve">100%. Based on treatment compliance to </w:t>
            </w:r>
            <w:proofErr w:type="spellStart"/>
            <w:r w:rsidRPr="000C453B">
              <w:rPr>
                <w:szCs w:val="20"/>
              </w:rPr>
              <w:t>pegcetacoplan</w:t>
            </w:r>
            <w:proofErr w:type="spellEnd"/>
            <w:r w:rsidRPr="000C453B">
              <w:rPr>
                <w:szCs w:val="20"/>
              </w:rPr>
              <w:t xml:space="preserve"> in the key trial. </w:t>
            </w:r>
          </w:p>
        </w:tc>
        <w:tc>
          <w:tcPr>
            <w:tcW w:w="2146" w:type="pct"/>
            <w:shd w:val="clear" w:color="auto" w:fill="auto"/>
            <w:vAlign w:val="center"/>
          </w:tcPr>
          <w:p w14:paraId="07CFA5CF" w14:textId="77777777" w:rsidR="006F4DC0" w:rsidRPr="00846510" w:rsidRDefault="006F4DC0" w:rsidP="003F456B">
            <w:pPr>
              <w:pStyle w:val="TableText"/>
              <w:keepNext w:val="0"/>
              <w:rPr>
                <w:szCs w:val="20"/>
              </w:rPr>
            </w:pPr>
            <w:r w:rsidRPr="00846510">
              <w:rPr>
                <w:szCs w:val="20"/>
              </w:rPr>
              <w:t xml:space="preserve">Trial-based treatment adherence to </w:t>
            </w:r>
            <w:proofErr w:type="spellStart"/>
            <w:r w:rsidRPr="00846510">
              <w:rPr>
                <w:szCs w:val="20"/>
              </w:rPr>
              <w:t>pegcetacoplan</w:t>
            </w:r>
            <w:proofErr w:type="spellEnd"/>
            <w:r w:rsidRPr="00846510">
              <w:rPr>
                <w:szCs w:val="20"/>
              </w:rPr>
              <w:t xml:space="preserve"> may not be applicable to the real-world setting due to the complex method of administration, high rate of injection-site reactions, longer term tolerability concerns with frequent administrations and additional safety concerns that are likely to arise in less supervised, home-based settings. Treatment adherence to eculizumab was not captured during the trial.</w:t>
            </w:r>
          </w:p>
        </w:tc>
      </w:tr>
      <w:tr w:rsidR="006F4DC0" w:rsidRPr="003253E7" w14:paraId="76DF6713" w14:textId="77777777" w:rsidTr="00AD0808">
        <w:trPr>
          <w:cantSplit/>
        </w:trPr>
        <w:tc>
          <w:tcPr>
            <w:tcW w:w="796" w:type="pct"/>
            <w:shd w:val="clear" w:color="auto" w:fill="auto"/>
            <w:vAlign w:val="center"/>
          </w:tcPr>
          <w:p w14:paraId="037C8924" w14:textId="77777777" w:rsidR="006F4DC0" w:rsidRPr="000C453B" w:rsidRDefault="006F4DC0" w:rsidP="003F456B">
            <w:pPr>
              <w:pStyle w:val="TableText"/>
              <w:keepNext w:val="0"/>
              <w:rPr>
                <w:szCs w:val="20"/>
              </w:rPr>
            </w:pPr>
            <w:proofErr w:type="spellStart"/>
            <w:r w:rsidRPr="000C453B">
              <w:rPr>
                <w:szCs w:val="20"/>
              </w:rPr>
              <w:t>Pegcetacoplan</w:t>
            </w:r>
            <w:proofErr w:type="spellEnd"/>
            <w:r w:rsidRPr="000C453B">
              <w:rPr>
                <w:szCs w:val="20"/>
              </w:rPr>
              <w:t xml:space="preserve"> scripts/patient/year</w:t>
            </w:r>
          </w:p>
        </w:tc>
        <w:tc>
          <w:tcPr>
            <w:tcW w:w="2058" w:type="pct"/>
            <w:shd w:val="clear" w:color="auto" w:fill="auto"/>
            <w:vAlign w:val="center"/>
          </w:tcPr>
          <w:p w14:paraId="5BA5E066" w14:textId="10769181" w:rsidR="006F4DC0" w:rsidRPr="000C453B" w:rsidRDefault="006F4DC0" w:rsidP="003F456B">
            <w:pPr>
              <w:pStyle w:val="TableText"/>
              <w:keepNext w:val="0"/>
              <w:widowControl w:val="0"/>
              <w:rPr>
                <w:szCs w:val="20"/>
              </w:rPr>
            </w:pPr>
            <w:r w:rsidRPr="000C453B">
              <w:rPr>
                <w:szCs w:val="20"/>
              </w:rPr>
              <w:t xml:space="preserve">Initial script: </w:t>
            </w:r>
            <w:r w:rsidR="005126B1" w:rsidRPr="005126B1">
              <w:rPr>
                <w:color w:val="000000"/>
                <w:spacing w:val="50"/>
                <w:szCs w:val="20"/>
                <w:shd w:val="solid" w:color="000000" w:fill="000000"/>
                <w:fitText w:val="323" w:id="-1500841464"/>
                <w14:textFill>
                  <w14:solidFill>
                    <w14:srgbClr w14:val="000000">
                      <w14:alpha w14:val="100000"/>
                    </w14:srgbClr>
                  </w14:solidFill>
                </w14:textFill>
              </w:rPr>
              <w:t>|||</w:t>
            </w:r>
            <w:r w:rsidR="005126B1" w:rsidRPr="005126B1">
              <w:rPr>
                <w:color w:val="000000"/>
                <w:spacing w:val="3"/>
                <w:szCs w:val="20"/>
                <w:shd w:val="solid" w:color="000000" w:fill="000000"/>
                <w:fitText w:val="323" w:id="-1500841464"/>
                <w14:textFill>
                  <w14:solidFill>
                    <w14:srgbClr w14:val="000000">
                      <w14:alpha w14:val="100000"/>
                    </w14:srgbClr>
                  </w14:solidFill>
                </w14:textFill>
              </w:rPr>
              <w:t>|</w:t>
            </w:r>
            <w:r w:rsidRPr="000C453B">
              <w:rPr>
                <w:szCs w:val="20"/>
              </w:rPr>
              <w:t xml:space="preserve">; continuing scripts: </w:t>
            </w:r>
            <w:r w:rsidR="005126B1" w:rsidRPr="005126B1">
              <w:rPr>
                <w:color w:val="000000"/>
                <w:spacing w:val="51"/>
                <w:szCs w:val="20"/>
                <w:shd w:val="solid" w:color="000000" w:fill="000000"/>
                <w:fitText w:val="324" w:id="-1500841463"/>
                <w14:textFill>
                  <w14:solidFill>
                    <w14:srgbClr w14:val="000000">
                      <w14:alpha w14:val="100000"/>
                    </w14:srgbClr>
                  </w14:solidFill>
                </w14:textFill>
              </w:rPr>
              <w:t>|||</w:t>
            </w:r>
            <w:r w:rsidR="005126B1" w:rsidRPr="005126B1">
              <w:rPr>
                <w:color w:val="000000"/>
                <w:spacing w:val="1"/>
                <w:szCs w:val="20"/>
                <w:shd w:val="solid" w:color="000000" w:fill="000000"/>
                <w:fitText w:val="324" w:id="-1500841463"/>
                <w14:textFill>
                  <w14:solidFill>
                    <w14:srgbClr w14:val="000000">
                      <w14:alpha w14:val="100000"/>
                    </w14:srgbClr>
                  </w14:solidFill>
                </w14:textFill>
              </w:rPr>
              <w:t>|</w:t>
            </w:r>
            <w:r w:rsidRPr="000C453B">
              <w:rPr>
                <w:szCs w:val="20"/>
              </w:rPr>
              <w:t xml:space="preserve">. Weighted average based on 95.1% of patients receiving standard dose </w:t>
            </w:r>
            <w:proofErr w:type="spellStart"/>
            <w:r w:rsidRPr="000C453B">
              <w:rPr>
                <w:szCs w:val="20"/>
              </w:rPr>
              <w:t>pegcetacoplan</w:t>
            </w:r>
            <w:proofErr w:type="spellEnd"/>
            <w:r w:rsidRPr="000C453B">
              <w:rPr>
                <w:szCs w:val="20"/>
              </w:rPr>
              <w:t xml:space="preserve"> (twice weekly) and 4.9% of patients receiving a dose escalation (every 3 days), based on the 16-week randomised controlled period of the trial.</w:t>
            </w:r>
          </w:p>
        </w:tc>
        <w:tc>
          <w:tcPr>
            <w:tcW w:w="2146" w:type="pct"/>
            <w:shd w:val="clear" w:color="auto" w:fill="auto"/>
            <w:vAlign w:val="center"/>
          </w:tcPr>
          <w:p w14:paraId="059E9D59" w14:textId="77777777" w:rsidR="006F4DC0" w:rsidRPr="00846510" w:rsidRDefault="006F4DC0" w:rsidP="003F456B">
            <w:pPr>
              <w:pStyle w:val="TableText"/>
              <w:keepNext w:val="0"/>
              <w:widowControl w:val="0"/>
              <w:rPr>
                <w:szCs w:val="20"/>
              </w:rPr>
            </w:pPr>
            <w:r w:rsidRPr="00846510">
              <w:rPr>
                <w:szCs w:val="20"/>
              </w:rPr>
              <w:t xml:space="preserve">The use of 16-week data to inform the proportion of patients with dose escalations is likely to result in underestimated use of </w:t>
            </w:r>
            <w:proofErr w:type="spellStart"/>
            <w:r w:rsidRPr="00846510">
              <w:rPr>
                <w:szCs w:val="20"/>
              </w:rPr>
              <w:t>pegcetacoplan</w:t>
            </w:r>
            <w:proofErr w:type="spellEnd"/>
            <w:r w:rsidRPr="00846510">
              <w:rPr>
                <w:szCs w:val="20"/>
              </w:rPr>
              <w:t xml:space="preserve"> given more patients (19.5%) received dose escalations during the 32-week open label period. </w:t>
            </w:r>
          </w:p>
          <w:p w14:paraId="31070F36" w14:textId="77777777" w:rsidR="006F4DC0" w:rsidRPr="00846510" w:rsidRDefault="006F4DC0" w:rsidP="003F456B">
            <w:pPr>
              <w:pStyle w:val="TableText"/>
              <w:keepNext w:val="0"/>
              <w:rPr>
                <w:szCs w:val="20"/>
              </w:rPr>
            </w:pPr>
            <w:r w:rsidRPr="00846510">
              <w:rPr>
                <w:szCs w:val="20"/>
              </w:rPr>
              <w:t>The submission did not justify the assumption of increased dosing frequency while patients are in their run-in period (covered by the initial script), which is inconsistent with the trial and recommendation in the draft product information.</w:t>
            </w:r>
          </w:p>
        </w:tc>
      </w:tr>
      <w:tr w:rsidR="006F4DC0" w:rsidRPr="003253E7" w14:paraId="685047FC" w14:textId="77777777" w:rsidTr="00AD0808">
        <w:trPr>
          <w:cantSplit/>
        </w:trPr>
        <w:tc>
          <w:tcPr>
            <w:tcW w:w="5000" w:type="pct"/>
            <w:gridSpan w:val="3"/>
            <w:shd w:val="clear" w:color="auto" w:fill="auto"/>
            <w:vAlign w:val="center"/>
          </w:tcPr>
          <w:p w14:paraId="738249A6" w14:textId="1CE704D7" w:rsidR="006F4DC0" w:rsidRPr="00846510" w:rsidRDefault="006F4DC0" w:rsidP="003F456B">
            <w:pPr>
              <w:pStyle w:val="TableText"/>
              <w:keepNext w:val="0"/>
              <w:rPr>
                <w:b/>
                <w:bCs w:val="0"/>
                <w:szCs w:val="20"/>
              </w:rPr>
            </w:pPr>
            <w:r w:rsidRPr="00846510">
              <w:rPr>
                <w:b/>
                <w:bCs w:val="0"/>
                <w:szCs w:val="20"/>
              </w:rPr>
              <w:t>Key cost offsets</w:t>
            </w:r>
            <w:r w:rsidR="00E60EE8" w:rsidRPr="00846510">
              <w:rPr>
                <w:b/>
                <w:bCs w:val="0"/>
                <w:szCs w:val="20"/>
              </w:rPr>
              <w:t xml:space="preserve"> to the PBS/RPBS</w:t>
            </w:r>
          </w:p>
        </w:tc>
      </w:tr>
      <w:tr w:rsidR="006F4DC0" w:rsidRPr="003253E7" w14:paraId="13CF54A7" w14:textId="77777777" w:rsidTr="00AD0808">
        <w:trPr>
          <w:cantSplit/>
        </w:trPr>
        <w:tc>
          <w:tcPr>
            <w:tcW w:w="796" w:type="pct"/>
            <w:shd w:val="clear" w:color="auto" w:fill="auto"/>
            <w:vAlign w:val="center"/>
          </w:tcPr>
          <w:p w14:paraId="6AE670ED" w14:textId="77777777" w:rsidR="006F4DC0" w:rsidRPr="000C453B" w:rsidRDefault="006F4DC0" w:rsidP="003F456B">
            <w:pPr>
              <w:pStyle w:val="TableText"/>
              <w:keepNext w:val="0"/>
              <w:rPr>
                <w:szCs w:val="20"/>
              </w:rPr>
            </w:pPr>
            <w:proofErr w:type="spellStart"/>
            <w:r w:rsidRPr="000C453B">
              <w:rPr>
                <w:szCs w:val="20"/>
              </w:rPr>
              <w:t>Ravulizumab</w:t>
            </w:r>
            <w:proofErr w:type="spellEnd"/>
            <w:r w:rsidRPr="000C453B">
              <w:rPr>
                <w:szCs w:val="20"/>
              </w:rPr>
              <w:t xml:space="preserve"> substitution rate</w:t>
            </w:r>
          </w:p>
        </w:tc>
        <w:tc>
          <w:tcPr>
            <w:tcW w:w="2058" w:type="pct"/>
            <w:shd w:val="clear" w:color="auto" w:fill="auto"/>
            <w:vAlign w:val="center"/>
          </w:tcPr>
          <w:p w14:paraId="258720E5" w14:textId="77777777" w:rsidR="006F4DC0" w:rsidRPr="000C453B" w:rsidRDefault="006F4DC0" w:rsidP="003F456B">
            <w:pPr>
              <w:pStyle w:val="TableText"/>
              <w:keepNext w:val="0"/>
              <w:rPr>
                <w:szCs w:val="20"/>
              </w:rPr>
            </w:pPr>
            <w:r w:rsidRPr="000C453B">
              <w:rPr>
                <w:szCs w:val="20"/>
              </w:rPr>
              <w:t>100%. Assumption.</w:t>
            </w:r>
          </w:p>
        </w:tc>
        <w:tc>
          <w:tcPr>
            <w:tcW w:w="2146" w:type="pct"/>
            <w:shd w:val="clear" w:color="auto" w:fill="auto"/>
            <w:vAlign w:val="center"/>
          </w:tcPr>
          <w:p w14:paraId="4C05C124" w14:textId="77777777" w:rsidR="006F4DC0" w:rsidRPr="00846510" w:rsidRDefault="006F4DC0" w:rsidP="003F456B">
            <w:pPr>
              <w:pStyle w:val="TableText"/>
              <w:keepNext w:val="0"/>
              <w:rPr>
                <w:szCs w:val="20"/>
              </w:rPr>
            </w:pPr>
            <w:r w:rsidRPr="00846510">
              <w:rPr>
                <w:szCs w:val="20"/>
              </w:rPr>
              <w:t xml:space="preserve">This assumption may not be appropriate as the eligible population could include patients who were failing C5 inhibitor treatment and may not qualify for ongoing treatment with </w:t>
            </w:r>
            <w:proofErr w:type="spellStart"/>
            <w:r w:rsidRPr="00846510">
              <w:rPr>
                <w:szCs w:val="20"/>
              </w:rPr>
              <w:t>ravulizumab</w:t>
            </w:r>
            <w:proofErr w:type="spellEnd"/>
            <w:r w:rsidRPr="00846510">
              <w:rPr>
                <w:szCs w:val="20"/>
              </w:rPr>
              <w:t xml:space="preserve"> on the PBS.</w:t>
            </w:r>
          </w:p>
        </w:tc>
      </w:tr>
      <w:tr w:rsidR="006F4DC0" w:rsidRPr="003253E7" w14:paraId="32884BC3" w14:textId="77777777" w:rsidTr="00AD0808">
        <w:trPr>
          <w:cantSplit/>
        </w:trPr>
        <w:tc>
          <w:tcPr>
            <w:tcW w:w="796" w:type="pct"/>
            <w:shd w:val="clear" w:color="auto" w:fill="auto"/>
            <w:vAlign w:val="center"/>
          </w:tcPr>
          <w:p w14:paraId="13EF4497" w14:textId="77777777" w:rsidR="006F4DC0" w:rsidRPr="000C453B" w:rsidRDefault="006F4DC0" w:rsidP="003F456B">
            <w:pPr>
              <w:pStyle w:val="TableText"/>
              <w:keepNext w:val="0"/>
              <w:rPr>
                <w:szCs w:val="20"/>
              </w:rPr>
            </w:pPr>
            <w:proofErr w:type="spellStart"/>
            <w:r w:rsidRPr="000C453B">
              <w:rPr>
                <w:szCs w:val="20"/>
              </w:rPr>
              <w:t>Ravulizumab</w:t>
            </w:r>
            <w:proofErr w:type="spellEnd"/>
            <w:r w:rsidRPr="000C453B">
              <w:rPr>
                <w:szCs w:val="20"/>
              </w:rPr>
              <w:t xml:space="preserve"> compliance rate</w:t>
            </w:r>
          </w:p>
        </w:tc>
        <w:tc>
          <w:tcPr>
            <w:tcW w:w="2058" w:type="pct"/>
            <w:shd w:val="clear" w:color="auto" w:fill="auto"/>
            <w:vAlign w:val="center"/>
          </w:tcPr>
          <w:p w14:paraId="5D2717FD" w14:textId="77777777" w:rsidR="006F4DC0" w:rsidRPr="000C453B" w:rsidRDefault="006F4DC0" w:rsidP="003F456B">
            <w:pPr>
              <w:pStyle w:val="TableText"/>
              <w:keepNext w:val="0"/>
              <w:rPr>
                <w:szCs w:val="20"/>
              </w:rPr>
            </w:pPr>
            <w:r w:rsidRPr="000C453B">
              <w:rPr>
                <w:szCs w:val="20"/>
              </w:rPr>
              <w:t xml:space="preserve">100%. Assumption. </w:t>
            </w:r>
          </w:p>
        </w:tc>
        <w:tc>
          <w:tcPr>
            <w:tcW w:w="2146" w:type="pct"/>
            <w:shd w:val="clear" w:color="auto" w:fill="auto"/>
            <w:vAlign w:val="center"/>
          </w:tcPr>
          <w:p w14:paraId="3FD03B86" w14:textId="77777777" w:rsidR="006F4DC0" w:rsidRPr="00846510" w:rsidRDefault="006F4DC0" w:rsidP="003F456B">
            <w:pPr>
              <w:pStyle w:val="TableText"/>
              <w:keepNext w:val="0"/>
              <w:rPr>
                <w:szCs w:val="20"/>
              </w:rPr>
            </w:pPr>
            <w:r w:rsidRPr="00846510">
              <w:rPr>
                <w:szCs w:val="20"/>
              </w:rPr>
              <w:t xml:space="preserve">No data were provided in support of this assumption. </w:t>
            </w:r>
          </w:p>
        </w:tc>
      </w:tr>
      <w:tr w:rsidR="006F4DC0" w:rsidRPr="003253E7" w14:paraId="0781C8E8" w14:textId="77777777" w:rsidTr="00AD0808">
        <w:trPr>
          <w:cantSplit/>
        </w:trPr>
        <w:tc>
          <w:tcPr>
            <w:tcW w:w="796" w:type="pct"/>
            <w:shd w:val="clear" w:color="auto" w:fill="auto"/>
            <w:vAlign w:val="center"/>
          </w:tcPr>
          <w:p w14:paraId="31CF47A4" w14:textId="77777777" w:rsidR="006F4DC0" w:rsidRPr="000C453B" w:rsidRDefault="006F4DC0" w:rsidP="003F456B">
            <w:pPr>
              <w:pStyle w:val="TableText"/>
              <w:keepNext w:val="0"/>
              <w:rPr>
                <w:szCs w:val="20"/>
              </w:rPr>
            </w:pPr>
            <w:proofErr w:type="spellStart"/>
            <w:r w:rsidRPr="000C453B">
              <w:rPr>
                <w:szCs w:val="20"/>
              </w:rPr>
              <w:lastRenderedPageBreak/>
              <w:t>Ravulizumab</w:t>
            </w:r>
            <w:proofErr w:type="spellEnd"/>
            <w:r w:rsidRPr="000C453B">
              <w:rPr>
                <w:szCs w:val="20"/>
              </w:rPr>
              <w:t xml:space="preserve"> scripts/patient/year</w:t>
            </w:r>
          </w:p>
        </w:tc>
        <w:tc>
          <w:tcPr>
            <w:tcW w:w="2058" w:type="pct"/>
            <w:shd w:val="clear" w:color="auto" w:fill="auto"/>
            <w:vAlign w:val="center"/>
          </w:tcPr>
          <w:p w14:paraId="77FC2336" w14:textId="77777777" w:rsidR="006F4DC0" w:rsidRPr="000C453B" w:rsidRDefault="006F4DC0" w:rsidP="003F456B">
            <w:pPr>
              <w:pStyle w:val="TableText"/>
              <w:keepNext w:val="0"/>
              <w:widowControl w:val="0"/>
              <w:rPr>
                <w:szCs w:val="20"/>
              </w:rPr>
            </w:pPr>
            <w:r w:rsidRPr="000C453B">
              <w:rPr>
                <w:szCs w:val="20"/>
              </w:rPr>
              <w:t xml:space="preserve">6.52. Assumption that each script provides 8 weeks of treatment. </w:t>
            </w:r>
          </w:p>
        </w:tc>
        <w:tc>
          <w:tcPr>
            <w:tcW w:w="2146" w:type="pct"/>
            <w:shd w:val="clear" w:color="auto" w:fill="auto"/>
            <w:vAlign w:val="center"/>
          </w:tcPr>
          <w:p w14:paraId="1EDFB725" w14:textId="77777777" w:rsidR="006F4DC0" w:rsidRPr="00846510" w:rsidRDefault="006F4DC0" w:rsidP="003F456B">
            <w:pPr>
              <w:pStyle w:val="TableText"/>
              <w:keepNext w:val="0"/>
              <w:widowControl w:val="0"/>
              <w:rPr>
                <w:szCs w:val="20"/>
              </w:rPr>
            </w:pPr>
            <w:r w:rsidRPr="00846510">
              <w:rPr>
                <w:szCs w:val="20"/>
              </w:rPr>
              <w:t xml:space="preserve">The script coverage was assumed as the PBS listing status of </w:t>
            </w:r>
            <w:proofErr w:type="spellStart"/>
            <w:r w:rsidRPr="00846510">
              <w:rPr>
                <w:szCs w:val="20"/>
              </w:rPr>
              <w:t>ravulizumab</w:t>
            </w:r>
            <w:proofErr w:type="spellEnd"/>
            <w:r w:rsidRPr="00846510">
              <w:rPr>
                <w:szCs w:val="20"/>
              </w:rPr>
              <w:t xml:space="preserve"> was unknown at the time of submission.</w:t>
            </w:r>
          </w:p>
        </w:tc>
      </w:tr>
      <w:tr w:rsidR="00E60EE8" w:rsidRPr="003253E7" w14:paraId="76288345" w14:textId="77777777" w:rsidTr="00AD0808">
        <w:trPr>
          <w:cantSplit/>
        </w:trPr>
        <w:tc>
          <w:tcPr>
            <w:tcW w:w="796" w:type="pct"/>
            <w:shd w:val="clear" w:color="auto" w:fill="auto"/>
            <w:vAlign w:val="center"/>
          </w:tcPr>
          <w:p w14:paraId="07519FBF" w14:textId="737BE841" w:rsidR="00E60EE8" w:rsidRPr="000C453B" w:rsidRDefault="00E60EE8" w:rsidP="00E60EE8">
            <w:pPr>
              <w:pStyle w:val="TableText"/>
              <w:keepNext w:val="0"/>
              <w:rPr>
                <w:szCs w:val="20"/>
              </w:rPr>
            </w:pPr>
            <w:r w:rsidRPr="000C453B">
              <w:rPr>
                <w:szCs w:val="20"/>
              </w:rPr>
              <w:t xml:space="preserve">Proportion of patients treated with iron chelation therapies while on </w:t>
            </w:r>
            <w:proofErr w:type="spellStart"/>
            <w:r w:rsidRPr="000C453B">
              <w:rPr>
                <w:szCs w:val="20"/>
              </w:rPr>
              <w:t>ravulizumab</w:t>
            </w:r>
            <w:proofErr w:type="spellEnd"/>
          </w:p>
        </w:tc>
        <w:tc>
          <w:tcPr>
            <w:tcW w:w="2058" w:type="pct"/>
            <w:shd w:val="clear" w:color="auto" w:fill="auto"/>
            <w:vAlign w:val="center"/>
          </w:tcPr>
          <w:p w14:paraId="616A1EDA" w14:textId="7389F5B4" w:rsidR="00E60EE8" w:rsidRPr="000C453B" w:rsidRDefault="00E60EE8" w:rsidP="00E60EE8">
            <w:pPr>
              <w:pStyle w:val="TableText"/>
              <w:keepNext w:val="0"/>
              <w:widowControl w:val="0"/>
              <w:rPr>
                <w:szCs w:val="20"/>
              </w:rPr>
            </w:pPr>
            <w:r w:rsidRPr="000C453B">
              <w:rPr>
                <w:szCs w:val="20"/>
              </w:rPr>
              <w:t xml:space="preserve">23.75% on </w:t>
            </w:r>
            <w:proofErr w:type="spellStart"/>
            <w:r w:rsidRPr="000C453B">
              <w:rPr>
                <w:szCs w:val="20"/>
              </w:rPr>
              <w:t>deferasirox</w:t>
            </w:r>
            <w:proofErr w:type="spellEnd"/>
            <w:r w:rsidRPr="000C453B">
              <w:rPr>
                <w:szCs w:val="20"/>
              </w:rPr>
              <w:t xml:space="preserve">, 3.75% on </w:t>
            </w:r>
            <w:proofErr w:type="spellStart"/>
            <w:r w:rsidRPr="000C453B">
              <w:rPr>
                <w:szCs w:val="20"/>
              </w:rPr>
              <w:t>desferrioxamine</w:t>
            </w:r>
            <w:proofErr w:type="spellEnd"/>
            <w:r w:rsidRPr="000C453B">
              <w:rPr>
                <w:szCs w:val="20"/>
              </w:rPr>
              <w:t xml:space="preserve">. The proportion of patients treated with iron chelation therapies within 12 weeks of the screening visit of the PEGASUS trial. The submission assumed only patients treated with </w:t>
            </w:r>
            <w:proofErr w:type="spellStart"/>
            <w:r w:rsidRPr="000C453B">
              <w:rPr>
                <w:szCs w:val="20"/>
              </w:rPr>
              <w:t>ravulizumab</w:t>
            </w:r>
            <w:proofErr w:type="spellEnd"/>
            <w:r w:rsidRPr="000C453B">
              <w:rPr>
                <w:szCs w:val="20"/>
              </w:rPr>
              <w:t xml:space="preserve"> would receive iron chelation therapies for iron overload.  </w:t>
            </w:r>
          </w:p>
        </w:tc>
        <w:tc>
          <w:tcPr>
            <w:tcW w:w="2146" w:type="pct"/>
            <w:shd w:val="clear" w:color="auto" w:fill="auto"/>
            <w:vAlign w:val="center"/>
          </w:tcPr>
          <w:p w14:paraId="3F2E8170" w14:textId="215EAC51" w:rsidR="00E60EE8" w:rsidRPr="0023567D" w:rsidRDefault="00E60EE8" w:rsidP="00E60EE8">
            <w:pPr>
              <w:pStyle w:val="TableText"/>
              <w:keepNext w:val="0"/>
              <w:widowControl w:val="0"/>
              <w:rPr>
                <w:i/>
                <w:iCs/>
                <w:szCs w:val="20"/>
              </w:rPr>
            </w:pPr>
            <w:r w:rsidRPr="00846510">
              <w:rPr>
                <w:szCs w:val="20"/>
              </w:rPr>
              <w:t xml:space="preserve">The proportion of patients treated with iron chelation therapies was inadequately justified as it was based on historical use rather than concomitant use during the trial. The assumption that patients on </w:t>
            </w:r>
            <w:proofErr w:type="spellStart"/>
            <w:r w:rsidRPr="00846510">
              <w:rPr>
                <w:szCs w:val="20"/>
              </w:rPr>
              <w:t>pegcetacoplan</w:t>
            </w:r>
            <w:proofErr w:type="spellEnd"/>
            <w:r w:rsidRPr="00846510">
              <w:rPr>
                <w:szCs w:val="20"/>
              </w:rPr>
              <w:t xml:space="preserve"> would only receive therapeutic venesection as iron overload treatment was inconsistent with trial data indicating patients treated with </w:t>
            </w:r>
            <w:proofErr w:type="spellStart"/>
            <w:r w:rsidRPr="00846510">
              <w:rPr>
                <w:szCs w:val="20"/>
              </w:rPr>
              <w:t>pegcetacoplan</w:t>
            </w:r>
            <w:proofErr w:type="spellEnd"/>
            <w:r w:rsidRPr="00846510">
              <w:rPr>
                <w:szCs w:val="20"/>
              </w:rPr>
              <w:t xml:space="preserve"> were receiving iron chelation therapy (21.9% during the randomised period and 14.3% during the open label extension period</w:t>
            </w:r>
            <w:r w:rsidRPr="00934577">
              <w:rPr>
                <w:szCs w:val="20"/>
              </w:rPr>
              <w:t>)</w:t>
            </w:r>
            <w:r w:rsidR="0023567D" w:rsidRPr="00934577">
              <w:rPr>
                <w:szCs w:val="20"/>
              </w:rPr>
              <w:t xml:space="preserve">. The </w:t>
            </w:r>
            <w:r w:rsidR="005978B9">
              <w:rPr>
                <w:szCs w:val="20"/>
              </w:rPr>
              <w:t xml:space="preserve">PBAC agreed with the </w:t>
            </w:r>
            <w:r w:rsidR="0023567D" w:rsidRPr="00934577">
              <w:rPr>
                <w:szCs w:val="20"/>
              </w:rPr>
              <w:t xml:space="preserve">ESC </w:t>
            </w:r>
            <w:r w:rsidR="005978B9">
              <w:rPr>
                <w:szCs w:val="20"/>
              </w:rPr>
              <w:t>that</w:t>
            </w:r>
            <w:r w:rsidR="0023567D" w:rsidRPr="00934577">
              <w:rPr>
                <w:szCs w:val="20"/>
              </w:rPr>
              <w:t xml:space="preserve"> there </w:t>
            </w:r>
            <w:r w:rsidR="00F536B3" w:rsidRPr="00934577">
              <w:rPr>
                <w:szCs w:val="20"/>
              </w:rPr>
              <w:t>wa</w:t>
            </w:r>
            <w:r w:rsidR="0023567D" w:rsidRPr="00934577">
              <w:rPr>
                <w:szCs w:val="20"/>
              </w:rPr>
              <w:t xml:space="preserve">s no reason to think that the </w:t>
            </w:r>
            <w:proofErr w:type="spellStart"/>
            <w:r w:rsidR="0023567D" w:rsidRPr="00934577">
              <w:rPr>
                <w:szCs w:val="20"/>
              </w:rPr>
              <w:t>pegcetacoplan</w:t>
            </w:r>
            <w:proofErr w:type="spellEnd"/>
            <w:r w:rsidR="0023567D" w:rsidRPr="00934577">
              <w:rPr>
                <w:szCs w:val="20"/>
              </w:rPr>
              <w:t xml:space="preserve"> population will have no requirement for iron overload treatment.</w:t>
            </w:r>
            <w:r w:rsidR="0023567D">
              <w:rPr>
                <w:i/>
                <w:iCs/>
                <w:szCs w:val="20"/>
              </w:rPr>
              <w:t xml:space="preserve"> </w:t>
            </w:r>
          </w:p>
        </w:tc>
      </w:tr>
      <w:tr w:rsidR="00E60EE8" w:rsidRPr="003253E7" w14:paraId="205C77F9" w14:textId="77777777" w:rsidTr="00AD0808">
        <w:trPr>
          <w:cantSplit/>
        </w:trPr>
        <w:tc>
          <w:tcPr>
            <w:tcW w:w="796" w:type="pct"/>
            <w:shd w:val="clear" w:color="auto" w:fill="auto"/>
            <w:vAlign w:val="center"/>
          </w:tcPr>
          <w:p w14:paraId="2FC0CD53" w14:textId="424A7C8E" w:rsidR="00E60EE8" w:rsidRPr="000C453B" w:rsidRDefault="00E60EE8" w:rsidP="00E60EE8">
            <w:pPr>
              <w:pStyle w:val="TableText"/>
              <w:keepNext w:val="0"/>
              <w:rPr>
                <w:szCs w:val="20"/>
              </w:rPr>
            </w:pPr>
            <w:proofErr w:type="spellStart"/>
            <w:r w:rsidRPr="000C453B">
              <w:rPr>
                <w:szCs w:val="20"/>
              </w:rPr>
              <w:t>Deferasirox</w:t>
            </w:r>
            <w:proofErr w:type="spellEnd"/>
            <w:r w:rsidRPr="000C453B">
              <w:rPr>
                <w:szCs w:val="20"/>
              </w:rPr>
              <w:t xml:space="preserve"> scripts/patient/year</w:t>
            </w:r>
          </w:p>
        </w:tc>
        <w:tc>
          <w:tcPr>
            <w:tcW w:w="2058" w:type="pct"/>
            <w:shd w:val="clear" w:color="auto" w:fill="auto"/>
            <w:vAlign w:val="center"/>
          </w:tcPr>
          <w:p w14:paraId="1291B9A1" w14:textId="4F346D3C" w:rsidR="00E60EE8" w:rsidRPr="000C453B" w:rsidRDefault="00E60EE8" w:rsidP="00E60EE8">
            <w:pPr>
              <w:pStyle w:val="TableText"/>
              <w:keepNext w:val="0"/>
              <w:widowControl w:val="0"/>
              <w:rPr>
                <w:szCs w:val="20"/>
              </w:rPr>
            </w:pPr>
            <w:r w:rsidRPr="000C453B">
              <w:rPr>
                <w:szCs w:val="20"/>
              </w:rPr>
              <w:t>10.15. Based on a mean daily dose of 1,580.25 mg used in the economic model. The submission used a rounded estimate of 1,800 mg daily (5 tablets) with each script providing 180 tablets lasting 36 days. Scripts/year calculated as 365.25/36 days.</w:t>
            </w:r>
          </w:p>
        </w:tc>
        <w:tc>
          <w:tcPr>
            <w:tcW w:w="2146" w:type="pct"/>
            <w:shd w:val="clear" w:color="auto" w:fill="auto"/>
            <w:vAlign w:val="center"/>
          </w:tcPr>
          <w:p w14:paraId="7B8B0C1C" w14:textId="142BAEE3" w:rsidR="00E60EE8" w:rsidRPr="00846510" w:rsidRDefault="00E60EE8" w:rsidP="00E60EE8">
            <w:pPr>
              <w:pStyle w:val="TableText"/>
              <w:keepNext w:val="0"/>
              <w:widowControl w:val="0"/>
              <w:rPr>
                <w:szCs w:val="20"/>
              </w:rPr>
            </w:pPr>
            <w:r w:rsidRPr="00846510">
              <w:rPr>
                <w:szCs w:val="20"/>
              </w:rPr>
              <w:t xml:space="preserve">The estimated number of scripts was uncertain as it was based on an assumed dose regimen (21 mg/kg/day, calculated as the average of a starting dose of 14 mg/kg/day and a maximum dose of 28 mg/kg/day reported in the </w:t>
            </w:r>
            <w:proofErr w:type="spellStart"/>
            <w:r w:rsidRPr="00846510">
              <w:rPr>
                <w:szCs w:val="20"/>
              </w:rPr>
              <w:t>deferasirox</w:t>
            </w:r>
            <w:proofErr w:type="spellEnd"/>
            <w:r w:rsidRPr="00846510">
              <w:rPr>
                <w:szCs w:val="20"/>
              </w:rPr>
              <w:t xml:space="preserve"> July 2018 PSD) and mean weight in the PEGASUS trial (75.3 kg). The use of rounded estimates (rounded up) may overestimate the average utilisation in the population.</w:t>
            </w:r>
          </w:p>
        </w:tc>
      </w:tr>
      <w:tr w:rsidR="00E60EE8" w:rsidRPr="003253E7" w14:paraId="752DAFEC" w14:textId="77777777" w:rsidTr="00AD0808">
        <w:trPr>
          <w:cantSplit/>
        </w:trPr>
        <w:tc>
          <w:tcPr>
            <w:tcW w:w="796" w:type="pct"/>
            <w:shd w:val="clear" w:color="auto" w:fill="auto"/>
            <w:vAlign w:val="center"/>
          </w:tcPr>
          <w:p w14:paraId="48AD9B8B" w14:textId="6AE0F2CF" w:rsidR="00E60EE8" w:rsidRPr="000C453B" w:rsidRDefault="00E60EE8" w:rsidP="00E60EE8">
            <w:pPr>
              <w:pStyle w:val="TableText"/>
              <w:keepNext w:val="0"/>
              <w:rPr>
                <w:szCs w:val="20"/>
              </w:rPr>
            </w:pPr>
            <w:proofErr w:type="spellStart"/>
            <w:r w:rsidRPr="000C453B">
              <w:rPr>
                <w:szCs w:val="20"/>
              </w:rPr>
              <w:t>Desferrioxamine</w:t>
            </w:r>
            <w:proofErr w:type="spellEnd"/>
            <w:r w:rsidRPr="000C453B">
              <w:rPr>
                <w:szCs w:val="20"/>
              </w:rPr>
              <w:t xml:space="preserve"> scripts/patient/year</w:t>
            </w:r>
          </w:p>
        </w:tc>
        <w:tc>
          <w:tcPr>
            <w:tcW w:w="2058" w:type="pct"/>
            <w:shd w:val="clear" w:color="auto" w:fill="auto"/>
            <w:vAlign w:val="center"/>
          </w:tcPr>
          <w:p w14:paraId="4734F77E" w14:textId="7BB96C04" w:rsidR="00E60EE8" w:rsidRPr="000C453B" w:rsidRDefault="00E60EE8" w:rsidP="00E60EE8">
            <w:pPr>
              <w:pStyle w:val="TableText"/>
              <w:keepNext w:val="0"/>
              <w:widowControl w:val="0"/>
              <w:rPr>
                <w:szCs w:val="20"/>
              </w:rPr>
            </w:pPr>
            <w:r w:rsidRPr="000C453B">
              <w:rPr>
                <w:szCs w:val="20"/>
              </w:rPr>
              <w:t>5.48. Based on a mean daily dose of 2,633.75 mg used in the economic model. The submission used a rounded estimate of 3,000 mg daily (6 vials, no sharing) with each script providing 400 vials lasting 66.7 days. Scripts/year calculated as 365.25/66.7 days.</w:t>
            </w:r>
          </w:p>
        </w:tc>
        <w:tc>
          <w:tcPr>
            <w:tcW w:w="2146" w:type="pct"/>
            <w:shd w:val="clear" w:color="auto" w:fill="auto"/>
            <w:vAlign w:val="center"/>
          </w:tcPr>
          <w:p w14:paraId="56076800" w14:textId="0BCA2F11" w:rsidR="00E60EE8" w:rsidRPr="00846510" w:rsidRDefault="00E60EE8" w:rsidP="00E60EE8">
            <w:pPr>
              <w:pStyle w:val="TableText"/>
              <w:keepNext w:val="0"/>
              <w:widowControl w:val="0"/>
              <w:rPr>
                <w:szCs w:val="20"/>
              </w:rPr>
            </w:pPr>
            <w:r w:rsidRPr="00846510">
              <w:rPr>
                <w:szCs w:val="20"/>
              </w:rPr>
              <w:t>The estimated number of scripts was uncertain as it was based on an assumed dose regimen (35 mg/kg/day) and mean weight in the PEGASUS trial (75.3 kg). The use of rounded up estimates may overestimate the average utilisation in the population.</w:t>
            </w:r>
          </w:p>
        </w:tc>
      </w:tr>
    </w:tbl>
    <w:p w14:paraId="130DC68C" w14:textId="1BFAE2D8" w:rsidR="006F4DC0" w:rsidRPr="00AD0808" w:rsidRDefault="006F4DC0" w:rsidP="00AD0808">
      <w:pPr>
        <w:pStyle w:val="TableFigureFooter"/>
      </w:pPr>
      <w:r>
        <w:t>Source: Table 4-1, p 160; Sections 4.1 to 4.5, pp 160-185 of the submission</w:t>
      </w:r>
    </w:p>
    <w:p w14:paraId="26FB6670" w14:textId="6642913B" w:rsidR="00B505C8" w:rsidRPr="00846510" w:rsidRDefault="00F73607" w:rsidP="000C453B">
      <w:pPr>
        <w:pStyle w:val="ExecSumBodyText"/>
        <w:spacing w:after="160"/>
      </w:pPr>
      <w:r w:rsidRPr="00F73607">
        <w:t xml:space="preserve">The submission stated that utilisation data for therapies on the LSDP are not publicly available, therefore it was not possible to estimate the financial impact of </w:t>
      </w:r>
      <w:proofErr w:type="spellStart"/>
      <w:r w:rsidRPr="00F73607">
        <w:t>pegcetacoplan</w:t>
      </w:r>
      <w:proofErr w:type="spellEnd"/>
      <w:r w:rsidRPr="00F73607">
        <w:t xml:space="preserve"> using a market share approach. The submission claimed there is a paucity of published evidence pertaining to the epidemiology of PNH in Australia due to the rarity of the disease. The submission attempted to elicit Australian-specific data via market research and interviews with key opinion leaders which included two former PBAC members with LSDP expertise, a former MSAC member with PBAC expertise and four haematologists with experience in treating patients with PNH. </w:t>
      </w:r>
      <w:r w:rsidRPr="00846510">
        <w:t xml:space="preserve">Documentation of the interviews </w:t>
      </w:r>
      <w:r w:rsidR="00E5259D" w:rsidRPr="00846510">
        <w:t>was</w:t>
      </w:r>
      <w:r w:rsidRPr="00846510">
        <w:t xml:space="preserve"> not provided in the submission.</w:t>
      </w:r>
    </w:p>
    <w:p w14:paraId="680827CE" w14:textId="10AEA98E" w:rsidR="00F73607" w:rsidRPr="00D84F74" w:rsidRDefault="00F73607" w:rsidP="000C453B">
      <w:pPr>
        <w:pStyle w:val="ExecSumBodyText"/>
        <w:spacing w:after="160"/>
      </w:pPr>
      <w:r w:rsidRPr="00846510">
        <w:t xml:space="preserve">The </w:t>
      </w:r>
      <w:proofErr w:type="spellStart"/>
      <w:r w:rsidRPr="00846510">
        <w:t>ravulizumab</w:t>
      </w:r>
      <w:proofErr w:type="spellEnd"/>
      <w:r w:rsidRPr="00846510">
        <w:t xml:space="preserve"> July 2021 resubmission provided market share estimates for eculizumab on the LSDP using the sponsor’s proprietary data, with an adjustment for additional known patients in the sponsor’s clinical trials and competitor clinical trials (Table 17, </w:t>
      </w:r>
      <w:proofErr w:type="spellStart"/>
      <w:r w:rsidRPr="00846510">
        <w:t>ravulizumab</w:t>
      </w:r>
      <w:proofErr w:type="spellEnd"/>
      <w:r w:rsidRPr="00846510">
        <w:t xml:space="preserve"> PSD, July 2021 PBAC meeting). </w:t>
      </w:r>
    </w:p>
    <w:p w14:paraId="2ACAFFD2" w14:textId="7496F564" w:rsidR="00F73607" w:rsidRPr="00846510" w:rsidRDefault="00F73607" w:rsidP="000C453B">
      <w:pPr>
        <w:pStyle w:val="ExecSumBodyText"/>
        <w:spacing w:after="160"/>
      </w:pPr>
      <w:r w:rsidRPr="00846510">
        <w:t xml:space="preserve">The prevalent pool of patients was only used to estimate the number of eligible patients who would switch to </w:t>
      </w:r>
      <w:proofErr w:type="spellStart"/>
      <w:r w:rsidRPr="00846510">
        <w:t>pegcetacoplan</w:t>
      </w:r>
      <w:proofErr w:type="spellEnd"/>
      <w:r w:rsidRPr="00846510">
        <w:t xml:space="preserve"> in the first year. The estimated eligible population in subsequent years was calculated using incidence estimates. No </w:t>
      </w:r>
      <w:r w:rsidRPr="00846510">
        <w:lastRenderedPageBreak/>
        <w:t xml:space="preserve">justification was provided for the assumption that all eligible patients would switch to </w:t>
      </w:r>
      <w:proofErr w:type="spellStart"/>
      <w:r w:rsidRPr="00846510">
        <w:t>pegcetacoplan</w:t>
      </w:r>
      <w:proofErr w:type="spellEnd"/>
      <w:r w:rsidRPr="00846510">
        <w:t xml:space="preserve"> in the first year of availability only. Over time, some patients may become eligible to switch to </w:t>
      </w:r>
      <w:proofErr w:type="spellStart"/>
      <w:r w:rsidRPr="00846510">
        <w:t>pegcetacoplan</w:t>
      </w:r>
      <w:proofErr w:type="spellEnd"/>
      <w:r w:rsidRPr="00846510">
        <w:t xml:space="preserve"> due to fluctuations in Hb levels. This approach is likely to underestimate the size of the eligible population over time.</w:t>
      </w:r>
    </w:p>
    <w:p w14:paraId="5E50F164" w14:textId="0C5060DE" w:rsidR="00A31806" w:rsidRDefault="00A31806" w:rsidP="000C453B">
      <w:pPr>
        <w:pStyle w:val="ExecSumBodyText"/>
        <w:spacing w:after="160"/>
      </w:pPr>
      <w:r w:rsidRPr="00A31806">
        <w:t>The submission requested grandfathering but assumed these patients are already included within the prevalent population estimates, therefore separate estimates were not included for grandfathered patients.</w:t>
      </w:r>
    </w:p>
    <w:p w14:paraId="02A0D91A" w14:textId="3C5A29D2" w:rsidR="00A31806" w:rsidRPr="00A31806" w:rsidRDefault="00A31806" w:rsidP="000C453B">
      <w:pPr>
        <w:pStyle w:val="ExecSumBodyText"/>
        <w:spacing w:after="160"/>
      </w:pPr>
      <w:r w:rsidRPr="00A31806">
        <w:t>The</w:t>
      </w:r>
      <w:r w:rsidR="00C84029">
        <w:t xml:space="preserve"> table below presents the estimated financial impact of </w:t>
      </w:r>
      <w:r w:rsidR="00B1579D">
        <w:t xml:space="preserve">listing </w:t>
      </w:r>
      <w:proofErr w:type="spellStart"/>
      <w:r w:rsidR="00C84029">
        <w:t>pegcetacoplan</w:t>
      </w:r>
      <w:proofErr w:type="spellEnd"/>
      <w:r w:rsidR="00C84029">
        <w:t xml:space="preserve"> </w:t>
      </w:r>
    </w:p>
    <w:p w14:paraId="38EC053C" w14:textId="54CE11A5" w:rsidR="00C25D9C" w:rsidRPr="00746BBB" w:rsidRDefault="002A2F50" w:rsidP="002D7D3A">
      <w:pPr>
        <w:pStyle w:val="Caption"/>
      </w:pPr>
      <w:bookmarkStart w:id="43" w:name="_Hlk95810203"/>
      <w:r w:rsidRPr="00746BBB">
        <w:t xml:space="preserve">Table </w:t>
      </w:r>
      <w:fldSimple w:instr=" SEQ Table \* ARABIC ">
        <w:r w:rsidR="000A62F7">
          <w:rPr>
            <w:noProof/>
          </w:rPr>
          <w:t>13</w:t>
        </w:r>
      </w:fldSimple>
      <w:bookmarkEnd w:id="43"/>
      <w:r w:rsidRPr="00746BBB">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1"/>
        <w:gridCol w:w="992"/>
        <w:gridCol w:w="994"/>
        <w:gridCol w:w="992"/>
        <w:gridCol w:w="992"/>
        <w:gridCol w:w="994"/>
        <w:gridCol w:w="1082"/>
      </w:tblGrid>
      <w:tr w:rsidR="0096407E" w:rsidRPr="00746BBB" w14:paraId="43A2A3A1" w14:textId="77777777" w:rsidTr="0096407E">
        <w:trPr>
          <w:tblHeader/>
        </w:trPr>
        <w:tc>
          <w:tcPr>
            <w:tcW w:w="1648" w:type="pct"/>
            <w:shd w:val="clear" w:color="auto" w:fill="auto"/>
            <w:vAlign w:val="center"/>
          </w:tcPr>
          <w:p w14:paraId="0A4E41E1" w14:textId="77777777" w:rsidR="00385A9D" w:rsidRPr="000C453B" w:rsidRDefault="00385A9D" w:rsidP="00606FBA">
            <w:pPr>
              <w:pStyle w:val="Tableheadingrow"/>
              <w:jc w:val="center"/>
              <w:rPr>
                <w:szCs w:val="20"/>
                <w:lang w:val="en-AU"/>
              </w:rPr>
            </w:pPr>
          </w:p>
        </w:tc>
        <w:tc>
          <w:tcPr>
            <w:tcW w:w="550" w:type="pct"/>
            <w:shd w:val="clear" w:color="auto" w:fill="auto"/>
            <w:vAlign w:val="center"/>
          </w:tcPr>
          <w:p w14:paraId="77420B6F" w14:textId="77777777" w:rsidR="00385A9D" w:rsidRPr="000C453B" w:rsidRDefault="00385A9D" w:rsidP="00606FBA">
            <w:pPr>
              <w:pStyle w:val="Tableheadingrow"/>
              <w:jc w:val="center"/>
              <w:rPr>
                <w:szCs w:val="20"/>
                <w:lang w:val="en-AU"/>
              </w:rPr>
            </w:pPr>
            <w:r w:rsidRPr="000C453B">
              <w:rPr>
                <w:szCs w:val="20"/>
                <w:lang w:val="en-AU"/>
              </w:rPr>
              <w:t>Year 1</w:t>
            </w:r>
          </w:p>
        </w:tc>
        <w:tc>
          <w:tcPr>
            <w:tcW w:w="551" w:type="pct"/>
            <w:shd w:val="clear" w:color="auto" w:fill="auto"/>
            <w:vAlign w:val="center"/>
          </w:tcPr>
          <w:p w14:paraId="3BBD9218" w14:textId="77777777" w:rsidR="00385A9D" w:rsidRPr="000C453B" w:rsidRDefault="00385A9D" w:rsidP="00606FBA">
            <w:pPr>
              <w:pStyle w:val="Tableheadingrow"/>
              <w:jc w:val="center"/>
              <w:rPr>
                <w:szCs w:val="20"/>
                <w:lang w:val="en-AU"/>
              </w:rPr>
            </w:pPr>
            <w:r w:rsidRPr="000C453B">
              <w:rPr>
                <w:szCs w:val="20"/>
                <w:lang w:val="en-AU"/>
              </w:rPr>
              <w:t>Year 2</w:t>
            </w:r>
          </w:p>
        </w:tc>
        <w:tc>
          <w:tcPr>
            <w:tcW w:w="550" w:type="pct"/>
            <w:shd w:val="clear" w:color="auto" w:fill="auto"/>
            <w:vAlign w:val="center"/>
          </w:tcPr>
          <w:p w14:paraId="729A646E" w14:textId="77777777" w:rsidR="00385A9D" w:rsidRPr="000C453B" w:rsidRDefault="00385A9D" w:rsidP="00606FBA">
            <w:pPr>
              <w:pStyle w:val="Tableheadingrow"/>
              <w:jc w:val="center"/>
              <w:rPr>
                <w:szCs w:val="20"/>
                <w:lang w:val="en-AU"/>
              </w:rPr>
            </w:pPr>
            <w:r w:rsidRPr="000C453B">
              <w:rPr>
                <w:szCs w:val="20"/>
                <w:lang w:val="en-AU"/>
              </w:rPr>
              <w:t>Year 3</w:t>
            </w:r>
          </w:p>
        </w:tc>
        <w:tc>
          <w:tcPr>
            <w:tcW w:w="550" w:type="pct"/>
            <w:shd w:val="clear" w:color="auto" w:fill="auto"/>
            <w:vAlign w:val="center"/>
          </w:tcPr>
          <w:p w14:paraId="280BB544" w14:textId="77777777" w:rsidR="00385A9D" w:rsidRPr="000C453B" w:rsidRDefault="00385A9D" w:rsidP="00606FBA">
            <w:pPr>
              <w:pStyle w:val="Tableheadingrow"/>
              <w:jc w:val="center"/>
              <w:rPr>
                <w:szCs w:val="20"/>
                <w:lang w:val="en-AU"/>
              </w:rPr>
            </w:pPr>
            <w:r w:rsidRPr="000C453B">
              <w:rPr>
                <w:szCs w:val="20"/>
                <w:lang w:val="en-AU"/>
              </w:rPr>
              <w:t>Year 4</w:t>
            </w:r>
          </w:p>
        </w:tc>
        <w:tc>
          <w:tcPr>
            <w:tcW w:w="551" w:type="pct"/>
            <w:shd w:val="clear" w:color="auto" w:fill="auto"/>
            <w:vAlign w:val="center"/>
          </w:tcPr>
          <w:p w14:paraId="6435BB5B" w14:textId="77777777" w:rsidR="00385A9D" w:rsidRPr="000C453B" w:rsidRDefault="00385A9D" w:rsidP="00606FBA">
            <w:pPr>
              <w:pStyle w:val="Tableheadingrow"/>
              <w:jc w:val="center"/>
              <w:rPr>
                <w:szCs w:val="20"/>
                <w:lang w:val="en-AU"/>
              </w:rPr>
            </w:pPr>
            <w:r w:rsidRPr="000C453B">
              <w:rPr>
                <w:szCs w:val="20"/>
                <w:lang w:val="en-AU"/>
              </w:rPr>
              <w:t>Year 5</w:t>
            </w:r>
          </w:p>
        </w:tc>
        <w:tc>
          <w:tcPr>
            <w:tcW w:w="600" w:type="pct"/>
          </w:tcPr>
          <w:p w14:paraId="7C618119" w14:textId="77777777" w:rsidR="00385A9D" w:rsidRPr="000C453B" w:rsidRDefault="00385A9D" w:rsidP="00606FBA">
            <w:pPr>
              <w:pStyle w:val="Tableheadingrow"/>
              <w:jc w:val="center"/>
              <w:rPr>
                <w:szCs w:val="20"/>
                <w:lang w:val="en-AU"/>
              </w:rPr>
            </w:pPr>
            <w:r w:rsidRPr="000C453B">
              <w:rPr>
                <w:szCs w:val="20"/>
                <w:lang w:val="en-AU"/>
              </w:rPr>
              <w:t>Year 6</w:t>
            </w:r>
          </w:p>
        </w:tc>
      </w:tr>
      <w:tr w:rsidR="00385A9D" w:rsidRPr="00746BBB" w14:paraId="3C519059" w14:textId="77777777" w:rsidTr="009C3A3A">
        <w:tc>
          <w:tcPr>
            <w:tcW w:w="5000" w:type="pct"/>
            <w:gridSpan w:val="7"/>
            <w:shd w:val="clear" w:color="auto" w:fill="auto"/>
            <w:vAlign w:val="center"/>
          </w:tcPr>
          <w:p w14:paraId="516C2197" w14:textId="77777777" w:rsidR="00385A9D" w:rsidRPr="000C453B" w:rsidRDefault="00385A9D" w:rsidP="00606FBA">
            <w:pPr>
              <w:pStyle w:val="Tableheadingrow"/>
              <w:rPr>
                <w:bCs/>
                <w:color w:val="000000"/>
                <w:szCs w:val="20"/>
                <w:lang w:val="en-AU"/>
              </w:rPr>
            </w:pPr>
            <w:r w:rsidRPr="000C453B">
              <w:rPr>
                <w:bCs/>
                <w:color w:val="000000"/>
                <w:szCs w:val="20"/>
                <w:lang w:val="en-AU"/>
              </w:rPr>
              <w:t>Estimated extent of use</w:t>
            </w:r>
          </w:p>
        </w:tc>
      </w:tr>
      <w:tr w:rsidR="0096407E" w:rsidRPr="00746BBB" w14:paraId="148A8EEF" w14:textId="77777777" w:rsidTr="0096407E">
        <w:tc>
          <w:tcPr>
            <w:tcW w:w="1648" w:type="pct"/>
            <w:shd w:val="clear" w:color="auto" w:fill="auto"/>
            <w:vAlign w:val="center"/>
          </w:tcPr>
          <w:p w14:paraId="201B6ECA" w14:textId="043CB354" w:rsidR="00B70930" w:rsidRPr="000C453B" w:rsidRDefault="00B70930" w:rsidP="00B70930">
            <w:pPr>
              <w:pStyle w:val="TableText"/>
              <w:rPr>
                <w:rFonts w:ascii="Times" w:hAnsi="Times"/>
                <w:szCs w:val="20"/>
              </w:rPr>
            </w:pPr>
            <w:r w:rsidRPr="000C453B">
              <w:rPr>
                <w:szCs w:val="20"/>
              </w:rPr>
              <w:t>Total treated patients</w:t>
            </w:r>
          </w:p>
        </w:tc>
        <w:tc>
          <w:tcPr>
            <w:tcW w:w="550" w:type="pct"/>
            <w:shd w:val="clear" w:color="auto" w:fill="auto"/>
            <w:vAlign w:val="center"/>
          </w:tcPr>
          <w:p w14:paraId="577607A9" w14:textId="3E059ADC" w:rsidR="00B70930" w:rsidRPr="00790945" w:rsidRDefault="005126B1" w:rsidP="00B70930">
            <w:pPr>
              <w:pStyle w:val="TableText"/>
              <w:jc w:val="center"/>
              <w:rPr>
                <w:color w:val="000000"/>
                <w:szCs w:val="20"/>
                <w:highlight w:val="yellow"/>
                <w:vertAlign w:val="superscript"/>
              </w:rPr>
            </w:pPr>
            <w:r w:rsidRPr="005126B1">
              <w:rPr>
                <w:rFonts w:hint="eastAsia"/>
                <w:color w:val="000000"/>
                <w:w w:val="22"/>
                <w:szCs w:val="20"/>
                <w:shd w:val="solid" w:color="000000" w:fill="000000"/>
                <w:fitText w:val="100" w:id="-1500841462"/>
                <w14:textFill>
                  <w14:solidFill>
                    <w14:srgbClr w14:val="000000">
                      <w14:alpha w14:val="100000"/>
                    </w14:srgbClr>
                  </w14:solidFill>
                </w14:textFill>
              </w:rPr>
              <w:t xml:space="preserve">　</w:t>
            </w:r>
            <w:r w:rsidRPr="005126B1">
              <w:rPr>
                <w:color w:val="000000"/>
                <w:w w:val="22"/>
                <w:szCs w:val="20"/>
                <w:shd w:val="solid" w:color="000000" w:fill="000000"/>
                <w:fitText w:val="100" w:id="-1500841462"/>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2"/>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6610B4C9" w14:textId="20112936"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1"/>
                <w14:textFill>
                  <w14:solidFill>
                    <w14:srgbClr w14:val="000000">
                      <w14:alpha w14:val="100000"/>
                    </w14:srgbClr>
                  </w14:solidFill>
                </w14:textFill>
              </w:rPr>
              <w:t xml:space="preserve">　</w:t>
            </w:r>
            <w:r w:rsidRPr="005126B1">
              <w:rPr>
                <w:color w:val="000000"/>
                <w:w w:val="22"/>
                <w:szCs w:val="20"/>
                <w:shd w:val="solid" w:color="000000" w:fill="000000"/>
                <w:fitText w:val="100" w:id="-1500841461"/>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1"/>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29F46D6B" w14:textId="569A5CEB"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0"/>
                <w14:textFill>
                  <w14:solidFill>
                    <w14:srgbClr w14:val="000000">
                      <w14:alpha w14:val="100000"/>
                    </w14:srgbClr>
                  </w14:solidFill>
                </w14:textFill>
              </w:rPr>
              <w:t xml:space="preserve">　</w:t>
            </w:r>
            <w:r w:rsidRPr="005126B1">
              <w:rPr>
                <w:color w:val="000000"/>
                <w:w w:val="22"/>
                <w:szCs w:val="20"/>
                <w:shd w:val="solid" w:color="000000" w:fill="000000"/>
                <w:fitText w:val="100" w:id="-1500841460"/>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0"/>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21167904" w14:textId="65CE440D"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1" w:id="-1500841459"/>
                <w14:textFill>
                  <w14:solidFill>
                    <w14:srgbClr w14:val="000000">
                      <w14:alpha w14:val="100000"/>
                    </w14:srgbClr>
                  </w14:solidFill>
                </w14:textFill>
              </w:rPr>
              <w:t xml:space="preserve">　</w:t>
            </w:r>
            <w:r w:rsidRPr="005126B1">
              <w:rPr>
                <w:color w:val="000000"/>
                <w:w w:val="22"/>
                <w:szCs w:val="20"/>
                <w:shd w:val="solid" w:color="000000" w:fill="000000"/>
                <w:fitText w:val="101" w:id="-1500841459"/>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59"/>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762D4B71" w14:textId="07B46BB1"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58"/>
                <w14:textFill>
                  <w14:solidFill>
                    <w14:srgbClr w14:val="000000">
                      <w14:alpha w14:val="100000"/>
                    </w14:srgbClr>
                  </w14:solidFill>
                </w14:textFill>
              </w:rPr>
              <w:t xml:space="preserve">　</w:t>
            </w:r>
            <w:r w:rsidRPr="005126B1">
              <w:rPr>
                <w:color w:val="000000"/>
                <w:w w:val="22"/>
                <w:szCs w:val="20"/>
                <w:shd w:val="solid" w:color="000000" w:fill="000000"/>
                <w:fitText w:val="100" w:id="-1500841458"/>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8"/>
                <w14:textFill>
                  <w14:solidFill>
                    <w14:srgbClr w14:val="000000">
                      <w14:alpha w14:val="100000"/>
                    </w14:srgbClr>
                  </w14:solidFill>
                </w14:textFill>
              </w:rPr>
              <w:t xml:space="preserve">　</w:t>
            </w:r>
            <w:r w:rsidR="00790945" w:rsidRPr="00790945">
              <w:rPr>
                <w:szCs w:val="20"/>
                <w:vertAlign w:val="superscript"/>
              </w:rPr>
              <w:t>1</w:t>
            </w:r>
          </w:p>
        </w:tc>
        <w:tc>
          <w:tcPr>
            <w:tcW w:w="600" w:type="pct"/>
            <w:vAlign w:val="center"/>
          </w:tcPr>
          <w:p w14:paraId="42B428B5" w14:textId="1C4B975A" w:rsidR="00B70930" w:rsidRPr="00790945" w:rsidRDefault="005126B1" w:rsidP="00B70930">
            <w:pPr>
              <w:pStyle w:val="TableText"/>
              <w:jc w:val="center"/>
              <w:rPr>
                <w:color w:val="000000"/>
                <w:szCs w:val="20"/>
                <w:highlight w:val="yellow"/>
              </w:rPr>
            </w:pPr>
            <w:r w:rsidRPr="005126B1">
              <w:rPr>
                <w:rFonts w:hint="eastAsia"/>
                <w:color w:val="000000"/>
                <w:w w:val="15"/>
                <w:szCs w:val="20"/>
                <w:shd w:val="solid" w:color="000000" w:fill="000000"/>
                <w:fitText w:val="62" w:id="-1500841457"/>
                <w14:textFill>
                  <w14:solidFill>
                    <w14:srgbClr w14:val="000000">
                      <w14:alpha w14:val="100000"/>
                    </w14:srgbClr>
                  </w14:solidFill>
                </w14:textFill>
              </w:rPr>
              <w:t xml:space="preserve">　</w:t>
            </w:r>
            <w:r w:rsidRPr="005126B1">
              <w:rPr>
                <w:color w:val="000000"/>
                <w:w w:val="15"/>
                <w:szCs w:val="20"/>
                <w:shd w:val="solid" w:color="000000" w:fill="000000"/>
                <w:fitText w:val="62" w:id="-1500841457"/>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57"/>
                <w14:textFill>
                  <w14:solidFill>
                    <w14:srgbClr w14:val="000000">
                      <w14:alpha w14:val="100000"/>
                    </w14:srgbClr>
                  </w14:solidFill>
                </w14:textFill>
              </w:rPr>
              <w:t xml:space="preserve">　</w:t>
            </w:r>
            <w:r w:rsidR="00790945" w:rsidRPr="00790945">
              <w:rPr>
                <w:szCs w:val="20"/>
                <w:vertAlign w:val="superscript"/>
              </w:rPr>
              <w:t>1</w:t>
            </w:r>
          </w:p>
        </w:tc>
      </w:tr>
      <w:tr w:rsidR="0096407E" w:rsidRPr="00746BBB" w14:paraId="1CEE4D09" w14:textId="77777777" w:rsidTr="0096407E">
        <w:tc>
          <w:tcPr>
            <w:tcW w:w="1648" w:type="pct"/>
            <w:shd w:val="clear" w:color="auto" w:fill="auto"/>
            <w:vAlign w:val="center"/>
          </w:tcPr>
          <w:p w14:paraId="229A1EDF" w14:textId="2C3DE53F" w:rsidR="00B70930" w:rsidRPr="000C453B" w:rsidRDefault="00B70930" w:rsidP="00B70930">
            <w:pPr>
              <w:pStyle w:val="TableText"/>
              <w:rPr>
                <w:rFonts w:ascii="Times" w:hAnsi="Times"/>
                <w:szCs w:val="20"/>
              </w:rPr>
            </w:pPr>
            <w:r w:rsidRPr="000C453B">
              <w:rPr>
                <w:szCs w:val="20"/>
              </w:rPr>
              <w:t>Total initiating scripts</w:t>
            </w:r>
          </w:p>
        </w:tc>
        <w:tc>
          <w:tcPr>
            <w:tcW w:w="550" w:type="pct"/>
            <w:shd w:val="clear" w:color="auto" w:fill="auto"/>
            <w:vAlign w:val="center"/>
          </w:tcPr>
          <w:p w14:paraId="0D9F25C2" w14:textId="5D5E472C"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56"/>
                <w14:textFill>
                  <w14:solidFill>
                    <w14:srgbClr w14:val="000000">
                      <w14:alpha w14:val="100000"/>
                    </w14:srgbClr>
                  </w14:solidFill>
                </w14:textFill>
              </w:rPr>
              <w:t xml:space="preserve">　</w:t>
            </w:r>
            <w:r w:rsidRPr="005126B1">
              <w:rPr>
                <w:color w:val="000000"/>
                <w:w w:val="22"/>
                <w:szCs w:val="20"/>
                <w:shd w:val="solid" w:color="000000" w:fill="000000"/>
                <w:fitText w:val="100" w:id="-1500841456"/>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6"/>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2D7847AA" w14:textId="0D416ACC"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72"/>
                <w14:textFill>
                  <w14:solidFill>
                    <w14:srgbClr w14:val="000000">
                      <w14:alpha w14:val="100000"/>
                    </w14:srgbClr>
                  </w14:solidFill>
                </w14:textFill>
              </w:rPr>
              <w:t xml:space="preserve">　</w:t>
            </w:r>
            <w:r w:rsidRPr="005126B1">
              <w:rPr>
                <w:color w:val="000000"/>
                <w:w w:val="22"/>
                <w:szCs w:val="20"/>
                <w:shd w:val="solid" w:color="000000" w:fill="000000"/>
                <w:fitText w:val="100" w:id="-1500841472"/>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72"/>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7A620378" w14:textId="72CE39CA"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71"/>
                <w14:textFill>
                  <w14:solidFill>
                    <w14:srgbClr w14:val="000000">
                      <w14:alpha w14:val="100000"/>
                    </w14:srgbClr>
                  </w14:solidFill>
                </w14:textFill>
              </w:rPr>
              <w:t xml:space="preserve">　</w:t>
            </w:r>
            <w:r w:rsidRPr="005126B1">
              <w:rPr>
                <w:color w:val="000000"/>
                <w:w w:val="22"/>
                <w:szCs w:val="20"/>
                <w:shd w:val="solid" w:color="000000" w:fill="000000"/>
                <w:fitText w:val="100" w:id="-1500841471"/>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71"/>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1D2C1413" w14:textId="13406C78"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1" w:id="-1500841470"/>
                <w14:textFill>
                  <w14:solidFill>
                    <w14:srgbClr w14:val="000000">
                      <w14:alpha w14:val="100000"/>
                    </w14:srgbClr>
                  </w14:solidFill>
                </w14:textFill>
              </w:rPr>
              <w:t xml:space="preserve">　</w:t>
            </w:r>
            <w:r w:rsidRPr="005126B1">
              <w:rPr>
                <w:color w:val="000000"/>
                <w:w w:val="22"/>
                <w:szCs w:val="20"/>
                <w:shd w:val="solid" w:color="000000" w:fill="000000"/>
                <w:fitText w:val="101" w:id="-1500841470"/>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70"/>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3F0ACB95" w14:textId="5972E16C"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9"/>
                <w14:textFill>
                  <w14:solidFill>
                    <w14:srgbClr w14:val="000000">
                      <w14:alpha w14:val="100000"/>
                    </w14:srgbClr>
                  </w14:solidFill>
                </w14:textFill>
              </w:rPr>
              <w:t xml:space="preserve">　</w:t>
            </w:r>
            <w:r w:rsidRPr="005126B1">
              <w:rPr>
                <w:color w:val="000000"/>
                <w:w w:val="22"/>
                <w:szCs w:val="20"/>
                <w:shd w:val="solid" w:color="000000" w:fill="000000"/>
                <w:fitText w:val="100" w:id="-1500841469"/>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9"/>
                <w14:textFill>
                  <w14:solidFill>
                    <w14:srgbClr w14:val="000000">
                      <w14:alpha w14:val="100000"/>
                    </w14:srgbClr>
                  </w14:solidFill>
                </w14:textFill>
              </w:rPr>
              <w:t xml:space="preserve">　</w:t>
            </w:r>
            <w:r w:rsidR="00790945" w:rsidRPr="00790945">
              <w:rPr>
                <w:szCs w:val="20"/>
                <w:vertAlign w:val="superscript"/>
              </w:rPr>
              <w:t>1</w:t>
            </w:r>
          </w:p>
        </w:tc>
        <w:tc>
          <w:tcPr>
            <w:tcW w:w="600" w:type="pct"/>
            <w:vAlign w:val="center"/>
          </w:tcPr>
          <w:p w14:paraId="1C30F331" w14:textId="0A494021" w:rsidR="00B70930" w:rsidRPr="00790945" w:rsidRDefault="005126B1" w:rsidP="00B70930">
            <w:pPr>
              <w:pStyle w:val="TableText"/>
              <w:jc w:val="center"/>
              <w:rPr>
                <w:color w:val="000000"/>
                <w:szCs w:val="20"/>
                <w:highlight w:val="yellow"/>
              </w:rPr>
            </w:pPr>
            <w:r w:rsidRPr="005126B1">
              <w:rPr>
                <w:rFonts w:hint="eastAsia"/>
                <w:color w:val="000000"/>
                <w:w w:val="15"/>
                <w:szCs w:val="20"/>
                <w:shd w:val="solid" w:color="000000" w:fill="000000"/>
                <w:fitText w:val="62" w:id="-1500841468"/>
                <w14:textFill>
                  <w14:solidFill>
                    <w14:srgbClr w14:val="000000">
                      <w14:alpha w14:val="100000"/>
                    </w14:srgbClr>
                  </w14:solidFill>
                </w14:textFill>
              </w:rPr>
              <w:t xml:space="preserve">　</w:t>
            </w:r>
            <w:r w:rsidRPr="005126B1">
              <w:rPr>
                <w:color w:val="000000"/>
                <w:w w:val="15"/>
                <w:szCs w:val="20"/>
                <w:shd w:val="solid" w:color="000000" w:fill="000000"/>
                <w:fitText w:val="62" w:id="-1500841468"/>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68"/>
                <w14:textFill>
                  <w14:solidFill>
                    <w14:srgbClr w14:val="000000">
                      <w14:alpha w14:val="100000"/>
                    </w14:srgbClr>
                  </w14:solidFill>
                </w14:textFill>
              </w:rPr>
              <w:t xml:space="preserve">　</w:t>
            </w:r>
            <w:r w:rsidR="00790945" w:rsidRPr="00790945">
              <w:rPr>
                <w:szCs w:val="20"/>
                <w:vertAlign w:val="superscript"/>
              </w:rPr>
              <w:t>1</w:t>
            </w:r>
          </w:p>
        </w:tc>
      </w:tr>
      <w:tr w:rsidR="0096407E" w:rsidRPr="00746BBB" w14:paraId="23195CE2" w14:textId="77777777" w:rsidTr="0096407E">
        <w:tc>
          <w:tcPr>
            <w:tcW w:w="1648" w:type="pct"/>
            <w:shd w:val="clear" w:color="auto" w:fill="auto"/>
            <w:vAlign w:val="center"/>
          </w:tcPr>
          <w:p w14:paraId="38A8900B" w14:textId="462F11E8" w:rsidR="00B70930" w:rsidRPr="000C453B" w:rsidRDefault="00B70930" w:rsidP="00B70930">
            <w:pPr>
              <w:pStyle w:val="TableText"/>
              <w:rPr>
                <w:szCs w:val="20"/>
              </w:rPr>
            </w:pPr>
            <w:r w:rsidRPr="000C453B">
              <w:rPr>
                <w:szCs w:val="20"/>
              </w:rPr>
              <w:t>Total continuing scripts</w:t>
            </w:r>
          </w:p>
        </w:tc>
        <w:tc>
          <w:tcPr>
            <w:tcW w:w="550" w:type="pct"/>
            <w:shd w:val="clear" w:color="auto" w:fill="auto"/>
            <w:vAlign w:val="center"/>
          </w:tcPr>
          <w:p w14:paraId="35AABCA8" w14:textId="74CC92F3"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7"/>
                <w14:textFill>
                  <w14:solidFill>
                    <w14:srgbClr w14:val="000000">
                      <w14:alpha w14:val="100000"/>
                    </w14:srgbClr>
                  </w14:solidFill>
                </w14:textFill>
              </w:rPr>
              <w:t xml:space="preserve">　</w:t>
            </w:r>
            <w:r w:rsidRPr="005126B1">
              <w:rPr>
                <w:color w:val="000000"/>
                <w:w w:val="22"/>
                <w:szCs w:val="20"/>
                <w:shd w:val="solid" w:color="000000" w:fill="000000"/>
                <w:fitText w:val="100" w:id="-1500841467"/>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7"/>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72143785" w14:textId="3B270B19"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6"/>
                <w14:textFill>
                  <w14:solidFill>
                    <w14:srgbClr w14:val="000000">
                      <w14:alpha w14:val="100000"/>
                    </w14:srgbClr>
                  </w14:solidFill>
                </w14:textFill>
              </w:rPr>
              <w:t xml:space="preserve">　</w:t>
            </w:r>
            <w:r w:rsidRPr="005126B1">
              <w:rPr>
                <w:color w:val="000000"/>
                <w:w w:val="22"/>
                <w:szCs w:val="20"/>
                <w:shd w:val="solid" w:color="000000" w:fill="000000"/>
                <w:fitText w:val="100" w:id="-1500841466"/>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6"/>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0CA2D5E4" w14:textId="69B1B7C4"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5"/>
                <w14:textFill>
                  <w14:solidFill>
                    <w14:srgbClr w14:val="000000">
                      <w14:alpha w14:val="100000"/>
                    </w14:srgbClr>
                  </w14:solidFill>
                </w14:textFill>
              </w:rPr>
              <w:t xml:space="preserve">　</w:t>
            </w:r>
            <w:r w:rsidRPr="005126B1">
              <w:rPr>
                <w:color w:val="000000"/>
                <w:w w:val="22"/>
                <w:szCs w:val="20"/>
                <w:shd w:val="solid" w:color="000000" w:fill="000000"/>
                <w:fitText w:val="100" w:id="-1500841465"/>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5"/>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5DF446F2" w14:textId="17EB874E"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1" w:id="-1500841464"/>
                <w14:textFill>
                  <w14:solidFill>
                    <w14:srgbClr w14:val="000000">
                      <w14:alpha w14:val="100000"/>
                    </w14:srgbClr>
                  </w14:solidFill>
                </w14:textFill>
              </w:rPr>
              <w:t xml:space="preserve">　</w:t>
            </w:r>
            <w:r w:rsidRPr="005126B1">
              <w:rPr>
                <w:color w:val="000000"/>
                <w:w w:val="22"/>
                <w:szCs w:val="20"/>
                <w:shd w:val="solid" w:color="000000" w:fill="000000"/>
                <w:fitText w:val="101" w:id="-1500841464"/>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64"/>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7F5297D0" w14:textId="285FE649" w:rsidR="00B70930" w:rsidRPr="00790945" w:rsidRDefault="005126B1" w:rsidP="00B70930">
            <w:pPr>
              <w:pStyle w:val="TableText"/>
              <w:jc w:val="center"/>
              <w:rPr>
                <w:color w:val="000000"/>
                <w:szCs w:val="20"/>
                <w:highlight w:val="yellow"/>
                <w:vertAlign w:val="superscript"/>
              </w:rPr>
            </w:pPr>
            <w:r w:rsidRPr="005126B1">
              <w:rPr>
                <w:rFonts w:hint="eastAsia"/>
                <w:color w:val="000000"/>
                <w:w w:val="22"/>
                <w:szCs w:val="20"/>
                <w:shd w:val="solid" w:color="000000" w:fill="000000"/>
                <w:fitText w:val="100" w:id="-1500841463"/>
                <w14:textFill>
                  <w14:solidFill>
                    <w14:srgbClr w14:val="000000">
                      <w14:alpha w14:val="100000"/>
                    </w14:srgbClr>
                  </w14:solidFill>
                </w14:textFill>
              </w:rPr>
              <w:t xml:space="preserve">　</w:t>
            </w:r>
            <w:r w:rsidRPr="005126B1">
              <w:rPr>
                <w:color w:val="000000"/>
                <w:w w:val="22"/>
                <w:szCs w:val="20"/>
                <w:shd w:val="solid" w:color="000000" w:fill="000000"/>
                <w:fitText w:val="100" w:id="-1500841463"/>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3"/>
                <w14:textFill>
                  <w14:solidFill>
                    <w14:srgbClr w14:val="000000">
                      <w14:alpha w14:val="100000"/>
                    </w14:srgbClr>
                  </w14:solidFill>
                </w14:textFill>
              </w:rPr>
              <w:t xml:space="preserve">　</w:t>
            </w:r>
            <w:r w:rsidR="00790945" w:rsidRPr="00790945">
              <w:rPr>
                <w:szCs w:val="20"/>
                <w:vertAlign w:val="superscript"/>
              </w:rPr>
              <w:t>2</w:t>
            </w:r>
          </w:p>
        </w:tc>
        <w:tc>
          <w:tcPr>
            <w:tcW w:w="600" w:type="pct"/>
            <w:vAlign w:val="center"/>
          </w:tcPr>
          <w:p w14:paraId="1E9707F7" w14:textId="0B148D79" w:rsidR="00B70930" w:rsidRPr="00790945" w:rsidRDefault="005126B1" w:rsidP="00B70930">
            <w:pPr>
              <w:pStyle w:val="TableText"/>
              <w:jc w:val="center"/>
              <w:rPr>
                <w:color w:val="000000"/>
                <w:szCs w:val="20"/>
                <w:highlight w:val="yellow"/>
              </w:rPr>
            </w:pPr>
            <w:r w:rsidRPr="005126B1">
              <w:rPr>
                <w:rFonts w:hint="eastAsia"/>
                <w:color w:val="000000"/>
                <w:w w:val="15"/>
                <w:szCs w:val="20"/>
                <w:shd w:val="solid" w:color="000000" w:fill="000000"/>
                <w:fitText w:val="62" w:id="-1500841462"/>
                <w14:textFill>
                  <w14:solidFill>
                    <w14:srgbClr w14:val="000000">
                      <w14:alpha w14:val="100000"/>
                    </w14:srgbClr>
                  </w14:solidFill>
                </w14:textFill>
              </w:rPr>
              <w:t xml:space="preserve">　</w:t>
            </w:r>
            <w:r w:rsidRPr="005126B1">
              <w:rPr>
                <w:color w:val="000000"/>
                <w:w w:val="15"/>
                <w:szCs w:val="20"/>
                <w:shd w:val="solid" w:color="000000" w:fill="000000"/>
                <w:fitText w:val="62" w:id="-1500841462"/>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62"/>
                <w14:textFill>
                  <w14:solidFill>
                    <w14:srgbClr w14:val="000000">
                      <w14:alpha w14:val="100000"/>
                    </w14:srgbClr>
                  </w14:solidFill>
                </w14:textFill>
              </w:rPr>
              <w:t xml:space="preserve">　</w:t>
            </w:r>
            <w:r w:rsidR="00790945" w:rsidRPr="00790945">
              <w:rPr>
                <w:szCs w:val="20"/>
                <w:vertAlign w:val="superscript"/>
              </w:rPr>
              <w:t>2</w:t>
            </w:r>
          </w:p>
        </w:tc>
      </w:tr>
      <w:tr w:rsidR="0096407E" w:rsidRPr="00746BBB" w14:paraId="0BE6FB89" w14:textId="77777777" w:rsidTr="0096407E">
        <w:tc>
          <w:tcPr>
            <w:tcW w:w="1648" w:type="pct"/>
            <w:shd w:val="clear" w:color="auto" w:fill="auto"/>
            <w:vAlign w:val="center"/>
          </w:tcPr>
          <w:p w14:paraId="6C283186" w14:textId="1316F3C4" w:rsidR="00B70930" w:rsidRPr="000C453B" w:rsidRDefault="00B70930" w:rsidP="00B70930">
            <w:pPr>
              <w:pStyle w:val="TableText"/>
              <w:rPr>
                <w:szCs w:val="20"/>
              </w:rPr>
            </w:pPr>
            <w:r w:rsidRPr="000C453B">
              <w:rPr>
                <w:szCs w:val="20"/>
              </w:rPr>
              <w:t>Total PBS scripts</w:t>
            </w:r>
          </w:p>
        </w:tc>
        <w:tc>
          <w:tcPr>
            <w:tcW w:w="550" w:type="pct"/>
            <w:shd w:val="clear" w:color="auto" w:fill="auto"/>
            <w:vAlign w:val="center"/>
          </w:tcPr>
          <w:p w14:paraId="5D00E27B" w14:textId="3FE34096"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1"/>
                <w14:textFill>
                  <w14:solidFill>
                    <w14:srgbClr w14:val="000000">
                      <w14:alpha w14:val="100000"/>
                    </w14:srgbClr>
                  </w14:solidFill>
                </w14:textFill>
              </w:rPr>
              <w:t xml:space="preserve">　</w:t>
            </w:r>
            <w:r w:rsidRPr="005126B1">
              <w:rPr>
                <w:color w:val="000000"/>
                <w:w w:val="22"/>
                <w:szCs w:val="20"/>
                <w:shd w:val="solid" w:color="000000" w:fill="000000"/>
                <w:fitText w:val="100" w:id="-1500841461"/>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1"/>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05FD6BD1" w14:textId="0DDF2362"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60"/>
                <w14:textFill>
                  <w14:solidFill>
                    <w14:srgbClr w14:val="000000">
                      <w14:alpha w14:val="100000"/>
                    </w14:srgbClr>
                  </w14:solidFill>
                </w14:textFill>
              </w:rPr>
              <w:t xml:space="preserve">　</w:t>
            </w:r>
            <w:r w:rsidRPr="005126B1">
              <w:rPr>
                <w:color w:val="000000"/>
                <w:w w:val="22"/>
                <w:szCs w:val="20"/>
                <w:shd w:val="solid" w:color="000000" w:fill="000000"/>
                <w:fitText w:val="100" w:id="-1500841460"/>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0"/>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661DF050" w14:textId="7CD3D9C6"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59"/>
                <w14:textFill>
                  <w14:solidFill>
                    <w14:srgbClr w14:val="000000">
                      <w14:alpha w14:val="100000"/>
                    </w14:srgbClr>
                  </w14:solidFill>
                </w14:textFill>
              </w:rPr>
              <w:t xml:space="preserve">　</w:t>
            </w:r>
            <w:r w:rsidRPr="005126B1">
              <w:rPr>
                <w:color w:val="000000"/>
                <w:w w:val="22"/>
                <w:szCs w:val="20"/>
                <w:shd w:val="solid" w:color="000000" w:fill="000000"/>
                <w:fitText w:val="100" w:id="-1500841459"/>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9"/>
                <w14:textFill>
                  <w14:solidFill>
                    <w14:srgbClr w14:val="000000">
                      <w14:alpha w14:val="100000"/>
                    </w14:srgbClr>
                  </w14:solidFill>
                </w14:textFill>
              </w:rPr>
              <w:t xml:space="preserve">　</w:t>
            </w:r>
            <w:r w:rsidR="00790945" w:rsidRPr="00790945">
              <w:rPr>
                <w:szCs w:val="20"/>
                <w:vertAlign w:val="superscript"/>
              </w:rPr>
              <w:t>1</w:t>
            </w:r>
          </w:p>
        </w:tc>
        <w:tc>
          <w:tcPr>
            <w:tcW w:w="550" w:type="pct"/>
            <w:shd w:val="clear" w:color="auto" w:fill="auto"/>
            <w:vAlign w:val="center"/>
          </w:tcPr>
          <w:p w14:paraId="25992087" w14:textId="12B33C6E"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1" w:id="-1500841458"/>
                <w14:textFill>
                  <w14:solidFill>
                    <w14:srgbClr w14:val="000000">
                      <w14:alpha w14:val="100000"/>
                    </w14:srgbClr>
                  </w14:solidFill>
                </w14:textFill>
              </w:rPr>
              <w:t xml:space="preserve">　</w:t>
            </w:r>
            <w:r w:rsidRPr="005126B1">
              <w:rPr>
                <w:color w:val="000000"/>
                <w:w w:val="22"/>
                <w:szCs w:val="20"/>
                <w:shd w:val="solid" w:color="000000" w:fill="000000"/>
                <w:fitText w:val="101" w:id="-1500841458"/>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58"/>
                <w14:textFill>
                  <w14:solidFill>
                    <w14:srgbClr w14:val="000000">
                      <w14:alpha w14:val="100000"/>
                    </w14:srgbClr>
                  </w14:solidFill>
                </w14:textFill>
              </w:rPr>
              <w:t xml:space="preserve">　</w:t>
            </w:r>
            <w:r w:rsidR="00790945" w:rsidRPr="00790945">
              <w:rPr>
                <w:szCs w:val="20"/>
                <w:vertAlign w:val="superscript"/>
              </w:rPr>
              <w:t>1</w:t>
            </w:r>
          </w:p>
        </w:tc>
        <w:tc>
          <w:tcPr>
            <w:tcW w:w="551" w:type="pct"/>
            <w:shd w:val="clear" w:color="auto" w:fill="auto"/>
            <w:vAlign w:val="center"/>
          </w:tcPr>
          <w:p w14:paraId="7E81B15B" w14:textId="6A0DBC1D" w:rsidR="00B70930" w:rsidRPr="00790945" w:rsidRDefault="005126B1" w:rsidP="00B70930">
            <w:pPr>
              <w:pStyle w:val="TableText"/>
              <w:jc w:val="center"/>
              <w:rPr>
                <w:color w:val="000000"/>
                <w:szCs w:val="20"/>
                <w:highlight w:val="yellow"/>
              </w:rPr>
            </w:pPr>
            <w:r w:rsidRPr="005126B1">
              <w:rPr>
                <w:rFonts w:hint="eastAsia"/>
                <w:color w:val="000000"/>
                <w:w w:val="22"/>
                <w:szCs w:val="20"/>
                <w:shd w:val="solid" w:color="000000" w:fill="000000"/>
                <w:fitText w:val="100" w:id="-1500841457"/>
                <w14:textFill>
                  <w14:solidFill>
                    <w14:srgbClr w14:val="000000">
                      <w14:alpha w14:val="100000"/>
                    </w14:srgbClr>
                  </w14:solidFill>
                </w14:textFill>
              </w:rPr>
              <w:t xml:space="preserve">　</w:t>
            </w:r>
            <w:r w:rsidRPr="005126B1">
              <w:rPr>
                <w:color w:val="000000"/>
                <w:w w:val="22"/>
                <w:szCs w:val="20"/>
                <w:shd w:val="solid" w:color="000000" w:fill="000000"/>
                <w:fitText w:val="100" w:id="-1500841457"/>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7"/>
                <w14:textFill>
                  <w14:solidFill>
                    <w14:srgbClr w14:val="000000">
                      <w14:alpha w14:val="100000"/>
                    </w14:srgbClr>
                  </w14:solidFill>
                </w14:textFill>
              </w:rPr>
              <w:t xml:space="preserve">　</w:t>
            </w:r>
            <w:r w:rsidR="00790945" w:rsidRPr="00790945">
              <w:rPr>
                <w:szCs w:val="20"/>
                <w:vertAlign w:val="superscript"/>
              </w:rPr>
              <w:t>2</w:t>
            </w:r>
          </w:p>
        </w:tc>
        <w:tc>
          <w:tcPr>
            <w:tcW w:w="600" w:type="pct"/>
            <w:vAlign w:val="center"/>
          </w:tcPr>
          <w:p w14:paraId="507DF9DA" w14:textId="161398D4" w:rsidR="00B70930" w:rsidRPr="00790945" w:rsidRDefault="005126B1" w:rsidP="00B70930">
            <w:pPr>
              <w:pStyle w:val="TableText"/>
              <w:jc w:val="center"/>
              <w:rPr>
                <w:color w:val="000000"/>
                <w:szCs w:val="20"/>
                <w:highlight w:val="yellow"/>
              </w:rPr>
            </w:pPr>
            <w:r w:rsidRPr="005126B1">
              <w:rPr>
                <w:rFonts w:hint="eastAsia"/>
                <w:color w:val="000000"/>
                <w:w w:val="15"/>
                <w:szCs w:val="20"/>
                <w:shd w:val="solid" w:color="000000" w:fill="000000"/>
                <w:fitText w:val="62" w:id="-1500841456"/>
                <w14:textFill>
                  <w14:solidFill>
                    <w14:srgbClr w14:val="000000">
                      <w14:alpha w14:val="100000"/>
                    </w14:srgbClr>
                  </w14:solidFill>
                </w14:textFill>
              </w:rPr>
              <w:t xml:space="preserve">　</w:t>
            </w:r>
            <w:r w:rsidRPr="005126B1">
              <w:rPr>
                <w:color w:val="000000"/>
                <w:w w:val="15"/>
                <w:szCs w:val="20"/>
                <w:shd w:val="solid" w:color="000000" w:fill="000000"/>
                <w:fitText w:val="62" w:id="-1500841456"/>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56"/>
                <w14:textFill>
                  <w14:solidFill>
                    <w14:srgbClr w14:val="000000">
                      <w14:alpha w14:val="100000"/>
                    </w14:srgbClr>
                  </w14:solidFill>
                </w14:textFill>
              </w:rPr>
              <w:t xml:space="preserve">　</w:t>
            </w:r>
            <w:r w:rsidR="00790945" w:rsidRPr="00790945">
              <w:rPr>
                <w:szCs w:val="20"/>
                <w:vertAlign w:val="superscript"/>
              </w:rPr>
              <w:t>2</w:t>
            </w:r>
          </w:p>
        </w:tc>
      </w:tr>
      <w:tr w:rsidR="00B70930" w:rsidRPr="00746BBB" w14:paraId="1E699D47" w14:textId="77777777" w:rsidTr="009C3A3A">
        <w:tc>
          <w:tcPr>
            <w:tcW w:w="5000" w:type="pct"/>
            <w:gridSpan w:val="7"/>
            <w:shd w:val="clear" w:color="auto" w:fill="auto"/>
            <w:vAlign w:val="center"/>
          </w:tcPr>
          <w:p w14:paraId="7D0E0884" w14:textId="3B2B4AF8" w:rsidR="00B70930" w:rsidRPr="000C453B" w:rsidRDefault="00B70930" w:rsidP="00B70930">
            <w:pPr>
              <w:pStyle w:val="Tableheadingrow"/>
              <w:rPr>
                <w:szCs w:val="20"/>
                <w:lang w:val="en-AU"/>
              </w:rPr>
            </w:pPr>
            <w:r w:rsidRPr="000C453B">
              <w:rPr>
                <w:szCs w:val="20"/>
                <w:lang w:val="en-AU"/>
              </w:rPr>
              <w:t>Estimated financial implications of</w:t>
            </w:r>
            <w:r w:rsidR="001A6CE2" w:rsidRPr="000C453B">
              <w:rPr>
                <w:szCs w:val="20"/>
                <w:lang w:val="en-AU"/>
              </w:rPr>
              <w:t xml:space="preserve"> </w:t>
            </w:r>
            <w:proofErr w:type="spellStart"/>
            <w:r w:rsidR="001A6CE2" w:rsidRPr="000C453B">
              <w:rPr>
                <w:szCs w:val="20"/>
                <w:lang w:val="en-AU"/>
              </w:rPr>
              <w:t>pegcetacoplan</w:t>
            </w:r>
            <w:proofErr w:type="spellEnd"/>
          </w:p>
        </w:tc>
      </w:tr>
      <w:tr w:rsidR="0096407E" w:rsidRPr="00746BBB" w14:paraId="4B4ACF1A" w14:textId="77777777" w:rsidTr="0096407E">
        <w:tc>
          <w:tcPr>
            <w:tcW w:w="1648" w:type="pct"/>
            <w:shd w:val="clear" w:color="auto" w:fill="auto"/>
            <w:vAlign w:val="center"/>
          </w:tcPr>
          <w:p w14:paraId="467993BD" w14:textId="5C607EE1" w:rsidR="001A6CE2" w:rsidRPr="000C453B" w:rsidRDefault="001A6CE2" w:rsidP="001A6CE2">
            <w:pPr>
              <w:pStyle w:val="TableText"/>
              <w:rPr>
                <w:szCs w:val="20"/>
              </w:rPr>
            </w:pPr>
            <w:r w:rsidRPr="000C453B">
              <w:rPr>
                <w:szCs w:val="20"/>
              </w:rPr>
              <w:t xml:space="preserve">Cost to PBS less </w:t>
            </w:r>
            <w:r w:rsidR="00EB40F2" w:rsidRPr="000C453B">
              <w:rPr>
                <w:szCs w:val="20"/>
              </w:rPr>
              <w:t>co-pay</w:t>
            </w:r>
            <w:r w:rsidR="00790945">
              <w:rPr>
                <w:szCs w:val="20"/>
              </w:rPr>
              <w:t xml:space="preserve"> ($)</w:t>
            </w:r>
          </w:p>
        </w:tc>
        <w:tc>
          <w:tcPr>
            <w:tcW w:w="550" w:type="pct"/>
            <w:shd w:val="clear" w:color="auto" w:fill="auto"/>
          </w:tcPr>
          <w:p w14:paraId="4125A2B6" w14:textId="4613725B" w:rsidR="001A6CE2" w:rsidRPr="00147531" w:rsidRDefault="005126B1" w:rsidP="001A6CE2">
            <w:pPr>
              <w:pStyle w:val="TableText"/>
              <w:jc w:val="center"/>
              <w:rPr>
                <w:szCs w:val="20"/>
                <w:highlight w:val="yellow"/>
              </w:rPr>
            </w:pPr>
            <w:r w:rsidRPr="005126B1">
              <w:rPr>
                <w:rFonts w:hint="eastAsia"/>
                <w:color w:val="000000"/>
                <w:w w:val="22"/>
                <w:szCs w:val="20"/>
                <w:shd w:val="solid" w:color="000000" w:fill="000000"/>
                <w:fitText w:val="100" w:id="-1500841472"/>
                <w14:textFill>
                  <w14:solidFill>
                    <w14:srgbClr w14:val="000000">
                      <w14:alpha w14:val="100000"/>
                    </w14:srgbClr>
                  </w14:solidFill>
                </w14:textFill>
              </w:rPr>
              <w:t xml:space="preserve">　</w:t>
            </w:r>
            <w:r w:rsidRPr="005126B1">
              <w:rPr>
                <w:color w:val="000000"/>
                <w:w w:val="22"/>
                <w:szCs w:val="20"/>
                <w:shd w:val="solid" w:color="000000" w:fill="000000"/>
                <w:fitText w:val="100" w:id="-1500841472"/>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72"/>
                <w14:textFill>
                  <w14:solidFill>
                    <w14:srgbClr w14:val="000000">
                      <w14:alpha w14:val="100000"/>
                    </w14:srgbClr>
                  </w14:solidFill>
                </w14:textFill>
              </w:rPr>
              <w:t xml:space="preserve">　</w:t>
            </w:r>
            <w:r w:rsidR="00147531" w:rsidRPr="00147531">
              <w:rPr>
                <w:szCs w:val="20"/>
                <w:vertAlign w:val="superscript"/>
              </w:rPr>
              <w:t>3</w:t>
            </w:r>
          </w:p>
        </w:tc>
        <w:tc>
          <w:tcPr>
            <w:tcW w:w="551" w:type="pct"/>
            <w:shd w:val="clear" w:color="auto" w:fill="auto"/>
          </w:tcPr>
          <w:p w14:paraId="5BDFECEB" w14:textId="6D3747ED" w:rsidR="001A6CE2" w:rsidRPr="00790945" w:rsidRDefault="005126B1" w:rsidP="001A6CE2">
            <w:pPr>
              <w:pStyle w:val="TableText"/>
              <w:jc w:val="center"/>
              <w:rPr>
                <w:szCs w:val="20"/>
                <w:highlight w:val="yellow"/>
              </w:rPr>
            </w:pPr>
            <w:r w:rsidRPr="005126B1">
              <w:rPr>
                <w:rFonts w:hint="eastAsia"/>
                <w:color w:val="000000"/>
                <w:w w:val="22"/>
                <w:szCs w:val="20"/>
                <w:shd w:val="solid" w:color="000000" w:fill="000000"/>
                <w:fitText w:val="100" w:id="-1500841471"/>
                <w14:textFill>
                  <w14:solidFill>
                    <w14:srgbClr w14:val="000000">
                      <w14:alpha w14:val="100000"/>
                    </w14:srgbClr>
                  </w14:solidFill>
                </w14:textFill>
              </w:rPr>
              <w:t xml:space="preserve">　</w:t>
            </w:r>
            <w:r w:rsidRPr="005126B1">
              <w:rPr>
                <w:color w:val="000000"/>
                <w:w w:val="22"/>
                <w:szCs w:val="20"/>
                <w:shd w:val="solid" w:color="000000" w:fill="000000"/>
                <w:fitText w:val="100" w:id="-1500841471"/>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71"/>
                <w14:textFill>
                  <w14:solidFill>
                    <w14:srgbClr w14:val="000000">
                      <w14:alpha w14:val="100000"/>
                    </w14:srgbClr>
                  </w14:solidFill>
                </w14:textFill>
              </w:rPr>
              <w:t xml:space="preserve">　</w:t>
            </w:r>
            <w:r w:rsidR="00147531" w:rsidRPr="00147531">
              <w:rPr>
                <w:szCs w:val="20"/>
                <w:vertAlign w:val="superscript"/>
              </w:rPr>
              <w:t>3</w:t>
            </w:r>
          </w:p>
        </w:tc>
        <w:tc>
          <w:tcPr>
            <w:tcW w:w="550" w:type="pct"/>
            <w:shd w:val="clear" w:color="auto" w:fill="auto"/>
          </w:tcPr>
          <w:p w14:paraId="3890D42E" w14:textId="4C36873F" w:rsidR="001A6CE2" w:rsidRPr="00790945" w:rsidRDefault="005126B1" w:rsidP="001A6CE2">
            <w:pPr>
              <w:pStyle w:val="TableText"/>
              <w:jc w:val="center"/>
              <w:rPr>
                <w:szCs w:val="20"/>
                <w:highlight w:val="yellow"/>
              </w:rPr>
            </w:pPr>
            <w:r w:rsidRPr="005126B1">
              <w:rPr>
                <w:rFonts w:hint="eastAsia"/>
                <w:color w:val="000000"/>
                <w:w w:val="22"/>
                <w:szCs w:val="20"/>
                <w:shd w:val="solid" w:color="000000" w:fill="000000"/>
                <w:fitText w:val="100" w:id="-1500841470"/>
                <w14:textFill>
                  <w14:solidFill>
                    <w14:srgbClr w14:val="000000">
                      <w14:alpha w14:val="100000"/>
                    </w14:srgbClr>
                  </w14:solidFill>
                </w14:textFill>
              </w:rPr>
              <w:t xml:space="preserve">　</w:t>
            </w:r>
            <w:r w:rsidRPr="005126B1">
              <w:rPr>
                <w:color w:val="000000"/>
                <w:w w:val="22"/>
                <w:szCs w:val="20"/>
                <w:shd w:val="solid" w:color="000000" w:fill="000000"/>
                <w:fitText w:val="100" w:id="-1500841470"/>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70"/>
                <w14:textFill>
                  <w14:solidFill>
                    <w14:srgbClr w14:val="000000">
                      <w14:alpha w14:val="100000"/>
                    </w14:srgbClr>
                  </w14:solidFill>
                </w14:textFill>
              </w:rPr>
              <w:t xml:space="preserve">　</w:t>
            </w:r>
            <w:r w:rsidR="00147531" w:rsidRPr="00147531">
              <w:rPr>
                <w:szCs w:val="20"/>
                <w:vertAlign w:val="superscript"/>
              </w:rPr>
              <w:t>3</w:t>
            </w:r>
          </w:p>
        </w:tc>
        <w:tc>
          <w:tcPr>
            <w:tcW w:w="550" w:type="pct"/>
            <w:shd w:val="clear" w:color="auto" w:fill="auto"/>
          </w:tcPr>
          <w:p w14:paraId="2728B643" w14:textId="4455718F" w:rsidR="001A6CE2" w:rsidRPr="00790945" w:rsidRDefault="005126B1" w:rsidP="001A6CE2">
            <w:pPr>
              <w:pStyle w:val="TableText"/>
              <w:jc w:val="center"/>
              <w:rPr>
                <w:szCs w:val="20"/>
                <w:highlight w:val="yellow"/>
              </w:rPr>
            </w:pPr>
            <w:r w:rsidRPr="005126B1">
              <w:rPr>
                <w:rFonts w:hint="eastAsia"/>
                <w:color w:val="000000"/>
                <w:w w:val="22"/>
                <w:szCs w:val="20"/>
                <w:shd w:val="solid" w:color="000000" w:fill="000000"/>
                <w:fitText w:val="101" w:id="-1500841469"/>
                <w14:textFill>
                  <w14:solidFill>
                    <w14:srgbClr w14:val="000000">
                      <w14:alpha w14:val="100000"/>
                    </w14:srgbClr>
                  </w14:solidFill>
                </w14:textFill>
              </w:rPr>
              <w:t xml:space="preserve">　</w:t>
            </w:r>
            <w:r w:rsidRPr="005126B1">
              <w:rPr>
                <w:color w:val="000000"/>
                <w:w w:val="22"/>
                <w:szCs w:val="20"/>
                <w:shd w:val="solid" w:color="000000" w:fill="000000"/>
                <w:fitText w:val="101" w:id="-1500841469"/>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69"/>
                <w14:textFill>
                  <w14:solidFill>
                    <w14:srgbClr w14:val="000000">
                      <w14:alpha w14:val="100000"/>
                    </w14:srgbClr>
                  </w14:solidFill>
                </w14:textFill>
              </w:rPr>
              <w:t xml:space="preserve">　</w:t>
            </w:r>
            <w:r w:rsidR="00147531" w:rsidRPr="00147531">
              <w:rPr>
                <w:szCs w:val="20"/>
                <w:vertAlign w:val="superscript"/>
              </w:rPr>
              <w:t>3</w:t>
            </w:r>
          </w:p>
        </w:tc>
        <w:tc>
          <w:tcPr>
            <w:tcW w:w="551" w:type="pct"/>
            <w:shd w:val="clear" w:color="auto" w:fill="auto"/>
          </w:tcPr>
          <w:p w14:paraId="5FE5021A" w14:textId="66F0E30D" w:rsidR="001A6CE2" w:rsidRPr="00790945" w:rsidRDefault="005126B1" w:rsidP="001A6CE2">
            <w:pPr>
              <w:pStyle w:val="TableText"/>
              <w:jc w:val="center"/>
              <w:rPr>
                <w:szCs w:val="20"/>
                <w:highlight w:val="yellow"/>
              </w:rPr>
            </w:pPr>
            <w:r w:rsidRPr="005126B1">
              <w:rPr>
                <w:rFonts w:hint="eastAsia"/>
                <w:color w:val="000000"/>
                <w:w w:val="22"/>
                <w:szCs w:val="20"/>
                <w:shd w:val="solid" w:color="000000" w:fill="000000"/>
                <w:fitText w:val="100" w:id="-1500841468"/>
                <w14:textFill>
                  <w14:solidFill>
                    <w14:srgbClr w14:val="000000">
                      <w14:alpha w14:val="100000"/>
                    </w14:srgbClr>
                  </w14:solidFill>
                </w14:textFill>
              </w:rPr>
              <w:t xml:space="preserve">　</w:t>
            </w:r>
            <w:r w:rsidRPr="005126B1">
              <w:rPr>
                <w:color w:val="000000"/>
                <w:w w:val="22"/>
                <w:szCs w:val="20"/>
                <w:shd w:val="solid" w:color="000000" w:fill="000000"/>
                <w:fitText w:val="100" w:id="-1500841468"/>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8"/>
                <w14:textFill>
                  <w14:solidFill>
                    <w14:srgbClr w14:val="000000">
                      <w14:alpha w14:val="100000"/>
                    </w14:srgbClr>
                  </w14:solidFill>
                </w14:textFill>
              </w:rPr>
              <w:t xml:space="preserve">　</w:t>
            </w:r>
            <w:r w:rsidR="00147531" w:rsidRPr="00147531">
              <w:rPr>
                <w:szCs w:val="20"/>
                <w:vertAlign w:val="superscript"/>
              </w:rPr>
              <w:t>3</w:t>
            </w:r>
          </w:p>
        </w:tc>
        <w:tc>
          <w:tcPr>
            <w:tcW w:w="600" w:type="pct"/>
          </w:tcPr>
          <w:p w14:paraId="6F8E9082" w14:textId="699770D5" w:rsidR="001A6CE2" w:rsidRPr="00790945" w:rsidRDefault="005126B1" w:rsidP="001A6CE2">
            <w:pPr>
              <w:pStyle w:val="TableText"/>
              <w:jc w:val="center"/>
              <w:rPr>
                <w:szCs w:val="20"/>
                <w:highlight w:val="yellow"/>
              </w:rPr>
            </w:pPr>
            <w:r w:rsidRPr="005126B1">
              <w:rPr>
                <w:rFonts w:hint="eastAsia"/>
                <w:color w:val="000000"/>
                <w:w w:val="15"/>
                <w:szCs w:val="20"/>
                <w:shd w:val="solid" w:color="000000" w:fill="000000"/>
                <w:fitText w:val="62" w:id="-1500841467"/>
                <w14:textFill>
                  <w14:solidFill>
                    <w14:srgbClr w14:val="000000">
                      <w14:alpha w14:val="100000"/>
                    </w14:srgbClr>
                  </w14:solidFill>
                </w14:textFill>
              </w:rPr>
              <w:t xml:space="preserve">　</w:t>
            </w:r>
            <w:r w:rsidRPr="005126B1">
              <w:rPr>
                <w:color w:val="000000"/>
                <w:w w:val="15"/>
                <w:szCs w:val="20"/>
                <w:shd w:val="solid" w:color="000000" w:fill="000000"/>
                <w:fitText w:val="62" w:id="-1500841467"/>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67"/>
                <w14:textFill>
                  <w14:solidFill>
                    <w14:srgbClr w14:val="000000">
                      <w14:alpha w14:val="100000"/>
                    </w14:srgbClr>
                  </w14:solidFill>
                </w14:textFill>
              </w:rPr>
              <w:t xml:space="preserve">　</w:t>
            </w:r>
            <w:r w:rsidR="00147531" w:rsidRPr="00147531">
              <w:rPr>
                <w:szCs w:val="20"/>
                <w:vertAlign w:val="superscript"/>
              </w:rPr>
              <w:t>3</w:t>
            </w:r>
          </w:p>
        </w:tc>
      </w:tr>
      <w:tr w:rsidR="00B70930" w:rsidRPr="00746BBB" w14:paraId="344AC0E2" w14:textId="77777777" w:rsidTr="009C3A3A">
        <w:tc>
          <w:tcPr>
            <w:tcW w:w="5000" w:type="pct"/>
            <w:gridSpan w:val="7"/>
            <w:shd w:val="clear" w:color="auto" w:fill="auto"/>
            <w:vAlign w:val="center"/>
          </w:tcPr>
          <w:p w14:paraId="0FF7E64D" w14:textId="6FAC8965" w:rsidR="00B70930" w:rsidRPr="000C453B" w:rsidRDefault="00073573" w:rsidP="00B70930">
            <w:pPr>
              <w:pStyle w:val="TableText"/>
              <w:rPr>
                <w:b/>
                <w:bCs w:val="0"/>
                <w:szCs w:val="20"/>
              </w:rPr>
            </w:pPr>
            <w:r w:rsidRPr="000C453B">
              <w:rPr>
                <w:b/>
                <w:bCs w:val="0"/>
                <w:szCs w:val="20"/>
              </w:rPr>
              <w:t>Change in utilisation of other medicines</w:t>
            </w:r>
          </w:p>
        </w:tc>
      </w:tr>
      <w:tr w:rsidR="0096407E" w:rsidRPr="00746BBB" w14:paraId="0CE077D9" w14:textId="77777777" w:rsidTr="0096407E">
        <w:tc>
          <w:tcPr>
            <w:tcW w:w="1648" w:type="pct"/>
            <w:shd w:val="clear" w:color="auto" w:fill="auto"/>
            <w:vAlign w:val="center"/>
          </w:tcPr>
          <w:p w14:paraId="40F6A2C5" w14:textId="57AD9C2D" w:rsidR="00A4245F" w:rsidRPr="000C453B" w:rsidRDefault="00A4245F" w:rsidP="00A4245F">
            <w:pPr>
              <w:pStyle w:val="TableText"/>
              <w:rPr>
                <w:szCs w:val="20"/>
              </w:rPr>
            </w:pPr>
            <w:r w:rsidRPr="000C453B">
              <w:rPr>
                <w:szCs w:val="20"/>
              </w:rPr>
              <w:t xml:space="preserve">PBS cost of displaced </w:t>
            </w:r>
            <w:proofErr w:type="spellStart"/>
            <w:r w:rsidRPr="000C453B">
              <w:rPr>
                <w:szCs w:val="20"/>
              </w:rPr>
              <w:t>ravulizumab</w:t>
            </w:r>
            <w:proofErr w:type="spellEnd"/>
            <w:r w:rsidRPr="000C453B">
              <w:rPr>
                <w:szCs w:val="20"/>
              </w:rPr>
              <w:t xml:space="preserve"> less </w:t>
            </w:r>
            <w:r w:rsidR="00EB40F2" w:rsidRPr="000C453B">
              <w:rPr>
                <w:szCs w:val="20"/>
              </w:rPr>
              <w:t>co</w:t>
            </w:r>
            <w:r w:rsidR="0096407E">
              <w:rPr>
                <w:szCs w:val="20"/>
              </w:rPr>
              <w:t>-</w:t>
            </w:r>
            <w:r w:rsidR="00EB40F2" w:rsidRPr="000C453B">
              <w:rPr>
                <w:szCs w:val="20"/>
              </w:rPr>
              <w:t>p</w:t>
            </w:r>
            <w:r w:rsidR="0096407E">
              <w:rPr>
                <w:szCs w:val="20"/>
              </w:rPr>
              <w:t>a</w:t>
            </w:r>
            <w:r w:rsidR="00EB40F2" w:rsidRPr="000C453B">
              <w:rPr>
                <w:szCs w:val="20"/>
              </w:rPr>
              <w:t>y</w:t>
            </w:r>
          </w:p>
        </w:tc>
        <w:tc>
          <w:tcPr>
            <w:tcW w:w="550" w:type="pct"/>
            <w:shd w:val="clear" w:color="auto" w:fill="auto"/>
            <w:vAlign w:val="center"/>
          </w:tcPr>
          <w:p w14:paraId="50CF2446" w14:textId="0E80257A" w:rsidR="00A4245F"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66"/>
                <w14:textFill>
                  <w14:solidFill>
                    <w14:srgbClr w14:val="000000">
                      <w14:alpha w14:val="100000"/>
                    </w14:srgbClr>
                  </w14:solidFill>
                </w14:textFill>
              </w:rPr>
              <w:t xml:space="preserve">　</w:t>
            </w:r>
            <w:r w:rsidRPr="005126B1">
              <w:rPr>
                <w:color w:val="000000"/>
                <w:w w:val="22"/>
                <w:szCs w:val="20"/>
                <w:shd w:val="solid" w:color="000000" w:fill="000000"/>
                <w:fitText w:val="100" w:id="-1500841466"/>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6"/>
                <w14:textFill>
                  <w14:solidFill>
                    <w14:srgbClr w14:val="000000">
                      <w14:alpha w14:val="100000"/>
                    </w14:srgbClr>
                  </w14:solidFill>
                </w14:textFill>
              </w:rPr>
              <w:t xml:space="preserve">　</w:t>
            </w:r>
            <w:r w:rsidR="00147531" w:rsidRPr="00147531">
              <w:rPr>
                <w:szCs w:val="20"/>
                <w:vertAlign w:val="superscript"/>
              </w:rPr>
              <w:t>3</w:t>
            </w:r>
          </w:p>
        </w:tc>
        <w:tc>
          <w:tcPr>
            <w:tcW w:w="551" w:type="pct"/>
            <w:shd w:val="clear" w:color="auto" w:fill="auto"/>
            <w:vAlign w:val="center"/>
          </w:tcPr>
          <w:p w14:paraId="35AF80ED" w14:textId="07422588" w:rsidR="00A4245F"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65"/>
                <w14:textFill>
                  <w14:solidFill>
                    <w14:srgbClr w14:val="000000">
                      <w14:alpha w14:val="100000"/>
                    </w14:srgbClr>
                  </w14:solidFill>
                </w14:textFill>
              </w:rPr>
              <w:t xml:space="preserve">　</w:t>
            </w:r>
            <w:r w:rsidRPr="005126B1">
              <w:rPr>
                <w:color w:val="000000"/>
                <w:w w:val="22"/>
                <w:szCs w:val="20"/>
                <w:shd w:val="solid" w:color="000000" w:fill="000000"/>
                <w:fitText w:val="100" w:id="-1500841465"/>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5"/>
                <w14:textFill>
                  <w14:solidFill>
                    <w14:srgbClr w14:val="000000">
                      <w14:alpha w14:val="100000"/>
                    </w14:srgbClr>
                  </w14:solidFill>
                </w14:textFill>
              </w:rPr>
              <w:t xml:space="preserve">　</w:t>
            </w:r>
            <w:r w:rsidR="00147531" w:rsidRPr="00147531">
              <w:rPr>
                <w:szCs w:val="20"/>
                <w:vertAlign w:val="superscript"/>
              </w:rPr>
              <w:t>3</w:t>
            </w:r>
          </w:p>
        </w:tc>
        <w:tc>
          <w:tcPr>
            <w:tcW w:w="550" w:type="pct"/>
            <w:shd w:val="clear" w:color="auto" w:fill="auto"/>
            <w:vAlign w:val="center"/>
          </w:tcPr>
          <w:p w14:paraId="28F1C25D" w14:textId="3B7B579A" w:rsidR="00A4245F"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64"/>
                <w14:textFill>
                  <w14:solidFill>
                    <w14:srgbClr w14:val="000000">
                      <w14:alpha w14:val="100000"/>
                    </w14:srgbClr>
                  </w14:solidFill>
                </w14:textFill>
              </w:rPr>
              <w:t xml:space="preserve">　</w:t>
            </w:r>
            <w:r w:rsidRPr="005126B1">
              <w:rPr>
                <w:color w:val="000000"/>
                <w:w w:val="22"/>
                <w:szCs w:val="20"/>
                <w:shd w:val="solid" w:color="000000" w:fill="000000"/>
                <w:fitText w:val="100" w:id="-1500841464"/>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4"/>
                <w14:textFill>
                  <w14:solidFill>
                    <w14:srgbClr w14:val="000000">
                      <w14:alpha w14:val="100000"/>
                    </w14:srgbClr>
                  </w14:solidFill>
                </w14:textFill>
              </w:rPr>
              <w:t xml:space="preserve">　</w:t>
            </w:r>
            <w:r w:rsidR="00147531" w:rsidRPr="00147531">
              <w:rPr>
                <w:szCs w:val="20"/>
                <w:vertAlign w:val="superscript"/>
              </w:rPr>
              <w:t>3</w:t>
            </w:r>
          </w:p>
        </w:tc>
        <w:tc>
          <w:tcPr>
            <w:tcW w:w="550" w:type="pct"/>
            <w:shd w:val="clear" w:color="auto" w:fill="auto"/>
            <w:vAlign w:val="center"/>
          </w:tcPr>
          <w:p w14:paraId="5DBA4173" w14:textId="2B7F1BAE" w:rsidR="00A4245F"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1" w:id="-1500841463"/>
                <w14:textFill>
                  <w14:solidFill>
                    <w14:srgbClr w14:val="000000">
                      <w14:alpha w14:val="100000"/>
                    </w14:srgbClr>
                  </w14:solidFill>
                </w14:textFill>
              </w:rPr>
              <w:t xml:space="preserve">　</w:t>
            </w:r>
            <w:r w:rsidRPr="005126B1">
              <w:rPr>
                <w:color w:val="000000"/>
                <w:w w:val="22"/>
                <w:szCs w:val="20"/>
                <w:shd w:val="solid" w:color="000000" w:fill="000000"/>
                <w:fitText w:val="101" w:id="-1500841463"/>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63"/>
                <w14:textFill>
                  <w14:solidFill>
                    <w14:srgbClr w14:val="000000">
                      <w14:alpha w14:val="100000"/>
                    </w14:srgbClr>
                  </w14:solidFill>
                </w14:textFill>
              </w:rPr>
              <w:t xml:space="preserve">　</w:t>
            </w:r>
            <w:r w:rsidR="00147531" w:rsidRPr="00147531">
              <w:rPr>
                <w:szCs w:val="20"/>
                <w:vertAlign w:val="superscript"/>
              </w:rPr>
              <w:t>3</w:t>
            </w:r>
          </w:p>
        </w:tc>
        <w:tc>
          <w:tcPr>
            <w:tcW w:w="551" w:type="pct"/>
            <w:shd w:val="clear" w:color="auto" w:fill="auto"/>
            <w:vAlign w:val="center"/>
          </w:tcPr>
          <w:p w14:paraId="4D6DC68C" w14:textId="66274300" w:rsidR="00A4245F"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62"/>
                <w14:textFill>
                  <w14:solidFill>
                    <w14:srgbClr w14:val="000000">
                      <w14:alpha w14:val="100000"/>
                    </w14:srgbClr>
                  </w14:solidFill>
                </w14:textFill>
              </w:rPr>
              <w:t xml:space="preserve">　</w:t>
            </w:r>
            <w:r w:rsidRPr="005126B1">
              <w:rPr>
                <w:color w:val="000000"/>
                <w:w w:val="22"/>
                <w:szCs w:val="20"/>
                <w:shd w:val="solid" w:color="000000" w:fill="000000"/>
                <w:fitText w:val="100" w:id="-1500841462"/>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2"/>
                <w14:textFill>
                  <w14:solidFill>
                    <w14:srgbClr w14:val="000000">
                      <w14:alpha w14:val="100000"/>
                    </w14:srgbClr>
                  </w14:solidFill>
                </w14:textFill>
              </w:rPr>
              <w:t xml:space="preserve">　</w:t>
            </w:r>
            <w:r w:rsidR="00147531" w:rsidRPr="00147531">
              <w:rPr>
                <w:szCs w:val="20"/>
                <w:vertAlign w:val="superscript"/>
              </w:rPr>
              <w:t>3</w:t>
            </w:r>
          </w:p>
        </w:tc>
        <w:tc>
          <w:tcPr>
            <w:tcW w:w="600" w:type="pct"/>
            <w:vAlign w:val="center"/>
          </w:tcPr>
          <w:p w14:paraId="0766C6AC" w14:textId="6A289C3B" w:rsidR="00A4245F" w:rsidRPr="00790945" w:rsidRDefault="005126B1" w:rsidP="00E04378">
            <w:pPr>
              <w:pStyle w:val="TableText"/>
              <w:jc w:val="center"/>
              <w:rPr>
                <w:szCs w:val="20"/>
                <w:highlight w:val="yellow"/>
              </w:rPr>
            </w:pPr>
            <w:r w:rsidRPr="005126B1">
              <w:rPr>
                <w:rFonts w:hint="eastAsia"/>
                <w:color w:val="000000"/>
                <w:w w:val="15"/>
                <w:szCs w:val="20"/>
                <w:shd w:val="solid" w:color="000000" w:fill="000000"/>
                <w:fitText w:val="62" w:id="-1500841461"/>
                <w14:textFill>
                  <w14:solidFill>
                    <w14:srgbClr w14:val="000000">
                      <w14:alpha w14:val="100000"/>
                    </w14:srgbClr>
                  </w14:solidFill>
                </w14:textFill>
              </w:rPr>
              <w:t xml:space="preserve">　</w:t>
            </w:r>
            <w:r w:rsidRPr="005126B1">
              <w:rPr>
                <w:color w:val="000000"/>
                <w:w w:val="15"/>
                <w:szCs w:val="20"/>
                <w:shd w:val="solid" w:color="000000" w:fill="000000"/>
                <w:fitText w:val="62" w:id="-1500841461"/>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61"/>
                <w14:textFill>
                  <w14:solidFill>
                    <w14:srgbClr w14:val="000000">
                      <w14:alpha w14:val="100000"/>
                    </w14:srgbClr>
                  </w14:solidFill>
                </w14:textFill>
              </w:rPr>
              <w:t xml:space="preserve">　</w:t>
            </w:r>
            <w:r w:rsidR="00147531" w:rsidRPr="00147531">
              <w:rPr>
                <w:szCs w:val="20"/>
                <w:vertAlign w:val="superscript"/>
              </w:rPr>
              <w:t>3</w:t>
            </w:r>
          </w:p>
        </w:tc>
      </w:tr>
      <w:tr w:rsidR="0096407E" w:rsidRPr="00746BBB" w14:paraId="68185AB5" w14:textId="77777777" w:rsidTr="0096407E">
        <w:tc>
          <w:tcPr>
            <w:tcW w:w="1648" w:type="pct"/>
            <w:shd w:val="clear" w:color="auto" w:fill="auto"/>
            <w:vAlign w:val="center"/>
          </w:tcPr>
          <w:p w14:paraId="6BF11E2D" w14:textId="21667473" w:rsidR="00E04378" w:rsidRPr="000C453B" w:rsidRDefault="00E04378" w:rsidP="00E04378">
            <w:pPr>
              <w:pStyle w:val="TableText"/>
              <w:rPr>
                <w:szCs w:val="20"/>
              </w:rPr>
            </w:pPr>
            <w:r w:rsidRPr="000C453B">
              <w:rPr>
                <w:szCs w:val="20"/>
              </w:rPr>
              <w:t xml:space="preserve">PBS cost of displaced iron chelation therapies less </w:t>
            </w:r>
            <w:r w:rsidR="00EB40F2" w:rsidRPr="000C453B">
              <w:rPr>
                <w:szCs w:val="20"/>
              </w:rPr>
              <w:t>co-pay</w:t>
            </w:r>
          </w:p>
        </w:tc>
        <w:tc>
          <w:tcPr>
            <w:tcW w:w="550" w:type="pct"/>
            <w:shd w:val="clear" w:color="auto" w:fill="auto"/>
            <w:vAlign w:val="center"/>
          </w:tcPr>
          <w:p w14:paraId="1C1F8DA0" w14:textId="12F5458C" w:rsidR="00E04378" w:rsidRPr="00147531"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60"/>
                <w14:textFill>
                  <w14:solidFill>
                    <w14:srgbClr w14:val="000000">
                      <w14:alpha w14:val="100000"/>
                    </w14:srgbClr>
                  </w14:solidFill>
                </w14:textFill>
              </w:rPr>
              <w:t xml:space="preserve">　</w:t>
            </w:r>
            <w:r w:rsidRPr="005126B1">
              <w:rPr>
                <w:color w:val="000000"/>
                <w:w w:val="22"/>
                <w:szCs w:val="20"/>
                <w:shd w:val="solid" w:color="000000" w:fill="000000"/>
                <w:fitText w:val="100" w:id="-1500841460"/>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60"/>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vAlign w:val="center"/>
          </w:tcPr>
          <w:p w14:paraId="0188EE8C" w14:textId="269A8F88" w:rsidR="00E04378"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59"/>
                <w14:textFill>
                  <w14:solidFill>
                    <w14:srgbClr w14:val="000000">
                      <w14:alpha w14:val="100000"/>
                    </w14:srgbClr>
                  </w14:solidFill>
                </w14:textFill>
              </w:rPr>
              <w:t xml:space="preserve">　</w:t>
            </w:r>
            <w:r w:rsidRPr="005126B1">
              <w:rPr>
                <w:color w:val="000000"/>
                <w:w w:val="22"/>
                <w:szCs w:val="20"/>
                <w:shd w:val="solid" w:color="000000" w:fill="000000"/>
                <w:fitText w:val="100" w:id="-1500841459"/>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9"/>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vAlign w:val="center"/>
          </w:tcPr>
          <w:p w14:paraId="7D3425E8" w14:textId="13DF4854" w:rsidR="00E04378"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58"/>
                <w14:textFill>
                  <w14:solidFill>
                    <w14:srgbClr w14:val="000000">
                      <w14:alpha w14:val="100000"/>
                    </w14:srgbClr>
                  </w14:solidFill>
                </w14:textFill>
              </w:rPr>
              <w:t xml:space="preserve">　</w:t>
            </w:r>
            <w:r w:rsidRPr="005126B1">
              <w:rPr>
                <w:color w:val="000000"/>
                <w:w w:val="22"/>
                <w:szCs w:val="20"/>
                <w:shd w:val="solid" w:color="000000" w:fill="000000"/>
                <w:fitText w:val="100" w:id="-1500841458"/>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8"/>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vAlign w:val="center"/>
          </w:tcPr>
          <w:p w14:paraId="549F2633" w14:textId="679A0074" w:rsidR="00E04378"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1" w:id="-1500841457"/>
                <w14:textFill>
                  <w14:solidFill>
                    <w14:srgbClr w14:val="000000">
                      <w14:alpha w14:val="100000"/>
                    </w14:srgbClr>
                  </w14:solidFill>
                </w14:textFill>
              </w:rPr>
              <w:t xml:space="preserve">　</w:t>
            </w:r>
            <w:r w:rsidRPr="005126B1">
              <w:rPr>
                <w:color w:val="000000"/>
                <w:w w:val="22"/>
                <w:szCs w:val="20"/>
                <w:shd w:val="solid" w:color="000000" w:fill="000000"/>
                <w:fitText w:val="101" w:id="-1500841457"/>
                <w14:textFill>
                  <w14:solidFill>
                    <w14:srgbClr w14:val="000000">
                      <w14:alpha w14:val="100000"/>
                    </w14:srgbClr>
                  </w14:solidFill>
                </w14:textFill>
              </w:rPr>
              <w:t>|</w:t>
            </w:r>
            <w:r w:rsidRPr="005126B1">
              <w:rPr>
                <w:rFonts w:hint="eastAsia"/>
                <w:color w:val="000000"/>
                <w:spacing w:val="4"/>
                <w:w w:val="22"/>
                <w:szCs w:val="20"/>
                <w:shd w:val="solid" w:color="000000" w:fill="000000"/>
                <w:fitText w:val="101" w:id="-1500841457"/>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vAlign w:val="center"/>
          </w:tcPr>
          <w:p w14:paraId="78894DB6" w14:textId="2EFD5CC0" w:rsidR="00E04378" w:rsidRPr="00790945" w:rsidRDefault="005126B1" w:rsidP="00E04378">
            <w:pPr>
              <w:pStyle w:val="TableText"/>
              <w:jc w:val="center"/>
              <w:rPr>
                <w:szCs w:val="20"/>
                <w:highlight w:val="yellow"/>
              </w:rPr>
            </w:pPr>
            <w:r w:rsidRPr="005126B1">
              <w:rPr>
                <w:rFonts w:hint="eastAsia"/>
                <w:color w:val="000000"/>
                <w:w w:val="22"/>
                <w:szCs w:val="20"/>
                <w:shd w:val="solid" w:color="000000" w:fill="000000"/>
                <w:fitText w:val="100" w:id="-1500841456"/>
                <w14:textFill>
                  <w14:solidFill>
                    <w14:srgbClr w14:val="000000">
                      <w14:alpha w14:val="100000"/>
                    </w14:srgbClr>
                  </w14:solidFill>
                </w14:textFill>
              </w:rPr>
              <w:t xml:space="preserve">　</w:t>
            </w:r>
            <w:r w:rsidRPr="005126B1">
              <w:rPr>
                <w:color w:val="000000"/>
                <w:w w:val="22"/>
                <w:szCs w:val="20"/>
                <w:shd w:val="solid" w:color="000000" w:fill="000000"/>
                <w:fitText w:val="100" w:id="-1500841456"/>
                <w14:textFill>
                  <w14:solidFill>
                    <w14:srgbClr w14:val="000000">
                      <w14:alpha w14:val="100000"/>
                    </w14:srgbClr>
                  </w14:solidFill>
                </w14:textFill>
              </w:rPr>
              <w:t>|</w:t>
            </w:r>
            <w:r w:rsidRPr="005126B1">
              <w:rPr>
                <w:rFonts w:hint="eastAsia"/>
                <w:color w:val="000000"/>
                <w:spacing w:val="3"/>
                <w:w w:val="22"/>
                <w:szCs w:val="20"/>
                <w:shd w:val="solid" w:color="000000" w:fill="000000"/>
                <w:fitText w:val="100" w:id="-1500841456"/>
                <w14:textFill>
                  <w14:solidFill>
                    <w14:srgbClr w14:val="000000">
                      <w14:alpha w14:val="100000"/>
                    </w14:srgbClr>
                  </w14:solidFill>
                </w14:textFill>
              </w:rPr>
              <w:t xml:space="preserve">　</w:t>
            </w:r>
            <w:r w:rsidR="00147531" w:rsidRPr="00147531">
              <w:rPr>
                <w:szCs w:val="20"/>
                <w:vertAlign w:val="superscript"/>
              </w:rPr>
              <w:t>4</w:t>
            </w:r>
          </w:p>
        </w:tc>
        <w:tc>
          <w:tcPr>
            <w:tcW w:w="600" w:type="pct"/>
            <w:vAlign w:val="center"/>
          </w:tcPr>
          <w:p w14:paraId="4677417E" w14:textId="3F88F006" w:rsidR="00E04378" w:rsidRPr="00790945" w:rsidRDefault="005126B1" w:rsidP="00E04378">
            <w:pPr>
              <w:pStyle w:val="TableText"/>
              <w:jc w:val="center"/>
              <w:rPr>
                <w:szCs w:val="20"/>
                <w:highlight w:val="yellow"/>
              </w:rPr>
            </w:pPr>
            <w:r w:rsidRPr="005126B1">
              <w:rPr>
                <w:rFonts w:hint="eastAsia"/>
                <w:color w:val="000000"/>
                <w:w w:val="15"/>
                <w:szCs w:val="20"/>
                <w:shd w:val="solid" w:color="000000" w:fill="000000"/>
                <w:fitText w:val="62" w:id="-1500841472"/>
                <w14:textFill>
                  <w14:solidFill>
                    <w14:srgbClr w14:val="000000">
                      <w14:alpha w14:val="100000"/>
                    </w14:srgbClr>
                  </w14:solidFill>
                </w14:textFill>
              </w:rPr>
              <w:t xml:space="preserve">　</w:t>
            </w:r>
            <w:r w:rsidRPr="005126B1">
              <w:rPr>
                <w:color w:val="000000"/>
                <w:w w:val="15"/>
                <w:szCs w:val="20"/>
                <w:shd w:val="solid" w:color="000000" w:fill="000000"/>
                <w:fitText w:val="62" w:id="-1500841472"/>
                <w14:textFill>
                  <w14:solidFill>
                    <w14:srgbClr w14:val="000000">
                      <w14:alpha w14:val="100000"/>
                    </w14:srgbClr>
                  </w14:solidFill>
                </w14:textFill>
              </w:rPr>
              <w:t>|</w:t>
            </w:r>
            <w:r w:rsidRPr="005126B1">
              <w:rPr>
                <w:rFonts w:hint="eastAsia"/>
                <w:color w:val="000000"/>
                <w:spacing w:val="-3"/>
                <w:w w:val="15"/>
                <w:szCs w:val="20"/>
                <w:shd w:val="solid" w:color="000000" w:fill="000000"/>
                <w:fitText w:val="62" w:id="-1500841472"/>
                <w14:textFill>
                  <w14:solidFill>
                    <w14:srgbClr w14:val="000000">
                      <w14:alpha w14:val="100000"/>
                    </w14:srgbClr>
                  </w14:solidFill>
                </w14:textFill>
              </w:rPr>
              <w:t xml:space="preserve">　</w:t>
            </w:r>
            <w:r w:rsidR="00147531" w:rsidRPr="00147531">
              <w:rPr>
                <w:szCs w:val="20"/>
                <w:vertAlign w:val="superscript"/>
              </w:rPr>
              <w:t>4</w:t>
            </w:r>
          </w:p>
        </w:tc>
      </w:tr>
      <w:tr w:rsidR="00B70930" w:rsidRPr="00746BBB" w14:paraId="4FA07BD8" w14:textId="77777777" w:rsidTr="009C3A3A">
        <w:tc>
          <w:tcPr>
            <w:tcW w:w="5000" w:type="pct"/>
            <w:gridSpan w:val="7"/>
            <w:shd w:val="clear" w:color="auto" w:fill="auto"/>
            <w:vAlign w:val="center"/>
          </w:tcPr>
          <w:p w14:paraId="1A627EA0" w14:textId="610AA190" w:rsidR="00B70930" w:rsidRPr="000C453B" w:rsidRDefault="00B70930" w:rsidP="00B70930">
            <w:pPr>
              <w:pStyle w:val="Tableheadingrow"/>
              <w:rPr>
                <w:szCs w:val="20"/>
                <w:lang w:val="en-AU"/>
              </w:rPr>
            </w:pPr>
            <w:r w:rsidRPr="000C453B">
              <w:rPr>
                <w:szCs w:val="20"/>
                <w:lang w:val="en-AU"/>
              </w:rPr>
              <w:t>Net financial implications</w:t>
            </w:r>
          </w:p>
        </w:tc>
      </w:tr>
      <w:tr w:rsidR="0096407E" w:rsidRPr="00746BBB" w14:paraId="3F33D4C6" w14:textId="77777777" w:rsidTr="0096407E">
        <w:tc>
          <w:tcPr>
            <w:tcW w:w="1648" w:type="pct"/>
            <w:shd w:val="clear" w:color="auto" w:fill="auto"/>
            <w:vAlign w:val="center"/>
          </w:tcPr>
          <w:p w14:paraId="5ABBDE64" w14:textId="4FADDD17" w:rsidR="002F57D8" w:rsidRPr="000C453B" w:rsidRDefault="002F57D8" w:rsidP="002F57D8">
            <w:pPr>
              <w:pStyle w:val="TableText"/>
              <w:rPr>
                <w:szCs w:val="20"/>
              </w:rPr>
            </w:pPr>
            <w:r w:rsidRPr="000C453B">
              <w:rPr>
                <w:szCs w:val="20"/>
              </w:rPr>
              <w:t>Net cost to PBS</w:t>
            </w:r>
            <w:r w:rsidR="00790945">
              <w:rPr>
                <w:szCs w:val="20"/>
              </w:rPr>
              <w:t xml:space="preserve"> (-$)</w:t>
            </w:r>
          </w:p>
        </w:tc>
        <w:tc>
          <w:tcPr>
            <w:tcW w:w="550" w:type="pct"/>
            <w:shd w:val="clear" w:color="auto" w:fill="auto"/>
          </w:tcPr>
          <w:p w14:paraId="744F82C2" w14:textId="22148BFC" w:rsidR="002F57D8" w:rsidRPr="00790945" w:rsidRDefault="002F57D8" w:rsidP="002F57D8">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71"/>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71"/>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71"/>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tcPr>
          <w:p w14:paraId="295843EA" w14:textId="111D0F24" w:rsidR="002F57D8" w:rsidRPr="00790945" w:rsidRDefault="002F57D8" w:rsidP="002F57D8">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8" w:id="-1500841470"/>
                <w14:textFill>
                  <w14:solidFill>
                    <w14:srgbClr w14:val="000000">
                      <w14:alpha w14:val="100000"/>
                    </w14:srgbClr>
                  </w14:solidFill>
                </w14:textFill>
              </w:rPr>
              <w:t xml:space="preserve">　</w:t>
            </w:r>
            <w:r w:rsidR="005126B1" w:rsidRPr="005126B1">
              <w:rPr>
                <w:color w:val="000000"/>
                <w:w w:val="31"/>
                <w:szCs w:val="20"/>
                <w:shd w:val="solid" w:color="000000" w:fill="000000"/>
                <w:fitText w:val="138" w:id="-1500841470"/>
                <w14:textFill>
                  <w14:solidFill>
                    <w14:srgbClr w14:val="000000">
                      <w14:alpha w14:val="100000"/>
                    </w14:srgbClr>
                  </w14:solidFill>
                </w14:textFill>
              </w:rPr>
              <w:t>|</w:t>
            </w:r>
            <w:r w:rsidR="005126B1" w:rsidRPr="005126B1">
              <w:rPr>
                <w:rFonts w:hint="eastAsia"/>
                <w:color w:val="000000"/>
                <w:spacing w:val="2"/>
                <w:w w:val="31"/>
                <w:szCs w:val="20"/>
                <w:shd w:val="solid" w:color="000000" w:fill="000000"/>
                <w:fitText w:val="138" w:id="-1500841470"/>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tcPr>
          <w:p w14:paraId="3A32302A" w14:textId="7706EF2F" w:rsidR="002F57D8" w:rsidRPr="00790945" w:rsidRDefault="002F57D8" w:rsidP="002F57D8">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69"/>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69"/>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69"/>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tcPr>
          <w:p w14:paraId="326E9207" w14:textId="6DE53780" w:rsidR="002F57D8" w:rsidRPr="00790945" w:rsidRDefault="002F57D8" w:rsidP="002F57D8">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8" w:id="-1500841468"/>
                <w14:textFill>
                  <w14:solidFill>
                    <w14:srgbClr w14:val="000000">
                      <w14:alpha w14:val="100000"/>
                    </w14:srgbClr>
                  </w14:solidFill>
                </w14:textFill>
              </w:rPr>
              <w:t xml:space="preserve">　</w:t>
            </w:r>
            <w:r w:rsidR="005126B1" w:rsidRPr="005126B1">
              <w:rPr>
                <w:color w:val="000000"/>
                <w:w w:val="31"/>
                <w:szCs w:val="20"/>
                <w:shd w:val="solid" w:color="000000" w:fill="000000"/>
                <w:fitText w:val="138" w:id="-1500841468"/>
                <w14:textFill>
                  <w14:solidFill>
                    <w14:srgbClr w14:val="000000">
                      <w14:alpha w14:val="100000"/>
                    </w14:srgbClr>
                  </w14:solidFill>
                </w14:textFill>
              </w:rPr>
              <w:t>|</w:t>
            </w:r>
            <w:r w:rsidR="005126B1" w:rsidRPr="005126B1">
              <w:rPr>
                <w:rFonts w:hint="eastAsia"/>
                <w:color w:val="000000"/>
                <w:spacing w:val="2"/>
                <w:w w:val="31"/>
                <w:szCs w:val="20"/>
                <w:shd w:val="solid" w:color="000000" w:fill="000000"/>
                <w:fitText w:val="138" w:id="-1500841468"/>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tcPr>
          <w:p w14:paraId="56E4D70E" w14:textId="75247DF0" w:rsidR="002F57D8" w:rsidRPr="00790945" w:rsidRDefault="002F57D8" w:rsidP="002F57D8">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67"/>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67"/>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67"/>
                <w14:textFill>
                  <w14:solidFill>
                    <w14:srgbClr w14:val="000000">
                      <w14:alpha w14:val="100000"/>
                    </w14:srgbClr>
                  </w14:solidFill>
                </w14:textFill>
              </w:rPr>
              <w:t xml:space="preserve">　</w:t>
            </w:r>
            <w:r w:rsidR="00147531" w:rsidRPr="00147531">
              <w:rPr>
                <w:szCs w:val="20"/>
                <w:vertAlign w:val="superscript"/>
              </w:rPr>
              <w:t>4</w:t>
            </w:r>
          </w:p>
        </w:tc>
        <w:tc>
          <w:tcPr>
            <w:tcW w:w="600" w:type="pct"/>
          </w:tcPr>
          <w:p w14:paraId="241B1CFD" w14:textId="435694A7" w:rsidR="002F57D8" w:rsidRPr="00790945" w:rsidRDefault="002F57D8" w:rsidP="002F57D8">
            <w:pPr>
              <w:pStyle w:val="TableText"/>
              <w:jc w:val="center"/>
              <w:rPr>
                <w:szCs w:val="20"/>
                <w:highlight w:val="yellow"/>
              </w:rPr>
            </w:pPr>
            <w:r w:rsidRPr="00AA2907">
              <w:rPr>
                <w:szCs w:val="20"/>
              </w:rPr>
              <w:t>-</w:t>
            </w:r>
            <w:r w:rsidR="005126B1" w:rsidRPr="005126B1">
              <w:rPr>
                <w:rFonts w:hint="eastAsia"/>
                <w:color w:val="000000"/>
                <w:w w:val="21"/>
                <w:szCs w:val="20"/>
                <w:shd w:val="solid" w:color="000000" w:fill="000000"/>
                <w:fitText w:val="93" w:id="-1500841466"/>
                <w14:textFill>
                  <w14:solidFill>
                    <w14:srgbClr w14:val="000000">
                      <w14:alpha w14:val="100000"/>
                    </w14:srgbClr>
                  </w14:solidFill>
                </w14:textFill>
              </w:rPr>
              <w:t xml:space="preserve">　</w:t>
            </w:r>
            <w:r w:rsidR="005126B1" w:rsidRPr="005126B1">
              <w:rPr>
                <w:color w:val="000000"/>
                <w:w w:val="21"/>
                <w:szCs w:val="20"/>
                <w:shd w:val="solid" w:color="000000" w:fill="000000"/>
                <w:fitText w:val="93" w:id="-1500841466"/>
                <w14:textFill>
                  <w14:solidFill>
                    <w14:srgbClr w14:val="000000">
                      <w14:alpha w14:val="100000"/>
                    </w14:srgbClr>
                  </w14:solidFill>
                </w14:textFill>
              </w:rPr>
              <w:t>|</w:t>
            </w:r>
            <w:r w:rsidR="005126B1" w:rsidRPr="005126B1">
              <w:rPr>
                <w:rFonts w:hint="eastAsia"/>
                <w:color w:val="000000"/>
                <w:spacing w:val="2"/>
                <w:w w:val="21"/>
                <w:szCs w:val="20"/>
                <w:shd w:val="solid" w:color="000000" w:fill="000000"/>
                <w:fitText w:val="93" w:id="-1500841466"/>
                <w14:textFill>
                  <w14:solidFill>
                    <w14:srgbClr w14:val="000000">
                      <w14:alpha w14:val="100000"/>
                    </w14:srgbClr>
                  </w14:solidFill>
                </w14:textFill>
              </w:rPr>
              <w:t xml:space="preserve">　</w:t>
            </w:r>
            <w:r w:rsidR="00147531" w:rsidRPr="00147531">
              <w:rPr>
                <w:szCs w:val="20"/>
                <w:vertAlign w:val="superscript"/>
              </w:rPr>
              <w:t>4</w:t>
            </w:r>
          </w:p>
        </w:tc>
      </w:tr>
      <w:tr w:rsidR="0096407E" w:rsidRPr="00746BBB" w14:paraId="571B64F4" w14:textId="77777777" w:rsidTr="0096407E">
        <w:tc>
          <w:tcPr>
            <w:tcW w:w="1648" w:type="pct"/>
            <w:shd w:val="clear" w:color="auto" w:fill="auto"/>
            <w:vAlign w:val="center"/>
          </w:tcPr>
          <w:p w14:paraId="427698FB" w14:textId="16498C86" w:rsidR="006203C1" w:rsidRPr="000C453B" w:rsidRDefault="006203C1" w:rsidP="006203C1">
            <w:pPr>
              <w:pStyle w:val="TableText"/>
              <w:rPr>
                <w:rFonts w:ascii="Times" w:hAnsi="Times"/>
                <w:szCs w:val="20"/>
                <w:vertAlign w:val="superscript"/>
              </w:rPr>
            </w:pPr>
            <w:r w:rsidRPr="000C453B">
              <w:rPr>
                <w:szCs w:val="20"/>
              </w:rPr>
              <w:t>Net cost to MBS</w:t>
            </w:r>
            <w:r w:rsidR="003B3F0E" w:rsidRPr="000C453B">
              <w:rPr>
                <w:szCs w:val="20"/>
              </w:rPr>
              <w:t xml:space="preserve"> </w:t>
            </w:r>
            <w:r w:rsidR="003B3F0E" w:rsidRPr="000C453B">
              <w:rPr>
                <w:szCs w:val="20"/>
                <w:vertAlign w:val="superscript"/>
              </w:rPr>
              <w:t>a</w:t>
            </w:r>
            <w:r w:rsidR="00790945">
              <w:rPr>
                <w:szCs w:val="20"/>
                <w:vertAlign w:val="superscript"/>
              </w:rPr>
              <w:t xml:space="preserve"> </w:t>
            </w:r>
            <w:r w:rsidR="00790945">
              <w:rPr>
                <w:szCs w:val="20"/>
              </w:rPr>
              <w:t>(-$)</w:t>
            </w:r>
          </w:p>
        </w:tc>
        <w:tc>
          <w:tcPr>
            <w:tcW w:w="550" w:type="pct"/>
            <w:shd w:val="clear" w:color="auto" w:fill="auto"/>
          </w:tcPr>
          <w:p w14:paraId="5AD7A1FC" w14:textId="404C0C71"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65"/>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65"/>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65"/>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tcPr>
          <w:p w14:paraId="1D6E215B" w14:textId="0829FF55"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8" w:id="-1500841464"/>
                <w14:textFill>
                  <w14:solidFill>
                    <w14:srgbClr w14:val="000000">
                      <w14:alpha w14:val="100000"/>
                    </w14:srgbClr>
                  </w14:solidFill>
                </w14:textFill>
              </w:rPr>
              <w:t xml:space="preserve">　</w:t>
            </w:r>
            <w:r w:rsidR="005126B1" w:rsidRPr="005126B1">
              <w:rPr>
                <w:color w:val="000000"/>
                <w:w w:val="31"/>
                <w:szCs w:val="20"/>
                <w:shd w:val="solid" w:color="000000" w:fill="000000"/>
                <w:fitText w:val="138" w:id="-1500841464"/>
                <w14:textFill>
                  <w14:solidFill>
                    <w14:srgbClr w14:val="000000">
                      <w14:alpha w14:val="100000"/>
                    </w14:srgbClr>
                  </w14:solidFill>
                </w14:textFill>
              </w:rPr>
              <w:t>|</w:t>
            </w:r>
            <w:r w:rsidR="005126B1" w:rsidRPr="005126B1">
              <w:rPr>
                <w:rFonts w:hint="eastAsia"/>
                <w:color w:val="000000"/>
                <w:spacing w:val="2"/>
                <w:w w:val="31"/>
                <w:szCs w:val="20"/>
                <w:shd w:val="solid" w:color="000000" w:fill="000000"/>
                <w:fitText w:val="138" w:id="-1500841464"/>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tcPr>
          <w:p w14:paraId="25026D9D" w14:textId="21D89DCB"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63"/>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63"/>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63"/>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tcPr>
          <w:p w14:paraId="6933D36F" w14:textId="219644D5"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8" w:id="-1500841462"/>
                <w14:textFill>
                  <w14:solidFill>
                    <w14:srgbClr w14:val="000000">
                      <w14:alpha w14:val="100000"/>
                    </w14:srgbClr>
                  </w14:solidFill>
                </w14:textFill>
              </w:rPr>
              <w:t xml:space="preserve">　</w:t>
            </w:r>
            <w:r w:rsidR="005126B1" w:rsidRPr="005126B1">
              <w:rPr>
                <w:color w:val="000000"/>
                <w:w w:val="31"/>
                <w:szCs w:val="20"/>
                <w:shd w:val="solid" w:color="000000" w:fill="000000"/>
                <w:fitText w:val="138" w:id="-1500841462"/>
                <w14:textFill>
                  <w14:solidFill>
                    <w14:srgbClr w14:val="000000">
                      <w14:alpha w14:val="100000"/>
                    </w14:srgbClr>
                  </w14:solidFill>
                </w14:textFill>
              </w:rPr>
              <w:t>|</w:t>
            </w:r>
            <w:r w:rsidR="005126B1" w:rsidRPr="005126B1">
              <w:rPr>
                <w:rFonts w:hint="eastAsia"/>
                <w:color w:val="000000"/>
                <w:spacing w:val="2"/>
                <w:w w:val="31"/>
                <w:szCs w:val="20"/>
                <w:shd w:val="solid" w:color="000000" w:fill="000000"/>
                <w:fitText w:val="138" w:id="-1500841462"/>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tcPr>
          <w:p w14:paraId="04433A65" w14:textId="5336D8B4"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61"/>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61"/>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61"/>
                <w14:textFill>
                  <w14:solidFill>
                    <w14:srgbClr w14:val="000000">
                      <w14:alpha w14:val="100000"/>
                    </w14:srgbClr>
                  </w14:solidFill>
                </w14:textFill>
              </w:rPr>
              <w:t xml:space="preserve">　</w:t>
            </w:r>
            <w:r w:rsidR="00147531" w:rsidRPr="00147531">
              <w:rPr>
                <w:szCs w:val="20"/>
                <w:vertAlign w:val="superscript"/>
              </w:rPr>
              <w:t>4</w:t>
            </w:r>
          </w:p>
        </w:tc>
        <w:tc>
          <w:tcPr>
            <w:tcW w:w="600" w:type="pct"/>
          </w:tcPr>
          <w:p w14:paraId="2223EBD7" w14:textId="74AC8819"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21"/>
                <w:szCs w:val="20"/>
                <w:shd w:val="solid" w:color="000000" w:fill="000000"/>
                <w:fitText w:val="93" w:id="-1500841460"/>
                <w14:textFill>
                  <w14:solidFill>
                    <w14:srgbClr w14:val="000000">
                      <w14:alpha w14:val="100000"/>
                    </w14:srgbClr>
                  </w14:solidFill>
                </w14:textFill>
              </w:rPr>
              <w:t xml:space="preserve">　</w:t>
            </w:r>
            <w:r w:rsidR="005126B1" w:rsidRPr="005126B1">
              <w:rPr>
                <w:color w:val="000000"/>
                <w:w w:val="21"/>
                <w:szCs w:val="20"/>
                <w:shd w:val="solid" w:color="000000" w:fill="000000"/>
                <w:fitText w:val="93" w:id="-1500841460"/>
                <w14:textFill>
                  <w14:solidFill>
                    <w14:srgbClr w14:val="000000">
                      <w14:alpha w14:val="100000"/>
                    </w14:srgbClr>
                  </w14:solidFill>
                </w14:textFill>
              </w:rPr>
              <w:t>|</w:t>
            </w:r>
            <w:r w:rsidR="005126B1" w:rsidRPr="005126B1">
              <w:rPr>
                <w:rFonts w:hint="eastAsia"/>
                <w:color w:val="000000"/>
                <w:spacing w:val="2"/>
                <w:w w:val="21"/>
                <w:szCs w:val="20"/>
                <w:shd w:val="solid" w:color="000000" w:fill="000000"/>
                <w:fitText w:val="93" w:id="-1500841460"/>
                <w14:textFill>
                  <w14:solidFill>
                    <w14:srgbClr w14:val="000000">
                      <w14:alpha w14:val="100000"/>
                    </w14:srgbClr>
                  </w14:solidFill>
                </w14:textFill>
              </w:rPr>
              <w:t xml:space="preserve">　</w:t>
            </w:r>
            <w:r w:rsidR="00147531" w:rsidRPr="00147531">
              <w:rPr>
                <w:szCs w:val="20"/>
                <w:vertAlign w:val="superscript"/>
              </w:rPr>
              <w:t>4</w:t>
            </w:r>
          </w:p>
        </w:tc>
      </w:tr>
      <w:tr w:rsidR="0096407E" w:rsidRPr="00746BBB" w14:paraId="123830C0" w14:textId="77777777" w:rsidTr="0096407E">
        <w:tc>
          <w:tcPr>
            <w:tcW w:w="1648" w:type="pct"/>
            <w:shd w:val="clear" w:color="auto" w:fill="auto"/>
            <w:vAlign w:val="center"/>
          </w:tcPr>
          <w:p w14:paraId="50FCDA47" w14:textId="14EB9704" w:rsidR="006203C1" w:rsidRPr="000C453B" w:rsidRDefault="006203C1" w:rsidP="006203C1">
            <w:pPr>
              <w:pStyle w:val="TableText"/>
              <w:rPr>
                <w:szCs w:val="20"/>
              </w:rPr>
            </w:pPr>
            <w:r w:rsidRPr="000C453B">
              <w:rPr>
                <w:szCs w:val="20"/>
              </w:rPr>
              <w:t>Net cost to Government</w:t>
            </w:r>
            <w:r w:rsidR="00790945">
              <w:rPr>
                <w:szCs w:val="20"/>
              </w:rPr>
              <w:t xml:space="preserve"> (-$)</w:t>
            </w:r>
          </w:p>
        </w:tc>
        <w:tc>
          <w:tcPr>
            <w:tcW w:w="550" w:type="pct"/>
            <w:shd w:val="clear" w:color="auto" w:fill="auto"/>
          </w:tcPr>
          <w:p w14:paraId="0F4EB661" w14:textId="4C889FDF"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59"/>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59"/>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59"/>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tcPr>
          <w:p w14:paraId="59B75FE2" w14:textId="63F3D494"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8" w:id="-1500841458"/>
                <w14:textFill>
                  <w14:solidFill>
                    <w14:srgbClr w14:val="000000">
                      <w14:alpha w14:val="100000"/>
                    </w14:srgbClr>
                  </w14:solidFill>
                </w14:textFill>
              </w:rPr>
              <w:t xml:space="preserve">　</w:t>
            </w:r>
            <w:r w:rsidR="005126B1" w:rsidRPr="005126B1">
              <w:rPr>
                <w:color w:val="000000"/>
                <w:w w:val="31"/>
                <w:szCs w:val="20"/>
                <w:shd w:val="solid" w:color="000000" w:fill="000000"/>
                <w:fitText w:val="138" w:id="-1500841458"/>
                <w14:textFill>
                  <w14:solidFill>
                    <w14:srgbClr w14:val="000000">
                      <w14:alpha w14:val="100000"/>
                    </w14:srgbClr>
                  </w14:solidFill>
                </w14:textFill>
              </w:rPr>
              <w:t>|</w:t>
            </w:r>
            <w:r w:rsidR="005126B1" w:rsidRPr="005126B1">
              <w:rPr>
                <w:rFonts w:hint="eastAsia"/>
                <w:color w:val="000000"/>
                <w:spacing w:val="2"/>
                <w:w w:val="31"/>
                <w:szCs w:val="20"/>
                <w:shd w:val="solid" w:color="000000" w:fill="000000"/>
                <w:fitText w:val="138" w:id="-1500841458"/>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tcPr>
          <w:p w14:paraId="6AE6473A" w14:textId="64109448"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57"/>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57"/>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57"/>
                <w14:textFill>
                  <w14:solidFill>
                    <w14:srgbClr w14:val="000000">
                      <w14:alpha w14:val="100000"/>
                    </w14:srgbClr>
                  </w14:solidFill>
                </w14:textFill>
              </w:rPr>
              <w:t xml:space="preserve">　</w:t>
            </w:r>
            <w:r w:rsidR="00147531" w:rsidRPr="00147531">
              <w:rPr>
                <w:szCs w:val="20"/>
                <w:vertAlign w:val="superscript"/>
              </w:rPr>
              <w:t>4</w:t>
            </w:r>
          </w:p>
        </w:tc>
        <w:tc>
          <w:tcPr>
            <w:tcW w:w="550" w:type="pct"/>
            <w:shd w:val="clear" w:color="auto" w:fill="auto"/>
          </w:tcPr>
          <w:p w14:paraId="1F476C04" w14:textId="633A052C"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8" w:id="-1500841456"/>
                <w14:textFill>
                  <w14:solidFill>
                    <w14:srgbClr w14:val="000000">
                      <w14:alpha w14:val="100000"/>
                    </w14:srgbClr>
                  </w14:solidFill>
                </w14:textFill>
              </w:rPr>
              <w:t xml:space="preserve">　</w:t>
            </w:r>
            <w:r w:rsidR="005126B1" w:rsidRPr="005126B1">
              <w:rPr>
                <w:color w:val="000000"/>
                <w:w w:val="31"/>
                <w:szCs w:val="20"/>
                <w:shd w:val="solid" w:color="000000" w:fill="000000"/>
                <w:fitText w:val="138" w:id="-1500841456"/>
                <w14:textFill>
                  <w14:solidFill>
                    <w14:srgbClr w14:val="000000">
                      <w14:alpha w14:val="100000"/>
                    </w14:srgbClr>
                  </w14:solidFill>
                </w14:textFill>
              </w:rPr>
              <w:t>|</w:t>
            </w:r>
            <w:r w:rsidR="005126B1" w:rsidRPr="005126B1">
              <w:rPr>
                <w:rFonts w:hint="eastAsia"/>
                <w:color w:val="000000"/>
                <w:spacing w:val="2"/>
                <w:w w:val="31"/>
                <w:szCs w:val="20"/>
                <w:shd w:val="solid" w:color="000000" w:fill="000000"/>
                <w:fitText w:val="138" w:id="-1500841456"/>
                <w14:textFill>
                  <w14:solidFill>
                    <w14:srgbClr w14:val="000000">
                      <w14:alpha w14:val="100000"/>
                    </w14:srgbClr>
                  </w14:solidFill>
                </w14:textFill>
              </w:rPr>
              <w:t xml:space="preserve">　</w:t>
            </w:r>
            <w:r w:rsidR="00147531" w:rsidRPr="00147531">
              <w:rPr>
                <w:szCs w:val="20"/>
                <w:vertAlign w:val="superscript"/>
              </w:rPr>
              <w:t>4</w:t>
            </w:r>
          </w:p>
        </w:tc>
        <w:tc>
          <w:tcPr>
            <w:tcW w:w="551" w:type="pct"/>
            <w:shd w:val="clear" w:color="auto" w:fill="auto"/>
          </w:tcPr>
          <w:p w14:paraId="12079751" w14:textId="07605E55"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31"/>
                <w:szCs w:val="20"/>
                <w:shd w:val="solid" w:color="000000" w:fill="000000"/>
                <w:fitText w:val="139" w:id="-1500841472"/>
                <w14:textFill>
                  <w14:solidFill>
                    <w14:srgbClr w14:val="000000">
                      <w14:alpha w14:val="100000"/>
                    </w14:srgbClr>
                  </w14:solidFill>
                </w14:textFill>
              </w:rPr>
              <w:t xml:space="preserve">　</w:t>
            </w:r>
            <w:r w:rsidR="005126B1" w:rsidRPr="005126B1">
              <w:rPr>
                <w:color w:val="000000"/>
                <w:w w:val="31"/>
                <w:szCs w:val="20"/>
                <w:shd w:val="solid" w:color="000000" w:fill="000000"/>
                <w:fitText w:val="139" w:id="-1500841472"/>
                <w14:textFill>
                  <w14:solidFill>
                    <w14:srgbClr w14:val="000000">
                      <w14:alpha w14:val="100000"/>
                    </w14:srgbClr>
                  </w14:solidFill>
                </w14:textFill>
              </w:rPr>
              <w:t>|</w:t>
            </w:r>
            <w:r w:rsidR="005126B1" w:rsidRPr="005126B1">
              <w:rPr>
                <w:rFonts w:hint="eastAsia"/>
                <w:color w:val="000000"/>
                <w:spacing w:val="3"/>
                <w:w w:val="31"/>
                <w:szCs w:val="20"/>
                <w:shd w:val="solid" w:color="000000" w:fill="000000"/>
                <w:fitText w:val="139" w:id="-1500841472"/>
                <w14:textFill>
                  <w14:solidFill>
                    <w14:srgbClr w14:val="000000">
                      <w14:alpha w14:val="100000"/>
                    </w14:srgbClr>
                  </w14:solidFill>
                </w14:textFill>
              </w:rPr>
              <w:t xml:space="preserve">　</w:t>
            </w:r>
            <w:r w:rsidR="00147531" w:rsidRPr="00147531">
              <w:rPr>
                <w:szCs w:val="20"/>
                <w:vertAlign w:val="superscript"/>
              </w:rPr>
              <w:t>4</w:t>
            </w:r>
          </w:p>
        </w:tc>
        <w:tc>
          <w:tcPr>
            <w:tcW w:w="600" w:type="pct"/>
          </w:tcPr>
          <w:p w14:paraId="4844CB4D" w14:textId="19DF491C" w:rsidR="006203C1" w:rsidRPr="00790945" w:rsidRDefault="006203C1" w:rsidP="006203C1">
            <w:pPr>
              <w:pStyle w:val="TableText"/>
              <w:jc w:val="center"/>
              <w:rPr>
                <w:szCs w:val="20"/>
                <w:highlight w:val="yellow"/>
              </w:rPr>
            </w:pPr>
            <w:r w:rsidRPr="00AA2907">
              <w:rPr>
                <w:szCs w:val="20"/>
              </w:rPr>
              <w:t>-</w:t>
            </w:r>
            <w:r w:rsidR="005126B1" w:rsidRPr="005126B1">
              <w:rPr>
                <w:rFonts w:hint="eastAsia"/>
                <w:color w:val="000000"/>
                <w:w w:val="21"/>
                <w:szCs w:val="20"/>
                <w:shd w:val="solid" w:color="000000" w:fill="000000"/>
                <w:fitText w:val="93" w:id="-1500841471"/>
                <w14:textFill>
                  <w14:solidFill>
                    <w14:srgbClr w14:val="000000">
                      <w14:alpha w14:val="100000"/>
                    </w14:srgbClr>
                  </w14:solidFill>
                </w14:textFill>
              </w:rPr>
              <w:t xml:space="preserve">　</w:t>
            </w:r>
            <w:r w:rsidR="005126B1" w:rsidRPr="005126B1">
              <w:rPr>
                <w:color w:val="000000"/>
                <w:w w:val="21"/>
                <w:szCs w:val="20"/>
                <w:shd w:val="solid" w:color="000000" w:fill="000000"/>
                <w:fitText w:val="93" w:id="-1500841471"/>
                <w14:textFill>
                  <w14:solidFill>
                    <w14:srgbClr w14:val="000000">
                      <w14:alpha w14:val="100000"/>
                    </w14:srgbClr>
                  </w14:solidFill>
                </w14:textFill>
              </w:rPr>
              <w:t>|</w:t>
            </w:r>
            <w:r w:rsidR="005126B1" w:rsidRPr="005126B1">
              <w:rPr>
                <w:rFonts w:hint="eastAsia"/>
                <w:color w:val="000000"/>
                <w:spacing w:val="2"/>
                <w:w w:val="21"/>
                <w:szCs w:val="20"/>
                <w:shd w:val="solid" w:color="000000" w:fill="000000"/>
                <w:fitText w:val="93" w:id="-1500841471"/>
                <w14:textFill>
                  <w14:solidFill>
                    <w14:srgbClr w14:val="000000">
                      <w14:alpha w14:val="100000"/>
                    </w14:srgbClr>
                  </w14:solidFill>
                </w14:textFill>
              </w:rPr>
              <w:t xml:space="preserve">　</w:t>
            </w:r>
            <w:r w:rsidR="00147531" w:rsidRPr="00147531">
              <w:rPr>
                <w:szCs w:val="20"/>
                <w:vertAlign w:val="superscript"/>
              </w:rPr>
              <w:t>4</w:t>
            </w:r>
          </w:p>
        </w:tc>
      </w:tr>
    </w:tbl>
    <w:p w14:paraId="484CF5B6" w14:textId="04975D82" w:rsidR="00620C25" w:rsidRDefault="00620C25" w:rsidP="00620C25">
      <w:pPr>
        <w:pStyle w:val="TableFigureFooter"/>
      </w:pPr>
      <w:r w:rsidRPr="00746BBB">
        <w:t xml:space="preserve">Source: </w:t>
      </w:r>
      <w:r w:rsidR="00607D07">
        <w:t xml:space="preserve">Sections </w:t>
      </w:r>
      <w:r w:rsidR="000205AB">
        <w:t>4.</w:t>
      </w:r>
      <w:r w:rsidR="0079184B">
        <w:t>2</w:t>
      </w:r>
      <w:r w:rsidR="000205AB">
        <w:t xml:space="preserve">-4.5, pp </w:t>
      </w:r>
      <w:r w:rsidR="0079184B">
        <w:t>160-</w:t>
      </w:r>
      <w:r w:rsidR="000205AB">
        <w:t>185</w:t>
      </w:r>
      <w:r w:rsidR="0079184B">
        <w:t xml:space="preserve"> of the submission</w:t>
      </w:r>
    </w:p>
    <w:p w14:paraId="3DEB00C5" w14:textId="7CE75560" w:rsidR="000B63EA" w:rsidRDefault="003B3F0E" w:rsidP="00620C25">
      <w:pPr>
        <w:pStyle w:val="TableFigureFooter"/>
        <w:rPr>
          <w:rStyle w:val="TableFigureCaptionChar"/>
          <w:rFonts w:eastAsia="Times New Roman" w:cs="Arial"/>
          <w:b w:val="0"/>
          <w:bCs w:val="0"/>
          <w:szCs w:val="22"/>
        </w:rPr>
      </w:pPr>
      <w:proofErr w:type="spellStart"/>
      <w:r>
        <w:rPr>
          <w:rStyle w:val="TableFigureCaptionChar"/>
          <w:rFonts w:eastAsia="Times New Roman" w:cs="Arial"/>
          <w:b w:val="0"/>
          <w:bCs w:val="0"/>
          <w:szCs w:val="22"/>
          <w:vertAlign w:val="superscript"/>
        </w:rPr>
        <w:t>a</w:t>
      </w:r>
      <w:proofErr w:type="spellEnd"/>
      <w:r>
        <w:rPr>
          <w:rStyle w:val="TableFigureCaptionChar"/>
          <w:rFonts w:eastAsia="Times New Roman" w:cs="Arial"/>
          <w:b w:val="0"/>
          <w:bCs w:val="0"/>
          <w:szCs w:val="22"/>
        </w:rPr>
        <w:t xml:space="preserve"> </w:t>
      </w:r>
      <w:r w:rsidR="009A2301">
        <w:rPr>
          <w:rStyle w:val="TableFigureCaptionChar"/>
          <w:rFonts w:eastAsia="Times New Roman" w:cs="Arial"/>
          <w:b w:val="0"/>
          <w:bCs w:val="0"/>
          <w:szCs w:val="22"/>
        </w:rPr>
        <w:t xml:space="preserve">Includes cost offsets due to displaced intravenous administrations of </w:t>
      </w:r>
      <w:proofErr w:type="spellStart"/>
      <w:r w:rsidR="009A2301">
        <w:rPr>
          <w:rStyle w:val="TableFigureCaptionChar"/>
          <w:rFonts w:eastAsia="Times New Roman" w:cs="Arial"/>
          <w:b w:val="0"/>
          <w:bCs w:val="0"/>
          <w:szCs w:val="22"/>
        </w:rPr>
        <w:t>ravulizumab</w:t>
      </w:r>
      <w:proofErr w:type="spellEnd"/>
      <w:r w:rsidR="009A2301">
        <w:rPr>
          <w:rStyle w:val="TableFigureCaptionChar"/>
          <w:rFonts w:eastAsia="Times New Roman" w:cs="Arial"/>
          <w:b w:val="0"/>
          <w:bCs w:val="0"/>
          <w:szCs w:val="22"/>
        </w:rPr>
        <w:t xml:space="preserve">, cost offsets due to reduced blood transfusions, additional cost of therapeutic venesections for treatment of iron overload </w:t>
      </w:r>
      <w:r w:rsidR="00E63E69">
        <w:rPr>
          <w:rStyle w:val="TableFigureCaptionChar"/>
          <w:rFonts w:eastAsia="Times New Roman" w:cs="Arial"/>
          <w:b w:val="0"/>
          <w:bCs w:val="0"/>
          <w:szCs w:val="22"/>
        </w:rPr>
        <w:t>and additional cost of vaccine administrations</w:t>
      </w:r>
    </w:p>
    <w:p w14:paraId="02B53238" w14:textId="77777777" w:rsidR="00790945" w:rsidRPr="00AA2907" w:rsidRDefault="00790945" w:rsidP="00790945">
      <w:pPr>
        <w:pStyle w:val="TableFigureFooter"/>
        <w:spacing w:after="0"/>
        <w:contextualSpacing w:val="0"/>
      </w:pPr>
      <w:r w:rsidRPr="00AA2907">
        <w:rPr>
          <w:i/>
        </w:rPr>
        <w:t>The redacted values correspond to the following ranges</w:t>
      </w:r>
    </w:p>
    <w:p w14:paraId="7C543381" w14:textId="3903133D" w:rsidR="00790945" w:rsidRPr="00AA2907" w:rsidRDefault="00790945" w:rsidP="00790945">
      <w:pPr>
        <w:rPr>
          <w:rFonts w:ascii="Arial Narrow" w:hAnsi="Arial Narrow"/>
          <w:i/>
          <w:sz w:val="18"/>
          <w:szCs w:val="18"/>
        </w:rPr>
      </w:pPr>
      <w:r w:rsidRPr="00AA2907">
        <w:rPr>
          <w:rFonts w:ascii="Arial Narrow" w:hAnsi="Arial Narrow"/>
          <w:i/>
          <w:sz w:val="18"/>
          <w:szCs w:val="18"/>
          <w:vertAlign w:val="superscript"/>
        </w:rPr>
        <w:t>1</w:t>
      </w:r>
      <w:r w:rsidRPr="00AA2907">
        <w:rPr>
          <w:rFonts w:ascii="Arial Narrow" w:hAnsi="Arial Narrow"/>
          <w:i/>
          <w:sz w:val="18"/>
          <w:szCs w:val="18"/>
        </w:rPr>
        <w:t>&lt;500</w:t>
      </w:r>
    </w:p>
    <w:p w14:paraId="4605DCC2" w14:textId="06EE6E5C" w:rsidR="00790945" w:rsidRPr="00AA2907" w:rsidRDefault="00790945" w:rsidP="00790945">
      <w:pPr>
        <w:rPr>
          <w:rFonts w:ascii="Arial Narrow" w:hAnsi="Arial Narrow"/>
          <w:i/>
          <w:sz w:val="18"/>
          <w:szCs w:val="18"/>
        </w:rPr>
      </w:pPr>
      <w:r w:rsidRPr="00AA2907">
        <w:rPr>
          <w:rFonts w:ascii="Arial Narrow" w:hAnsi="Arial Narrow"/>
          <w:i/>
          <w:sz w:val="18"/>
          <w:szCs w:val="18"/>
          <w:vertAlign w:val="superscript"/>
        </w:rPr>
        <w:t>2</w:t>
      </w:r>
      <w:r w:rsidRPr="00AA2907">
        <w:rPr>
          <w:rFonts w:ascii="Arial Narrow" w:hAnsi="Arial Narrow"/>
          <w:i/>
          <w:sz w:val="18"/>
          <w:szCs w:val="18"/>
        </w:rPr>
        <w:t>500 to &lt; 5,000</w:t>
      </w:r>
    </w:p>
    <w:p w14:paraId="11584755" w14:textId="29DE500F" w:rsidR="00790945" w:rsidRPr="00AA2907" w:rsidRDefault="00790945" w:rsidP="00620C25">
      <w:pPr>
        <w:pStyle w:val="TableFigureFooter"/>
        <w:rPr>
          <w:rStyle w:val="TableFigureCaptionChar"/>
          <w:rFonts w:eastAsia="Times New Roman" w:cs="Arial"/>
          <w:b w:val="0"/>
          <w:bCs w:val="0"/>
          <w:i/>
          <w:szCs w:val="22"/>
        </w:rPr>
      </w:pPr>
      <w:r w:rsidRPr="00AA2907">
        <w:rPr>
          <w:rStyle w:val="TableFigureCaptionChar"/>
          <w:rFonts w:eastAsia="Times New Roman" w:cs="Arial"/>
          <w:b w:val="0"/>
          <w:bCs w:val="0"/>
          <w:i/>
          <w:szCs w:val="22"/>
          <w:vertAlign w:val="superscript"/>
        </w:rPr>
        <w:t>3</w:t>
      </w:r>
      <w:r w:rsidR="00147531" w:rsidRPr="00AA2907">
        <w:rPr>
          <w:rStyle w:val="TableFigureCaptionChar"/>
          <w:rFonts w:eastAsia="Times New Roman" w:cs="Arial"/>
          <w:b w:val="0"/>
          <w:bCs w:val="0"/>
          <w:i/>
          <w:szCs w:val="22"/>
        </w:rPr>
        <w:t>$10 million to &lt;$20 million</w:t>
      </w:r>
    </w:p>
    <w:p w14:paraId="50B20A0B" w14:textId="0A6995DC" w:rsidR="00147531" w:rsidRPr="00AA2907" w:rsidRDefault="00147531" w:rsidP="00620C25">
      <w:pPr>
        <w:pStyle w:val="TableFigureFooter"/>
        <w:rPr>
          <w:rStyle w:val="TableFigureCaptionChar"/>
          <w:rFonts w:eastAsia="Times New Roman" w:cs="Arial"/>
          <w:b w:val="0"/>
          <w:bCs w:val="0"/>
          <w:i/>
          <w:szCs w:val="22"/>
        </w:rPr>
      </w:pPr>
      <w:r w:rsidRPr="00AA2907">
        <w:rPr>
          <w:rStyle w:val="TableFigureCaptionChar"/>
          <w:rFonts w:eastAsia="Times New Roman" w:cs="Arial"/>
          <w:b w:val="0"/>
          <w:bCs w:val="0"/>
          <w:i/>
          <w:szCs w:val="22"/>
          <w:vertAlign w:val="superscript"/>
        </w:rPr>
        <w:t>4</w:t>
      </w:r>
      <w:r w:rsidRPr="00AA2907">
        <w:rPr>
          <w:rStyle w:val="TableFigureCaptionChar"/>
          <w:rFonts w:eastAsia="Times New Roman" w:cs="Arial"/>
          <w:b w:val="0"/>
          <w:bCs w:val="0"/>
          <w:i/>
          <w:szCs w:val="22"/>
        </w:rPr>
        <w:t>$0 to &lt; $10 million</w:t>
      </w:r>
    </w:p>
    <w:p w14:paraId="75586731" w14:textId="74402951" w:rsidR="000902D9" w:rsidRDefault="005C3289" w:rsidP="000C453B">
      <w:pPr>
        <w:pStyle w:val="ExecSumBodyText"/>
        <w:spacing w:after="160"/>
      </w:pPr>
      <w:r w:rsidRPr="005C3289">
        <w:t xml:space="preserve">The submission estimated net savings to the PBS of </w:t>
      </w:r>
      <w:r w:rsidR="00147531">
        <w:t>$0 to &lt; $10 million</w:t>
      </w:r>
      <w:r w:rsidRPr="005C3289">
        <w:t xml:space="preserve"> in Year 1, increasing to </w:t>
      </w:r>
      <w:r w:rsidR="00147531">
        <w:t>$0 to &lt; $10 million</w:t>
      </w:r>
      <w:r w:rsidRPr="005C3289">
        <w:t xml:space="preserve"> in Year 6, a total</w:t>
      </w:r>
      <w:r w:rsidR="00E63E69">
        <w:t xml:space="preserve"> saving</w:t>
      </w:r>
      <w:r w:rsidRPr="005C3289">
        <w:t xml:space="preserve"> of </w:t>
      </w:r>
      <w:r w:rsidR="00147531">
        <w:t>$0 to &lt; $10 million</w:t>
      </w:r>
      <w:r w:rsidRPr="005C3289">
        <w:t xml:space="preserve"> over 6 years. The estimated</w:t>
      </w:r>
      <w:r>
        <w:t xml:space="preserve"> </w:t>
      </w:r>
      <w:r w:rsidRPr="005C3289">
        <w:t xml:space="preserve">net savings to </w:t>
      </w:r>
      <w:r w:rsidR="00874636">
        <w:t>the PBS/MBS</w:t>
      </w:r>
      <w:r w:rsidRPr="005C3289">
        <w:t xml:space="preserve"> </w:t>
      </w:r>
      <w:r>
        <w:t>was</w:t>
      </w:r>
      <w:r w:rsidRPr="005C3289">
        <w:t xml:space="preserve"> </w:t>
      </w:r>
      <w:r w:rsidR="00147531">
        <w:t>net cost saving</w:t>
      </w:r>
      <w:r w:rsidR="00147531" w:rsidRPr="005C3289" w:rsidDel="00147531">
        <w:t xml:space="preserve"> </w:t>
      </w:r>
      <w:r w:rsidRPr="005C3289">
        <w:t xml:space="preserve">in Year 1, increasing to </w:t>
      </w:r>
      <w:r w:rsidR="00147531">
        <w:t>net cost saving</w:t>
      </w:r>
      <w:r w:rsidR="00147531" w:rsidRPr="005C3289" w:rsidDel="00147531">
        <w:t xml:space="preserve"> </w:t>
      </w:r>
      <w:r w:rsidRPr="005C3289">
        <w:t>in Year 6, a total</w:t>
      </w:r>
      <w:r w:rsidR="00874636">
        <w:t xml:space="preserve"> saving</w:t>
      </w:r>
      <w:r w:rsidRPr="005C3289">
        <w:t xml:space="preserve"> of </w:t>
      </w:r>
      <w:r w:rsidR="00147531">
        <w:t>net cost saving</w:t>
      </w:r>
      <w:r w:rsidR="00147531" w:rsidRPr="005C3289" w:rsidDel="00147531">
        <w:t xml:space="preserve"> </w:t>
      </w:r>
      <w:r w:rsidRPr="005C3289">
        <w:t>over 6 years.</w:t>
      </w:r>
    </w:p>
    <w:p w14:paraId="14E1E4E8" w14:textId="294B3DD8" w:rsidR="00D44F54" w:rsidRPr="00C6194C" w:rsidRDefault="00D44F54" w:rsidP="000C453B">
      <w:pPr>
        <w:pStyle w:val="ExecSumBodyText"/>
        <w:spacing w:after="160"/>
      </w:pPr>
      <w:r w:rsidRPr="00D44F54">
        <w:t xml:space="preserve">The submission claimed that the listing of </w:t>
      </w:r>
      <w:proofErr w:type="spellStart"/>
      <w:r w:rsidRPr="00D44F54">
        <w:t>pegcetacoplan</w:t>
      </w:r>
      <w:proofErr w:type="spellEnd"/>
      <w:r w:rsidRPr="00D44F54">
        <w:t xml:space="preserve"> is not expected to increase the size of the PNH market, </w:t>
      </w:r>
      <w:r w:rsidRPr="00846510">
        <w:t xml:space="preserve">therefore any uncertainties in the model are unlikely to result in any additional cost to Government. This claim was reliant on the assumption that patients switching from a C5 inhibitor to </w:t>
      </w:r>
      <w:proofErr w:type="spellStart"/>
      <w:r w:rsidRPr="00846510">
        <w:t>pegcetacoplan</w:t>
      </w:r>
      <w:proofErr w:type="spellEnd"/>
      <w:r w:rsidRPr="00846510">
        <w:t xml:space="preserve"> would otherwise continue to receive treatment with a C5 inhibitor. </w:t>
      </w:r>
      <w:r w:rsidR="00D84F74" w:rsidRPr="00934577">
        <w:t>The ESC considered this assumption was appropriate and that</w:t>
      </w:r>
      <w:r w:rsidRPr="00934577">
        <w:t xml:space="preserve"> </w:t>
      </w:r>
      <w:proofErr w:type="spellStart"/>
      <w:r w:rsidRPr="00934577">
        <w:t>pegcetacoplan</w:t>
      </w:r>
      <w:proofErr w:type="spellEnd"/>
      <w:r w:rsidRPr="00934577">
        <w:t xml:space="preserve"> </w:t>
      </w:r>
      <w:r w:rsidR="00D84F74" w:rsidRPr="00934577">
        <w:t xml:space="preserve">was not </w:t>
      </w:r>
      <w:r w:rsidRPr="00934577">
        <w:t>likely to increase</w:t>
      </w:r>
      <w:r w:rsidRPr="00846510">
        <w:t xml:space="preserve"> the size of the </w:t>
      </w:r>
      <w:r w:rsidRPr="00C6194C">
        <w:t>treated population.</w:t>
      </w:r>
    </w:p>
    <w:p w14:paraId="609A5EA3" w14:textId="7CCE671B" w:rsidR="005126B1" w:rsidRPr="005126B1" w:rsidRDefault="00F42E2B" w:rsidP="000C453B">
      <w:pPr>
        <w:pStyle w:val="ExecSumBodyText"/>
        <w:spacing w:after="160"/>
      </w:pPr>
      <w:r w:rsidRPr="00C6194C">
        <w:lastRenderedPageBreak/>
        <w:t>The submission</w:t>
      </w:r>
      <w:r w:rsidRPr="00846510">
        <w:t xml:space="preserve"> claimed the </w:t>
      </w:r>
      <w:r w:rsidR="005126B1" w:rsidRPr="005126B1">
        <w:rPr>
          <w:color w:val="000000"/>
          <w:w w:val="61"/>
          <w:shd w:val="solid" w:color="000000" w:fill="000000"/>
          <w:fitText w:val="472" w:id="-1500841470"/>
          <w14:textFill>
            <w14:solidFill>
              <w14:srgbClr w14:val="000000">
                <w14:alpha w14:val="100000"/>
              </w14:srgbClr>
            </w14:solidFill>
          </w14:textFill>
        </w:rPr>
        <w:t>||</w:t>
      </w:r>
      <w:proofErr w:type="gramStart"/>
      <w:r w:rsidR="005126B1" w:rsidRPr="005126B1">
        <w:rPr>
          <w:color w:val="000000"/>
          <w:w w:val="61"/>
          <w:shd w:val="solid" w:color="000000" w:fill="000000"/>
          <w:fitText w:val="472" w:id="-1500841470"/>
          <w14:textFill>
            <w14:solidFill>
              <w14:srgbClr w14:val="000000">
                <w14:alpha w14:val="100000"/>
              </w14:srgbClr>
            </w14:solidFill>
          </w14:textFill>
        </w:rPr>
        <w:t>|  |</w:t>
      </w:r>
      <w:proofErr w:type="gramEnd"/>
      <w:r w:rsidR="005126B1" w:rsidRPr="005126B1">
        <w:rPr>
          <w:color w:val="000000"/>
          <w:w w:val="61"/>
          <w:shd w:val="solid" w:color="000000" w:fill="000000"/>
          <w:fitText w:val="472" w:id="-1500841470"/>
          <w14:textFill>
            <w14:solidFill>
              <w14:srgbClr w14:val="000000">
                <w14:alpha w14:val="100000"/>
              </w14:srgbClr>
            </w14:solidFill>
          </w14:textFill>
        </w:rPr>
        <w:t>|</w:t>
      </w:r>
      <w:r w:rsidR="005126B1" w:rsidRPr="005126B1">
        <w:rPr>
          <w:color w:val="000000"/>
          <w:spacing w:val="2"/>
          <w:w w:val="61"/>
          <w:shd w:val="solid" w:color="000000" w:fill="000000"/>
          <w:fitText w:val="472" w:id="-1500841470"/>
          <w14:textFill>
            <w14:solidFill>
              <w14:srgbClr w14:val="000000">
                <w14:alpha w14:val="100000"/>
              </w14:srgbClr>
            </w14:solidFill>
          </w14:textFill>
        </w:rPr>
        <w:t>|</w:t>
      </w:r>
      <w:r w:rsidR="005126B1" w:rsidRPr="005126B1">
        <w:t xml:space="preserve"> </w:t>
      </w:r>
      <w:r w:rsidR="005126B1" w:rsidRPr="005126B1">
        <w:rPr>
          <w:color w:val="000000"/>
          <w:w w:val="61"/>
          <w:shd w:val="solid" w:color="000000" w:fill="000000"/>
          <w:fitText w:val="473" w:id="-1500841469"/>
          <w14:textFill>
            <w14:solidFill>
              <w14:srgbClr w14:val="000000">
                <w14:alpha w14:val="100000"/>
              </w14:srgbClr>
            </w14:solidFill>
          </w14:textFill>
        </w:rPr>
        <w:t>|||  ||</w:t>
      </w:r>
      <w:r w:rsidR="005126B1" w:rsidRPr="005126B1">
        <w:rPr>
          <w:color w:val="000000"/>
          <w:spacing w:val="3"/>
          <w:w w:val="61"/>
          <w:shd w:val="solid" w:color="000000" w:fill="000000"/>
          <w:fitText w:val="473" w:id="-1500841469"/>
          <w14:textFill>
            <w14:solidFill>
              <w14:srgbClr w14:val="000000">
                <w14:alpha w14:val="100000"/>
              </w14:srgbClr>
            </w14:solidFill>
          </w14:textFill>
        </w:rPr>
        <w:t>|</w:t>
      </w:r>
      <w:r w:rsidRPr="00846510">
        <w:t xml:space="preserve"> approach and benefits associated with </w:t>
      </w:r>
      <w:proofErr w:type="spellStart"/>
      <w:r w:rsidRPr="00846510">
        <w:t>pegcetacoplan</w:t>
      </w:r>
      <w:proofErr w:type="spellEnd"/>
      <w:r w:rsidRPr="00846510">
        <w:t xml:space="preserve"> treatment are expected to be cost saving on an individual patient basis. The </w:t>
      </w:r>
      <w:proofErr w:type="gramStart"/>
      <w:r w:rsidR="005126B1" w:rsidRPr="000A62F7">
        <w:rPr>
          <w:color w:val="000000"/>
          <w:w w:val="15"/>
          <w:shd w:val="solid" w:color="000000" w:fill="000000"/>
          <w:fitText w:val="-20" w:id="-1500841468"/>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8"/>
          <w14:textFill>
            <w14:solidFill>
              <w14:srgbClr w14:val="000000">
                <w14:alpha w14:val="100000"/>
              </w14:srgbClr>
            </w14:solidFill>
          </w14:textFill>
        </w:rPr>
        <w:t>|</w:t>
      </w:r>
      <w:proofErr w:type="gramEnd"/>
      <w:r w:rsidR="005126B1" w:rsidRPr="005126B1">
        <w:t xml:space="preserve"> </w:t>
      </w:r>
      <w:r w:rsidR="005126B1" w:rsidRPr="000A62F7">
        <w:rPr>
          <w:color w:val="000000"/>
          <w:w w:val="15"/>
          <w:shd w:val="solid" w:color="000000" w:fill="000000"/>
          <w:fitText w:val="-20" w:id="-1500841467"/>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7"/>
          <w14:textFill>
            <w14:solidFill>
              <w14:srgbClr w14:val="000000">
                <w14:alpha w14:val="100000"/>
              </w14:srgbClr>
            </w14:solidFill>
          </w14:textFill>
        </w:rPr>
        <w:t>|</w:t>
      </w:r>
      <w:r w:rsidRPr="00846510">
        <w:t xml:space="preserve"> approach was reliant on the assumption of equivalent pricing between eculizumab and </w:t>
      </w:r>
      <w:proofErr w:type="spellStart"/>
      <w:r w:rsidRPr="00846510">
        <w:t>ravulizumab</w:t>
      </w:r>
      <w:proofErr w:type="spellEnd"/>
      <w:r w:rsidRPr="00846510">
        <w:t xml:space="preserve">, which may not be appropriate given the effective price of </w:t>
      </w:r>
      <w:proofErr w:type="spellStart"/>
      <w:r w:rsidRPr="00846510">
        <w:t>ravulizumab</w:t>
      </w:r>
      <w:proofErr w:type="spellEnd"/>
      <w:r w:rsidRPr="00846510">
        <w:t xml:space="preserve"> is likely to include cost offsets due to reduced administrations. Cost offsets in the submission are likely to be overestimated due to the inappropriate inclusion of cost offsets associated with displaced use of iron chelation therapies and inadequately justified assumptions surrounding reduced treatment administration costs and reduced blood t</w:t>
      </w:r>
      <w:r w:rsidRPr="009D5C41">
        <w:t xml:space="preserve">ransfusions. </w:t>
      </w:r>
      <w:r w:rsidR="008E788E" w:rsidRPr="009D5C41">
        <w:t xml:space="preserve">The pre-PBAC response stated the sponsor remains committed to work with the Department of Health to ensure a </w:t>
      </w:r>
      <w:proofErr w:type="spellStart"/>
      <w:r w:rsidR="008E788E" w:rsidRPr="009D5C41">
        <w:t>pegcetacoplan</w:t>
      </w:r>
      <w:proofErr w:type="spellEnd"/>
      <w:r w:rsidR="008E788E" w:rsidRPr="009D5C41">
        <w:t xml:space="preserve"> on the PBS would be at least </w:t>
      </w:r>
      <w:proofErr w:type="gramStart"/>
      <w:r w:rsidR="005126B1" w:rsidRPr="000A62F7">
        <w:rPr>
          <w:color w:val="000000"/>
          <w:w w:val="15"/>
          <w:shd w:val="solid" w:color="000000" w:fill="000000"/>
          <w:fitText w:val="-20" w:id="-1500841466"/>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6"/>
          <w14:textFill>
            <w14:solidFill>
              <w14:srgbClr w14:val="000000">
                <w14:alpha w14:val="100000"/>
              </w14:srgbClr>
            </w14:solidFill>
          </w14:textFill>
        </w:rPr>
        <w:t>|</w:t>
      </w:r>
      <w:proofErr w:type="gramEnd"/>
      <w:r w:rsidR="008E788E" w:rsidRPr="005126B1">
        <w:t>-</w:t>
      </w:r>
      <w:r w:rsidR="005126B1" w:rsidRPr="000A62F7">
        <w:rPr>
          <w:color w:val="000000"/>
          <w:w w:val="15"/>
          <w:shd w:val="solid" w:color="000000" w:fill="000000"/>
          <w:fitText w:val="-20" w:id="-1500841465"/>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5"/>
          <w14:textFill>
            <w14:solidFill>
              <w14:srgbClr w14:val="000000">
                <w14:alpha w14:val="100000"/>
              </w14:srgbClr>
            </w14:solidFill>
          </w14:textFill>
        </w:rPr>
        <w:t>|</w:t>
      </w:r>
      <w:r w:rsidR="005126B1" w:rsidRPr="005126B1">
        <w:t xml:space="preserve"> </w:t>
      </w:r>
      <w:r w:rsidR="008E788E" w:rsidRPr="009D5C41">
        <w:t xml:space="preserve">if not </w:t>
      </w:r>
      <w:r w:rsidR="005126B1" w:rsidRPr="000A62F7">
        <w:rPr>
          <w:color w:val="000000"/>
          <w:w w:val="15"/>
          <w:shd w:val="solid" w:color="000000" w:fill="000000"/>
          <w:fitText w:val="-20" w:id="-1500841464"/>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4"/>
          <w14:textFill>
            <w14:solidFill>
              <w14:srgbClr w14:val="000000">
                <w14:alpha w14:val="100000"/>
              </w14:srgbClr>
            </w14:solidFill>
          </w14:textFill>
        </w:rPr>
        <w:t>|</w:t>
      </w:r>
      <w:r w:rsidR="008E788E" w:rsidRPr="005126B1">
        <w:t>-</w:t>
      </w:r>
      <w:r w:rsidR="005126B1" w:rsidRPr="000A62F7">
        <w:rPr>
          <w:color w:val="000000"/>
          <w:w w:val="15"/>
          <w:shd w:val="solid" w:color="000000" w:fill="000000"/>
          <w:fitText w:val="-20" w:id="-1500841463"/>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3"/>
          <w14:textFill>
            <w14:solidFill>
              <w14:srgbClr w14:val="000000">
                <w14:alpha w14:val="100000"/>
              </w14:srgbClr>
            </w14:solidFill>
          </w14:textFill>
        </w:rPr>
        <w:t>|</w:t>
      </w:r>
    </w:p>
    <w:p w14:paraId="41F02D90" w14:textId="187521B2" w:rsidR="001671A0" w:rsidRPr="00934577" w:rsidRDefault="006E0241" w:rsidP="000C453B">
      <w:pPr>
        <w:pStyle w:val="ExecSumBodyText"/>
        <w:spacing w:after="160"/>
      </w:pPr>
      <w:r w:rsidRPr="00846510">
        <w:t xml:space="preserve">The submission assumed no administration costs associated with </w:t>
      </w:r>
      <w:proofErr w:type="spellStart"/>
      <w:r w:rsidRPr="00846510">
        <w:t>pegcetacoplan</w:t>
      </w:r>
      <w:proofErr w:type="spellEnd"/>
      <w:r w:rsidRPr="00846510">
        <w:t xml:space="preserve"> as all patients would be self-administering treatment at home. It is unclear what proportion of patients would opt for home-based self-administration given the complex method of administration and potential safety risks associated with dosing errors. There are likely to be increased </w:t>
      </w:r>
      <w:r w:rsidR="00576019" w:rsidRPr="00846510">
        <w:t xml:space="preserve">MBS </w:t>
      </w:r>
      <w:r w:rsidRPr="00846510">
        <w:t xml:space="preserve">costs associated with the administration of </w:t>
      </w:r>
      <w:proofErr w:type="spellStart"/>
      <w:r w:rsidRPr="00846510">
        <w:t>pegcetacoplan</w:t>
      </w:r>
      <w:proofErr w:type="spellEnd"/>
      <w:r w:rsidRPr="00846510">
        <w:t xml:space="preserve"> in healthcare settings, particularly given the frequency of administration (twice weekly or every 3 days</w:t>
      </w:r>
      <w:r w:rsidRPr="00934577">
        <w:t>).</w:t>
      </w:r>
      <w:r w:rsidR="00D84F74" w:rsidRPr="00934577">
        <w:t xml:space="preserve"> The ESC noted the expert opinion in the PSCR that with a small amount of instruction, all patients in the clinical trials were able to use the device to administer the product successfully.</w:t>
      </w:r>
    </w:p>
    <w:p w14:paraId="2238DEE9" w14:textId="5B8F0CE7" w:rsidR="00576972" w:rsidRPr="00746BBB" w:rsidRDefault="00576972" w:rsidP="00606FBA">
      <w:pPr>
        <w:pStyle w:val="3-SubsectionHeading"/>
      </w:pPr>
      <w:bookmarkStart w:id="44" w:name="_Toc22897648"/>
      <w:bookmarkStart w:id="45" w:name="_Toc93497080"/>
      <w:r w:rsidRPr="00746BBB">
        <w:t>Quality Use of Medicines</w:t>
      </w:r>
      <w:bookmarkEnd w:id="44"/>
      <w:bookmarkEnd w:id="45"/>
    </w:p>
    <w:p w14:paraId="38BD0AEF" w14:textId="764B507F" w:rsidR="00576972" w:rsidRPr="00CF1136" w:rsidRDefault="00CF1136" w:rsidP="000C453B">
      <w:pPr>
        <w:pStyle w:val="ExecSumBodyText"/>
        <w:spacing w:after="160"/>
      </w:pPr>
      <w:r w:rsidRPr="00CF1136">
        <w:t xml:space="preserve">The submission stated that the sponsor will be establishing a patient support program for patients who have been prescribed </w:t>
      </w:r>
      <w:proofErr w:type="spellStart"/>
      <w:r w:rsidRPr="00CF1136">
        <w:t>pegcetacoplan</w:t>
      </w:r>
      <w:proofErr w:type="spellEnd"/>
      <w:r w:rsidRPr="00CF1136">
        <w:t xml:space="preserve">. The objectives of this program include the provision of the mechanical pumps and monthly consumables to individual patients at no additional cost, the provision of training to patients and carers on the use of the pumps and administration of </w:t>
      </w:r>
      <w:proofErr w:type="spellStart"/>
      <w:r w:rsidRPr="00CF1136">
        <w:t>pegcetacoplan</w:t>
      </w:r>
      <w:proofErr w:type="spellEnd"/>
      <w:r w:rsidRPr="00CF1136">
        <w:t xml:space="preserve"> and follow-up of patients during the first 2 months of therapy to ensure they are comfortable with the use of the pump and medication, through an external nurse vendor.</w:t>
      </w:r>
    </w:p>
    <w:p w14:paraId="425C168B" w14:textId="40EAA39C" w:rsidR="00CF1136" w:rsidRPr="00846510" w:rsidRDefault="007336BE" w:rsidP="002B5CF5">
      <w:pPr>
        <w:pStyle w:val="ExecSumBodyText"/>
        <w:spacing w:after="160"/>
      </w:pPr>
      <w:r w:rsidRPr="00175EAB">
        <w:t xml:space="preserve">The submission stated that the sponsor is committed to working with the TGA on the </w:t>
      </w:r>
      <w:r w:rsidR="000B2D0F" w:rsidRPr="00175EAB">
        <w:t>development of the controlled distribution system and educational program</w:t>
      </w:r>
      <w:r w:rsidRPr="00175EAB">
        <w:t xml:space="preserve">, in accordance with the risk management plan for </w:t>
      </w:r>
      <w:proofErr w:type="spellStart"/>
      <w:r w:rsidRPr="00175EAB">
        <w:t>pegcetacoplan</w:t>
      </w:r>
      <w:proofErr w:type="spellEnd"/>
      <w:r w:rsidR="00175EAB" w:rsidRPr="00175EAB">
        <w:t>.</w:t>
      </w:r>
      <w:r w:rsidR="00175EAB">
        <w:t xml:space="preserve"> The submission stated that a </w:t>
      </w:r>
      <w:r w:rsidR="00175EAB" w:rsidRPr="00175EAB">
        <w:t xml:space="preserve">long-term safety and efficacy extension study for </w:t>
      </w:r>
      <w:proofErr w:type="spellStart"/>
      <w:r w:rsidR="00175EAB" w:rsidRPr="00175EAB">
        <w:t>pegcetacoplan</w:t>
      </w:r>
      <w:proofErr w:type="spellEnd"/>
      <w:r w:rsidR="00175EAB" w:rsidRPr="00175EAB">
        <w:t xml:space="preserve"> is currently being conducted</w:t>
      </w:r>
      <w:r w:rsidR="00175EAB">
        <w:t xml:space="preserve"> (PASS study, expected completion late 2022) and the results will be shared with the TGA when available. </w:t>
      </w:r>
    </w:p>
    <w:p w14:paraId="6117F7C3" w14:textId="1C02F9EB" w:rsidR="00400F9C" w:rsidRPr="00846510" w:rsidRDefault="006531C5" w:rsidP="000C453B">
      <w:pPr>
        <w:pStyle w:val="ExecSumBodyText"/>
        <w:spacing w:after="160"/>
      </w:pPr>
      <w:r w:rsidRPr="00846510">
        <w:t xml:space="preserve">There are currently no data available on the management of breakthrough haemolysis events </w:t>
      </w:r>
      <w:r w:rsidR="00E65A86" w:rsidRPr="00846510">
        <w:t xml:space="preserve">in patients treated with </w:t>
      </w:r>
      <w:proofErr w:type="spellStart"/>
      <w:r w:rsidR="00E65A86" w:rsidRPr="00846510">
        <w:t>pegcetacoplan</w:t>
      </w:r>
      <w:proofErr w:type="spellEnd"/>
      <w:r w:rsidR="00E65A86" w:rsidRPr="00846510">
        <w:t xml:space="preserve">. There is currently no consensus on the severity of these events in the published literature and it is unclear how these events will be managed in practice. </w:t>
      </w:r>
    </w:p>
    <w:p w14:paraId="6015A395" w14:textId="2EDB6A4E" w:rsidR="00576972" w:rsidRPr="00746BBB" w:rsidRDefault="00576972" w:rsidP="00606FBA">
      <w:pPr>
        <w:pStyle w:val="3-SubsectionHeading"/>
      </w:pPr>
      <w:bookmarkStart w:id="46" w:name="_Toc22897649"/>
      <w:bookmarkStart w:id="47" w:name="_Toc93497081"/>
      <w:r w:rsidRPr="00746BBB">
        <w:lastRenderedPageBreak/>
        <w:t>Financial Management – Risk Sharing Arrangements</w:t>
      </w:r>
      <w:bookmarkEnd w:id="46"/>
      <w:bookmarkEnd w:id="47"/>
    </w:p>
    <w:p w14:paraId="0EBC8B54" w14:textId="27389530" w:rsidR="00576972" w:rsidRDefault="00F42E2B" w:rsidP="000C453B">
      <w:pPr>
        <w:pStyle w:val="ExecSumBodyText"/>
        <w:spacing w:after="160"/>
      </w:pPr>
      <w:r w:rsidRPr="00F42E2B">
        <w:t>No risk-sharing arrangement was proposed in the submission.</w:t>
      </w:r>
    </w:p>
    <w:p w14:paraId="40C00CE2" w14:textId="4D149C8F" w:rsidR="00806E3C" w:rsidRPr="00806E3C" w:rsidRDefault="00806E3C" w:rsidP="00806E3C">
      <w:pPr>
        <w:widowControl w:val="0"/>
        <w:numPr>
          <w:ilvl w:val="1"/>
          <w:numId w:val="1"/>
        </w:numPr>
        <w:spacing w:after="120"/>
        <w:rPr>
          <w:rFonts w:asciiTheme="minorHAnsi" w:hAnsiTheme="minorHAnsi"/>
          <w:bCs/>
          <w:snapToGrid w:val="0"/>
        </w:rPr>
      </w:pPr>
      <w:r>
        <w:t xml:space="preserve">The PBAC noted that in the July 2021 consideration of </w:t>
      </w:r>
      <w:proofErr w:type="spellStart"/>
      <w:r>
        <w:t>ravulizumab</w:t>
      </w:r>
      <w:proofErr w:type="spellEnd"/>
      <w:r>
        <w:t xml:space="preserve"> </w:t>
      </w:r>
      <w:r w:rsidRPr="00732139">
        <w:rPr>
          <w:rFonts w:asciiTheme="minorHAnsi" w:hAnsiTheme="minorHAnsi"/>
          <w:bCs/>
          <w:snapToGrid w:val="0"/>
        </w:rPr>
        <w:t xml:space="preserve">a risk sharing arrangement </w:t>
      </w:r>
      <w:r>
        <w:rPr>
          <w:rFonts w:asciiTheme="minorHAnsi" w:hAnsiTheme="minorHAnsi"/>
          <w:bCs/>
          <w:snapToGrid w:val="0"/>
        </w:rPr>
        <w:t xml:space="preserve">was considered </w:t>
      </w:r>
      <w:r w:rsidRPr="00732139">
        <w:rPr>
          <w:rFonts w:asciiTheme="minorHAnsi" w:hAnsiTheme="minorHAnsi"/>
          <w:bCs/>
          <w:snapToGrid w:val="0"/>
        </w:rPr>
        <w:t xml:space="preserve">appropriate to manage any residual uncertainty associated with the cost to government of listing eculizumab and </w:t>
      </w:r>
      <w:proofErr w:type="spellStart"/>
      <w:r w:rsidRPr="00732139">
        <w:rPr>
          <w:rFonts w:asciiTheme="minorHAnsi" w:hAnsiTheme="minorHAnsi"/>
          <w:bCs/>
          <w:snapToGrid w:val="0"/>
        </w:rPr>
        <w:t>ravulizumab</w:t>
      </w:r>
      <w:proofErr w:type="spellEnd"/>
      <w:r w:rsidRPr="00732139">
        <w:rPr>
          <w:rFonts w:asciiTheme="minorHAnsi" w:hAnsiTheme="minorHAnsi"/>
          <w:bCs/>
          <w:snapToGrid w:val="0"/>
        </w:rPr>
        <w:t xml:space="preserve"> on the PBS</w:t>
      </w:r>
      <w:r w:rsidR="00EB40F2">
        <w:rPr>
          <w:rFonts w:asciiTheme="minorHAnsi" w:hAnsiTheme="minorHAnsi"/>
          <w:bCs/>
          <w:snapToGrid w:val="0"/>
        </w:rPr>
        <w:t xml:space="preserve"> </w:t>
      </w:r>
      <w:r>
        <w:rPr>
          <w:rFonts w:asciiTheme="minorHAnsi" w:hAnsiTheme="minorHAnsi"/>
          <w:bCs/>
          <w:snapToGrid w:val="0"/>
        </w:rPr>
        <w:t xml:space="preserve">(paragraph 7.17, </w:t>
      </w:r>
      <w:proofErr w:type="spellStart"/>
      <w:r w:rsidRPr="00A05B02">
        <w:t>ravulizumab</w:t>
      </w:r>
      <w:proofErr w:type="spellEnd"/>
      <w:r w:rsidRPr="00A05B02">
        <w:t xml:space="preserve"> PSD, July 2021 PBAC meeting</w:t>
      </w:r>
      <w:r>
        <w:t>)</w:t>
      </w:r>
      <w:r>
        <w:rPr>
          <w:rFonts w:asciiTheme="minorHAnsi" w:hAnsiTheme="minorHAnsi"/>
          <w:bCs/>
          <w:snapToGrid w:val="0"/>
        </w:rPr>
        <w:t xml:space="preserve">. </w:t>
      </w:r>
    </w:p>
    <w:p w14:paraId="510ED481" w14:textId="77777777" w:rsidR="00934577" w:rsidRPr="00934577" w:rsidRDefault="00934577" w:rsidP="00934577">
      <w:pPr>
        <w:pStyle w:val="ExecSumBodyText"/>
        <w:numPr>
          <w:ilvl w:val="0"/>
          <w:numId w:val="0"/>
        </w:numPr>
        <w:spacing w:after="160"/>
        <w:ind w:left="720"/>
        <w:rPr>
          <w:i/>
          <w:iCs/>
        </w:rPr>
      </w:pPr>
      <w:r w:rsidRPr="00934577">
        <w:rPr>
          <w:i/>
          <w:iCs/>
        </w:rPr>
        <w:t>For more detail on PBAC’s view, see section 7 PBAC outcome.</w:t>
      </w:r>
    </w:p>
    <w:p w14:paraId="6C267FC6" w14:textId="77777777" w:rsidR="00934577" w:rsidRPr="0090150D" w:rsidRDefault="00934577" w:rsidP="0096407E">
      <w:pPr>
        <w:pStyle w:val="2-SectionHeading"/>
        <w:keepLines/>
      </w:pPr>
      <w:bookmarkStart w:id="48" w:name="_Hlk76381249"/>
      <w:bookmarkStart w:id="49" w:name="_Hlk76377955"/>
      <w:r w:rsidRPr="0090150D">
        <w:t>PBAC Outcome</w:t>
      </w:r>
    </w:p>
    <w:p w14:paraId="21294818" w14:textId="3097623F" w:rsidR="00176CFE" w:rsidRDefault="00851A76" w:rsidP="0096407E">
      <w:pPr>
        <w:keepNext/>
        <w:keepLines/>
        <w:widowControl w:val="0"/>
        <w:numPr>
          <w:ilvl w:val="1"/>
          <w:numId w:val="1"/>
        </w:numPr>
        <w:spacing w:after="120"/>
        <w:rPr>
          <w:rFonts w:asciiTheme="minorHAnsi" w:hAnsiTheme="minorHAnsi"/>
          <w:snapToGrid w:val="0"/>
          <w:lang w:val="en-GB"/>
        </w:rPr>
      </w:pPr>
      <w:r w:rsidRPr="008F6009">
        <w:rPr>
          <w:rFonts w:asciiTheme="minorHAnsi" w:hAnsiTheme="minorHAnsi"/>
          <w:snapToGrid w:val="0"/>
          <w:lang w:val="en-GB"/>
        </w:rPr>
        <w:t xml:space="preserve">The PBAC did not recommended </w:t>
      </w:r>
      <w:proofErr w:type="spellStart"/>
      <w:r w:rsidRPr="008F6009">
        <w:rPr>
          <w:rFonts w:asciiTheme="minorHAnsi" w:hAnsiTheme="minorHAnsi"/>
          <w:snapToGrid w:val="0"/>
          <w:lang w:val="en-GB"/>
        </w:rPr>
        <w:t>pegcetacoplan</w:t>
      </w:r>
      <w:proofErr w:type="spellEnd"/>
      <w:r w:rsidRPr="008F6009">
        <w:rPr>
          <w:rFonts w:asciiTheme="minorHAnsi" w:hAnsiTheme="minorHAnsi"/>
          <w:snapToGrid w:val="0"/>
          <w:lang w:val="en-GB"/>
        </w:rPr>
        <w:t xml:space="preserve">, for the treatment of adults with paroxysmal nocturnal haemoglobinuria (PNH) who have inadequate clinical response to treatment with eculizumab or </w:t>
      </w:r>
      <w:proofErr w:type="spellStart"/>
      <w:r w:rsidRPr="008F6009">
        <w:rPr>
          <w:rFonts w:asciiTheme="minorHAnsi" w:hAnsiTheme="minorHAnsi"/>
          <w:snapToGrid w:val="0"/>
          <w:lang w:val="en-GB"/>
        </w:rPr>
        <w:t>ravulizumab</w:t>
      </w:r>
      <w:proofErr w:type="spellEnd"/>
      <w:r w:rsidRPr="008F6009">
        <w:rPr>
          <w:rFonts w:asciiTheme="minorHAnsi" w:hAnsiTheme="minorHAnsi"/>
          <w:snapToGrid w:val="0"/>
          <w:lang w:val="en-GB"/>
        </w:rPr>
        <w:t xml:space="preserve">. The PBAC considered the evidence presented demonstrated a benefit </w:t>
      </w:r>
      <w:r w:rsidR="00A966BF">
        <w:rPr>
          <w:rFonts w:asciiTheme="minorHAnsi" w:hAnsiTheme="minorHAnsi"/>
          <w:snapToGrid w:val="0"/>
          <w:lang w:val="en-GB"/>
        </w:rPr>
        <w:t xml:space="preserve">compared to eculizumab </w:t>
      </w:r>
      <w:r w:rsidRPr="008F6009">
        <w:rPr>
          <w:rFonts w:asciiTheme="minorHAnsi" w:hAnsiTheme="minorHAnsi"/>
          <w:snapToGrid w:val="0"/>
          <w:lang w:val="en-GB"/>
        </w:rPr>
        <w:t xml:space="preserve">in short-term haematological outcomes. However, the PBAC considered the economic model provided was not reliable for decision-making and hence </w:t>
      </w:r>
      <w:r w:rsidR="005C53C7">
        <w:rPr>
          <w:rFonts w:asciiTheme="minorHAnsi" w:hAnsiTheme="minorHAnsi"/>
          <w:snapToGrid w:val="0"/>
          <w:lang w:val="en-GB"/>
        </w:rPr>
        <w:t xml:space="preserve">the </w:t>
      </w:r>
      <w:r w:rsidRPr="008F6009">
        <w:rPr>
          <w:rFonts w:asciiTheme="minorHAnsi" w:hAnsiTheme="minorHAnsi"/>
          <w:snapToGrid w:val="0"/>
          <w:lang w:val="en-GB"/>
        </w:rPr>
        <w:t xml:space="preserve">cost-effectiveness </w:t>
      </w:r>
      <w:r w:rsidR="001F358A">
        <w:rPr>
          <w:rFonts w:asciiTheme="minorHAnsi" w:hAnsiTheme="minorHAnsi"/>
          <w:snapToGrid w:val="0"/>
          <w:lang w:val="en-GB"/>
        </w:rPr>
        <w:t xml:space="preserve">of </w:t>
      </w:r>
      <w:proofErr w:type="spellStart"/>
      <w:r w:rsidR="00EB40F2">
        <w:rPr>
          <w:rFonts w:asciiTheme="minorHAnsi" w:hAnsiTheme="minorHAnsi"/>
          <w:snapToGrid w:val="0"/>
          <w:lang w:val="en-GB"/>
        </w:rPr>
        <w:t>pegcetacoplan</w:t>
      </w:r>
      <w:proofErr w:type="spellEnd"/>
      <w:r w:rsidR="001F358A">
        <w:rPr>
          <w:rFonts w:asciiTheme="minorHAnsi" w:hAnsiTheme="minorHAnsi"/>
          <w:snapToGrid w:val="0"/>
          <w:lang w:val="en-GB"/>
        </w:rPr>
        <w:t xml:space="preserve"> </w:t>
      </w:r>
      <w:r w:rsidRPr="008F6009">
        <w:rPr>
          <w:rFonts w:asciiTheme="minorHAnsi" w:hAnsiTheme="minorHAnsi"/>
          <w:snapToGrid w:val="0"/>
          <w:lang w:val="en-GB"/>
        </w:rPr>
        <w:t xml:space="preserve">could not be assessed. </w:t>
      </w:r>
    </w:p>
    <w:p w14:paraId="19F44014" w14:textId="3F99802D" w:rsidR="00176CFE" w:rsidRDefault="00176CFE" w:rsidP="0096407E">
      <w:pPr>
        <w:keepNext/>
        <w:keepLines/>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input from individuals, health care professionals and organisations that described an unmet clinical need despite the </w:t>
      </w:r>
      <w:r w:rsidR="00054A06">
        <w:rPr>
          <w:rFonts w:asciiTheme="minorHAnsi" w:hAnsiTheme="minorHAnsi"/>
          <w:snapToGrid w:val="0"/>
          <w:lang w:val="en-GB"/>
        </w:rPr>
        <w:t xml:space="preserve">current </w:t>
      </w:r>
      <w:r>
        <w:rPr>
          <w:rFonts w:asciiTheme="minorHAnsi" w:hAnsiTheme="minorHAnsi"/>
          <w:snapToGrid w:val="0"/>
          <w:lang w:val="en-GB"/>
        </w:rPr>
        <w:t xml:space="preserve">availability of </w:t>
      </w:r>
      <w:r w:rsidR="00054A06">
        <w:rPr>
          <w:rFonts w:asciiTheme="minorHAnsi" w:hAnsiTheme="minorHAnsi"/>
          <w:snapToGrid w:val="0"/>
          <w:lang w:val="en-GB"/>
        </w:rPr>
        <w:t xml:space="preserve">the C5 inhibitors </w:t>
      </w:r>
      <w:r w:rsidR="00086A6F">
        <w:rPr>
          <w:rFonts w:asciiTheme="minorHAnsi" w:hAnsiTheme="minorHAnsi"/>
          <w:snapToGrid w:val="0"/>
          <w:lang w:val="en-GB"/>
        </w:rPr>
        <w:t>(</w:t>
      </w:r>
      <w:proofErr w:type="gramStart"/>
      <w:r w:rsidR="00086A6F">
        <w:rPr>
          <w:rFonts w:asciiTheme="minorHAnsi" w:hAnsiTheme="minorHAnsi"/>
          <w:snapToGrid w:val="0"/>
          <w:lang w:val="en-GB"/>
        </w:rPr>
        <w:t>i.e.</w:t>
      </w:r>
      <w:proofErr w:type="gramEnd"/>
      <w:r w:rsidR="00086A6F">
        <w:rPr>
          <w:rFonts w:asciiTheme="minorHAnsi" w:hAnsiTheme="minorHAnsi"/>
          <w:snapToGrid w:val="0"/>
          <w:lang w:val="en-GB"/>
        </w:rPr>
        <w:t xml:space="preserve"> </w:t>
      </w:r>
      <w:r>
        <w:rPr>
          <w:rFonts w:asciiTheme="minorHAnsi" w:hAnsiTheme="minorHAnsi"/>
          <w:snapToGrid w:val="0"/>
          <w:lang w:val="en-GB"/>
        </w:rPr>
        <w:t xml:space="preserve">eculizumab and </w:t>
      </w:r>
      <w:proofErr w:type="spellStart"/>
      <w:r>
        <w:rPr>
          <w:rFonts w:asciiTheme="minorHAnsi" w:hAnsiTheme="minorHAnsi"/>
          <w:snapToGrid w:val="0"/>
          <w:lang w:val="en-GB"/>
        </w:rPr>
        <w:t>ravulizumab</w:t>
      </w:r>
      <w:proofErr w:type="spellEnd"/>
      <w:r w:rsidR="00086A6F">
        <w:rPr>
          <w:rFonts w:asciiTheme="minorHAnsi" w:hAnsiTheme="minorHAnsi"/>
          <w:snapToGrid w:val="0"/>
          <w:lang w:val="en-GB"/>
        </w:rPr>
        <w:t>)</w:t>
      </w:r>
      <w:r w:rsidR="00054A06">
        <w:rPr>
          <w:rFonts w:asciiTheme="minorHAnsi" w:hAnsiTheme="minorHAnsi"/>
          <w:snapToGrid w:val="0"/>
          <w:lang w:val="en-GB"/>
        </w:rPr>
        <w:t xml:space="preserve">. </w:t>
      </w:r>
    </w:p>
    <w:p w14:paraId="15EEFCF6" w14:textId="77777777" w:rsidR="00C43032" w:rsidRDefault="00054A06" w:rsidP="0093457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w:t>
      </w:r>
      <w:r w:rsidR="00086A6F">
        <w:rPr>
          <w:rFonts w:asciiTheme="minorHAnsi" w:hAnsiTheme="minorHAnsi"/>
          <w:snapToGrid w:val="0"/>
          <w:lang w:val="en-GB"/>
        </w:rPr>
        <w:t>e proposed place in therapy, as treatment for PNH patients with an inadequate clinical response or intolerance to a C5 inhibitor, was appropriate.</w:t>
      </w:r>
    </w:p>
    <w:p w14:paraId="645A4706" w14:textId="5DFB7832" w:rsidR="00176CFE" w:rsidRDefault="00C43032" w:rsidP="00934577">
      <w:pPr>
        <w:widowControl w:val="0"/>
        <w:numPr>
          <w:ilvl w:val="1"/>
          <w:numId w:val="1"/>
        </w:numPr>
        <w:spacing w:after="120"/>
        <w:rPr>
          <w:rFonts w:asciiTheme="minorHAnsi" w:hAnsiTheme="minorHAnsi"/>
          <w:snapToGrid w:val="0"/>
          <w:lang w:val="en-GB"/>
        </w:rPr>
      </w:pPr>
      <w:bookmarkStart w:id="50" w:name="_Ref99970847"/>
      <w:r>
        <w:rPr>
          <w:rFonts w:asciiTheme="minorHAnsi" w:hAnsiTheme="minorHAnsi"/>
          <w:snapToGrid w:val="0"/>
          <w:lang w:val="en-GB"/>
        </w:rPr>
        <w:t xml:space="preserve">The PBAC noted that </w:t>
      </w:r>
      <w:r w:rsidR="00086A6F">
        <w:rPr>
          <w:rFonts w:asciiTheme="minorHAnsi" w:hAnsiTheme="minorHAnsi"/>
          <w:snapToGrid w:val="0"/>
          <w:lang w:val="en-GB"/>
        </w:rPr>
        <w:t>no other second-line treatment to C5 inhibitor therapy was available</w:t>
      </w:r>
      <w:r>
        <w:rPr>
          <w:rFonts w:asciiTheme="minorHAnsi" w:hAnsiTheme="minorHAnsi"/>
          <w:snapToGrid w:val="0"/>
          <w:lang w:val="en-GB"/>
        </w:rPr>
        <w:t>. T</w:t>
      </w:r>
      <w:r w:rsidR="00086A6F">
        <w:rPr>
          <w:rFonts w:asciiTheme="minorHAnsi" w:hAnsiTheme="minorHAnsi"/>
          <w:snapToGrid w:val="0"/>
          <w:lang w:val="en-GB"/>
        </w:rPr>
        <w:t xml:space="preserve">he PBAC considered eculizumab and </w:t>
      </w:r>
      <w:proofErr w:type="spellStart"/>
      <w:r w:rsidR="00086A6F">
        <w:rPr>
          <w:rFonts w:asciiTheme="minorHAnsi" w:hAnsiTheme="minorHAnsi"/>
          <w:snapToGrid w:val="0"/>
          <w:lang w:val="en-GB"/>
        </w:rPr>
        <w:t>ravulizumab</w:t>
      </w:r>
      <w:proofErr w:type="spellEnd"/>
      <w:r w:rsidR="00086A6F">
        <w:rPr>
          <w:rFonts w:asciiTheme="minorHAnsi" w:hAnsiTheme="minorHAnsi"/>
          <w:snapToGrid w:val="0"/>
          <w:lang w:val="en-GB"/>
        </w:rPr>
        <w:t xml:space="preserve"> were appropriate </w:t>
      </w:r>
      <w:r>
        <w:rPr>
          <w:rFonts w:asciiTheme="minorHAnsi" w:hAnsiTheme="minorHAnsi"/>
          <w:snapToGrid w:val="0"/>
          <w:lang w:val="en-GB"/>
        </w:rPr>
        <w:t>comparators</w:t>
      </w:r>
      <w:r w:rsidR="00086A6F">
        <w:rPr>
          <w:rFonts w:asciiTheme="minorHAnsi" w:hAnsiTheme="minorHAnsi"/>
          <w:snapToGrid w:val="0"/>
          <w:lang w:val="en-GB"/>
        </w:rPr>
        <w:t xml:space="preserve"> as</w:t>
      </w:r>
      <w:r>
        <w:rPr>
          <w:rFonts w:asciiTheme="minorHAnsi" w:hAnsiTheme="minorHAnsi"/>
          <w:snapToGrid w:val="0"/>
          <w:lang w:val="en-GB"/>
        </w:rPr>
        <w:t>, given the nature of PNH,</w:t>
      </w:r>
      <w:r w:rsidR="00086A6F">
        <w:rPr>
          <w:rFonts w:asciiTheme="minorHAnsi" w:hAnsiTheme="minorHAnsi"/>
          <w:snapToGrid w:val="0"/>
          <w:lang w:val="en-GB"/>
        </w:rPr>
        <w:t xml:space="preserve"> they </w:t>
      </w:r>
      <w:r>
        <w:rPr>
          <w:rFonts w:asciiTheme="minorHAnsi" w:hAnsiTheme="minorHAnsi"/>
          <w:snapToGrid w:val="0"/>
          <w:lang w:val="en-GB"/>
        </w:rPr>
        <w:t xml:space="preserve">would continue to be used in this population </w:t>
      </w:r>
      <w:r w:rsidR="001F358A">
        <w:rPr>
          <w:rFonts w:asciiTheme="minorHAnsi" w:hAnsiTheme="minorHAnsi"/>
          <w:snapToGrid w:val="0"/>
          <w:lang w:val="en-GB"/>
        </w:rPr>
        <w:t xml:space="preserve">following </w:t>
      </w:r>
      <w:r>
        <w:rPr>
          <w:rFonts w:asciiTheme="minorHAnsi" w:hAnsiTheme="minorHAnsi"/>
          <w:snapToGrid w:val="0"/>
          <w:lang w:val="en-GB"/>
        </w:rPr>
        <w:t>an inadequate response</w:t>
      </w:r>
      <w:r w:rsidR="00086A6F">
        <w:rPr>
          <w:rFonts w:asciiTheme="minorHAnsi" w:hAnsiTheme="minorHAnsi"/>
          <w:snapToGrid w:val="0"/>
          <w:lang w:val="en-GB"/>
        </w:rPr>
        <w:t xml:space="preserve">. </w:t>
      </w:r>
      <w:bookmarkEnd w:id="50"/>
      <w:r w:rsidR="008D3A73">
        <w:rPr>
          <w:rFonts w:asciiTheme="minorHAnsi" w:hAnsiTheme="minorHAnsi"/>
          <w:snapToGrid w:val="0"/>
          <w:lang w:val="en-GB"/>
        </w:rPr>
        <w:t xml:space="preserve">The PBAC noted that both eculizumab and </w:t>
      </w:r>
      <w:proofErr w:type="spellStart"/>
      <w:r w:rsidR="008D3A73">
        <w:rPr>
          <w:rFonts w:asciiTheme="minorHAnsi" w:hAnsiTheme="minorHAnsi"/>
          <w:snapToGrid w:val="0"/>
          <w:lang w:val="en-GB"/>
        </w:rPr>
        <w:t>ravulizumab</w:t>
      </w:r>
      <w:proofErr w:type="spellEnd"/>
      <w:r w:rsidR="008D3A73">
        <w:rPr>
          <w:rFonts w:asciiTheme="minorHAnsi" w:hAnsiTheme="minorHAnsi"/>
          <w:snapToGrid w:val="0"/>
          <w:lang w:val="en-GB"/>
        </w:rPr>
        <w:t xml:space="preserve"> were listed on the PBS in March 2022.</w:t>
      </w:r>
    </w:p>
    <w:p w14:paraId="1135CE06" w14:textId="4C83D8E4" w:rsidR="0076485F" w:rsidRPr="0029550A" w:rsidRDefault="00BE1828" w:rsidP="00003BE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primary clinical evidence supporting the clinical claim was the PEGASUS trial </w:t>
      </w:r>
      <w:r w:rsidR="0076485F">
        <w:rPr>
          <w:rFonts w:asciiTheme="minorHAnsi" w:hAnsiTheme="minorHAnsi"/>
          <w:snapToGrid w:val="0"/>
          <w:lang w:val="en-GB"/>
        </w:rPr>
        <w:br/>
      </w:r>
      <w:r>
        <w:rPr>
          <w:rFonts w:asciiTheme="minorHAnsi" w:hAnsiTheme="minorHAnsi"/>
          <w:snapToGrid w:val="0"/>
          <w:lang w:val="en-GB"/>
        </w:rPr>
        <w:t xml:space="preserve">(N= 80) comparing </w:t>
      </w:r>
      <w:proofErr w:type="spellStart"/>
      <w:r>
        <w:rPr>
          <w:rFonts w:asciiTheme="minorHAnsi" w:hAnsiTheme="minorHAnsi"/>
          <w:snapToGrid w:val="0"/>
          <w:lang w:val="en-GB"/>
        </w:rPr>
        <w:t>pegcetacoplan</w:t>
      </w:r>
      <w:proofErr w:type="spellEnd"/>
      <w:r>
        <w:rPr>
          <w:rFonts w:asciiTheme="minorHAnsi" w:hAnsiTheme="minorHAnsi"/>
          <w:snapToGrid w:val="0"/>
          <w:lang w:val="en-GB"/>
        </w:rPr>
        <w:t xml:space="preserve"> with eculizumab. </w:t>
      </w:r>
      <w:r w:rsidR="0030259D">
        <w:rPr>
          <w:rFonts w:asciiTheme="minorHAnsi" w:hAnsiTheme="minorHAnsi"/>
          <w:snapToGrid w:val="0"/>
          <w:lang w:val="en-GB"/>
        </w:rPr>
        <w:t xml:space="preserve">The PBAC noted that at the completion of the 16-week randomised controlled period, treatment with </w:t>
      </w:r>
      <w:proofErr w:type="spellStart"/>
      <w:r w:rsidR="0030259D">
        <w:rPr>
          <w:rFonts w:asciiTheme="minorHAnsi" w:hAnsiTheme="minorHAnsi"/>
          <w:snapToGrid w:val="0"/>
          <w:lang w:val="en-GB"/>
        </w:rPr>
        <w:t>pegcetacoplan</w:t>
      </w:r>
      <w:proofErr w:type="spellEnd"/>
      <w:r w:rsidR="0030259D">
        <w:rPr>
          <w:rFonts w:asciiTheme="minorHAnsi" w:hAnsiTheme="minorHAnsi"/>
          <w:snapToGrid w:val="0"/>
          <w:lang w:val="en-GB"/>
        </w:rPr>
        <w:t xml:space="preserve"> was associated with a statistically significant improvement in haemoglobin (Hb) level compared to eculizumab in the absence of transfusions </w:t>
      </w:r>
      <w:bookmarkStart w:id="51" w:name="_Hlk99549483"/>
      <w:r w:rsidR="0030259D">
        <w:rPr>
          <w:rFonts w:asciiTheme="minorHAnsi" w:hAnsiTheme="minorHAnsi"/>
          <w:snapToGrid w:val="0"/>
          <w:lang w:val="en-GB"/>
        </w:rPr>
        <w:t xml:space="preserve">(see </w:t>
      </w:r>
      <w:r w:rsidR="0030259D">
        <w:rPr>
          <w:rFonts w:asciiTheme="minorHAnsi" w:hAnsiTheme="minorHAnsi"/>
          <w:snapToGrid w:val="0"/>
          <w:lang w:val="en-GB"/>
        </w:rPr>
        <w:fldChar w:fldCharType="begin"/>
      </w:r>
      <w:r w:rsidR="0030259D">
        <w:rPr>
          <w:rFonts w:asciiTheme="minorHAnsi" w:hAnsiTheme="minorHAnsi"/>
          <w:snapToGrid w:val="0"/>
          <w:lang w:val="en-GB"/>
        </w:rPr>
        <w:instrText xml:space="preserve"> REF _Ref99548218 \h </w:instrText>
      </w:r>
      <w:r w:rsidR="0030259D">
        <w:rPr>
          <w:rFonts w:asciiTheme="minorHAnsi" w:hAnsiTheme="minorHAnsi"/>
          <w:snapToGrid w:val="0"/>
          <w:lang w:val="en-GB"/>
        </w:rPr>
      </w:r>
      <w:r w:rsidR="0030259D">
        <w:rPr>
          <w:rFonts w:asciiTheme="minorHAnsi" w:hAnsiTheme="minorHAnsi"/>
          <w:snapToGrid w:val="0"/>
          <w:lang w:val="en-GB"/>
        </w:rPr>
        <w:fldChar w:fldCharType="separate"/>
      </w:r>
      <w:r w:rsidR="000A62F7" w:rsidRPr="00746BBB">
        <w:t xml:space="preserve">Table </w:t>
      </w:r>
      <w:r w:rsidR="000A62F7">
        <w:rPr>
          <w:noProof/>
        </w:rPr>
        <w:t>5</w:t>
      </w:r>
      <w:r w:rsidR="0030259D">
        <w:rPr>
          <w:rFonts w:asciiTheme="minorHAnsi" w:hAnsiTheme="minorHAnsi"/>
          <w:snapToGrid w:val="0"/>
          <w:lang w:val="en-GB"/>
        </w:rPr>
        <w:fldChar w:fldCharType="end"/>
      </w:r>
      <w:r w:rsidR="0030259D">
        <w:rPr>
          <w:rFonts w:asciiTheme="minorHAnsi" w:hAnsiTheme="minorHAnsi"/>
          <w:snapToGrid w:val="0"/>
          <w:lang w:val="en-GB"/>
        </w:rPr>
        <w:t>)</w:t>
      </w:r>
      <w:bookmarkEnd w:id="51"/>
      <w:r w:rsidR="0030259D">
        <w:rPr>
          <w:rFonts w:asciiTheme="minorHAnsi" w:hAnsiTheme="minorHAnsi"/>
          <w:snapToGrid w:val="0"/>
          <w:lang w:val="en-GB"/>
        </w:rPr>
        <w:t xml:space="preserve">. </w:t>
      </w:r>
      <w:r w:rsidR="002C743D">
        <w:rPr>
          <w:rFonts w:asciiTheme="minorHAnsi" w:hAnsiTheme="minorHAnsi"/>
          <w:snapToGrid w:val="0"/>
          <w:lang w:val="en-GB"/>
        </w:rPr>
        <w:t>N</w:t>
      </w:r>
      <w:r w:rsidR="0076485F">
        <w:rPr>
          <w:rFonts w:asciiTheme="minorHAnsi" w:hAnsiTheme="minorHAnsi"/>
          <w:snapToGrid w:val="0"/>
          <w:lang w:val="en-GB"/>
        </w:rPr>
        <w:t xml:space="preserve">umerical improvements in reticulocyte count and quality of life (associated with fatigue) were </w:t>
      </w:r>
      <w:r w:rsidR="002C743D">
        <w:rPr>
          <w:rFonts w:asciiTheme="minorHAnsi" w:hAnsiTheme="minorHAnsi"/>
          <w:snapToGrid w:val="0"/>
          <w:lang w:val="en-GB"/>
        </w:rPr>
        <w:t>noted</w:t>
      </w:r>
      <w:r w:rsidR="0076485F">
        <w:rPr>
          <w:rFonts w:asciiTheme="minorHAnsi" w:hAnsiTheme="minorHAnsi"/>
          <w:snapToGrid w:val="0"/>
          <w:lang w:val="en-GB"/>
        </w:rPr>
        <w:t xml:space="preserve"> for </w:t>
      </w:r>
      <w:proofErr w:type="spellStart"/>
      <w:r w:rsidR="0076485F">
        <w:rPr>
          <w:rFonts w:asciiTheme="minorHAnsi" w:hAnsiTheme="minorHAnsi"/>
          <w:snapToGrid w:val="0"/>
          <w:lang w:val="en-GB"/>
        </w:rPr>
        <w:t>pegcetacoplan</w:t>
      </w:r>
      <w:proofErr w:type="spellEnd"/>
      <w:r w:rsidR="0076485F">
        <w:rPr>
          <w:rFonts w:asciiTheme="minorHAnsi" w:hAnsiTheme="minorHAnsi"/>
          <w:snapToGrid w:val="0"/>
          <w:lang w:val="en-GB"/>
        </w:rPr>
        <w:t xml:space="preserve"> (see </w:t>
      </w:r>
      <w:r w:rsidR="0076485F">
        <w:rPr>
          <w:rFonts w:asciiTheme="minorHAnsi" w:hAnsiTheme="minorHAnsi"/>
          <w:snapToGrid w:val="0"/>
          <w:lang w:val="en-GB"/>
        </w:rPr>
        <w:fldChar w:fldCharType="begin"/>
      </w:r>
      <w:r w:rsidR="0076485F">
        <w:rPr>
          <w:rFonts w:asciiTheme="minorHAnsi" w:hAnsiTheme="minorHAnsi"/>
          <w:snapToGrid w:val="0"/>
          <w:lang w:val="en-GB"/>
        </w:rPr>
        <w:instrText xml:space="preserve"> REF _Ref99548218 \h </w:instrText>
      </w:r>
      <w:r w:rsidR="0076485F">
        <w:rPr>
          <w:rFonts w:asciiTheme="minorHAnsi" w:hAnsiTheme="minorHAnsi"/>
          <w:snapToGrid w:val="0"/>
          <w:lang w:val="en-GB"/>
        </w:rPr>
      </w:r>
      <w:r w:rsidR="0076485F">
        <w:rPr>
          <w:rFonts w:asciiTheme="minorHAnsi" w:hAnsiTheme="minorHAnsi"/>
          <w:snapToGrid w:val="0"/>
          <w:lang w:val="en-GB"/>
        </w:rPr>
        <w:fldChar w:fldCharType="separate"/>
      </w:r>
      <w:r w:rsidR="000A62F7" w:rsidRPr="00746BBB">
        <w:t xml:space="preserve">Table </w:t>
      </w:r>
      <w:r w:rsidR="000A62F7">
        <w:rPr>
          <w:noProof/>
        </w:rPr>
        <w:t>5</w:t>
      </w:r>
      <w:r w:rsidR="0076485F">
        <w:rPr>
          <w:rFonts w:asciiTheme="minorHAnsi" w:hAnsiTheme="minorHAnsi"/>
          <w:snapToGrid w:val="0"/>
          <w:lang w:val="en-GB"/>
        </w:rPr>
        <w:fldChar w:fldCharType="end"/>
      </w:r>
      <w:r w:rsidR="0076485F">
        <w:rPr>
          <w:rFonts w:asciiTheme="minorHAnsi" w:hAnsiTheme="minorHAnsi"/>
          <w:snapToGrid w:val="0"/>
          <w:lang w:val="en-GB"/>
        </w:rPr>
        <w:t>)</w:t>
      </w:r>
      <w:r w:rsidR="002C743D">
        <w:rPr>
          <w:rFonts w:asciiTheme="minorHAnsi" w:hAnsiTheme="minorHAnsi"/>
          <w:snapToGrid w:val="0"/>
          <w:lang w:val="en-GB"/>
        </w:rPr>
        <w:t xml:space="preserve">, and the </w:t>
      </w:r>
      <w:r w:rsidR="0030259D">
        <w:rPr>
          <w:rFonts w:asciiTheme="minorHAnsi" w:hAnsiTheme="minorHAnsi"/>
          <w:snapToGrid w:val="0"/>
          <w:lang w:val="en-GB"/>
        </w:rPr>
        <w:t xml:space="preserve">PBAC </w:t>
      </w:r>
      <w:r w:rsidR="002C743D">
        <w:rPr>
          <w:rFonts w:asciiTheme="minorHAnsi" w:hAnsiTheme="minorHAnsi"/>
          <w:snapToGrid w:val="0"/>
          <w:lang w:val="en-GB"/>
        </w:rPr>
        <w:t xml:space="preserve">also </w:t>
      </w:r>
      <w:r w:rsidR="00291C66">
        <w:rPr>
          <w:rFonts w:asciiTheme="minorHAnsi" w:hAnsiTheme="minorHAnsi"/>
          <w:snapToGrid w:val="0"/>
          <w:lang w:val="en-GB"/>
        </w:rPr>
        <w:t xml:space="preserve">considered </w:t>
      </w:r>
      <w:r w:rsidR="00E416F7">
        <w:t xml:space="preserve">that while </w:t>
      </w:r>
      <w:proofErr w:type="spellStart"/>
      <w:r w:rsidR="00E416F7">
        <w:t>pegcetacoplan</w:t>
      </w:r>
      <w:proofErr w:type="spellEnd"/>
      <w:r w:rsidR="00E416F7">
        <w:t xml:space="preserve"> likely improved transfusion avoidance, the magnitude of improvement varied over time (see paragraph </w:t>
      </w:r>
      <w:r w:rsidR="00E416F7">
        <w:fldChar w:fldCharType="begin"/>
      </w:r>
      <w:r w:rsidR="00E416F7">
        <w:instrText xml:space="preserve"> REF _Ref99541745 \r \h </w:instrText>
      </w:r>
      <w:r w:rsidR="00E416F7">
        <w:fldChar w:fldCharType="separate"/>
      </w:r>
      <w:r w:rsidR="000A62F7">
        <w:t>6.28</w:t>
      </w:r>
      <w:r w:rsidR="00E416F7">
        <w:fldChar w:fldCharType="end"/>
      </w:r>
      <w:r w:rsidR="00E416F7">
        <w:t>)</w:t>
      </w:r>
      <w:r w:rsidR="00291C66">
        <w:rPr>
          <w:rFonts w:asciiTheme="minorHAnsi" w:hAnsiTheme="minorHAnsi"/>
          <w:snapToGrid w:val="0"/>
          <w:lang w:val="en-GB"/>
        </w:rPr>
        <w:t xml:space="preserve">. </w:t>
      </w:r>
      <w:r w:rsidR="007D7896">
        <w:rPr>
          <w:rFonts w:asciiTheme="minorHAnsi" w:hAnsiTheme="minorHAnsi"/>
          <w:snapToGrid w:val="0"/>
          <w:lang w:val="en-GB"/>
        </w:rPr>
        <w:t xml:space="preserve">The PBAC considered the evidence presented supported </w:t>
      </w:r>
      <w:r w:rsidR="007D7896" w:rsidRPr="008F6009">
        <w:rPr>
          <w:rFonts w:asciiTheme="minorHAnsi" w:hAnsiTheme="minorHAnsi"/>
          <w:snapToGrid w:val="0"/>
          <w:lang w:val="en-GB"/>
        </w:rPr>
        <w:t>a benefit in short-term haematological outcomes</w:t>
      </w:r>
      <w:r w:rsidR="007D7896">
        <w:rPr>
          <w:rFonts w:asciiTheme="minorHAnsi" w:hAnsiTheme="minorHAnsi"/>
          <w:snapToGrid w:val="0"/>
          <w:lang w:val="en-GB"/>
        </w:rPr>
        <w:t>.</w:t>
      </w:r>
      <w:r w:rsidR="0029550A">
        <w:rPr>
          <w:rFonts w:asciiTheme="minorHAnsi" w:hAnsiTheme="minorHAnsi"/>
          <w:snapToGrid w:val="0"/>
          <w:lang w:val="en-GB"/>
        </w:rPr>
        <w:t xml:space="preserve"> </w:t>
      </w:r>
      <w:r w:rsidR="002C743D">
        <w:rPr>
          <w:rFonts w:asciiTheme="minorHAnsi" w:hAnsiTheme="minorHAnsi"/>
          <w:snapToGrid w:val="0"/>
          <w:lang w:val="en-GB"/>
        </w:rPr>
        <w:t>The PBAC noted that no evidence to support non-inferiority in terms of long-term outcomes (</w:t>
      </w:r>
      <w:r w:rsidR="0029550A">
        <w:rPr>
          <w:rFonts w:asciiTheme="minorHAnsi" w:hAnsiTheme="minorHAnsi"/>
          <w:snapToGrid w:val="0"/>
          <w:lang w:val="en-GB"/>
        </w:rPr>
        <w:t>including</w:t>
      </w:r>
      <w:r w:rsidR="002C743D">
        <w:rPr>
          <w:rFonts w:asciiTheme="minorHAnsi" w:hAnsiTheme="minorHAnsi"/>
          <w:snapToGrid w:val="0"/>
          <w:lang w:val="en-GB"/>
        </w:rPr>
        <w:t xml:space="preserve"> prevention of thrombosis or improved survival) w</w:t>
      </w:r>
      <w:r w:rsidR="007D7896">
        <w:rPr>
          <w:rFonts w:asciiTheme="minorHAnsi" w:hAnsiTheme="minorHAnsi"/>
          <w:snapToGrid w:val="0"/>
          <w:lang w:val="en-GB"/>
        </w:rPr>
        <w:t>as</w:t>
      </w:r>
      <w:r w:rsidR="002C743D">
        <w:rPr>
          <w:rFonts w:asciiTheme="minorHAnsi" w:hAnsiTheme="minorHAnsi"/>
          <w:snapToGrid w:val="0"/>
          <w:lang w:val="en-GB"/>
        </w:rPr>
        <w:t xml:space="preserve"> presented in the submission. </w:t>
      </w:r>
      <w:r w:rsidR="002C743D" w:rsidRPr="00937F6D">
        <w:t xml:space="preserve">The </w:t>
      </w:r>
      <w:r w:rsidR="002C743D">
        <w:t xml:space="preserve">PBAC agreed with the </w:t>
      </w:r>
      <w:r w:rsidR="002C743D" w:rsidRPr="00937F6D">
        <w:t xml:space="preserve">ESC that </w:t>
      </w:r>
      <w:r w:rsidR="002C743D">
        <w:t xml:space="preserve">the </w:t>
      </w:r>
      <w:r w:rsidR="002C743D" w:rsidRPr="00937F6D">
        <w:t xml:space="preserve">long-term clinical </w:t>
      </w:r>
      <w:r w:rsidR="002C743D" w:rsidRPr="00937F6D">
        <w:lastRenderedPageBreak/>
        <w:t xml:space="preserve">data for </w:t>
      </w:r>
      <w:proofErr w:type="spellStart"/>
      <w:r w:rsidR="002C743D" w:rsidRPr="00937F6D">
        <w:t>pegcetacoplan</w:t>
      </w:r>
      <w:proofErr w:type="spellEnd"/>
      <w:r w:rsidR="002C743D" w:rsidRPr="00937F6D">
        <w:t xml:space="preserve"> was unlikely to be forthcoming for some time and thus the long-term relative benefit to C5 inhibitors was difficult to measure. The PBAC </w:t>
      </w:r>
      <w:r w:rsidR="00F544C0">
        <w:t xml:space="preserve">also recalled that its </w:t>
      </w:r>
      <w:r w:rsidR="002C743D" w:rsidRPr="00937F6D">
        <w:t xml:space="preserve">recommendation for </w:t>
      </w:r>
      <w:proofErr w:type="spellStart"/>
      <w:r w:rsidR="002C743D" w:rsidRPr="00937F6D">
        <w:t>ravulizumab</w:t>
      </w:r>
      <w:proofErr w:type="spellEnd"/>
      <w:r w:rsidR="002C743D" w:rsidRPr="00937F6D">
        <w:t xml:space="preserve"> relied on </w:t>
      </w:r>
      <w:r w:rsidR="00F544C0">
        <w:t>similar</w:t>
      </w:r>
      <w:r w:rsidR="002C743D" w:rsidRPr="00937F6D">
        <w:t xml:space="preserve"> short-term outcomes comparative to eculizumab</w:t>
      </w:r>
      <w:r w:rsidR="00F544C0">
        <w:t xml:space="preserve"> (see paragraph </w:t>
      </w:r>
      <w:r w:rsidR="00F544C0">
        <w:fldChar w:fldCharType="begin"/>
      </w:r>
      <w:r w:rsidR="00F544C0">
        <w:instrText xml:space="preserve"> REF _Ref99550618 \r \h </w:instrText>
      </w:r>
      <w:r w:rsidR="00F544C0">
        <w:fldChar w:fldCharType="separate"/>
      </w:r>
      <w:r w:rsidR="000A62F7">
        <w:t>6.34</w:t>
      </w:r>
      <w:r w:rsidR="00F544C0">
        <w:fldChar w:fldCharType="end"/>
      </w:r>
      <w:r w:rsidR="00F544C0">
        <w:t xml:space="preserve">).  </w:t>
      </w:r>
      <w:r w:rsidR="0029550A">
        <w:t>Overall, t</w:t>
      </w:r>
      <w:r w:rsidR="0076485F" w:rsidRPr="00003BE1">
        <w:t>he PBAC considered that while uncertain, the claim of non-inferior comparative effectiveness to the known benefits of eculizumab treatment in this population was reasonable.</w:t>
      </w:r>
    </w:p>
    <w:p w14:paraId="4D892FBE" w14:textId="7D0B6979" w:rsidR="00C74FA9" w:rsidRPr="004645A5" w:rsidRDefault="00052A90" w:rsidP="009722C3">
      <w:pPr>
        <w:pStyle w:val="ExecSumBodyText"/>
      </w:pPr>
      <w:r>
        <w:t xml:space="preserve">The PBAC noted the higher rate of haemolysis events that led to treatment discontinuations in the </w:t>
      </w:r>
      <w:proofErr w:type="spellStart"/>
      <w:r>
        <w:t>pegcetacoplan</w:t>
      </w:r>
      <w:proofErr w:type="spellEnd"/>
      <w:r>
        <w:t xml:space="preserve"> arm during the randomised and cross-over periods</w:t>
      </w:r>
      <w:r w:rsidR="009722C3">
        <w:t xml:space="preserve"> (see </w:t>
      </w:r>
      <w:r w:rsidR="009722C3">
        <w:fldChar w:fldCharType="begin"/>
      </w:r>
      <w:r w:rsidR="009722C3">
        <w:instrText xml:space="preserve"> REF _Ref99618515 \h </w:instrText>
      </w:r>
      <w:r w:rsidR="009722C3">
        <w:fldChar w:fldCharType="separate"/>
      </w:r>
      <w:r w:rsidR="000A62F7" w:rsidRPr="00746BBB">
        <w:t xml:space="preserve">Table </w:t>
      </w:r>
      <w:r w:rsidR="000A62F7">
        <w:rPr>
          <w:noProof/>
        </w:rPr>
        <w:t>6</w:t>
      </w:r>
      <w:r w:rsidR="009722C3">
        <w:fldChar w:fldCharType="end"/>
      </w:r>
      <w:r w:rsidR="009722C3">
        <w:t>)</w:t>
      </w:r>
      <w:r>
        <w:t>. However, t</w:t>
      </w:r>
      <w:r w:rsidR="004645A5" w:rsidRPr="004645A5">
        <w:t xml:space="preserve">he </w:t>
      </w:r>
      <w:r w:rsidR="004645A5">
        <w:t xml:space="preserve">PBAC considered </w:t>
      </w:r>
      <w:r w:rsidR="00780786">
        <w:t xml:space="preserve">that the requirement for all patients enrolled in the PEGASUS trial to be stable on eculizumab </w:t>
      </w:r>
      <w:r>
        <w:t xml:space="preserve">at baseline </w:t>
      </w:r>
      <w:r w:rsidR="00780786">
        <w:t>made safety comparisons difficult</w:t>
      </w:r>
      <w:r>
        <w:t xml:space="preserve"> as patients would be less likely to have adverse events related to eculizumab</w:t>
      </w:r>
      <w:r w:rsidR="00780786">
        <w:t xml:space="preserve">. </w:t>
      </w:r>
      <w:r w:rsidR="009722C3">
        <w:t xml:space="preserve">The PBAC agreed with the ESC that relative to the original eculizumab study (TRIUMP), the eculizumab toxicity profile was </w:t>
      </w:r>
      <w:proofErr w:type="gramStart"/>
      <w:r w:rsidR="009722C3">
        <w:t>similar to</w:t>
      </w:r>
      <w:proofErr w:type="gramEnd"/>
      <w:r w:rsidR="009722C3">
        <w:t xml:space="preserve"> </w:t>
      </w:r>
      <w:proofErr w:type="spellStart"/>
      <w:r w:rsidR="009722C3">
        <w:t>pegcetacoplan</w:t>
      </w:r>
      <w:proofErr w:type="spellEnd"/>
      <w:r w:rsidR="009722C3">
        <w:t>. Overall, t</w:t>
      </w:r>
      <w:r w:rsidR="00C74FA9" w:rsidRPr="004645A5">
        <w:t>he PBAC considered that the claim of non-inferior comparative safety was uncertain but reasonable</w:t>
      </w:r>
      <w:r w:rsidR="006607DE" w:rsidRPr="004645A5">
        <w:t xml:space="preserve">. </w:t>
      </w:r>
    </w:p>
    <w:p w14:paraId="66BF69EE" w14:textId="31E2200C" w:rsidR="003777C6" w:rsidRPr="003777C6" w:rsidRDefault="00B80310" w:rsidP="00003BE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submission presented a cost-utility analysis based on data from the PEGASUS trial and other modelled variables. </w:t>
      </w:r>
      <w:r w:rsidR="003777C6">
        <w:rPr>
          <w:rFonts w:asciiTheme="minorHAnsi" w:hAnsiTheme="minorHAnsi"/>
          <w:snapToGrid w:val="0"/>
        </w:rPr>
        <w:t xml:space="preserve">Overall, the PBAC considered that the model was not reliable for decision making and hence the cost-effectiveness of </w:t>
      </w:r>
      <w:proofErr w:type="spellStart"/>
      <w:r w:rsidR="003777C6">
        <w:rPr>
          <w:rFonts w:asciiTheme="minorHAnsi" w:hAnsiTheme="minorHAnsi"/>
          <w:snapToGrid w:val="0"/>
        </w:rPr>
        <w:t>pegcetacoplan</w:t>
      </w:r>
      <w:proofErr w:type="spellEnd"/>
      <w:r w:rsidR="003777C6">
        <w:rPr>
          <w:rFonts w:asciiTheme="minorHAnsi" w:hAnsiTheme="minorHAnsi"/>
          <w:snapToGrid w:val="0"/>
        </w:rPr>
        <w:t xml:space="preserve"> could not be assessed</w:t>
      </w:r>
      <w:r w:rsidR="00A966BF">
        <w:rPr>
          <w:rFonts w:asciiTheme="minorHAnsi" w:hAnsiTheme="minorHAnsi"/>
          <w:snapToGrid w:val="0"/>
        </w:rPr>
        <w:t xml:space="preserve"> (refer to paragraph 6.76)</w:t>
      </w:r>
      <w:r w:rsidR="003777C6">
        <w:rPr>
          <w:rFonts w:asciiTheme="minorHAnsi" w:hAnsiTheme="minorHAnsi"/>
          <w:snapToGrid w:val="0"/>
        </w:rPr>
        <w:t>. Issues with the model included:</w:t>
      </w:r>
    </w:p>
    <w:p w14:paraId="18AA9FB4" w14:textId="3FE9A1E6" w:rsidR="003777C6" w:rsidRPr="003777C6" w:rsidRDefault="00D54954" w:rsidP="003777C6">
      <w:pPr>
        <w:widowControl w:val="0"/>
        <w:numPr>
          <w:ilvl w:val="2"/>
          <w:numId w:val="1"/>
        </w:numPr>
        <w:spacing w:after="120"/>
        <w:ind w:left="1134" w:hanging="436"/>
        <w:rPr>
          <w:rFonts w:asciiTheme="minorHAnsi" w:hAnsiTheme="minorHAnsi"/>
          <w:snapToGrid w:val="0"/>
          <w:lang w:val="en-GB"/>
        </w:rPr>
      </w:pPr>
      <w:r>
        <w:rPr>
          <w:rFonts w:asciiTheme="minorHAnsi" w:hAnsiTheme="minorHAnsi"/>
          <w:snapToGrid w:val="0"/>
          <w:lang w:val="en-GB"/>
        </w:rPr>
        <w:t xml:space="preserve">The structure </w:t>
      </w:r>
      <w:r w:rsidR="009A2DEE">
        <w:rPr>
          <w:rFonts w:asciiTheme="minorHAnsi" w:hAnsiTheme="minorHAnsi"/>
          <w:snapToGrid w:val="0"/>
          <w:lang w:val="en-GB"/>
        </w:rPr>
        <w:t xml:space="preserve">limited the attribution of costs and benefits based on transfusion status and Hb level alone </w:t>
      </w:r>
      <w:r w:rsidR="003777C6" w:rsidRPr="00846510">
        <w:t xml:space="preserve">without adequately accounting for other disease-related </w:t>
      </w:r>
      <w:proofErr w:type="gramStart"/>
      <w:r w:rsidR="003777C6" w:rsidRPr="00846510">
        <w:t>complications</w:t>
      </w:r>
      <w:r w:rsidR="003777C6">
        <w:t>;</w:t>
      </w:r>
      <w:proofErr w:type="gramEnd"/>
    </w:p>
    <w:p w14:paraId="2CB9DAD6" w14:textId="3AB94BDC" w:rsidR="003777C6" w:rsidRPr="003777C6" w:rsidRDefault="009A2DEE" w:rsidP="003777C6">
      <w:pPr>
        <w:widowControl w:val="0"/>
        <w:numPr>
          <w:ilvl w:val="2"/>
          <w:numId w:val="1"/>
        </w:numPr>
        <w:spacing w:after="120"/>
        <w:ind w:left="1134" w:hanging="436"/>
        <w:rPr>
          <w:rFonts w:asciiTheme="minorHAnsi" w:hAnsiTheme="minorHAnsi"/>
          <w:snapToGrid w:val="0"/>
          <w:lang w:val="en-GB"/>
        </w:rPr>
      </w:pPr>
      <w:r>
        <w:rPr>
          <w:rFonts w:asciiTheme="minorHAnsi" w:hAnsiTheme="minorHAnsi"/>
          <w:snapToGrid w:val="0"/>
          <w:lang w:val="en-GB"/>
        </w:rPr>
        <w:t xml:space="preserve">The </w:t>
      </w:r>
      <w:r w:rsidR="00025530">
        <w:rPr>
          <w:rFonts w:asciiTheme="minorHAnsi" w:hAnsiTheme="minorHAnsi"/>
          <w:snapToGrid w:val="0"/>
          <w:lang w:val="en-GB"/>
        </w:rPr>
        <w:t xml:space="preserve">difference in the distribution of patients across the alive health states between treatment arms </w:t>
      </w:r>
      <w:r w:rsidR="00A966BF" w:rsidRPr="00846510">
        <w:t>were primarily driven by time spent in the optimal health state</w:t>
      </w:r>
      <w:r w:rsidR="00A966BF">
        <w:rPr>
          <w:rFonts w:asciiTheme="minorHAnsi" w:hAnsiTheme="minorHAnsi"/>
          <w:snapToGrid w:val="0"/>
          <w:lang w:val="en-GB"/>
        </w:rPr>
        <w:t xml:space="preserve"> and </w:t>
      </w:r>
      <w:r w:rsidR="00025530">
        <w:rPr>
          <w:rFonts w:asciiTheme="minorHAnsi" w:hAnsiTheme="minorHAnsi"/>
          <w:snapToGrid w:val="0"/>
          <w:lang w:val="en-GB"/>
        </w:rPr>
        <w:t xml:space="preserve">was the driver of the cost savings and improved quality of life associated with </w:t>
      </w:r>
      <w:proofErr w:type="spellStart"/>
      <w:r w:rsidR="00025530">
        <w:rPr>
          <w:rFonts w:asciiTheme="minorHAnsi" w:hAnsiTheme="minorHAnsi"/>
          <w:snapToGrid w:val="0"/>
          <w:lang w:val="en-GB"/>
        </w:rPr>
        <w:t>pegcetacoplan</w:t>
      </w:r>
      <w:proofErr w:type="spellEnd"/>
      <w:r w:rsidR="00A966BF">
        <w:rPr>
          <w:rFonts w:asciiTheme="minorHAnsi" w:hAnsiTheme="minorHAnsi"/>
          <w:snapToGrid w:val="0"/>
          <w:lang w:val="en-GB"/>
        </w:rPr>
        <w:t>.</w:t>
      </w:r>
      <w:r w:rsidR="003777C6">
        <w:rPr>
          <w:rFonts w:asciiTheme="minorHAnsi" w:hAnsiTheme="minorHAnsi"/>
          <w:snapToGrid w:val="0"/>
          <w:lang w:val="en-GB"/>
        </w:rPr>
        <w:t xml:space="preserve"> </w:t>
      </w:r>
      <w:r w:rsidR="00A966BF">
        <w:rPr>
          <w:rFonts w:asciiTheme="minorHAnsi" w:hAnsiTheme="minorHAnsi"/>
          <w:snapToGrid w:val="0"/>
        </w:rPr>
        <w:t>T</w:t>
      </w:r>
      <w:r w:rsidRPr="00AC63D1">
        <w:rPr>
          <w:rFonts w:asciiTheme="minorHAnsi" w:hAnsiTheme="minorHAnsi"/>
          <w:snapToGrid w:val="0"/>
        </w:rPr>
        <w:t xml:space="preserve">he time spent in the defined health states was informed by transition probabilities that could not be </w:t>
      </w:r>
      <w:r w:rsidR="00242898" w:rsidRPr="00AC63D1">
        <w:rPr>
          <w:rFonts w:asciiTheme="minorHAnsi" w:hAnsiTheme="minorHAnsi"/>
          <w:snapToGrid w:val="0"/>
        </w:rPr>
        <w:t xml:space="preserve">validated during the evaluation as the source of the analysis was not </w:t>
      </w:r>
      <w:proofErr w:type="gramStart"/>
      <w:r w:rsidR="00242898" w:rsidRPr="00AC63D1">
        <w:rPr>
          <w:rFonts w:asciiTheme="minorHAnsi" w:hAnsiTheme="minorHAnsi"/>
          <w:snapToGrid w:val="0"/>
        </w:rPr>
        <w:t>provided</w:t>
      </w:r>
      <w:r w:rsidR="003777C6">
        <w:rPr>
          <w:rFonts w:asciiTheme="minorHAnsi" w:hAnsiTheme="minorHAnsi"/>
          <w:snapToGrid w:val="0"/>
        </w:rPr>
        <w:t>;</w:t>
      </w:r>
      <w:proofErr w:type="gramEnd"/>
    </w:p>
    <w:p w14:paraId="7697BDE2" w14:textId="4A580935" w:rsidR="003777C6" w:rsidRPr="003777C6" w:rsidRDefault="00242898" w:rsidP="003777C6">
      <w:pPr>
        <w:widowControl w:val="0"/>
        <w:numPr>
          <w:ilvl w:val="2"/>
          <w:numId w:val="1"/>
        </w:numPr>
        <w:spacing w:after="120"/>
        <w:ind w:left="1134" w:hanging="436"/>
        <w:rPr>
          <w:rFonts w:asciiTheme="minorHAnsi" w:hAnsiTheme="minorHAnsi"/>
          <w:snapToGrid w:val="0"/>
          <w:lang w:val="en-GB"/>
        </w:rPr>
      </w:pPr>
      <w:r w:rsidRPr="00AC63D1">
        <w:rPr>
          <w:rFonts w:asciiTheme="minorHAnsi" w:hAnsiTheme="minorHAnsi"/>
          <w:snapToGrid w:val="0"/>
        </w:rPr>
        <w:t xml:space="preserve"> </w:t>
      </w:r>
      <w:r w:rsidR="003777C6">
        <w:rPr>
          <w:rFonts w:asciiTheme="minorHAnsi" w:hAnsiTheme="minorHAnsi"/>
          <w:snapToGrid w:val="0"/>
        </w:rPr>
        <w:t>T</w:t>
      </w:r>
      <w:r w:rsidRPr="00AC63D1">
        <w:rPr>
          <w:rFonts w:asciiTheme="minorHAnsi" w:hAnsiTheme="minorHAnsi"/>
          <w:snapToGrid w:val="0"/>
        </w:rPr>
        <w:t xml:space="preserve">he assumption that all PNH patients, regardless of treatment, have the same mortality rate as the general population was </w:t>
      </w:r>
      <w:r w:rsidR="00AC63D1">
        <w:rPr>
          <w:rFonts w:asciiTheme="minorHAnsi" w:hAnsiTheme="minorHAnsi"/>
          <w:snapToGrid w:val="0"/>
        </w:rPr>
        <w:t xml:space="preserve">unlikely to be clinically </w:t>
      </w:r>
      <w:proofErr w:type="gramStart"/>
      <w:r w:rsidR="00AC63D1">
        <w:rPr>
          <w:rFonts w:asciiTheme="minorHAnsi" w:hAnsiTheme="minorHAnsi"/>
          <w:snapToGrid w:val="0"/>
        </w:rPr>
        <w:t>plausible</w:t>
      </w:r>
      <w:r w:rsidR="003777C6">
        <w:rPr>
          <w:rFonts w:asciiTheme="minorHAnsi" w:hAnsiTheme="minorHAnsi"/>
          <w:snapToGrid w:val="0"/>
        </w:rPr>
        <w:t>;</w:t>
      </w:r>
      <w:proofErr w:type="gramEnd"/>
    </w:p>
    <w:p w14:paraId="6A61EB89" w14:textId="549BD416" w:rsidR="003777C6" w:rsidRPr="003777C6" w:rsidRDefault="00AC63D1" w:rsidP="003777C6">
      <w:pPr>
        <w:widowControl w:val="0"/>
        <w:numPr>
          <w:ilvl w:val="2"/>
          <w:numId w:val="1"/>
        </w:numPr>
        <w:spacing w:after="120"/>
        <w:ind w:left="1134" w:hanging="436"/>
        <w:rPr>
          <w:rFonts w:asciiTheme="minorHAnsi" w:hAnsiTheme="minorHAnsi"/>
          <w:snapToGrid w:val="0"/>
          <w:lang w:val="en-GB"/>
        </w:rPr>
      </w:pPr>
      <w:r>
        <w:rPr>
          <w:rFonts w:asciiTheme="minorHAnsi" w:hAnsiTheme="minorHAnsi"/>
          <w:snapToGrid w:val="0"/>
        </w:rPr>
        <w:t xml:space="preserve">The assumption that patients receiving </w:t>
      </w:r>
      <w:proofErr w:type="spellStart"/>
      <w:r>
        <w:rPr>
          <w:rFonts w:asciiTheme="minorHAnsi" w:hAnsiTheme="minorHAnsi"/>
          <w:snapToGrid w:val="0"/>
        </w:rPr>
        <w:t>pegcetacoplan</w:t>
      </w:r>
      <w:proofErr w:type="spellEnd"/>
      <w:r>
        <w:rPr>
          <w:rFonts w:asciiTheme="minorHAnsi" w:hAnsiTheme="minorHAnsi"/>
          <w:snapToGrid w:val="0"/>
        </w:rPr>
        <w:t xml:space="preserve"> do not require chelation therapy for iron overload was not </w:t>
      </w:r>
      <w:r w:rsidR="00EB40F2">
        <w:rPr>
          <w:rFonts w:asciiTheme="minorHAnsi" w:hAnsiTheme="minorHAnsi"/>
          <w:snapToGrid w:val="0"/>
        </w:rPr>
        <w:t>appropriate; and</w:t>
      </w:r>
    </w:p>
    <w:p w14:paraId="47C89195" w14:textId="6A7CD9A7" w:rsidR="00906FD6" w:rsidRPr="00906FD6" w:rsidRDefault="0008382D" w:rsidP="003777C6">
      <w:pPr>
        <w:widowControl w:val="0"/>
        <w:numPr>
          <w:ilvl w:val="2"/>
          <w:numId w:val="1"/>
        </w:numPr>
        <w:spacing w:after="120"/>
        <w:ind w:left="1134" w:hanging="436"/>
        <w:rPr>
          <w:rFonts w:asciiTheme="minorHAnsi" w:hAnsiTheme="minorHAnsi"/>
          <w:snapToGrid w:val="0"/>
          <w:lang w:val="en-GB"/>
        </w:rPr>
      </w:pPr>
      <w:r>
        <w:rPr>
          <w:rFonts w:asciiTheme="minorHAnsi" w:hAnsiTheme="minorHAnsi"/>
          <w:snapToGrid w:val="0"/>
        </w:rPr>
        <w:t>T</w:t>
      </w:r>
      <w:r w:rsidR="00AC63D1">
        <w:rPr>
          <w:rFonts w:asciiTheme="minorHAnsi" w:hAnsiTheme="minorHAnsi"/>
          <w:snapToGrid w:val="0"/>
        </w:rPr>
        <w:t xml:space="preserve">he </w:t>
      </w:r>
      <w:r w:rsidR="007B006E">
        <w:rPr>
          <w:rFonts w:asciiTheme="minorHAnsi" w:hAnsiTheme="minorHAnsi"/>
          <w:snapToGrid w:val="0"/>
        </w:rPr>
        <w:t>use of the health state utilities derived from EORTC QLQ-C30 scores</w:t>
      </w:r>
      <w:r w:rsidR="00EB459A">
        <w:rPr>
          <w:rFonts w:asciiTheme="minorHAnsi" w:hAnsiTheme="minorHAnsi"/>
          <w:snapToGrid w:val="0"/>
        </w:rPr>
        <w:t xml:space="preserve"> </w:t>
      </w:r>
      <w:r w:rsidR="003F038C">
        <w:rPr>
          <w:rFonts w:asciiTheme="minorHAnsi" w:hAnsiTheme="minorHAnsi"/>
          <w:snapToGrid w:val="0"/>
        </w:rPr>
        <w:t>given</w:t>
      </w:r>
      <w:r w:rsidR="007B006E">
        <w:rPr>
          <w:rFonts w:asciiTheme="minorHAnsi" w:hAnsiTheme="minorHAnsi"/>
          <w:snapToGrid w:val="0"/>
        </w:rPr>
        <w:t xml:space="preserve"> the instrument is specifically used to assess the health-related quality of life of cancer patients. </w:t>
      </w:r>
    </w:p>
    <w:p w14:paraId="29F5CCCB" w14:textId="105906B5" w:rsidR="007725EA" w:rsidRDefault="00081605" w:rsidP="005F5E8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proposed that </w:t>
      </w:r>
      <w:proofErr w:type="spellStart"/>
      <w:r>
        <w:rPr>
          <w:rFonts w:asciiTheme="minorHAnsi" w:hAnsiTheme="minorHAnsi"/>
          <w:snapToGrid w:val="0"/>
          <w:lang w:val="en-GB"/>
        </w:rPr>
        <w:t>pegcetacoplan</w:t>
      </w:r>
      <w:proofErr w:type="spellEnd"/>
      <w:r>
        <w:rPr>
          <w:rFonts w:asciiTheme="minorHAnsi" w:hAnsiTheme="minorHAnsi"/>
          <w:snapToGrid w:val="0"/>
          <w:lang w:val="en-GB"/>
        </w:rPr>
        <w:t xml:space="preserve"> be listed using a </w:t>
      </w:r>
      <w:proofErr w:type="gramStart"/>
      <w:r w:rsidR="005126B1" w:rsidRPr="000A62F7">
        <w:rPr>
          <w:rFonts w:asciiTheme="minorHAnsi" w:hAnsiTheme="minorHAnsi"/>
          <w:snapToGrid w:val="0"/>
          <w:color w:val="000000"/>
          <w:w w:val="15"/>
          <w:shd w:val="solid" w:color="000000" w:fill="000000"/>
          <w:fitText w:val="-20" w:id="-1500841462"/>
          <w:lang w:val="en-GB"/>
          <w14:textFill>
            <w14:solidFill>
              <w14:srgbClr w14:val="000000">
                <w14:alpha w14:val="100000"/>
              </w14:srgbClr>
            </w14:solidFill>
          </w14:textFill>
        </w:rPr>
        <w:t xml:space="preserve">|  </w:t>
      </w:r>
      <w:r w:rsidR="005126B1" w:rsidRPr="000A62F7">
        <w:rPr>
          <w:rFonts w:asciiTheme="minorHAnsi" w:hAnsiTheme="minorHAnsi"/>
          <w:snapToGrid w:val="0"/>
          <w:color w:val="000000"/>
          <w:spacing w:val="-69"/>
          <w:w w:val="15"/>
          <w:shd w:val="solid" w:color="000000" w:fill="000000"/>
          <w:fitText w:val="-20" w:id="-1500841462"/>
          <w:lang w:val="en-GB"/>
          <w14:textFill>
            <w14:solidFill>
              <w14:srgbClr w14:val="000000">
                <w14:alpha w14:val="100000"/>
              </w14:srgbClr>
            </w14:solidFill>
          </w14:textFill>
        </w:rPr>
        <w:t>|</w:t>
      </w:r>
      <w:proofErr w:type="gramEnd"/>
      <w:r w:rsidR="005126B1" w:rsidRPr="005126B1">
        <w:rPr>
          <w:rFonts w:asciiTheme="minorHAnsi" w:hAnsiTheme="minorHAnsi"/>
          <w:snapToGrid w:val="0"/>
          <w:lang w:val="en-GB"/>
        </w:rPr>
        <w:t xml:space="preserve"> </w:t>
      </w:r>
      <w:r w:rsidR="005126B1" w:rsidRPr="000A62F7">
        <w:rPr>
          <w:rFonts w:asciiTheme="minorHAnsi" w:hAnsiTheme="minorHAnsi"/>
          <w:snapToGrid w:val="0"/>
          <w:color w:val="000000"/>
          <w:w w:val="15"/>
          <w:shd w:val="solid" w:color="000000" w:fill="000000"/>
          <w:fitText w:val="-20" w:id="-1500841461"/>
          <w:lang w:val="en-GB"/>
          <w14:textFill>
            <w14:solidFill>
              <w14:srgbClr w14:val="000000">
                <w14:alpha w14:val="100000"/>
              </w14:srgbClr>
            </w14:solidFill>
          </w14:textFill>
        </w:rPr>
        <w:t xml:space="preserve">|  </w:t>
      </w:r>
      <w:r w:rsidR="005126B1" w:rsidRPr="000A62F7">
        <w:rPr>
          <w:rFonts w:asciiTheme="minorHAnsi" w:hAnsiTheme="minorHAnsi"/>
          <w:snapToGrid w:val="0"/>
          <w:color w:val="000000"/>
          <w:spacing w:val="-69"/>
          <w:w w:val="15"/>
          <w:shd w:val="solid" w:color="000000" w:fill="000000"/>
          <w:fitText w:val="-20" w:id="-1500841461"/>
          <w:lang w:val="en-GB"/>
          <w14:textFill>
            <w14:solidFill>
              <w14:srgbClr w14:val="000000">
                <w14:alpha w14:val="100000"/>
              </w14:srgbClr>
            </w14:solidFill>
          </w14:textFill>
        </w:rPr>
        <w:t>|</w:t>
      </w:r>
      <w:r>
        <w:rPr>
          <w:rFonts w:asciiTheme="minorHAnsi" w:hAnsiTheme="minorHAnsi"/>
          <w:snapToGrid w:val="0"/>
          <w:lang w:val="en-GB"/>
        </w:rPr>
        <w:t xml:space="preserve"> approach with </w:t>
      </w:r>
      <w:proofErr w:type="spellStart"/>
      <w:r>
        <w:rPr>
          <w:rFonts w:asciiTheme="minorHAnsi" w:hAnsiTheme="minorHAnsi"/>
          <w:snapToGrid w:val="0"/>
          <w:lang w:val="en-GB"/>
        </w:rPr>
        <w:t>ravulizumab</w:t>
      </w:r>
      <w:proofErr w:type="spellEnd"/>
      <w:r>
        <w:rPr>
          <w:rFonts w:asciiTheme="minorHAnsi" w:hAnsiTheme="minorHAnsi"/>
          <w:snapToGrid w:val="0"/>
          <w:lang w:val="en-GB"/>
        </w:rPr>
        <w:t xml:space="preserve"> and/or eculizumab</w:t>
      </w:r>
      <w:r w:rsidR="001419B3">
        <w:rPr>
          <w:rFonts w:asciiTheme="minorHAnsi" w:hAnsiTheme="minorHAnsi"/>
          <w:snapToGrid w:val="0"/>
          <w:lang w:val="en-GB"/>
        </w:rPr>
        <w:t xml:space="preserve"> (see </w:t>
      </w:r>
      <w:r w:rsidR="001419B3">
        <w:rPr>
          <w:rFonts w:asciiTheme="minorHAnsi" w:hAnsiTheme="minorHAnsi"/>
          <w:snapToGrid w:val="0"/>
          <w:lang w:val="en-GB"/>
        </w:rPr>
        <w:fldChar w:fldCharType="begin"/>
      </w:r>
      <w:r w:rsidR="001419B3">
        <w:rPr>
          <w:rFonts w:asciiTheme="minorHAnsi" w:hAnsiTheme="minorHAnsi"/>
          <w:snapToGrid w:val="0"/>
          <w:lang w:val="en-GB"/>
        </w:rPr>
        <w:instrText xml:space="preserve"> REF _Ref99630151 \h </w:instrText>
      </w:r>
      <w:r w:rsidR="001419B3">
        <w:rPr>
          <w:rFonts w:asciiTheme="minorHAnsi" w:hAnsiTheme="minorHAnsi"/>
          <w:snapToGrid w:val="0"/>
          <w:lang w:val="en-GB"/>
        </w:rPr>
      </w:r>
      <w:r w:rsidR="001419B3">
        <w:rPr>
          <w:rFonts w:asciiTheme="minorHAnsi" w:hAnsiTheme="minorHAnsi"/>
          <w:snapToGrid w:val="0"/>
          <w:lang w:val="en-GB"/>
        </w:rPr>
        <w:fldChar w:fldCharType="separate"/>
      </w:r>
      <w:r w:rsidR="000A62F7">
        <w:t xml:space="preserve">Table </w:t>
      </w:r>
      <w:r w:rsidR="000A62F7">
        <w:rPr>
          <w:noProof/>
        </w:rPr>
        <w:t>7</w:t>
      </w:r>
      <w:r w:rsidR="001419B3">
        <w:rPr>
          <w:rFonts w:asciiTheme="minorHAnsi" w:hAnsiTheme="minorHAnsi"/>
          <w:snapToGrid w:val="0"/>
          <w:lang w:val="en-GB"/>
        </w:rPr>
        <w:fldChar w:fldCharType="end"/>
      </w:r>
      <w:r w:rsidR="001419B3">
        <w:rPr>
          <w:rFonts w:asciiTheme="minorHAnsi" w:hAnsiTheme="minorHAnsi"/>
          <w:snapToGrid w:val="0"/>
          <w:lang w:val="en-GB"/>
        </w:rPr>
        <w:t>)</w:t>
      </w:r>
      <w:r>
        <w:rPr>
          <w:rFonts w:asciiTheme="minorHAnsi" w:hAnsiTheme="minorHAnsi"/>
          <w:snapToGrid w:val="0"/>
          <w:lang w:val="en-GB"/>
        </w:rPr>
        <w:t xml:space="preserve">. </w:t>
      </w:r>
      <w:r w:rsidR="001419B3">
        <w:rPr>
          <w:rFonts w:asciiTheme="minorHAnsi" w:hAnsiTheme="minorHAnsi"/>
          <w:snapToGrid w:val="0"/>
          <w:lang w:val="en-GB"/>
        </w:rPr>
        <w:t xml:space="preserve">In addition, the submission proposed that </w:t>
      </w:r>
      <w:proofErr w:type="spellStart"/>
      <w:r w:rsidR="001419B3">
        <w:rPr>
          <w:rFonts w:asciiTheme="minorHAnsi" w:hAnsiTheme="minorHAnsi"/>
          <w:snapToGrid w:val="0"/>
          <w:lang w:val="en-GB"/>
        </w:rPr>
        <w:t>pegcetacoplan</w:t>
      </w:r>
      <w:proofErr w:type="spellEnd"/>
      <w:r w:rsidR="001419B3">
        <w:rPr>
          <w:rFonts w:asciiTheme="minorHAnsi" w:hAnsiTheme="minorHAnsi"/>
          <w:snapToGrid w:val="0"/>
          <w:lang w:val="en-GB"/>
        </w:rPr>
        <w:t xml:space="preserve"> be considered at least non-inferior in efficacy and safety to </w:t>
      </w:r>
      <w:proofErr w:type="spellStart"/>
      <w:r w:rsidR="001419B3">
        <w:rPr>
          <w:rFonts w:asciiTheme="minorHAnsi" w:hAnsiTheme="minorHAnsi"/>
          <w:snapToGrid w:val="0"/>
          <w:lang w:val="en-GB"/>
        </w:rPr>
        <w:t>ravulizumab</w:t>
      </w:r>
      <w:proofErr w:type="spellEnd"/>
      <w:r w:rsidR="001419B3">
        <w:rPr>
          <w:rFonts w:asciiTheme="minorHAnsi" w:hAnsiTheme="minorHAnsi"/>
          <w:snapToGrid w:val="0"/>
          <w:lang w:val="en-GB"/>
        </w:rPr>
        <w:t xml:space="preserve"> </w:t>
      </w:r>
      <w:r w:rsidR="008D1B24">
        <w:rPr>
          <w:rFonts w:asciiTheme="minorHAnsi" w:hAnsiTheme="minorHAnsi"/>
          <w:snapToGrid w:val="0"/>
          <w:lang w:val="en-GB"/>
        </w:rPr>
        <w:t>and</w:t>
      </w:r>
      <w:r w:rsidR="001419B3">
        <w:rPr>
          <w:rFonts w:asciiTheme="minorHAnsi" w:hAnsiTheme="minorHAnsi"/>
          <w:snapToGrid w:val="0"/>
          <w:lang w:val="en-GB"/>
        </w:rPr>
        <w:t xml:space="preserve"> eculizumab. </w:t>
      </w:r>
      <w:r w:rsidR="008D1B24">
        <w:rPr>
          <w:rFonts w:asciiTheme="minorHAnsi" w:hAnsiTheme="minorHAnsi"/>
          <w:snapToGrid w:val="0"/>
          <w:lang w:val="en-GB"/>
        </w:rPr>
        <w:t xml:space="preserve"> </w:t>
      </w:r>
      <w:r w:rsidR="004E7D8C">
        <w:rPr>
          <w:rFonts w:asciiTheme="minorHAnsi" w:hAnsiTheme="minorHAnsi"/>
          <w:snapToGrid w:val="0"/>
          <w:lang w:val="en-GB"/>
        </w:rPr>
        <w:t xml:space="preserve">With </w:t>
      </w:r>
      <w:proofErr w:type="spellStart"/>
      <w:r w:rsidR="008D1B24">
        <w:rPr>
          <w:rFonts w:asciiTheme="minorHAnsi" w:hAnsiTheme="minorHAnsi"/>
          <w:snapToGrid w:val="0"/>
          <w:lang w:val="en-GB"/>
        </w:rPr>
        <w:t>ravulizumab</w:t>
      </w:r>
      <w:proofErr w:type="spellEnd"/>
      <w:r w:rsidR="008D1B24">
        <w:rPr>
          <w:rFonts w:asciiTheme="minorHAnsi" w:hAnsiTheme="minorHAnsi"/>
          <w:snapToGrid w:val="0"/>
          <w:lang w:val="en-GB"/>
        </w:rPr>
        <w:t xml:space="preserve"> and eculizumab considered appropriate comparators (see paragraph </w:t>
      </w:r>
      <w:r w:rsidR="008D1B24">
        <w:rPr>
          <w:rFonts w:asciiTheme="minorHAnsi" w:hAnsiTheme="minorHAnsi"/>
          <w:snapToGrid w:val="0"/>
          <w:lang w:val="en-GB"/>
        </w:rPr>
        <w:fldChar w:fldCharType="begin"/>
      </w:r>
      <w:r w:rsidR="008D1B24">
        <w:rPr>
          <w:rFonts w:asciiTheme="minorHAnsi" w:hAnsiTheme="minorHAnsi"/>
          <w:snapToGrid w:val="0"/>
          <w:lang w:val="en-GB"/>
        </w:rPr>
        <w:instrText xml:space="preserve"> REF _Ref99970847 \r \h </w:instrText>
      </w:r>
      <w:r w:rsidR="008D1B24">
        <w:rPr>
          <w:rFonts w:asciiTheme="minorHAnsi" w:hAnsiTheme="minorHAnsi"/>
          <w:snapToGrid w:val="0"/>
          <w:lang w:val="en-GB"/>
        </w:rPr>
      </w:r>
      <w:r w:rsidR="008D1B24">
        <w:rPr>
          <w:rFonts w:asciiTheme="minorHAnsi" w:hAnsiTheme="minorHAnsi"/>
          <w:snapToGrid w:val="0"/>
          <w:lang w:val="en-GB"/>
        </w:rPr>
        <w:fldChar w:fldCharType="separate"/>
      </w:r>
      <w:r w:rsidR="000A62F7">
        <w:rPr>
          <w:rFonts w:asciiTheme="minorHAnsi" w:hAnsiTheme="minorHAnsi"/>
          <w:snapToGrid w:val="0"/>
          <w:lang w:val="en-GB"/>
        </w:rPr>
        <w:t>7.4</w:t>
      </w:r>
      <w:r w:rsidR="008D1B24">
        <w:rPr>
          <w:rFonts w:asciiTheme="minorHAnsi" w:hAnsiTheme="minorHAnsi"/>
          <w:snapToGrid w:val="0"/>
          <w:lang w:val="en-GB"/>
        </w:rPr>
        <w:fldChar w:fldCharType="end"/>
      </w:r>
      <w:r w:rsidR="008D1B24">
        <w:rPr>
          <w:rFonts w:asciiTheme="minorHAnsi" w:hAnsiTheme="minorHAnsi"/>
          <w:snapToGrid w:val="0"/>
          <w:lang w:val="en-GB"/>
        </w:rPr>
        <w:t xml:space="preserve">), </w:t>
      </w:r>
      <w:r w:rsidR="008D1B24" w:rsidRPr="00C6194C">
        <w:rPr>
          <w:rFonts w:asciiTheme="minorHAnsi" w:hAnsiTheme="minorHAnsi"/>
          <w:snapToGrid w:val="0"/>
          <w:lang w:val="en-GB"/>
        </w:rPr>
        <w:t>the PBAC considered a cost-</w:t>
      </w:r>
      <w:r w:rsidR="008D1B24" w:rsidRPr="00C6194C">
        <w:rPr>
          <w:rFonts w:asciiTheme="minorHAnsi" w:hAnsiTheme="minorHAnsi"/>
          <w:snapToGrid w:val="0"/>
          <w:lang w:val="en-GB"/>
        </w:rPr>
        <w:lastRenderedPageBreak/>
        <w:t>minimisation approach</w:t>
      </w:r>
      <w:r w:rsidR="008D1B24">
        <w:rPr>
          <w:rFonts w:asciiTheme="minorHAnsi" w:hAnsiTheme="minorHAnsi"/>
          <w:snapToGrid w:val="0"/>
          <w:lang w:val="en-GB"/>
        </w:rPr>
        <w:t xml:space="preserve"> </w:t>
      </w:r>
      <w:r w:rsidR="00D65CC2">
        <w:rPr>
          <w:rFonts w:asciiTheme="minorHAnsi" w:hAnsiTheme="minorHAnsi"/>
          <w:snapToGrid w:val="0"/>
          <w:lang w:val="en-GB"/>
        </w:rPr>
        <w:t xml:space="preserve">likely </w:t>
      </w:r>
      <w:r w:rsidR="004E7D8C">
        <w:rPr>
          <w:rFonts w:asciiTheme="minorHAnsi" w:hAnsiTheme="minorHAnsi"/>
          <w:snapToGrid w:val="0"/>
          <w:lang w:val="en-GB"/>
        </w:rPr>
        <w:t>an appropriate way forward in this ra</w:t>
      </w:r>
      <w:r w:rsidR="005F5E88">
        <w:rPr>
          <w:rFonts w:asciiTheme="minorHAnsi" w:hAnsiTheme="minorHAnsi"/>
          <w:snapToGrid w:val="0"/>
          <w:lang w:val="en-GB"/>
        </w:rPr>
        <w:t>re condition.</w:t>
      </w:r>
      <w:r w:rsidR="00FC6C07">
        <w:rPr>
          <w:rFonts w:asciiTheme="minorHAnsi" w:hAnsiTheme="minorHAnsi"/>
          <w:snapToGrid w:val="0"/>
          <w:lang w:val="en-GB"/>
        </w:rPr>
        <w:t xml:space="preserve"> </w:t>
      </w:r>
    </w:p>
    <w:p w14:paraId="546228A4" w14:textId="24CA8A5E" w:rsidR="00906FD6" w:rsidRPr="0077538B" w:rsidRDefault="00FC6C07" w:rsidP="0077538B">
      <w:pPr>
        <w:pStyle w:val="ExecSumBodyText"/>
        <w:spacing w:before="240" w:after="160"/>
      </w:pPr>
      <w:r>
        <w:rPr>
          <w:lang w:val="en-GB"/>
        </w:rPr>
        <w:t xml:space="preserve">As </w:t>
      </w:r>
      <w:proofErr w:type="spellStart"/>
      <w:r>
        <w:rPr>
          <w:lang w:val="en-GB"/>
        </w:rPr>
        <w:t>ravulizumab</w:t>
      </w:r>
      <w:proofErr w:type="spellEnd"/>
      <w:r>
        <w:rPr>
          <w:lang w:val="en-GB"/>
        </w:rPr>
        <w:t xml:space="preserve"> is dosed every 8 weeks the PBAC considered it </w:t>
      </w:r>
      <w:r w:rsidR="005D7A59">
        <w:rPr>
          <w:lang w:val="en-GB"/>
        </w:rPr>
        <w:t xml:space="preserve">would be the </w:t>
      </w:r>
      <w:r w:rsidR="00C32033">
        <w:rPr>
          <w:lang w:val="en-GB"/>
        </w:rPr>
        <w:t>C5 inhibitor</w:t>
      </w:r>
      <w:r w:rsidR="005D7A59">
        <w:rPr>
          <w:lang w:val="en-GB"/>
        </w:rPr>
        <w:t xml:space="preserve"> most likely to be replaced in clinical practic</w:t>
      </w:r>
      <w:r w:rsidR="00C32033">
        <w:rPr>
          <w:lang w:val="en-GB"/>
        </w:rPr>
        <w:t xml:space="preserve">e </w:t>
      </w:r>
      <w:r w:rsidR="008D3A73">
        <w:rPr>
          <w:lang w:val="en-GB"/>
        </w:rPr>
        <w:t xml:space="preserve">now that it is PBS listed </w:t>
      </w:r>
      <w:r w:rsidR="00C32033">
        <w:rPr>
          <w:lang w:val="en-GB"/>
        </w:rPr>
        <w:t xml:space="preserve">and </w:t>
      </w:r>
      <w:r>
        <w:rPr>
          <w:lang w:val="en-GB"/>
        </w:rPr>
        <w:t>hence the appropriate base case comparator for a</w:t>
      </w:r>
      <w:r w:rsidR="00D65CC2">
        <w:rPr>
          <w:lang w:val="en-GB"/>
        </w:rPr>
        <w:t>ny future</w:t>
      </w:r>
      <w:r>
        <w:rPr>
          <w:lang w:val="en-GB"/>
        </w:rPr>
        <w:t xml:space="preserve"> </w:t>
      </w:r>
      <w:r w:rsidR="005F5E88" w:rsidRPr="00C6194C">
        <w:rPr>
          <w:lang w:val="en-GB"/>
        </w:rPr>
        <w:t>cost-minimisation</w:t>
      </w:r>
      <w:r w:rsidR="005D7A59" w:rsidRPr="00C6194C">
        <w:rPr>
          <w:lang w:val="en-GB"/>
        </w:rPr>
        <w:t xml:space="preserve"> </w:t>
      </w:r>
      <w:r w:rsidR="005D7A59">
        <w:rPr>
          <w:lang w:val="en-GB"/>
        </w:rPr>
        <w:t>analysis</w:t>
      </w:r>
      <w:r w:rsidR="00C32033">
        <w:rPr>
          <w:lang w:val="en-GB"/>
        </w:rPr>
        <w:t>.</w:t>
      </w:r>
      <w:r w:rsidR="00525321">
        <w:rPr>
          <w:lang w:val="en-GB"/>
        </w:rPr>
        <w:t xml:space="preserve"> </w:t>
      </w:r>
      <w:r>
        <w:rPr>
          <w:lang w:val="en-GB"/>
        </w:rPr>
        <w:t xml:space="preserve">The PBAC considered use of </w:t>
      </w:r>
      <w:proofErr w:type="spellStart"/>
      <w:r>
        <w:rPr>
          <w:lang w:val="en-GB"/>
        </w:rPr>
        <w:t>ravulizumab</w:t>
      </w:r>
      <w:proofErr w:type="spellEnd"/>
      <w:r>
        <w:rPr>
          <w:lang w:val="en-GB"/>
        </w:rPr>
        <w:t xml:space="preserve"> in </w:t>
      </w:r>
      <w:r w:rsidR="00D65CC2">
        <w:rPr>
          <w:lang w:val="en-GB"/>
        </w:rPr>
        <w:t>a</w:t>
      </w:r>
      <w:r>
        <w:rPr>
          <w:lang w:val="en-GB"/>
        </w:rPr>
        <w:t xml:space="preserve"> </w:t>
      </w:r>
      <w:r w:rsidRPr="00C6194C">
        <w:rPr>
          <w:lang w:val="en-GB"/>
        </w:rPr>
        <w:t xml:space="preserve">cost-minimisation </w:t>
      </w:r>
      <w:r>
        <w:rPr>
          <w:lang w:val="en-GB"/>
        </w:rPr>
        <w:t xml:space="preserve">analysis also addressed concerns regarding the assumption made by the submission that each </w:t>
      </w:r>
      <w:r w:rsidR="00EB459A">
        <w:rPr>
          <w:lang w:val="en-GB"/>
        </w:rPr>
        <w:t xml:space="preserve">prescription </w:t>
      </w:r>
      <w:r>
        <w:rPr>
          <w:lang w:val="en-GB"/>
        </w:rPr>
        <w:t xml:space="preserve">provides 1 dose (see paragraph </w:t>
      </w:r>
      <w:r>
        <w:rPr>
          <w:lang w:val="en-GB"/>
        </w:rPr>
        <w:fldChar w:fldCharType="begin"/>
      </w:r>
      <w:r>
        <w:rPr>
          <w:lang w:val="en-GB"/>
        </w:rPr>
        <w:instrText xml:space="preserve"> REF _Ref99974743 \r \h </w:instrText>
      </w:r>
      <w:r>
        <w:rPr>
          <w:lang w:val="en-GB"/>
        </w:rPr>
      </w:r>
      <w:r>
        <w:rPr>
          <w:lang w:val="en-GB"/>
        </w:rPr>
        <w:fldChar w:fldCharType="separate"/>
      </w:r>
      <w:r w:rsidR="000A62F7">
        <w:rPr>
          <w:lang w:val="en-GB"/>
        </w:rPr>
        <w:t>6.57</w:t>
      </w:r>
      <w:r>
        <w:rPr>
          <w:lang w:val="en-GB"/>
        </w:rPr>
        <w:fldChar w:fldCharType="end"/>
      </w:r>
      <w:r w:rsidR="00A966BF">
        <w:rPr>
          <w:lang w:val="en-GB"/>
        </w:rPr>
        <w:t>7</w:t>
      </w:r>
      <w:r>
        <w:rPr>
          <w:lang w:val="en-GB"/>
        </w:rPr>
        <w:t xml:space="preserve">). </w:t>
      </w:r>
      <w:r w:rsidR="008B3A0A">
        <w:rPr>
          <w:lang w:val="en-GB"/>
        </w:rPr>
        <w:t xml:space="preserve">The PBAC considered that </w:t>
      </w:r>
      <w:r w:rsidR="008B3A0A">
        <w:t xml:space="preserve">dosing for </w:t>
      </w:r>
      <w:proofErr w:type="spellStart"/>
      <w:r w:rsidR="008B3A0A">
        <w:t>ravulizumab</w:t>
      </w:r>
      <w:proofErr w:type="spellEnd"/>
      <w:r w:rsidR="008B3A0A">
        <w:t xml:space="preserve"> over a </w:t>
      </w:r>
      <w:r w:rsidR="003B4132">
        <w:t>12-month</w:t>
      </w:r>
      <w:r w:rsidR="008B3A0A">
        <w:t xml:space="preserve"> maintenance period should be consistent with that accepted by the Committee for this agent in July 2021 (see </w:t>
      </w:r>
      <w:r w:rsidR="008B3A0A">
        <w:rPr>
          <w:lang w:val="en-GB"/>
        </w:rPr>
        <w:t xml:space="preserve">paragraph </w:t>
      </w:r>
      <w:r w:rsidR="008B3A0A">
        <w:rPr>
          <w:lang w:val="en-GB"/>
        </w:rPr>
        <w:fldChar w:fldCharType="begin"/>
      </w:r>
      <w:r w:rsidR="008B3A0A">
        <w:rPr>
          <w:lang w:val="en-GB"/>
        </w:rPr>
        <w:instrText xml:space="preserve"> REF _Ref99974743 \r \h </w:instrText>
      </w:r>
      <w:r w:rsidR="008B3A0A">
        <w:rPr>
          <w:lang w:val="en-GB"/>
        </w:rPr>
      </w:r>
      <w:r w:rsidR="008B3A0A">
        <w:rPr>
          <w:lang w:val="en-GB"/>
        </w:rPr>
        <w:fldChar w:fldCharType="separate"/>
      </w:r>
      <w:r w:rsidR="000A62F7">
        <w:rPr>
          <w:lang w:val="en-GB"/>
        </w:rPr>
        <w:t>6.57</w:t>
      </w:r>
      <w:r w:rsidR="008B3A0A">
        <w:rPr>
          <w:lang w:val="en-GB"/>
        </w:rPr>
        <w:fldChar w:fldCharType="end"/>
      </w:r>
      <w:r w:rsidR="00A966BF">
        <w:rPr>
          <w:lang w:val="en-GB"/>
        </w:rPr>
        <w:t>7</w:t>
      </w:r>
      <w:r w:rsidR="008B3A0A">
        <w:rPr>
          <w:lang w:val="en-GB"/>
        </w:rPr>
        <w:t>)</w:t>
      </w:r>
      <w:r w:rsidR="008B3A0A">
        <w:t xml:space="preserve">. </w:t>
      </w:r>
      <w:r w:rsidR="008D3A73" w:rsidRPr="008B3A0A">
        <w:rPr>
          <w:lang w:val="en-GB"/>
        </w:rPr>
        <w:t xml:space="preserve">The PBAC noted that </w:t>
      </w:r>
      <w:proofErr w:type="spellStart"/>
      <w:r w:rsidR="008D3A73" w:rsidRPr="008B3A0A">
        <w:rPr>
          <w:lang w:val="en-GB"/>
        </w:rPr>
        <w:t>pegcetacoplan</w:t>
      </w:r>
      <w:proofErr w:type="spellEnd"/>
      <w:r w:rsidR="008D3A73" w:rsidRPr="008B3A0A">
        <w:rPr>
          <w:lang w:val="en-GB"/>
        </w:rPr>
        <w:t xml:space="preserve"> dosing in the </w:t>
      </w:r>
      <w:proofErr w:type="gramStart"/>
      <w:r w:rsidR="005126B1" w:rsidRPr="000A62F7">
        <w:rPr>
          <w:color w:val="000000"/>
          <w:w w:val="15"/>
          <w:shd w:val="solid" w:color="000000" w:fill="000000"/>
          <w:fitText w:val="-20" w:id="-1500841460"/>
          <w:lang w:val="en-GB"/>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60"/>
          <w:lang w:val="en-GB"/>
          <w14:textFill>
            <w14:solidFill>
              <w14:srgbClr w14:val="000000">
                <w14:alpha w14:val="100000"/>
              </w14:srgbClr>
            </w14:solidFill>
          </w14:textFill>
        </w:rPr>
        <w:t>|</w:t>
      </w:r>
      <w:proofErr w:type="gramEnd"/>
      <w:r w:rsidR="005126B1" w:rsidRPr="005126B1">
        <w:rPr>
          <w:lang w:val="en-GB"/>
        </w:rPr>
        <w:t xml:space="preserve"> </w:t>
      </w:r>
      <w:r w:rsidR="005126B1" w:rsidRPr="000A62F7">
        <w:rPr>
          <w:color w:val="000000"/>
          <w:w w:val="15"/>
          <w:shd w:val="solid" w:color="000000" w:fill="000000"/>
          <w:fitText w:val="-20" w:id="-1500841459"/>
          <w:lang w:val="en-GB"/>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9"/>
          <w:lang w:val="en-GB"/>
          <w14:textFill>
            <w14:solidFill>
              <w14:srgbClr w14:val="000000">
                <w14:alpha w14:val="100000"/>
              </w14:srgbClr>
            </w14:solidFill>
          </w14:textFill>
        </w:rPr>
        <w:t>|</w:t>
      </w:r>
      <w:r w:rsidR="008D3A73" w:rsidRPr="008B3A0A">
        <w:rPr>
          <w:lang w:val="en-GB"/>
        </w:rPr>
        <w:t xml:space="preserve"> calculation was based on the 16-week randomised controlled period of the PEG</w:t>
      </w:r>
      <w:r w:rsidR="007725EA" w:rsidRPr="008B3A0A">
        <w:rPr>
          <w:lang w:val="en-GB"/>
        </w:rPr>
        <w:t>A</w:t>
      </w:r>
      <w:r w:rsidR="008D3A73" w:rsidRPr="008B3A0A">
        <w:rPr>
          <w:lang w:val="en-GB"/>
        </w:rPr>
        <w:t xml:space="preserve">SUS </w:t>
      </w:r>
      <w:r w:rsidR="007725EA" w:rsidRPr="008B3A0A">
        <w:rPr>
          <w:lang w:val="en-GB"/>
        </w:rPr>
        <w:t>tri</w:t>
      </w:r>
      <w:r w:rsidR="008B3A0A">
        <w:rPr>
          <w:lang w:val="en-GB"/>
        </w:rPr>
        <w:t>a</w:t>
      </w:r>
      <w:r w:rsidR="007725EA" w:rsidRPr="008B3A0A">
        <w:rPr>
          <w:lang w:val="en-GB"/>
        </w:rPr>
        <w:t xml:space="preserve">l only. The PBAC noted that the proportion of patients </w:t>
      </w:r>
      <w:r w:rsidR="00EB459A">
        <w:rPr>
          <w:lang w:val="en-GB"/>
        </w:rPr>
        <w:t>in which the</w:t>
      </w:r>
      <w:r w:rsidR="00EB459A" w:rsidRPr="008B3A0A">
        <w:rPr>
          <w:lang w:val="en-GB"/>
        </w:rPr>
        <w:t xml:space="preserve"> </w:t>
      </w:r>
      <w:proofErr w:type="spellStart"/>
      <w:r w:rsidR="007725EA" w:rsidRPr="008B3A0A">
        <w:rPr>
          <w:lang w:val="en-GB"/>
        </w:rPr>
        <w:t>pegcetacoplan</w:t>
      </w:r>
      <w:proofErr w:type="spellEnd"/>
      <w:r w:rsidR="007725EA" w:rsidRPr="008B3A0A">
        <w:rPr>
          <w:lang w:val="en-GB"/>
        </w:rPr>
        <w:t xml:space="preserve"> dose </w:t>
      </w:r>
      <w:r w:rsidR="00EB459A">
        <w:rPr>
          <w:lang w:val="en-GB"/>
        </w:rPr>
        <w:t xml:space="preserve">was </w:t>
      </w:r>
      <w:r w:rsidR="007725EA" w:rsidRPr="008B3A0A">
        <w:rPr>
          <w:lang w:val="en-GB"/>
        </w:rPr>
        <w:t>escalat</w:t>
      </w:r>
      <w:r w:rsidR="00EB459A">
        <w:rPr>
          <w:lang w:val="en-GB"/>
        </w:rPr>
        <w:t>ed</w:t>
      </w:r>
      <w:r w:rsidR="007725EA" w:rsidRPr="008B3A0A">
        <w:rPr>
          <w:lang w:val="en-GB"/>
        </w:rPr>
        <w:t xml:space="preserve"> increased </w:t>
      </w:r>
      <w:r w:rsidR="00EB459A">
        <w:rPr>
          <w:lang w:val="en-GB"/>
        </w:rPr>
        <w:t>beyond 16 weeks</w:t>
      </w:r>
      <w:r w:rsidR="007725EA" w:rsidRPr="008B3A0A">
        <w:rPr>
          <w:lang w:val="en-GB"/>
        </w:rPr>
        <w:t xml:space="preserve"> (see paragraph </w:t>
      </w:r>
      <w:r w:rsidR="007725EA" w:rsidRPr="008B3A0A">
        <w:rPr>
          <w:lang w:val="en-GB"/>
        </w:rPr>
        <w:fldChar w:fldCharType="begin"/>
      </w:r>
      <w:r w:rsidR="007725EA" w:rsidRPr="008B3A0A">
        <w:rPr>
          <w:lang w:val="en-GB"/>
        </w:rPr>
        <w:instrText xml:space="preserve"> REF _Ref99975423 \r \h </w:instrText>
      </w:r>
      <w:r w:rsidR="007725EA" w:rsidRPr="008B3A0A">
        <w:rPr>
          <w:lang w:val="en-GB"/>
        </w:rPr>
      </w:r>
      <w:r w:rsidR="007725EA" w:rsidRPr="008B3A0A">
        <w:rPr>
          <w:lang w:val="en-GB"/>
        </w:rPr>
        <w:fldChar w:fldCharType="separate"/>
      </w:r>
      <w:r w:rsidR="000A62F7">
        <w:rPr>
          <w:lang w:val="en-GB"/>
        </w:rPr>
        <w:t>6.78</w:t>
      </w:r>
      <w:r w:rsidR="007725EA" w:rsidRPr="008B3A0A">
        <w:rPr>
          <w:lang w:val="en-GB"/>
        </w:rPr>
        <w:fldChar w:fldCharType="end"/>
      </w:r>
      <w:r w:rsidR="007725EA" w:rsidRPr="008B3A0A">
        <w:rPr>
          <w:lang w:val="en-GB"/>
        </w:rPr>
        <w:t>)</w:t>
      </w:r>
      <w:r w:rsidR="009B2753">
        <w:rPr>
          <w:lang w:val="en-GB"/>
        </w:rPr>
        <w:t>.</w:t>
      </w:r>
      <w:r w:rsidR="007725EA" w:rsidRPr="008B3A0A">
        <w:rPr>
          <w:lang w:val="en-GB"/>
        </w:rPr>
        <w:t xml:space="preserve"> </w:t>
      </w:r>
      <w:r w:rsidR="009B2753">
        <w:rPr>
          <w:lang w:val="en-GB"/>
        </w:rPr>
        <w:t>The PBAC</w:t>
      </w:r>
      <w:r w:rsidR="007725EA" w:rsidRPr="008B3A0A">
        <w:rPr>
          <w:lang w:val="en-GB"/>
        </w:rPr>
        <w:t xml:space="preserve"> considered dosing </w:t>
      </w:r>
      <w:r w:rsidR="009B2753">
        <w:rPr>
          <w:lang w:val="en-GB"/>
        </w:rPr>
        <w:t xml:space="preserve">of </w:t>
      </w:r>
      <w:proofErr w:type="spellStart"/>
      <w:r w:rsidR="009B2753">
        <w:rPr>
          <w:lang w:val="en-GB"/>
        </w:rPr>
        <w:t>pegcetacoplan</w:t>
      </w:r>
      <w:proofErr w:type="spellEnd"/>
      <w:r w:rsidR="009B2753">
        <w:rPr>
          <w:lang w:val="en-GB"/>
        </w:rPr>
        <w:t xml:space="preserve"> </w:t>
      </w:r>
      <w:r w:rsidR="007725EA" w:rsidRPr="008B3A0A">
        <w:rPr>
          <w:lang w:val="en-GB"/>
        </w:rPr>
        <w:t xml:space="preserve">over the 48-week period </w:t>
      </w:r>
      <w:r w:rsidR="009B2753">
        <w:rPr>
          <w:lang w:val="en-GB"/>
        </w:rPr>
        <w:t xml:space="preserve">was </w:t>
      </w:r>
      <w:r w:rsidR="007725EA" w:rsidRPr="008B3A0A">
        <w:rPr>
          <w:lang w:val="en-GB"/>
        </w:rPr>
        <w:t>more likely to reflect clinical practice</w:t>
      </w:r>
      <w:r w:rsidR="009B2753">
        <w:rPr>
          <w:lang w:val="en-GB"/>
        </w:rPr>
        <w:t xml:space="preserve"> and </w:t>
      </w:r>
      <w:proofErr w:type="spellStart"/>
      <w:r w:rsidR="009B2753">
        <w:rPr>
          <w:lang w:val="en-GB"/>
        </w:rPr>
        <w:t>equi</w:t>
      </w:r>
      <w:proofErr w:type="spellEnd"/>
      <w:r w:rsidR="009B2753">
        <w:rPr>
          <w:lang w:val="en-GB"/>
        </w:rPr>
        <w:t xml:space="preserve">-effective doses with </w:t>
      </w:r>
      <w:proofErr w:type="spellStart"/>
      <w:r w:rsidR="009B2753">
        <w:rPr>
          <w:lang w:val="en-GB"/>
        </w:rPr>
        <w:t>ravulizumab</w:t>
      </w:r>
      <w:proofErr w:type="spellEnd"/>
      <w:r w:rsidR="009B2753">
        <w:rPr>
          <w:lang w:val="en-GB"/>
        </w:rPr>
        <w:t xml:space="preserve"> could be calculated over this longer </w:t>
      </w:r>
      <w:proofErr w:type="gramStart"/>
      <w:r w:rsidR="009B2753">
        <w:rPr>
          <w:lang w:val="en-GB"/>
        </w:rPr>
        <w:t>time period</w:t>
      </w:r>
      <w:proofErr w:type="gramEnd"/>
      <w:r w:rsidR="007725EA" w:rsidRPr="008B3A0A">
        <w:rPr>
          <w:lang w:val="en-GB"/>
        </w:rPr>
        <w:t xml:space="preserve">. </w:t>
      </w:r>
      <w:r w:rsidR="00151AE3">
        <w:rPr>
          <w:lang w:val="en-GB"/>
        </w:rPr>
        <w:t xml:space="preserve">The PBAC noted that </w:t>
      </w:r>
      <w:r w:rsidR="003D0D67">
        <w:rPr>
          <w:lang w:val="en-GB"/>
        </w:rPr>
        <w:t xml:space="preserve">the </w:t>
      </w:r>
      <w:proofErr w:type="gramStart"/>
      <w:r w:rsidR="005126B1" w:rsidRPr="000A62F7">
        <w:rPr>
          <w:color w:val="000000"/>
          <w:w w:val="15"/>
          <w:shd w:val="solid" w:color="000000" w:fill="000000"/>
          <w:fitText w:val="-20" w:id="-1500841458"/>
          <w:lang w:val="en-GB"/>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8"/>
          <w:lang w:val="en-GB"/>
          <w14:textFill>
            <w14:solidFill>
              <w14:srgbClr w14:val="000000">
                <w14:alpha w14:val="100000"/>
              </w14:srgbClr>
            </w14:solidFill>
          </w14:textFill>
        </w:rPr>
        <w:t>|</w:t>
      </w:r>
      <w:proofErr w:type="gramEnd"/>
      <w:r w:rsidR="005126B1" w:rsidRPr="005126B1">
        <w:rPr>
          <w:lang w:val="en-GB"/>
        </w:rPr>
        <w:t xml:space="preserve"> </w:t>
      </w:r>
      <w:r w:rsidR="005126B1" w:rsidRPr="000A62F7">
        <w:rPr>
          <w:color w:val="000000"/>
          <w:w w:val="15"/>
          <w:shd w:val="solid" w:color="000000" w:fill="000000"/>
          <w:fitText w:val="-20" w:id="-1500841457"/>
          <w:lang w:val="en-GB"/>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7"/>
          <w:lang w:val="en-GB"/>
          <w14:textFill>
            <w14:solidFill>
              <w14:srgbClr w14:val="000000">
                <w14:alpha w14:val="100000"/>
              </w14:srgbClr>
            </w14:solidFill>
          </w14:textFill>
        </w:rPr>
        <w:t>|</w:t>
      </w:r>
      <w:r w:rsidR="00151AE3">
        <w:rPr>
          <w:lang w:val="en-GB"/>
        </w:rPr>
        <w:t xml:space="preserve"> approach presented in the submission did not include offsets for </w:t>
      </w:r>
      <w:proofErr w:type="spellStart"/>
      <w:r w:rsidR="00151AE3">
        <w:rPr>
          <w:lang w:val="en-GB"/>
        </w:rPr>
        <w:t>pegcetacoplan</w:t>
      </w:r>
      <w:proofErr w:type="spellEnd"/>
      <w:r w:rsidR="00151AE3">
        <w:rPr>
          <w:lang w:val="en-GB"/>
        </w:rPr>
        <w:t xml:space="preserve"> for reduced administration costs or reductions in iron overload treatment or blood transfusions</w:t>
      </w:r>
      <w:r w:rsidR="00A24BD6">
        <w:rPr>
          <w:lang w:val="en-GB"/>
        </w:rPr>
        <w:t xml:space="preserve">. The PBAC considered exclusion of such offsets from a </w:t>
      </w:r>
      <w:r w:rsidR="00A24BD6" w:rsidRPr="00C6194C">
        <w:rPr>
          <w:lang w:val="en-GB"/>
        </w:rPr>
        <w:t xml:space="preserve">cost-minimisation analysis </w:t>
      </w:r>
      <w:r w:rsidR="00A24BD6">
        <w:rPr>
          <w:lang w:val="en-GB"/>
        </w:rPr>
        <w:t xml:space="preserve">appropriate due to the uncertainty of the cost-effectiveness of C5 inhibitors in patients with an inadequate clinical response to these agents. </w:t>
      </w:r>
      <w:r w:rsidR="00D65CC2">
        <w:rPr>
          <w:lang w:val="en-GB"/>
        </w:rPr>
        <w:t>In addition, the PBAC considered the sponsor</w:t>
      </w:r>
      <w:r w:rsidR="00101F64">
        <w:rPr>
          <w:lang w:val="en-GB"/>
        </w:rPr>
        <w:t>'</w:t>
      </w:r>
      <w:r w:rsidR="00D65CC2">
        <w:rPr>
          <w:lang w:val="en-GB"/>
        </w:rPr>
        <w:t xml:space="preserve">s </w:t>
      </w:r>
      <w:proofErr w:type="gramStart"/>
      <w:r w:rsidR="005126B1" w:rsidRPr="000A62F7">
        <w:rPr>
          <w:color w:val="000000"/>
          <w:w w:val="15"/>
          <w:shd w:val="solid" w:color="000000" w:fill="000000"/>
          <w:fitText w:val="-20" w:id="-1500841456"/>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56"/>
          <w14:textFill>
            <w14:solidFill>
              <w14:srgbClr w14:val="000000">
                <w14:alpha w14:val="100000"/>
              </w14:srgbClr>
            </w14:solidFill>
          </w14:textFill>
        </w:rPr>
        <w:t>|</w:t>
      </w:r>
      <w:proofErr w:type="gramEnd"/>
      <w:r w:rsidR="00D65CC2" w:rsidRPr="00137D60">
        <w:t xml:space="preserve">% price rebate for the initial 4-week treatment phase </w:t>
      </w:r>
      <w:r w:rsidR="00D65CC2">
        <w:t xml:space="preserve">appropriate to </w:t>
      </w:r>
      <w:r w:rsidR="00D65CC2" w:rsidRPr="00137D60">
        <w:t>ensure no additional cost</w:t>
      </w:r>
      <w:r w:rsidR="00D65CC2">
        <w:t xml:space="preserve"> is</w:t>
      </w:r>
      <w:r w:rsidR="00D65CC2" w:rsidRPr="00137D60">
        <w:t xml:space="preserve"> associated with patients switching from C5 inhibitor treatment to </w:t>
      </w:r>
      <w:proofErr w:type="spellStart"/>
      <w:r w:rsidR="00D65CC2" w:rsidRPr="00137D60">
        <w:t>pegcetacoplan</w:t>
      </w:r>
      <w:proofErr w:type="spellEnd"/>
      <w:r w:rsidR="00D65CC2" w:rsidRPr="00137D60">
        <w:t>.</w:t>
      </w:r>
      <w:r w:rsidR="00D65CC2">
        <w:t xml:space="preserve"> </w:t>
      </w:r>
      <w:r w:rsidR="00906FD6" w:rsidRPr="0077538B">
        <w:rPr>
          <w:lang w:val="en-GB"/>
        </w:rPr>
        <w:t xml:space="preserve">The PBAC noted ATAGI advice that it would be reasonable to recommend vaccination prior to </w:t>
      </w:r>
      <w:proofErr w:type="spellStart"/>
      <w:r w:rsidR="00906FD6" w:rsidRPr="0077538B">
        <w:rPr>
          <w:lang w:val="en-GB"/>
        </w:rPr>
        <w:t>pegcetacoplan</w:t>
      </w:r>
      <w:proofErr w:type="spellEnd"/>
      <w:r w:rsidR="00906FD6" w:rsidRPr="0077538B">
        <w:rPr>
          <w:lang w:val="en-GB"/>
        </w:rPr>
        <w:t xml:space="preserve"> against Streptococcus pneumoniae, Neisseria meningitidis, and Haemophilus influenzae type B (HIB). The PBAC noted that for the treatment of PNH, eculizumab is listed in the medical risk conditions for vaccines currently listed on the NIP for meningococcal only, and not pneumococcal disease or HIB.</w:t>
      </w:r>
      <w:r w:rsidR="0077538B">
        <w:rPr>
          <w:lang w:val="en-GB"/>
        </w:rPr>
        <w:t xml:space="preserve"> The PBAC considered that the additional costs to Government for vaccination against pneumococcal disease </w:t>
      </w:r>
      <w:r w:rsidR="004D74D3">
        <w:rPr>
          <w:lang w:val="en-GB"/>
        </w:rPr>
        <w:t>and</w:t>
      </w:r>
      <w:r w:rsidR="0077538B">
        <w:rPr>
          <w:lang w:val="en-GB"/>
        </w:rPr>
        <w:t xml:space="preserve"> HIB should be included </w:t>
      </w:r>
      <w:r w:rsidR="009B2753">
        <w:rPr>
          <w:lang w:val="en-GB"/>
        </w:rPr>
        <w:t>as additional</w:t>
      </w:r>
      <w:r w:rsidR="0077538B">
        <w:rPr>
          <w:lang w:val="en-GB"/>
        </w:rPr>
        <w:t xml:space="preserve"> costs associated with </w:t>
      </w:r>
      <w:proofErr w:type="spellStart"/>
      <w:r w:rsidR="0077538B">
        <w:rPr>
          <w:lang w:val="en-GB"/>
        </w:rPr>
        <w:t>pegcetacoplan</w:t>
      </w:r>
      <w:proofErr w:type="spellEnd"/>
      <w:r w:rsidR="009B2753">
        <w:rPr>
          <w:lang w:val="en-GB"/>
        </w:rPr>
        <w:t xml:space="preserve"> in the </w:t>
      </w:r>
      <w:r w:rsidR="009B2753" w:rsidRPr="00C6194C">
        <w:rPr>
          <w:lang w:val="en-GB"/>
        </w:rPr>
        <w:t xml:space="preserve">cost-minimisation </w:t>
      </w:r>
      <w:r w:rsidR="009B2753">
        <w:rPr>
          <w:lang w:val="en-GB"/>
        </w:rPr>
        <w:t>approach</w:t>
      </w:r>
      <w:r w:rsidR="0077538B">
        <w:rPr>
          <w:lang w:val="en-GB"/>
        </w:rPr>
        <w:t xml:space="preserve">. Finally, the PBAC considered that the calculation of prices should be based on the approved ex-manufacturer price </w:t>
      </w:r>
      <w:r w:rsidR="00E419D0">
        <w:rPr>
          <w:lang w:val="en-GB"/>
        </w:rPr>
        <w:t xml:space="preserve">(AEMP) </w:t>
      </w:r>
      <w:r w:rsidR="0077538B">
        <w:rPr>
          <w:lang w:val="en-GB"/>
        </w:rPr>
        <w:t>rather than dispensed prices that include fees and mark-ups.</w:t>
      </w:r>
    </w:p>
    <w:p w14:paraId="5125F99C" w14:textId="342DC83B" w:rsidR="0077538B" w:rsidRPr="0077538B" w:rsidRDefault="003D0D67" w:rsidP="00FC5C53">
      <w:pPr>
        <w:pStyle w:val="ExecSumBodyText"/>
        <w:numPr>
          <w:ilvl w:val="1"/>
          <w:numId w:val="4"/>
        </w:numPr>
        <w:spacing w:before="240" w:after="160"/>
      </w:pPr>
      <w:r>
        <w:t xml:space="preserve">In terms of the financial estimates, the </w:t>
      </w:r>
      <w:r w:rsidR="0041305D">
        <w:t xml:space="preserve">PBAC </w:t>
      </w:r>
      <w:r w:rsidR="008E788E">
        <w:t>agreed with the submission</w:t>
      </w:r>
      <w:r w:rsidR="00FC5C53">
        <w:t xml:space="preserve"> that</w:t>
      </w:r>
      <w:r w:rsidR="005978B9">
        <w:t>,</w:t>
      </w:r>
      <w:r w:rsidR="00FC5C53">
        <w:t xml:space="preserve"> outside of the </w:t>
      </w:r>
      <w:r w:rsidR="005978B9">
        <w:t xml:space="preserve">grandfathered patients participating in a patient access program, </w:t>
      </w:r>
      <w:proofErr w:type="spellStart"/>
      <w:r w:rsidR="0041305D">
        <w:t>pegcetacoplan</w:t>
      </w:r>
      <w:proofErr w:type="spellEnd"/>
      <w:r w:rsidR="0041305D">
        <w:t xml:space="preserve"> would not increase the total treated PNH population as patients switching from a C5 inhibitor would otherwise continue to receive such treatment. </w:t>
      </w:r>
      <w:r w:rsidR="00FE6B9A">
        <w:t xml:space="preserve">The PBAC noted that grandfathered patients were already included within the prevalent population estimates. </w:t>
      </w:r>
      <w:r w:rsidR="005978B9">
        <w:t>However, the PBAC considered the</w:t>
      </w:r>
      <w:r w:rsidR="008E788E">
        <w:t xml:space="preserve"> assumption that only patients treated with </w:t>
      </w:r>
      <w:proofErr w:type="spellStart"/>
      <w:r w:rsidR="008E788E">
        <w:t>ravulizumab</w:t>
      </w:r>
      <w:proofErr w:type="spellEnd"/>
      <w:r w:rsidR="008E788E">
        <w:t xml:space="preserve"> would receive iron chelation therapies for iron overload inappropriate and considered the cost offsets for reduced blood transfusions inadequately justified. As such, the PBAC considered the cost offsets overestimated. </w:t>
      </w:r>
    </w:p>
    <w:p w14:paraId="68B03D6E" w14:textId="5E9C20D6" w:rsidR="0029550A" w:rsidRPr="00003BE1" w:rsidRDefault="00806E3C" w:rsidP="00003BE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 xml:space="preserve">The PBAC noted that no risk sharing arrangement was proposed in the submission. The PBAC considered </w:t>
      </w:r>
      <w:r w:rsidR="00540791">
        <w:rPr>
          <w:rFonts w:asciiTheme="minorHAnsi" w:hAnsiTheme="minorHAnsi"/>
          <w:snapToGrid w:val="0"/>
          <w:lang w:val="en-GB"/>
        </w:rPr>
        <w:t xml:space="preserve">it would likely be appropriate for </w:t>
      </w:r>
      <w:proofErr w:type="spellStart"/>
      <w:r w:rsidR="00540791">
        <w:rPr>
          <w:rFonts w:asciiTheme="minorHAnsi" w:hAnsiTheme="minorHAnsi"/>
          <w:snapToGrid w:val="0"/>
          <w:lang w:val="en-GB"/>
        </w:rPr>
        <w:t>pegcetacoplan</w:t>
      </w:r>
      <w:proofErr w:type="spellEnd"/>
      <w:r w:rsidR="00540791">
        <w:rPr>
          <w:rFonts w:asciiTheme="minorHAnsi" w:hAnsiTheme="minorHAnsi"/>
          <w:snapToGrid w:val="0"/>
          <w:lang w:val="en-GB"/>
        </w:rPr>
        <w:t xml:space="preserve"> to be included in the current risk sharing arrangement for </w:t>
      </w:r>
      <w:r w:rsidRPr="00732139">
        <w:rPr>
          <w:rFonts w:asciiTheme="minorHAnsi" w:hAnsiTheme="minorHAnsi"/>
          <w:bCs/>
          <w:snapToGrid w:val="0"/>
        </w:rPr>
        <w:t xml:space="preserve">eculizumab and </w:t>
      </w:r>
      <w:proofErr w:type="spellStart"/>
      <w:r w:rsidRPr="00732139">
        <w:rPr>
          <w:rFonts w:asciiTheme="minorHAnsi" w:hAnsiTheme="minorHAnsi"/>
          <w:bCs/>
          <w:snapToGrid w:val="0"/>
        </w:rPr>
        <w:t>ravulizumab</w:t>
      </w:r>
      <w:proofErr w:type="spellEnd"/>
      <w:r w:rsidR="00540791">
        <w:rPr>
          <w:rFonts w:asciiTheme="minorHAnsi" w:hAnsiTheme="minorHAnsi"/>
          <w:bCs/>
          <w:snapToGrid w:val="0"/>
        </w:rPr>
        <w:t xml:space="preserve">. </w:t>
      </w:r>
    </w:p>
    <w:p w14:paraId="46A0E32C" w14:textId="7A5D5D17" w:rsidR="00934577" w:rsidRDefault="00934577" w:rsidP="00540791">
      <w:pPr>
        <w:pStyle w:val="ExecSumBodyText"/>
        <w:spacing w:before="240" w:after="160"/>
      </w:pPr>
      <w:r w:rsidRPr="00540791">
        <w:t xml:space="preserve">The PBAC considered the outstanding issues could be easily resolved in a simple resubmission for </w:t>
      </w:r>
      <w:proofErr w:type="spellStart"/>
      <w:r w:rsidR="00540791">
        <w:t>pegcetacoplan</w:t>
      </w:r>
      <w:proofErr w:type="spellEnd"/>
      <w:r w:rsidRPr="00540791">
        <w:t xml:space="preserve"> using the early re-entry pathway. If the sponsor accepts this pathway, the following changes may address these outstanding issues without requiring further re-evaluation. </w:t>
      </w:r>
    </w:p>
    <w:p w14:paraId="0003ED4B" w14:textId="77D2F2EC" w:rsidR="00E419D0" w:rsidRDefault="00E419D0" w:rsidP="00540791">
      <w:pPr>
        <w:pStyle w:val="ExecSumBodyText"/>
        <w:numPr>
          <w:ilvl w:val="0"/>
          <w:numId w:val="10"/>
        </w:numPr>
        <w:spacing w:after="0"/>
        <w:ind w:left="1077" w:hanging="357"/>
      </w:pPr>
      <w:r>
        <w:t xml:space="preserve">As per paragraph 7.9, a </w:t>
      </w:r>
      <w:r w:rsidRPr="00C6194C">
        <w:t xml:space="preserve">cost-minimisation </w:t>
      </w:r>
      <w:r>
        <w:t xml:space="preserve">analysis versus </w:t>
      </w:r>
      <w:proofErr w:type="spellStart"/>
      <w:r>
        <w:t>ravulizumab</w:t>
      </w:r>
      <w:proofErr w:type="spellEnd"/>
      <w:r>
        <w:t xml:space="preserve"> that: </w:t>
      </w:r>
      <w:proofErr w:type="spellStart"/>
      <w:r>
        <w:t>i</w:t>
      </w:r>
      <w:proofErr w:type="spellEnd"/>
      <w:r>
        <w:t xml:space="preserve">) uses dosing for </w:t>
      </w:r>
      <w:proofErr w:type="spellStart"/>
      <w:r>
        <w:t>ravulizumab</w:t>
      </w:r>
      <w:proofErr w:type="spellEnd"/>
      <w:r>
        <w:t xml:space="preserve"> accepted by the Committee in July 2021; ii) bases </w:t>
      </w:r>
      <w:proofErr w:type="spellStart"/>
      <w:r>
        <w:t>pegcetacoplan</w:t>
      </w:r>
      <w:proofErr w:type="spellEnd"/>
      <w:r>
        <w:t xml:space="preserve"> dosing on that reported over 48-weeks in the PEGASUS trial; iii) does not include cost offsets for </w:t>
      </w:r>
      <w:proofErr w:type="spellStart"/>
      <w:r>
        <w:t>pegcetacoplan</w:t>
      </w:r>
      <w:proofErr w:type="spellEnd"/>
      <w:r>
        <w:t xml:space="preserve">; iv) includes the sponsor proposed </w:t>
      </w:r>
      <w:proofErr w:type="gramStart"/>
      <w:r w:rsidR="005126B1" w:rsidRPr="000A62F7">
        <w:rPr>
          <w:color w:val="000000"/>
          <w:w w:val="15"/>
          <w:shd w:val="solid" w:color="000000" w:fill="000000"/>
          <w:fitText w:val="-20" w:id="-1500841472"/>
          <w14:textFill>
            <w14:solidFill>
              <w14:srgbClr w14:val="000000">
                <w14:alpha w14:val="100000"/>
              </w14:srgbClr>
            </w14:solidFill>
          </w14:textFill>
        </w:rPr>
        <w:t xml:space="preserve">|  </w:t>
      </w:r>
      <w:r w:rsidR="005126B1" w:rsidRPr="000A62F7">
        <w:rPr>
          <w:color w:val="000000"/>
          <w:spacing w:val="-69"/>
          <w:w w:val="15"/>
          <w:shd w:val="solid" w:color="000000" w:fill="000000"/>
          <w:fitText w:val="-20" w:id="-1500841472"/>
          <w14:textFill>
            <w14:solidFill>
              <w14:srgbClr w14:val="000000">
                <w14:alpha w14:val="100000"/>
              </w14:srgbClr>
            </w14:solidFill>
          </w14:textFill>
        </w:rPr>
        <w:t>|</w:t>
      </w:r>
      <w:proofErr w:type="gramEnd"/>
      <w:r>
        <w:t xml:space="preserve">% price rebate for </w:t>
      </w:r>
      <w:proofErr w:type="spellStart"/>
      <w:r>
        <w:t>pegcetacoplan</w:t>
      </w:r>
      <w:proofErr w:type="spellEnd"/>
      <w:r>
        <w:t xml:space="preserve"> for the initial 4-week treatment phase; v) incorporates the costs of vaccination against </w:t>
      </w:r>
      <w:r w:rsidR="001F76DE">
        <w:t xml:space="preserve">pneumococcal disease and HIB; and vi) uses AEMP. </w:t>
      </w:r>
      <w:r>
        <w:t xml:space="preserve"> </w:t>
      </w:r>
    </w:p>
    <w:p w14:paraId="2B509422" w14:textId="2B0022D8" w:rsidR="00E419D0" w:rsidRDefault="001F76DE" w:rsidP="001F76DE">
      <w:pPr>
        <w:pStyle w:val="ExecSumBodyText"/>
        <w:numPr>
          <w:ilvl w:val="0"/>
          <w:numId w:val="10"/>
        </w:numPr>
        <w:spacing w:after="0"/>
        <w:ind w:left="1077" w:hanging="357"/>
      </w:pPr>
      <w:r>
        <w:t>R</w:t>
      </w:r>
      <w:r w:rsidR="00540791">
        <w:t>evised financial estimates</w:t>
      </w:r>
      <w:r w:rsidR="00E419D0">
        <w:t xml:space="preserve"> </w:t>
      </w:r>
      <w:r w:rsidR="00572506">
        <w:t xml:space="preserve">incorporating revised pricing for the </w:t>
      </w:r>
      <w:r w:rsidR="00572506" w:rsidRPr="00C6194C">
        <w:t>CMA</w:t>
      </w:r>
      <w:r w:rsidR="00572506">
        <w:t xml:space="preserve"> and the issues</w:t>
      </w:r>
      <w:r w:rsidR="00AF1284">
        <w:t xml:space="preserve"> raised in</w:t>
      </w:r>
      <w:r w:rsidR="00E419D0">
        <w:t xml:space="preserve"> paragraph 7.10</w:t>
      </w:r>
      <w:r w:rsidR="00540791">
        <w:t xml:space="preserve"> </w:t>
      </w:r>
      <w:r w:rsidR="00AF1284">
        <w:t>addressed.</w:t>
      </w:r>
    </w:p>
    <w:p w14:paraId="6EC0433E" w14:textId="77D2B31F" w:rsidR="00934577" w:rsidRPr="00540791" w:rsidRDefault="00540791" w:rsidP="00540791">
      <w:pPr>
        <w:pStyle w:val="ExecSumBodyText"/>
        <w:spacing w:before="240" w:after="160"/>
      </w:pPr>
      <w:r>
        <w:t>T</w:t>
      </w:r>
      <w:r w:rsidR="00934577" w:rsidRPr="00540791">
        <w: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0CDCE2AD" w14:textId="77DCE690" w:rsidR="00934577" w:rsidRPr="00525B39" w:rsidRDefault="00934577" w:rsidP="00934577">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w:t>
      </w:r>
      <w:r w:rsidR="00787B6A">
        <w:rPr>
          <w:rFonts w:asciiTheme="minorHAnsi" w:hAnsiTheme="minorHAnsi"/>
          <w:bCs/>
          <w:snapToGrid w:val="0"/>
          <w:lang w:val="en-GB"/>
        </w:rPr>
        <w:t xml:space="preserve"> </w:t>
      </w:r>
      <w:r w:rsidRPr="00525B39">
        <w:rPr>
          <w:rFonts w:asciiTheme="minorHAnsi" w:hAnsiTheme="minorHAnsi"/>
          <w:bCs/>
          <w:snapToGrid w:val="0"/>
          <w:lang w:val="en-GB"/>
        </w:rPr>
        <w:t xml:space="preserve">eligible for an Independent Review. </w:t>
      </w:r>
    </w:p>
    <w:p w14:paraId="7C579F53" w14:textId="77777777" w:rsidR="00934577" w:rsidRPr="00525B39" w:rsidRDefault="00934577" w:rsidP="0093457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53C41B4" w14:textId="0BB26DFB" w:rsidR="00C56FCF" w:rsidRDefault="00934577" w:rsidP="001040FE">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48"/>
      <w:bookmarkEnd w:id="49"/>
    </w:p>
    <w:p w14:paraId="5731E58A" w14:textId="303FB12E" w:rsidR="00174709" w:rsidRDefault="00174709" w:rsidP="001040FE">
      <w:pPr>
        <w:rPr>
          <w:rFonts w:asciiTheme="minorHAnsi" w:hAnsiTheme="minorHAnsi"/>
          <w:bCs/>
          <w:snapToGrid w:val="0"/>
          <w:lang w:val="en-GB"/>
        </w:rPr>
      </w:pPr>
    </w:p>
    <w:p w14:paraId="559898BF" w14:textId="0415333F" w:rsidR="00174709" w:rsidRPr="00174709" w:rsidRDefault="00174709" w:rsidP="00174709">
      <w:pPr>
        <w:pStyle w:val="2-SectionHeading"/>
        <w:keepLines/>
      </w:pPr>
      <w:r w:rsidRPr="00174709">
        <w:t>Context for Decision</w:t>
      </w:r>
    </w:p>
    <w:p w14:paraId="5A28CB60" w14:textId="77777777" w:rsidR="00174709" w:rsidRPr="007129F2" w:rsidRDefault="00174709" w:rsidP="00174709">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A0F029B" w14:textId="6C1EF8E9" w:rsidR="00174709" w:rsidRPr="00174709" w:rsidRDefault="00174709" w:rsidP="00174709">
      <w:pPr>
        <w:pStyle w:val="2-SectionHeading"/>
        <w:keepLines/>
      </w:pPr>
      <w:r w:rsidRPr="00174709">
        <w:t>Sponsor’s Comment</w:t>
      </w:r>
    </w:p>
    <w:p w14:paraId="24323CF4" w14:textId="157FAE9C" w:rsidR="0071660C" w:rsidRPr="00C07617" w:rsidRDefault="0071660C" w:rsidP="00174709">
      <w:pPr>
        <w:spacing w:after="120"/>
        <w:ind w:left="426"/>
        <w:rPr>
          <w:rFonts w:asciiTheme="minorHAnsi" w:hAnsiTheme="minorHAnsi"/>
          <w:bCs/>
        </w:rPr>
      </w:pPr>
      <w:r>
        <w:rPr>
          <w:rFonts w:asciiTheme="minorHAnsi" w:hAnsiTheme="minorHAnsi"/>
          <w:bCs/>
        </w:rPr>
        <w:t>The sponsor had no comment.</w:t>
      </w:r>
    </w:p>
    <w:p w14:paraId="167D0795" w14:textId="77777777" w:rsidR="00174709" w:rsidRPr="001040FE" w:rsidRDefault="00174709" w:rsidP="001040FE">
      <w:pPr>
        <w:rPr>
          <w:rFonts w:asciiTheme="minorHAnsi" w:hAnsiTheme="minorHAnsi"/>
          <w:bCs/>
          <w:snapToGrid w:val="0"/>
          <w:lang w:val="en-GB"/>
        </w:rPr>
      </w:pPr>
    </w:p>
    <w:sectPr w:rsidR="00174709" w:rsidRPr="001040FE"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228C2" w14:textId="77777777" w:rsidR="00F96450" w:rsidRDefault="00F96450" w:rsidP="00124A51">
      <w:r>
        <w:separator/>
      </w:r>
    </w:p>
    <w:p w14:paraId="64F27F67" w14:textId="77777777" w:rsidR="00F96450" w:rsidRDefault="00F96450"/>
  </w:endnote>
  <w:endnote w:type="continuationSeparator" w:id="0">
    <w:p w14:paraId="3635E54A" w14:textId="77777777" w:rsidR="00F96450" w:rsidRDefault="00F96450" w:rsidP="00124A51">
      <w:r>
        <w:continuationSeparator/>
      </w:r>
    </w:p>
    <w:p w14:paraId="4CAA2731" w14:textId="77777777" w:rsidR="00F96450" w:rsidRDefault="00F96450"/>
  </w:endnote>
  <w:endnote w:type="continuationNotice" w:id="1">
    <w:p w14:paraId="5A69CE25" w14:textId="77777777" w:rsidR="00F96450" w:rsidRDefault="00F9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9E3E" w14:textId="77777777" w:rsidR="005126B1" w:rsidRDefault="0051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C0713" w14:textId="77777777" w:rsidR="00F96450" w:rsidRDefault="00F96450">
    <w:pPr>
      <w:pStyle w:val="Footer"/>
      <w:jc w:val="center"/>
    </w:pPr>
  </w:p>
  <w:sdt>
    <w:sdtPr>
      <w:id w:val="1373192373"/>
      <w:docPartObj>
        <w:docPartGallery w:val="Page Numbers (Bottom of Page)"/>
        <w:docPartUnique/>
      </w:docPartObj>
    </w:sdtPr>
    <w:sdtEndPr>
      <w:rPr>
        <w:b/>
        <w:bCs/>
        <w:noProof/>
      </w:rPr>
    </w:sdtEndPr>
    <w:sdtContent>
      <w:p w14:paraId="5AFC8359" w14:textId="63628F80" w:rsidR="00F96450" w:rsidRPr="00934577" w:rsidRDefault="00F96450" w:rsidP="00934577">
        <w:pPr>
          <w:pStyle w:val="Footer"/>
          <w:jc w:val="center"/>
          <w:rPr>
            <w:b/>
            <w:bCs/>
          </w:rPr>
        </w:pPr>
        <w:r w:rsidRPr="00934577">
          <w:rPr>
            <w:b/>
            <w:bCs/>
          </w:rPr>
          <w:fldChar w:fldCharType="begin"/>
        </w:r>
        <w:r w:rsidRPr="00934577">
          <w:rPr>
            <w:b/>
            <w:bCs/>
          </w:rPr>
          <w:instrText xml:space="preserve"> PAGE   \* MERGEFORMAT </w:instrText>
        </w:r>
        <w:r w:rsidRPr="00934577">
          <w:rPr>
            <w:b/>
            <w:bCs/>
          </w:rPr>
          <w:fldChar w:fldCharType="separate"/>
        </w:r>
        <w:r w:rsidRPr="00934577">
          <w:rPr>
            <w:b/>
            <w:bCs/>
            <w:noProof/>
          </w:rPr>
          <w:t>2</w:t>
        </w:r>
        <w:r w:rsidRPr="00934577">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6200" w14:textId="77777777" w:rsidR="005126B1" w:rsidRDefault="0051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C7D4" w14:textId="77777777" w:rsidR="00F96450" w:rsidRDefault="00F96450" w:rsidP="00124A51">
      <w:r>
        <w:separator/>
      </w:r>
    </w:p>
    <w:p w14:paraId="58ADF432" w14:textId="77777777" w:rsidR="00F96450" w:rsidRDefault="00F96450"/>
  </w:footnote>
  <w:footnote w:type="continuationSeparator" w:id="0">
    <w:p w14:paraId="0F61EDBD" w14:textId="77777777" w:rsidR="00F96450" w:rsidRDefault="00F96450" w:rsidP="00124A51">
      <w:r>
        <w:continuationSeparator/>
      </w:r>
    </w:p>
    <w:p w14:paraId="3AEA20DC" w14:textId="77777777" w:rsidR="00F96450" w:rsidRDefault="00F96450"/>
  </w:footnote>
  <w:footnote w:type="continuationNotice" w:id="1">
    <w:p w14:paraId="431459D7" w14:textId="77777777" w:rsidR="00F96450" w:rsidRDefault="00F96450"/>
  </w:footnote>
  <w:footnote w:id="2">
    <w:p w14:paraId="7791FB86" w14:textId="77777777" w:rsidR="00F96450" w:rsidRPr="00583B86" w:rsidRDefault="00F96450" w:rsidP="00583B86">
      <w:pPr>
        <w:pStyle w:val="EndNoteBibliography"/>
        <w:spacing w:after="20"/>
        <w:jc w:val="left"/>
        <w:rPr>
          <w:rFonts w:asciiTheme="majorHAnsi" w:hAnsiTheme="majorHAnsi" w:cstheme="majorBidi"/>
          <w:i/>
          <w:iCs/>
          <w:noProof w:val="0"/>
          <w:sz w:val="18"/>
          <w:szCs w:val="18"/>
          <w:lang w:val="en-AU"/>
        </w:rPr>
      </w:pPr>
      <w:r w:rsidRPr="00583B86">
        <w:rPr>
          <w:rStyle w:val="FootnoteReference"/>
          <w:i/>
          <w:iCs/>
        </w:rPr>
        <w:footnoteRef/>
      </w:r>
      <w:r w:rsidRPr="00583B86">
        <w:rPr>
          <w:i/>
          <w:iCs/>
        </w:rPr>
        <w:t xml:space="preserve"> </w:t>
      </w:r>
      <w:r w:rsidRPr="00790209">
        <w:rPr>
          <w:rFonts w:asciiTheme="minorHAnsi" w:hAnsiTheme="minorHAnsi" w:cstheme="minorHAnsi"/>
          <w:i/>
          <w:iCs/>
          <w:noProof w:val="0"/>
          <w:sz w:val="18"/>
          <w:szCs w:val="18"/>
          <w:lang w:val="en-AU"/>
        </w:rPr>
        <w:t xml:space="preserve">Hillmen P, Young NS, Schubert J, Brodsky RA, </w:t>
      </w:r>
      <w:proofErr w:type="spellStart"/>
      <w:r w:rsidRPr="00790209">
        <w:rPr>
          <w:rFonts w:asciiTheme="minorHAnsi" w:hAnsiTheme="minorHAnsi" w:cstheme="minorHAnsi"/>
          <w:i/>
          <w:iCs/>
          <w:noProof w:val="0"/>
          <w:sz w:val="18"/>
          <w:szCs w:val="18"/>
          <w:lang w:val="en-AU"/>
        </w:rPr>
        <w:t>Socie</w:t>
      </w:r>
      <w:proofErr w:type="spellEnd"/>
      <w:r w:rsidRPr="00790209">
        <w:rPr>
          <w:rFonts w:asciiTheme="minorHAnsi" w:hAnsiTheme="minorHAnsi" w:cstheme="minorHAnsi"/>
          <w:i/>
          <w:iCs/>
          <w:noProof w:val="0"/>
          <w:sz w:val="18"/>
          <w:szCs w:val="18"/>
          <w:lang w:val="en-AU"/>
        </w:rPr>
        <w:t xml:space="preserve"> G, </w:t>
      </w:r>
      <w:proofErr w:type="spellStart"/>
      <w:r w:rsidRPr="00790209">
        <w:rPr>
          <w:rFonts w:asciiTheme="minorHAnsi" w:hAnsiTheme="minorHAnsi" w:cstheme="minorHAnsi"/>
          <w:i/>
          <w:iCs/>
          <w:noProof w:val="0"/>
          <w:sz w:val="18"/>
          <w:szCs w:val="18"/>
          <w:lang w:val="en-AU"/>
        </w:rPr>
        <w:t>Muus</w:t>
      </w:r>
      <w:proofErr w:type="spellEnd"/>
      <w:r w:rsidRPr="00790209">
        <w:rPr>
          <w:rFonts w:asciiTheme="minorHAnsi" w:hAnsiTheme="minorHAnsi" w:cstheme="minorHAnsi"/>
          <w:i/>
          <w:iCs/>
          <w:noProof w:val="0"/>
          <w:sz w:val="18"/>
          <w:szCs w:val="18"/>
          <w:lang w:val="en-AU"/>
        </w:rPr>
        <w:t xml:space="preserve"> P, et al. </w:t>
      </w:r>
      <w:r w:rsidRPr="00790209">
        <w:rPr>
          <w:rFonts w:asciiTheme="minorHAnsi" w:hAnsiTheme="minorHAnsi" w:cstheme="minorHAnsi"/>
          <w:noProof w:val="0"/>
          <w:sz w:val="18"/>
          <w:szCs w:val="18"/>
          <w:lang w:val="en-AU"/>
        </w:rPr>
        <w:t>The complement inhibitor eculizumab in paroxysmal nocturnal hemoglobinuria</w:t>
      </w:r>
      <w:r w:rsidRPr="00790209">
        <w:rPr>
          <w:rFonts w:asciiTheme="minorHAnsi" w:hAnsiTheme="minorHAnsi" w:cstheme="minorHAnsi"/>
          <w:i/>
          <w:iCs/>
          <w:noProof w:val="0"/>
          <w:sz w:val="18"/>
          <w:szCs w:val="18"/>
          <w:lang w:val="en-AU"/>
        </w:rPr>
        <w:t xml:space="preserve">. N </w:t>
      </w:r>
      <w:proofErr w:type="spellStart"/>
      <w:r w:rsidRPr="00790209">
        <w:rPr>
          <w:rFonts w:asciiTheme="minorHAnsi" w:hAnsiTheme="minorHAnsi" w:cstheme="minorHAnsi"/>
          <w:i/>
          <w:iCs/>
          <w:noProof w:val="0"/>
          <w:sz w:val="18"/>
          <w:szCs w:val="18"/>
          <w:lang w:val="en-AU"/>
        </w:rPr>
        <w:t>Engl</w:t>
      </w:r>
      <w:proofErr w:type="spellEnd"/>
      <w:r w:rsidRPr="00790209">
        <w:rPr>
          <w:rFonts w:asciiTheme="minorHAnsi" w:hAnsiTheme="minorHAnsi" w:cstheme="minorHAnsi"/>
          <w:i/>
          <w:iCs/>
          <w:noProof w:val="0"/>
          <w:sz w:val="18"/>
          <w:szCs w:val="18"/>
          <w:lang w:val="en-AU"/>
        </w:rPr>
        <w:t xml:space="preserve"> J Med. 2006 Sep 21;355(12):1233-43.</w:t>
      </w:r>
    </w:p>
    <w:p w14:paraId="56F19569" w14:textId="366B3280" w:rsidR="00F96450" w:rsidRDefault="00F964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8F02" w14:textId="77777777" w:rsidR="005126B1" w:rsidRDefault="0051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19C1C" w14:textId="5F21A574" w:rsidR="00F96450" w:rsidRPr="00056684" w:rsidRDefault="00F96450" w:rsidP="00934577">
    <w:pPr>
      <w:pStyle w:val="Header"/>
      <w:keepNext/>
      <w:ind w:left="360"/>
      <w:jc w:val="center"/>
      <w:rPr>
        <w:rFonts w:asciiTheme="minorHAnsi" w:hAnsiTheme="minorHAnsi"/>
        <w:i/>
        <w:color w:val="808080"/>
      </w:rPr>
    </w:pPr>
    <w:bookmarkStart w:id="52"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bookmarkEnd w:id="52"/>
  <w:p w14:paraId="5E83BD6D" w14:textId="77777777" w:rsidR="00F96450" w:rsidRDefault="00F964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E884D" w14:textId="77777777" w:rsidR="005126B1" w:rsidRDefault="0051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A7E5F"/>
    <w:multiLevelType w:val="hybridMultilevel"/>
    <w:tmpl w:val="A3EC36E8"/>
    <w:lvl w:ilvl="0" w:tplc="D638CDB4">
      <w:start w:val="1"/>
      <w:numFmt w:val="bullet"/>
      <w:lvlText w:val="•"/>
      <w:lvlJc w:val="left"/>
      <w:pPr>
        <w:tabs>
          <w:tab w:val="num" w:pos="720"/>
        </w:tabs>
        <w:ind w:left="720" w:hanging="360"/>
      </w:pPr>
      <w:rPr>
        <w:rFonts w:ascii="Arial" w:hAnsi="Arial" w:hint="default"/>
      </w:rPr>
    </w:lvl>
    <w:lvl w:ilvl="1" w:tplc="0FD6E6EC" w:tentative="1">
      <w:start w:val="1"/>
      <w:numFmt w:val="bullet"/>
      <w:lvlText w:val="•"/>
      <w:lvlJc w:val="left"/>
      <w:pPr>
        <w:tabs>
          <w:tab w:val="num" w:pos="1440"/>
        </w:tabs>
        <w:ind w:left="1440" w:hanging="360"/>
      </w:pPr>
      <w:rPr>
        <w:rFonts w:ascii="Arial" w:hAnsi="Arial" w:hint="default"/>
      </w:rPr>
    </w:lvl>
    <w:lvl w:ilvl="2" w:tplc="8DA20276" w:tentative="1">
      <w:start w:val="1"/>
      <w:numFmt w:val="bullet"/>
      <w:lvlText w:val="•"/>
      <w:lvlJc w:val="left"/>
      <w:pPr>
        <w:tabs>
          <w:tab w:val="num" w:pos="2160"/>
        </w:tabs>
        <w:ind w:left="2160" w:hanging="360"/>
      </w:pPr>
      <w:rPr>
        <w:rFonts w:ascii="Arial" w:hAnsi="Arial" w:hint="default"/>
      </w:rPr>
    </w:lvl>
    <w:lvl w:ilvl="3" w:tplc="CDA846CC" w:tentative="1">
      <w:start w:val="1"/>
      <w:numFmt w:val="bullet"/>
      <w:lvlText w:val="•"/>
      <w:lvlJc w:val="left"/>
      <w:pPr>
        <w:tabs>
          <w:tab w:val="num" w:pos="2880"/>
        </w:tabs>
        <w:ind w:left="2880" w:hanging="360"/>
      </w:pPr>
      <w:rPr>
        <w:rFonts w:ascii="Arial" w:hAnsi="Arial" w:hint="default"/>
      </w:rPr>
    </w:lvl>
    <w:lvl w:ilvl="4" w:tplc="72D82732" w:tentative="1">
      <w:start w:val="1"/>
      <w:numFmt w:val="bullet"/>
      <w:lvlText w:val="•"/>
      <w:lvlJc w:val="left"/>
      <w:pPr>
        <w:tabs>
          <w:tab w:val="num" w:pos="3600"/>
        </w:tabs>
        <w:ind w:left="3600" w:hanging="360"/>
      </w:pPr>
      <w:rPr>
        <w:rFonts w:ascii="Arial" w:hAnsi="Arial" w:hint="default"/>
      </w:rPr>
    </w:lvl>
    <w:lvl w:ilvl="5" w:tplc="2BEC8648" w:tentative="1">
      <w:start w:val="1"/>
      <w:numFmt w:val="bullet"/>
      <w:lvlText w:val="•"/>
      <w:lvlJc w:val="left"/>
      <w:pPr>
        <w:tabs>
          <w:tab w:val="num" w:pos="4320"/>
        </w:tabs>
        <w:ind w:left="4320" w:hanging="360"/>
      </w:pPr>
      <w:rPr>
        <w:rFonts w:ascii="Arial" w:hAnsi="Arial" w:hint="default"/>
      </w:rPr>
    </w:lvl>
    <w:lvl w:ilvl="6" w:tplc="E94C8F8C" w:tentative="1">
      <w:start w:val="1"/>
      <w:numFmt w:val="bullet"/>
      <w:lvlText w:val="•"/>
      <w:lvlJc w:val="left"/>
      <w:pPr>
        <w:tabs>
          <w:tab w:val="num" w:pos="5040"/>
        </w:tabs>
        <w:ind w:left="5040" w:hanging="360"/>
      </w:pPr>
      <w:rPr>
        <w:rFonts w:ascii="Arial" w:hAnsi="Arial" w:hint="default"/>
      </w:rPr>
    </w:lvl>
    <w:lvl w:ilvl="7" w:tplc="597E8C54" w:tentative="1">
      <w:start w:val="1"/>
      <w:numFmt w:val="bullet"/>
      <w:lvlText w:val="•"/>
      <w:lvlJc w:val="left"/>
      <w:pPr>
        <w:tabs>
          <w:tab w:val="num" w:pos="5760"/>
        </w:tabs>
        <w:ind w:left="5760" w:hanging="360"/>
      </w:pPr>
      <w:rPr>
        <w:rFonts w:ascii="Arial" w:hAnsi="Arial" w:hint="default"/>
      </w:rPr>
    </w:lvl>
    <w:lvl w:ilvl="8" w:tplc="12E436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EA78BF"/>
    <w:multiLevelType w:val="hybridMultilevel"/>
    <w:tmpl w:val="10C242F0"/>
    <w:lvl w:ilvl="0" w:tplc="5874D610">
      <w:start w:val="1"/>
      <w:numFmt w:val="bullet"/>
      <w:lvlText w:val="•"/>
      <w:lvlJc w:val="left"/>
      <w:pPr>
        <w:tabs>
          <w:tab w:val="num" w:pos="720"/>
        </w:tabs>
        <w:ind w:left="720" w:hanging="360"/>
      </w:pPr>
      <w:rPr>
        <w:rFonts w:ascii="Arial" w:hAnsi="Arial" w:hint="default"/>
      </w:rPr>
    </w:lvl>
    <w:lvl w:ilvl="1" w:tplc="DE86368E" w:tentative="1">
      <w:start w:val="1"/>
      <w:numFmt w:val="bullet"/>
      <w:lvlText w:val="•"/>
      <w:lvlJc w:val="left"/>
      <w:pPr>
        <w:tabs>
          <w:tab w:val="num" w:pos="1440"/>
        </w:tabs>
        <w:ind w:left="1440" w:hanging="360"/>
      </w:pPr>
      <w:rPr>
        <w:rFonts w:ascii="Arial" w:hAnsi="Arial" w:hint="default"/>
      </w:rPr>
    </w:lvl>
    <w:lvl w:ilvl="2" w:tplc="71F07854" w:tentative="1">
      <w:start w:val="1"/>
      <w:numFmt w:val="bullet"/>
      <w:lvlText w:val="•"/>
      <w:lvlJc w:val="left"/>
      <w:pPr>
        <w:tabs>
          <w:tab w:val="num" w:pos="2160"/>
        </w:tabs>
        <w:ind w:left="2160" w:hanging="360"/>
      </w:pPr>
      <w:rPr>
        <w:rFonts w:ascii="Arial" w:hAnsi="Arial" w:hint="default"/>
      </w:rPr>
    </w:lvl>
    <w:lvl w:ilvl="3" w:tplc="9C88AB28" w:tentative="1">
      <w:start w:val="1"/>
      <w:numFmt w:val="bullet"/>
      <w:lvlText w:val="•"/>
      <w:lvlJc w:val="left"/>
      <w:pPr>
        <w:tabs>
          <w:tab w:val="num" w:pos="2880"/>
        </w:tabs>
        <w:ind w:left="2880" w:hanging="360"/>
      </w:pPr>
      <w:rPr>
        <w:rFonts w:ascii="Arial" w:hAnsi="Arial" w:hint="default"/>
      </w:rPr>
    </w:lvl>
    <w:lvl w:ilvl="4" w:tplc="CD0CC662" w:tentative="1">
      <w:start w:val="1"/>
      <w:numFmt w:val="bullet"/>
      <w:lvlText w:val="•"/>
      <w:lvlJc w:val="left"/>
      <w:pPr>
        <w:tabs>
          <w:tab w:val="num" w:pos="3600"/>
        </w:tabs>
        <w:ind w:left="3600" w:hanging="360"/>
      </w:pPr>
      <w:rPr>
        <w:rFonts w:ascii="Arial" w:hAnsi="Arial" w:hint="default"/>
      </w:rPr>
    </w:lvl>
    <w:lvl w:ilvl="5" w:tplc="32624E10" w:tentative="1">
      <w:start w:val="1"/>
      <w:numFmt w:val="bullet"/>
      <w:lvlText w:val="•"/>
      <w:lvlJc w:val="left"/>
      <w:pPr>
        <w:tabs>
          <w:tab w:val="num" w:pos="4320"/>
        </w:tabs>
        <w:ind w:left="4320" w:hanging="360"/>
      </w:pPr>
      <w:rPr>
        <w:rFonts w:ascii="Arial" w:hAnsi="Arial" w:hint="default"/>
      </w:rPr>
    </w:lvl>
    <w:lvl w:ilvl="6" w:tplc="21B0E12C" w:tentative="1">
      <w:start w:val="1"/>
      <w:numFmt w:val="bullet"/>
      <w:lvlText w:val="•"/>
      <w:lvlJc w:val="left"/>
      <w:pPr>
        <w:tabs>
          <w:tab w:val="num" w:pos="5040"/>
        </w:tabs>
        <w:ind w:left="5040" w:hanging="360"/>
      </w:pPr>
      <w:rPr>
        <w:rFonts w:ascii="Arial" w:hAnsi="Arial" w:hint="default"/>
      </w:rPr>
    </w:lvl>
    <w:lvl w:ilvl="7" w:tplc="CFA6BDBA" w:tentative="1">
      <w:start w:val="1"/>
      <w:numFmt w:val="bullet"/>
      <w:lvlText w:val="•"/>
      <w:lvlJc w:val="left"/>
      <w:pPr>
        <w:tabs>
          <w:tab w:val="num" w:pos="5760"/>
        </w:tabs>
        <w:ind w:left="5760" w:hanging="360"/>
      </w:pPr>
      <w:rPr>
        <w:rFonts w:ascii="Arial" w:hAnsi="Arial" w:hint="default"/>
      </w:rPr>
    </w:lvl>
    <w:lvl w:ilvl="8" w:tplc="049AE0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77888"/>
    <w:multiLevelType w:val="hybridMultilevel"/>
    <w:tmpl w:val="B4F6D4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3058B8"/>
    <w:multiLevelType w:val="hybridMultilevel"/>
    <w:tmpl w:val="839220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E6478"/>
    <w:multiLevelType w:val="hybridMultilevel"/>
    <w:tmpl w:val="1952CAB2"/>
    <w:lvl w:ilvl="0" w:tplc="C39E16E6">
      <w:start w:val="1"/>
      <w:numFmt w:val="bullet"/>
      <w:pStyle w:val="Bullet0"/>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83609"/>
    <w:multiLevelType w:val="hybridMultilevel"/>
    <w:tmpl w:val="60B8EDC2"/>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201A5"/>
    <w:multiLevelType w:val="hybridMultilevel"/>
    <w:tmpl w:val="C02AABC4"/>
    <w:lvl w:ilvl="0" w:tplc="14E2A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834809EE"/>
    <w:lvl w:ilvl="0" w:tplc="3E36FBEA">
      <w:start w:val="1"/>
      <w:numFmt w:val="decimal"/>
      <w:lvlText w:val="%1."/>
      <w:lvlJc w:val="left"/>
      <w:pPr>
        <w:ind w:left="1778" w:hanging="360"/>
      </w:pPr>
      <w:rPr>
        <w:rFonts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46B98"/>
    <w:multiLevelType w:val="hybridMultilevel"/>
    <w:tmpl w:val="C02AABC4"/>
    <w:lvl w:ilvl="0" w:tplc="14E2A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F50CA"/>
    <w:multiLevelType w:val="hybridMultilevel"/>
    <w:tmpl w:val="C02AABC4"/>
    <w:lvl w:ilvl="0" w:tplc="14E2A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815746"/>
    <w:multiLevelType w:val="hybridMultilevel"/>
    <w:tmpl w:val="A9B291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442297"/>
    <w:multiLevelType w:val="hybridMultilevel"/>
    <w:tmpl w:val="ED3EED88"/>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25E45"/>
    <w:multiLevelType w:val="hybridMultilevel"/>
    <w:tmpl w:val="C0BC9E78"/>
    <w:lvl w:ilvl="0" w:tplc="F1FCF252">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49EF0EDC"/>
    <w:multiLevelType w:val="hybridMultilevel"/>
    <w:tmpl w:val="53568274"/>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21" w15:restartNumberingAfterBreak="0">
    <w:nsid w:val="4A8939E0"/>
    <w:multiLevelType w:val="hybridMultilevel"/>
    <w:tmpl w:val="1D72F4AA"/>
    <w:lvl w:ilvl="0" w:tplc="BD2E1248">
      <w:start w:val="1"/>
      <w:numFmt w:val="bullet"/>
      <w:lvlText w:val="•"/>
      <w:lvlJc w:val="left"/>
      <w:pPr>
        <w:tabs>
          <w:tab w:val="num" w:pos="720"/>
        </w:tabs>
        <w:ind w:left="720" w:hanging="360"/>
      </w:pPr>
      <w:rPr>
        <w:rFonts w:ascii="Arial" w:hAnsi="Arial" w:hint="default"/>
      </w:rPr>
    </w:lvl>
    <w:lvl w:ilvl="1" w:tplc="B6BCB746" w:tentative="1">
      <w:start w:val="1"/>
      <w:numFmt w:val="bullet"/>
      <w:lvlText w:val="•"/>
      <w:lvlJc w:val="left"/>
      <w:pPr>
        <w:tabs>
          <w:tab w:val="num" w:pos="1440"/>
        </w:tabs>
        <w:ind w:left="1440" w:hanging="360"/>
      </w:pPr>
      <w:rPr>
        <w:rFonts w:ascii="Arial" w:hAnsi="Arial" w:hint="default"/>
      </w:rPr>
    </w:lvl>
    <w:lvl w:ilvl="2" w:tplc="747EA71C" w:tentative="1">
      <w:start w:val="1"/>
      <w:numFmt w:val="bullet"/>
      <w:lvlText w:val="•"/>
      <w:lvlJc w:val="left"/>
      <w:pPr>
        <w:tabs>
          <w:tab w:val="num" w:pos="2160"/>
        </w:tabs>
        <w:ind w:left="2160" w:hanging="360"/>
      </w:pPr>
      <w:rPr>
        <w:rFonts w:ascii="Arial" w:hAnsi="Arial" w:hint="default"/>
      </w:rPr>
    </w:lvl>
    <w:lvl w:ilvl="3" w:tplc="760AD730" w:tentative="1">
      <w:start w:val="1"/>
      <w:numFmt w:val="bullet"/>
      <w:lvlText w:val="•"/>
      <w:lvlJc w:val="left"/>
      <w:pPr>
        <w:tabs>
          <w:tab w:val="num" w:pos="2880"/>
        </w:tabs>
        <w:ind w:left="2880" w:hanging="360"/>
      </w:pPr>
      <w:rPr>
        <w:rFonts w:ascii="Arial" w:hAnsi="Arial" w:hint="default"/>
      </w:rPr>
    </w:lvl>
    <w:lvl w:ilvl="4" w:tplc="DDA48B1C" w:tentative="1">
      <w:start w:val="1"/>
      <w:numFmt w:val="bullet"/>
      <w:lvlText w:val="•"/>
      <w:lvlJc w:val="left"/>
      <w:pPr>
        <w:tabs>
          <w:tab w:val="num" w:pos="3600"/>
        </w:tabs>
        <w:ind w:left="3600" w:hanging="360"/>
      </w:pPr>
      <w:rPr>
        <w:rFonts w:ascii="Arial" w:hAnsi="Arial" w:hint="default"/>
      </w:rPr>
    </w:lvl>
    <w:lvl w:ilvl="5" w:tplc="2FF2C75A" w:tentative="1">
      <w:start w:val="1"/>
      <w:numFmt w:val="bullet"/>
      <w:lvlText w:val="•"/>
      <w:lvlJc w:val="left"/>
      <w:pPr>
        <w:tabs>
          <w:tab w:val="num" w:pos="4320"/>
        </w:tabs>
        <w:ind w:left="4320" w:hanging="360"/>
      </w:pPr>
      <w:rPr>
        <w:rFonts w:ascii="Arial" w:hAnsi="Arial" w:hint="default"/>
      </w:rPr>
    </w:lvl>
    <w:lvl w:ilvl="6" w:tplc="77EE6700" w:tentative="1">
      <w:start w:val="1"/>
      <w:numFmt w:val="bullet"/>
      <w:lvlText w:val="•"/>
      <w:lvlJc w:val="left"/>
      <w:pPr>
        <w:tabs>
          <w:tab w:val="num" w:pos="5040"/>
        </w:tabs>
        <w:ind w:left="5040" w:hanging="360"/>
      </w:pPr>
      <w:rPr>
        <w:rFonts w:ascii="Arial" w:hAnsi="Arial" w:hint="default"/>
      </w:rPr>
    </w:lvl>
    <w:lvl w:ilvl="7" w:tplc="D5581B98" w:tentative="1">
      <w:start w:val="1"/>
      <w:numFmt w:val="bullet"/>
      <w:lvlText w:val="•"/>
      <w:lvlJc w:val="left"/>
      <w:pPr>
        <w:tabs>
          <w:tab w:val="num" w:pos="5760"/>
        </w:tabs>
        <w:ind w:left="5760" w:hanging="360"/>
      </w:pPr>
      <w:rPr>
        <w:rFonts w:ascii="Arial" w:hAnsi="Arial" w:hint="default"/>
      </w:rPr>
    </w:lvl>
    <w:lvl w:ilvl="8" w:tplc="178E25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151FAD"/>
    <w:multiLevelType w:val="hybridMultilevel"/>
    <w:tmpl w:val="E5967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4D033C"/>
    <w:multiLevelType w:val="multilevel"/>
    <w:tmpl w:val="839C6AC0"/>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8"/>
  </w:num>
  <w:num w:numId="2">
    <w:abstractNumId w:val="18"/>
  </w:num>
  <w:num w:numId="3">
    <w:abstractNumId w:val="0"/>
  </w:num>
  <w:num w:numId="4">
    <w:abstractNumId w:val="28"/>
  </w:num>
  <w:num w:numId="5">
    <w:abstractNumId w:val="9"/>
  </w:num>
  <w:num w:numId="6">
    <w:abstractNumId w:val="8"/>
  </w:num>
  <w:num w:numId="7">
    <w:abstractNumId w:val="20"/>
  </w:num>
  <w:num w:numId="8">
    <w:abstractNumId w:val="27"/>
  </w:num>
  <w:num w:numId="9">
    <w:abstractNumId w:val="17"/>
  </w:num>
  <w:num w:numId="10">
    <w:abstractNumId w:val="6"/>
  </w:num>
  <w:num w:numId="11">
    <w:abstractNumId w:val="16"/>
  </w:num>
  <w:num w:numId="12">
    <w:abstractNumId w:val="14"/>
  </w:num>
  <w:num w:numId="13">
    <w:abstractNumId w:val="10"/>
  </w:num>
  <w:num w:numId="14">
    <w:abstractNumId w:val="12"/>
  </w:num>
  <w:num w:numId="15">
    <w:abstractNumId w:val="29"/>
  </w:num>
  <w:num w:numId="16">
    <w:abstractNumId w:val="25"/>
  </w:num>
  <w:num w:numId="17">
    <w:abstractNumId w:val="4"/>
  </w:num>
  <w:num w:numId="18">
    <w:abstractNumId w:val="21"/>
  </w:num>
  <w:num w:numId="19">
    <w:abstractNumId w:val="28"/>
  </w:num>
  <w:num w:numId="20">
    <w:abstractNumId w:val="28"/>
  </w:num>
  <w:num w:numId="21">
    <w:abstractNumId w:val="28"/>
  </w:num>
  <w:num w:numId="22">
    <w:abstractNumId w:val="28"/>
  </w:num>
  <w:num w:numId="23">
    <w:abstractNumId w:val="28"/>
  </w:num>
  <w:num w:numId="24">
    <w:abstractNumId w:val="2"/>
  </w:num>
  <w:num w:numId="25">
    <w:abstractNumId w:val="22"/>
  </w:num>
  <w:num w:numId="26">
    <w:abstractNumId w:val="23"/>
  </w:num>
  <w:num w:numId="27">
    <w:abstractNumId w:val="5"/>
  </w:num>
  <w:num w:numId="28">
    <w:abstractNumId w:val="1"/>
  </w:num>
  <w:num w:numId="29">
    <w:abstractNumId w:val="13"/>
  </w:num>
  <w:num w:numId="30">
    <w:abstractNumId w:val="15"/>
  </w:num>
  <w:num w:numId="31">
    <w:abstractNumId w:val="11"/>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7"/>
  </w:num>
  <w:num w:numId="35">
    <w:abstractNumId w:val="28"/>
  </w:num>
  <w:num w:numId="36">
    <w:abstractNumId w:val="28"/>
  </w:num>
  <w:num w:numId="37">
    <w:abstractNumId w:val="3"/>
  </w:num>
  <w:num w:numId="38">
    <w:abstractNumId w:val="19"/>
  </w:num>
  <w:num w:numId="39">
    <w:abstractNumId w:val="28"/>
  </w:num>
  <w:num w:numId="40">
    <w:abstractNumId w:val="28"/>
  </w:num>
  <w:num w:numId="41">
    <w:abstractNumId w:val="28"/>
  </w:num>
  <w:num w:numId="4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42B"/>
    <w:rsid w:val="000015A8"/>
    <w:rsid w:val="000015E3"/>
    <w:rsid w:val="00001B78"/>
    <w:rsid w:val="00001E26"/>
    <w:rsid w:val="0000217A"/>
    <w:rsid w:val="000021EA"/>
    <w:rsid w:val="00002720"/>
    <w:rsid w:val="00002BD3"/>
    <w:rsid w:val="00002E60"/>
    <w:rsid w:val="0000330C"/>
    <w:rsid w:val="000033DC"/>
    <w:rsid w:val="00003499"/>
    <w:rsid w:val="000037B2"/>
    <w:rsid w:val="000038F5"/>
    <w:rsid w:val="000039B7"/>
    <w:rsid w:val="00003BE1"/>
    <w:rsid w:val="00003E34"/>
    <w:rsid w:val="00004357"/>
    <w:rsid w:val="0000447A"/>
    <w:rsid w:val="00004EEC"/>
    <w:rsid w:val="00004FA7"/>
    <w:rsid w:val="000053CF"/>
    <w:rsid w:val="0000540D"/>
    <w:rsid w:val="000056EE"/>
    <w:rsid w:val="00005973"/>
    <w:rsid w:val="00005A72"/>
    <w:rsid w:val="00005AB4"/>
    <w:rsid w:val="00005B8F"/>
    <w:rsid w:val="00005F4F"/>
    <w:rsid w:val="00006321"/>
    <w:rsid w:val="0000639A"/>
    <w:rsid w:val="00006A8C"/>
    <w:rsid w:val="00006AAF"/>
    <w:rsid w:val="00006AFE"/>
    <w:rsid w:val="00006E58"/>
    <w:rsid w:val="00006F09"/>
    <w:rsid w:val="0000737A"/>
    <w:rsid w:val="00007762"/>
    <w:rsid w:val="00007BA9"/>
    <w:rsid w:val="00010417"/>
    <w:rsid w:val="00010B07"/>
    <w:rsid w:val="00010B8B"/>
    <w:rsid w:val="00011084"/>
    <w:rsid w:val="000111DB"/>
    <w:rsid w:val="0001191E"/>
    <w:rsid w:val="00012106"/>
    <w:rsid w:val="00012241"/>
    <w:rsid w:val="000122BB"/>
    <w:rsid w:val="00012F80"/>
    <w:rsid w:val="00013247"/>
    <w:rsid w:val="000135E5"/>
    <w:rsid w:val="00013FBA"/>
    <w:rsid w:val="00013FD4"/>
    <w:rsid w:val="000148E4"/>
    <w:rsid w:val="000152D2"/>
    <w:rsid w:val="0001544C"/>
    <w:rsid w:val="000157CE"/>
    <w:rsid w:val="00015886"/>
    <w:rsid w:val="000159AB"/>
    <w:rsid w:val="00015F20"/>
    <w:rsid w:val="00016141"/>
    <w:rsid w:val="000162DC"/>
    <w:rsid w:val="000162EF"/>
    <w:rsid w:val="0001634F"/>
    <w:rsid w:val="00016375"/>
    <w:rsid w:val="00016BB4"/>
    <w:rsid w:val="00016E1A"/>
    <w:rsid w:val="00016EBA"/>
    <w:rsid w:val="000171B8"/>
    <w:rsid w:val="0001740A"/>
    <w:rsid w:val="000177F0"/>
    <w:rsid w:val="00017B76"/>
    <w:rsid w:val="00017C5D"/>
    <w:rsid w:val="00017C5E"/>
    <w:rsid w:val="00017E81"/>
    <w:rsid w:val="00017EA9"/>
    <w:rsid w:val="0002016E"/>
    <w:rsid w:val="00020181"/>
    <w:rsid w:val="0002049B"/>
    <w:rsid w:val="00020508"/>
    <w:rsid w:val="000205AB"/>
    <w:rsid w:val="000205C8"/>
    <w:rsid w:val="000207C9"/>
    <w:rsid w:val="00020858"/>
    <w:rsid w:val="00020BDD"/>
    <w:rsid w:val="00020C1B"/>
    <w:rsid w:val="00020F3C"/>
    <w:rsid w:val="00020F93"/>
    <w:rsid w:val="000214A5"/>
    <w:rsid w:val="00021638"/>
    <w:rsid w:val="00021820"/>
    <w:rsid w:val="00021C39"/>
    <w:rsid w:val="0002225F"/>
    <w:rsid w:val="000228AE"/>
    <w:rsid w:val="00022947"/>
    <w:rsid w:val="00022BEC"/>
    <w:rsid w:val="00022E32"/>
    <w:rsid w:val="0002335A"/>
    <w:rsid w:val="0002341B"/>
    <w:rsid w:val="00023688"/>
    <w:rsid w:val="00023763"/>
    <w:rsid w:val="00023B0A"/>
    <w:rsid w:val="00023CCD"/>
    <w:rsid w:val="00023EC8"/>
    <w:rsid w:val="0002421A"/>
    <w:rsid w:val="0002498D"/>
    <w:rsid w:val="00024DAD"/>
    <w:rsid w:val="00025530"/>
    <w:rsid w:val="00025733"/>
    <w:rsid w:val="000257A0"/>
    <w:rsid w:val="000258FF"/>
    <w:rsid w:val="00025907"/>
    <w:rsid w:val="000260C5"/>
    <w:rsid w:val="000262A4"/>
    <w:rsid w:val="000263B6"/>
    <w:rsid w:val="00026507"/>
    <w:rsid w:val="000267B4"/>
    <w:rsid w:val="0002692F"/>
    <w:rsid w:val="00026EB4"/>
    <w:rsid w:val="0002743A"/>
    <w:rsid w:val="000274B8"/>
    <w:rsid w:val="000275DF"/>
    <w:rsid w:val="00027914"/>
    <w:rsid w:val="00027BC4"/>
    <w:rsid w:val="00027F87"/>
    <w:rsid w:val="0003048C"/>
    <w:rsid w:val="000304AA"/>
    <w:rsid w:val="00030568"/>
    <w:rsid w:val="00030875"/>
    <w:rsid w:val="0003098B"/>
    <w:rsid w:val="00030B77"/>
    <w:rsid w:val="00030E40"/>
    <w:rsid w:val="00031069"/>
    <w:rsid w:val="0003119C"/>
    <w:rsid w:val="0003157C"/>
    <w:rsid w:val="00031B9A"/>
    <w:rsid w:val="00032293"/>
    <w:rsid w:val="000324AC"/>
    <w:rsid w:val="0003285F"/>
    <w:rsid w:val="00032982"/>
    <w:rsid w:val="00032AB1"/>
    <w:rsid w:val="000334AF"/>
    <w:rsid w:val="0003365A"/>
    <w:rsid w:val="00033839"/>
    <w:rsid w:val="00033863"/>
    <w:rsid w:val="00033872"/>
    <w:rsid w:val="0003388D"/>
    <w:rsid w:val="0003396D"/>
    <w:rsid w:val="0003412F"/>
    <w:rsid w:val="00034308"/>
    <w:rsid w:val="0003464A"/>
    <w:rsid w:val="000346A7"/>
    <w:rsid w:val="00034704"/>
    <w:rsid w:val="000348A4"/>
    <w:rsid w:val="00034EA1"/>
    <w:rsid w:val="000350E8"/>
    <w:rsid w:val="0003529D"/>
    <w:rsid w:val="00035835"/>
    <w:rsid w:val="000358F2"/>
    <w:rsid w:val="00035BB0"/>
    <w:rsid w:val="00035D0C"/>
    <w:rsid w:val="00035DC0"/>
    <w:rsid w:val="00035F85"/>
    <w:rsid w:val="00036211"/>
    <w:rsid w:val="0003652E"/>
    <w:rsid w:val="00036829"/>
    <w:rsid w:val="0003705B"/>
    <w:rsid w:val="000371DC"/>
    <w:rsid w:val="000373CC"/>
    <w:rsid w:val="000374B4"/>
    <w:rsid w:val="000376D4"/>
    <w:rsid w:val="00037E56"/>
    <w:rsid w:val="000405BE"/>
    <w:rsid w:val="000405C9"/>
    <w:rsid w:val="000407EA"/>
    <w:rsid w:val="00040895"/>
    <w:rsid w:val="00040B50"/>
    <w:rsid w:val="00040E5F"/>
    <w:rsid w:val="00041787"/>
    <w:rsid w:val="000417FA"/>
    <w:rsid w:val="0004185A"/>
    <w:rsid w:val="00042409"/>
    <w:rsid w:val="000424DC"/>
    <w:rsid w:val="000427EA"/>
    <w:rsid w:val="0004286F"/>
    <w:rsid w:val="00042BDE"/>
    <w:rsid w:val="00042E1F"/>
    <w:rsid w:val="00043151"/>
    <w:rsid w:val="000433AB"/>
    <w:rsid w:val="000435EE"/>
    <w:rsid w:val="00043C37"/>
    <w:rsid w:val="0004463D"/>
    <w:rsid w:val="00044BD9"/>
    <w:rsid w:val="00045017"/>
    <w:rsid w:val="00045A2B"/>
    <w:rsid w:val="00045B82"/>
    <w:rsid w:val="00045BAF"/>
    <w:rsid w:val="0004613F"/>
    <w:rsid w:val="00046673"/>
    <w:rsid w:val="0004673C"/>
    <w:rsid w:val="0004698F"/>
    <w:rsid w:val="00046D38"/>
    <w:rsid w:val="00047024"/>
    <w:rsid w:val="00047519"/>
    <w:rsid w:val="00047675"/>
    <w:rsid w:val="000479E6"/>
    <w:rsid w:val="00047D2B"/>
    <w:rsid w:val="00050384"/>
    <w:rsid w:val="00050762"/>
    <w:rsid w:val="00050A5B"/>
    <w:rsid w:val="00050C17"/>
    <w:rsid w:val="00050EE7"/>
    <w:rsid w:val="000517EA"/>
    <w:rsid w:val="0005218F"/>
    <w:rsid w:val="00052618"/>
    <w:rsid w:val="000526D0"/>
    <w:rsid w:val="00052A90"/>
    <w:rsid w:val="00052AD9"/>
    <w:rsid w:val="00053412"/>
    <w:rsid w:val="00053611"/>
    <w:rsid w:val="000536E2"/>
    <w:rsid w:val="000536FC"/>
    <w:rsid w:val="000539D0"/>
    <w:rsid w:val="00053C51"/>
    <w:rsid w:val="00053D45"/>
    <w:rsid w:val="00053F7D"/>
    <w:rsid w:val="00054254"/>
    <w:rsid w:val="000542B0"/>
    <w:rsid w:val="00054335"/>
    <w:rsid w:val="00054392"/>
    <w:rsid w:val="00054419"/>
    <w:rsid w:val="000545A9"/>
    <w:rsid w:val="00054621"/>
    <w:rsid w:val="0005465B"/>
    <w:rsid w:val="000546D7"/>
    <w:rsid w:val="00054A06"/>
    <w:rsid w:val="00054B53"/>
    <w:rsid w:val="00054BDE"/>
    <w:rsid w:val="00055146"/>
    <w:rsid w:val="0005527E"/>
    <w:rsid w:val="000554E0"/>
    <w:rsid w:val="0005581C"/>
    <w:rsid w:val="00055901"/>
    <w:rsid w:val="00055D30"/>
    <w:rsid w:val="0005644B"/>
    <w:rsid w:val="00056499"/>
    <w:rsid w:val="0005666F"/>
    <w:rsid w:val="0005693C"/>
    <w:rsid w:val="00056B64"/>
    <w:rsid w:val="00056C76"/>
    <w:rsid w:val="00056D9A"/>
    <w:rsid w:val="00056ECF"/>
    <w:rsid w:val="000572AC"/>
    <w:rsid w:val="00057569"/>
    <w:rsid w:val="000578FA"/>
    <w:rsid w:val="00057AA9"/>
    <w:rsid w:val="00057CEE"/>
    <w:rsid w:val="00057D1A"/>
    <w:rsid w:val="000603B6"/>
    <w:rsid w:val="000604DF"/>
    <w:rsid w:val="000606D7"/>
    <w:rsid w:val="000608C6"/>
    <w:rsid w:val="00060CCE"/>
    <w:rsid w:val="00060CFB"/>
    <w:rsid w:val="00060E66"/>
    <w:rsid w:val="00061044"/>
    <w:rsid w:val="00061D40"/>
    <w:rsid w:val="00062250"/>
    <w:rsid w:val="000622AA"/>
    <w:rsid w:val="0006239A"/>
    <w:rsid w:val="00062447"/>
    <w:rsid w:val="00062812"/>
    <w:rsid w:val="00062EF1"/>
    <w:rsid w:val="000639BA"/>
    <w:rsid w:val="00063E4F"/>
    <w:rsid w:val="000653B5"/>
    <w:rsid w:val="0006594D"/>
    <w:rsid w:val="00065CCF"/>
    <w:rsid w:val="00065D6D"/>
    <w:rsid w:val="00066032"/>
    <w:rsid w:val="0006628F"/>
    <w:rsid w:val="00066360"/>
    <w:rsid w:val="000663BE"/>
    <w:rsid w:val="000665DA"/>
    <w:rsid w:val="00066AD2"/>
    <w:rsid w:val="00066AF8"/>
    <w:rsid w:val="00066B11"/>
    <w:rsid w:val="00066C86"/>
    <w:rsid w:val="00066DD1"/>
    <w:rsid w:val="00066DF8"/>
    <w:rsid w:val="00066EAE"/>
    <w:rsid w:val="00067226"/>
    <w:rsid w:val="000672F3"/>
    <w:rsid w:val="00067603"/>
    <w:rsid w:val="00067855"/>
    <w:rsid w:val="00067B59"/>
    <w:rsid w:val="00067BCE"/>
    <w:rsid w:val="00067D70"/>
    <w:rsid w:val="00067EE1"/>
    <w:rsid w:val="00067FFD"/>
    <w:rsid w:val="00070201"/>
    <w:rsid w:val="000704CC"/>
    <w:rsid w:val="000704EF"/>
    <w:rsid w:val="000708AC"/>
    <w:rsid w:val="00070B5D"/>
    <w:rsid w:val="00070F32"/>
    <w:rsid w:val="00071159"/>
    <w:rsid w:val="00071248"/>
    <w:rsid w:val="000712A4"/>
    <w:rsid w:val="0007180A"/>
    <w:rsid w:val="00071A8E"/>
    <w:rsid w:val="0007200A"/>
    <w:rsid w:val="000720B9"/>
    <w:rsid w:val="00072484"/>
    <w:rsid w:val="000729A6"/>
    <w:rsid w:val="000729B7"/>
    <w:rsid w:val="0007340B"/>
    <w:rsid w:val="00073573"/>
    <w:rsid w:val="00073584"/>
    <w:rsid w:val="000737F7"/>
    <w:rsid w:val="00073847"/>
    <w:rsid w:val="00074969"/>
    <w:rsid w:val="000755CA"/>
    <w:rsid w:val="0007592D"/>
    <w:rsid w:val="00075CBD"/>
    <w:rsid w:val="00076628"/>
    <w:rsid w:val="0007672F"/>
    <w:rsid w:val="00076ABC"/>
    <w:rsid w:val="00076B24"/>
    <w:rsid w:val="00076B54"/>
    <w:rsid w:val="000773F6"/>
    <w:rsid w:val="000774F0"/>
    <w:rsid w:val="00077905"/>
    <w:rsid w:val="00077AC4"/>
    <w:rsid w:val="00077DE3"/>
    <w:rsid w:val="00077E56"/>
    <w:rsid w:val="000801FE"/>
    <w:rsid w:val="000802AD"/>
    <w:rsid w:val="00080867"/>
    <w:rsid w:val="00080909"/>
    <w:rsid w:val="00080CDB"/>
    <w:rsid w:val="00080CDE"/>
    <w:rsid w:val="0008127D"/>
    <w:rsid w:val="000812CA"/>
    <w:rsid w:val="00081605"/>
    <w:rsid w:val="00081721"/>
    <w:rsid w:val="000819A6"/>
    <w:rsid w:val="000819C6"/>
    <w:rsid w:val="00081BC8"/>
    <w:rsid w:val="00081CAC"/>
    <w:rsid w:val="00081E63"/>
    <w:rsid w:val="00081F38"/>
    <w:rsid w:val="00082081"/>
    <w:rsid w:val="00082311"/>
    <w:rsid w:val="00082551"/>
    <w:rsid w:val="0008258D"/>
    <w:rsid w:val="00082618"/>
    <w:rsid w:val="000827BA"/>
    <w:rsid w:val="000829B2"/>
    <w:rsid w:val="00082DEF"/>
    <w:rsid w:val="00082E1D"/>
    <w:rsid w:val="00083356"/>
    <w:rsid w:val="00083749"/>
    <w:rsid w:val="0008378A"/>
    <w:rsid w:val="0008382D"/>
    <w:rsid w:val="000839FB"/>
    <w:rsid w:val="00083AC4"/>
    <w:rsid w:val="00083CB1"/>
    <w:rsid w:val="00083DF1"/>
    <w:rsid w:val="00083E99"/>
    <w:rsid w:val="000844A0"/>
    <w:rsid w:val="000844EE"/>
    <w:rsid w:val="000846E8"/>
    <w:rsid w:val="00084CE2"/>
    <w:rsid w:val="00084FA8"/>
    <w:rsid w:val="0008565D"/>
    <w:rsid w:val="000856C5"/>
    <w:rsid w:val="000856FB"/>
    <w:rsid w:val="00085B40"/>
    <w:rsid w:val="00085BF4"/>
    <w:rsid w:val="00085C31"/>
    <w:rsid w:val="00085C6B"/>
    <w:rsid w:val="00085D66"/>
    <w:rsid w:val="00086493"/>
    <w:rsid w:val="000864C2"/>
    <w:rsid w:val="00086695"/>
    <w:rsid w:val="00086800"/>
    <w:rsid w:val="00086954"/>
    <w:rsid w:val="00086A6F"/>
    <w:rsid w:val="00086B06"/>
    <w:rsid w:val="00086C8A"/>
    <w:rsid w:val="000870D5"/>
    <w:rsid w:val="00087B34"/>
    <w:rsid w:val="00090257"/>
    <w:rsid w:val="000902D9"/>
    <w:rsid w:val="0009035A"/>
    <w:rsid w:val="000903B4"/>
    <w:rsid w:val="00090AF5"/>
    <w:rsid w:val="00090BE4"/>
    <w:rsid w:val="00090C7E"/>
    <w:rsid w:val="00090F95"/>
    <w:rsid w:val="000914FA"/>
    <w:rsid w:val="00091799"/>
    <w:rsid w:val="000917D2"/>
    <w:rsid w:val="00091F49"/>
    <w:rsid w:val="00092172"/>
    <w:rsid w:val="0009254B"/>
    <w:rsid w:val="00092600"/>
    <w:rsid w:val="0009262B"/>
    <w:rsid w:val="000929F0"/>
    <w:rsid w:val="00093136"/>
    <w:rsid w:val="00093310"/>
    <w:rsid w:val="00093963"/>
    <w:rsid w:val="00093E8E"/>
    <w:rsid w:val="00094048"/>
    <w:rsid w:val="0009445C"/>
    <w:rsid w:val="000948F8"/>
    <w:rsid w:val="0009495D"/>
    <w:rsid w:val="000949F9"/>
    <w:rsid w:val="00094D42"/>
    <w:rsid w:val="00094E6D"/>
    <w:rsid w:val="00094E7A"/>
    <w:rsid w:val="000950D1"/>
    <w:rsid w:val="00095200"/>
    <w:rsid w:val="0009550C"/>
    <w:rsid w:val="00095F53"/>
    <w:rsid w:val="00095F9F"/>
    <w:rsid w:val="00095FE5"/>
    <w:rsid w:val="00096284"/>
    <w:rsid w:val="000963CE"/>
    <w:rsid w:val="00096F00"/>
    <w:rsid w:val="00097088"/>
    <w:rsid w:val="00097410"/>
    <w:rsid w:val="000974EA"/>
    <w:rsid w:val="000977CF"/>
    <w:rsid w:val="00097A47"/>
    <w:rsid w:val="000A023E"/>
    <w:rsid w:val="000A03DD"/>
    <w:rsid w:val="000A0C5A"/>
    <w:rsid w:val="000A0DA6"/>
    <w:rsid w:val="000A0F8A"/>
    <w:rsid w:val="000A13F8"/>
    <w:rsid w:val="000A1530"/>
    <w:rsid w:val="000A1665"/>
    <w:rsid w:val="000A175E"/>
    <w:rsid w:val="000A1794"/>
    <w:rsid w:val="000A1BC0"/>
    <w:rsid w:val="000A2171"/>
    <w:rsid w:val="000A2829"/>
    <w:rsid w:val="000A289F"/>
    <w:rsid w:val="000A292B"/>
    <w:rsid w:val="000A2B46"/>
    <w:rsid w:val="000A326B"/>
    <w:rsid w:val="000A3BFA"/>
    <w:rsid w:val="000A3C9D"/>
    <w:rsid w:val="000A402B"/>
    <w:rsid w:val="000A41AB"/>
    <w:rsid w:val="000A43DC"/>
    <w:rsid w:val="000A4436"/>
    <w:rsid w:val="000A47F5"/>
    <w:rsid w:val="000A4A58"/>
    <w:rsid w:val="000A4BC9"/>
    <w:rsid w:val="000A54E1"/>
    <w:rsid w:val="000A5F98"/>
    <w:rsid w:val="000A6039"/>
    <w:rsid w:val="000A62F7"/>
    <w:rsid w:val="000A650F"/>
    <w:rsid w:val="000A6648"/>
    <w:rsid w:val="000A7449"/>
    <w:rsid w:val="000A7453"/>
    <w:rsid w:val="000A783F"/>
    <w:rsid w:val="000A7D08"/>
    <w:rsid w:val="000A7DDE"/>
    <w:rsid w:val="000B0121"/>
    <w:rsid w:val="000B0670"/>
    <w:rsid w:val="000B077B"/>
    <w:rsid w:val="000B0C4B"/>
    <w:rsid w:val="000B0E75"/>
    <w:rsid w:val="000B0EBC"/>
    <w:rsid w:val="000B1112"/>
    <w:rsid w:val="000B11A1"/>
    <w:rsid w:val="000B128E"/>
    <w:rsid w:val="000B1D84"/>
    <w:rsid w:val="000B20F2"/>
    <w:rsid w:val="000B2357"/>
    <w:rsid w:val="000B23F3"/>
    <w:rsid w:val="000B2D0F"/>
    <w:rsid w:val="000B2DCB"/>
    <w:rsid w:val="000B2EC2"/>
    <w:rsid w:val="000B326A"/>
    <w:rsid w:val="000B3667"/>
    <w:rsid w:val="000B36CA"/>
    <w:rsid w:val="000B413B"/>
    <w:rsid w:val="000B454E"/>
    <w:rsid w:val="000B4883"/>
    <w:rsid w:val="000B4909"/>
    <w:rsid w:val="000B4A96"/>
    <w:rsid w:val="000B4F63"/>
    <w:rsid w:val="000B516F"/>
    <w:rsid w:val="000B542A"/>
    <w:rsid w:val="000B5468"/>
    <w:rsid w:val="000B59AF"/>
    <w:rsid w:val="000B5BEA"/>
    <w:rsid w:val="000B5CE0"/>
    <w:rsid w:val="000B5DED"/>
    <w:rsid w:val="000B5F9B"/>
    <w:rsid w:val="000B6282"/>
    <w:rsid w:val="000B63EA"/>
    <w:rsid w:val="000B65E0"/>
    <w:rsid w:val="000B6CAC"/>
    <w:rsid w:val="000B7491"/>
    <w:rsid w:val="000B755C"/>
    <w:rsid w:val="000B75F0"/>
    <w:rsid w:val="000B7612"/>
    <w:rsid w:val="000B78AE"/>
    <w:rsid w:val="000B7ADE"/>
    <w:rsid w:val="000B7B8F"/>
    <w:rsid w:val="000C01D3"/>
    <w:rsid w:val="000C064C"/>
    <w:rsid w:val="000C0F80"/>
    <w:rsid w:val="000C152A"/>
    <w:rsid w:val="000C1A67"/>
    <w:rsid w:val="000C1B96"/>
    <w:rsid w:val="000C1C2D"/>
    <w:rsid w:val="000C1F69"/>
    <w:rsid w:val="000C21B3"/>
    <w:rsid w:val="000C23A7"/>
    <w:rsid w:val="000C249D"/>
    <w:rsid w:val="000C26E5"/>
    <w:rsid w:val="000C29F9"/>
    <w:rsid w:val="000C2BA1"/>
    <w:rsid w:val="000C2BFF"/>
    <w:rsid w:val="000C2F1C"/>
    <w:rsid w:val="000C317A"/>
    <w:rsid w:val="000C3205"/>
    <w:rsid w:val="000C3A58"/>
    <w:rsid w:val="000C3DF9"/>
    <w:rsid w:val="000C3E5B"/>
    <w:rsid w:val="000C3FA1"/>
    <w:rsid w:val="000C4165"/>
    <w:rsid w:val="000C453B"/>
    <w:rsid w:val="000C5A60"/>
    <w:rsid w:val="000C62DC"/>
    <w:rsid w:val="000C6713"/>
    <w:rsid w:val="000C6CC4"/>
    <w:rsid w:val="000C770D"/>
    <w:rsid w:val="000C7763"/>
    <w:rsid w:val="000C7E94"/>
    <w:rsid w:val="000D0042"/>
    <w:rsid w:val="000D011E"/>
    <w:rsid w:val="000D020D"/>
    <w:rsid w:val="000D088F"/>
    <w:rsid w:val="000D099B"/>
    <w:rsid w:val="000D0EA0"/>
    <w:rsid w:val="000D1376"/>
    <w:rsid w:val="000D13C7"/>
    <w:rsid w:val="000D1468"/>
    <w:rsid w:val="000D148B"/>
    <w:rsid w:val="000D16D6"/>
    <w:rsid w:val="000D19C2"/>
    <w:rsid w:val="000D1BFC"/>
    <w:rsid w:val="000D1C46"/>
    <w:rsid w:val="000D1D10"/>
    <w:rsid w:val="000D1D5D"/>
    <w:rsid w:val="000D1D7C"/>
    <w:rsid w:val="000D1F41"/>
    <w:rsid w:val="000D20F3"/>
    <w:rsid w:val="000D21A4"/>
    <w:rsid w:val="000D281A"/>
    <w:rsid w:val="000D2848"/>
    <w:rsid w:val="000D2D6F"/>
    <w:rsid w:val="000D2FFD"/>
    <w:rsid w:val="000D3038"/>
    <w:rsid w:val="000D31C4"/>
    <w:rsid w:val="000D326A"/>
    <w:rsid w:val="000D378F"/>
    <w:rsid w:val="000D3B3F"/>
    <w:rsid w:val="000D3FBC"/>
    <w:rsid w:val="000D4094"/>
    <w:rsid w:val="000D468C"/>
    <w:rsid w:val="000D4780"/>
    <w:rsid w:val="000D47D4"/>
    <w:rsid w:val="000D4A9D"/>
    <w:rsid w:val="000D4C17"/>
    <w:rsid w:val="000D4DC0"/>
    <w:rsid w:val="000D517A"/>
    <w:rsid w:val="000D51F0"/>
    <w:rsid w:val="000D51FB"/>
    <w:rsid w:val="000D5A12"/>
    <w:rsid w:val="000D5DBF"/>
    <w:rsid w:val="000D68B1"/>
    <w:rsid w:val="000D697E"/>
    <w:rsid w:val="000D6DE3"/>
    <w:rsid w:val="000D6EFF"/>
    <w:rsid w:val="000D795E"/>
    <w:rsid w:val="000D7B03"/>
    <w:rsid w:val="000D7C15"/>
    <w:rsid w:val="000D7D3E"/>
    <w:rsid w:val="000E005E"/>
    <w:rsid w:val="000E0109"/>
    <w:rsid w:val="000E0494"/>
    <w:rsid w:val="000E062C"/>
    <w:rsid w:val="000E0640"/>
    <w:rsid w:val="000E1251"/>
    <w:rsid w:val="000E12B4"/>
    <w:rsid w:val="000E135D"/>
    <w:rsid w:val="000E15FB"/>
    <w:rsid w:val="000E1AF3"/>
    <w:rsid w:val="000E1BA1"/>
    <w:rsid w:val="000E1D4D"/>
    <w:rsid w:val="000E1FC5"/>
    <w:rsid w:val="000E2214"/>
    <w:rsid w:val="000E2215"/>
    <w:rsid w:val="000E2731"/>
    <w:rsid w:val="000E2BE7"/>
    <w:rsid w:val="000E2D2E"/>
    <w:rsid w:val="000E2E3C"/>
    <w:rsid w:val="000E3264"/>
    <w:rsid w:val="000E3BE4"/>
    <w:rsid w:val="000E3D4C"/>
    <w:rsid w:val="000E3D71"/>
    <w:rsid w:val="000E3DF4"/>
    <w:rsid w:val="000E3E86"/>
    <w:rsid w:val="000E417B"/>
    <w:rsid w:val="000E4964"/>
    <w:rsid w:val="000E4AB7"/>
    <w:rsid w:val="000E4E25"/>
    <w:rsid w:val="000E510A"/>
    <w:rsid w:val="000E5298"/>
    <w:rsid w:val="000E5BAC"/>
    <w:rsid w:val="000E5CF9"/>
    <w:rsid w:val="000E5FAE"/>
    <w:rsid w:val="000E64FA"/>
    <w:rsid w:val="000E6BF6"/>
    <w:rsid w:val="000E6C99"/>
    <w:rsid w:val="000E7033"/>
    <w:rsid w:val="000E71B1"/>
    <w:rsid w:val="000E7561"/>
    <w:rsid w:val="000E7F1E"/>
    <w:rsid w:val="000F00A0"/>
    <w:rsid w:val="000F00BA"/>
    <w:rsid w:val="000F0A2B"/>
    <w:rsid w:val="000F0C52"/>
    <w:rsid w:val="000F0D70"/>
    <w:rsid w:val="000F1092"/>
    <w:rsid w:val="000F157E"/>
    <w:rsid w:val="000F1D11"/>
    <w:rsid w:val="000F21FE"/>
    <w:rsid w:val="000F2580"/>
    <w:rsid w:val="000F2643"/>
    <w:rsid w:val="000F2762"/>
    <w:rsid w:val="000F2841"/>
    <w:rsid w:val="000F2C57"/>
    <w:rsid w:val="000F2DFD"/>
    <w:rsid w:val="000F2E60"/>
    <w:rsid w:val="000F316A"/>
    <w:rsid w:val="000F343E"/>
    <w:rsid w:val="000F353E"/>
    <w:rsid w:val="000F3C74"/>
    <w:rsid w:val="000F3FFC"/>
    <w:rsid w:val="000F44D7"/>
    <w:rsid w:val="000F467D"/>
    <w:rsid w:val="000F47A0"/>
    <w:rsid w:val="000F4820"/>
    <w:rsid w:val="000F4BB8"/>
    <w:rsid w:val="000F4D83"/>
    <w:rsid w:val="000F4FA9"/>
    <w:rsid w:val="000F53FB"/>
    <w:rsid w:val="000F5457"/>
    <w:rsid w:val="000F581B"/>
    <w:rsid w:val="000F5938"/>
    <w:rsid w:val="000F61CC"/>
    <w:rsid w:val="000F63C0"/>
    <w:rsid w:val="000F64F8"/>
    <w:rsid w:val="000F6AF9"/>
    <w:rsid w:val="000F6DDB"/>
    <w:rsid w:val="000F7064"/>
    <w:rsid w:val="000F7066"/>
    <w:rsid w:val="000F7127"/>
    <w:rsid w:val="000F7223"/>
    <w:rsid w:val="000F7315"/>
    <w:rsid w:val="000F731A"/>
    <w:rsid w:val="000F746A"/>
    <w:rsid w:val="000F7835"/>
    <w:rsid w:val="000F7A70"/>
    <w:rsid w:val="000F7B54"/>
    <w:rsid w:val="000F7B66"/>
    <w:rsid w:val="001002ED"/>
    <w:rsid w:val="00100517"/>
    <w:rsid w:val="001005C0"/>
    <w:rsid w:val="0010074F"/>
    <w:rsid w:val="001009BF"/>
    <w:rsid w:val="00100B6C"/>
    <w:rsid w:val="00100F8A"/>
    <w:rsid w:val="0010126D"/>
    <w:rsid w:val="001018E2"/>
    <w:rsid w:val="00101A94"/>
    <w:rsid w:val="00101F64"/>
    <w:rsid w:val="0010219B"/>
    <w:rsid w:val="00102650"/>
    <w:rsid w:val="001027DF"/>
    <w:rsid w:val="00102ACC"/>
    <w:rsid w:val="00102D8C"/>
    <w:rsid w:val="00103300"/>
    <w:rsid w:val="001034FA"/>
    <w:rsid w:val="00103628"/>
    <w:rsid w:val="00103927"/>
    <w:rsid w:val="0010392E"/>
    <w:rsid w:val="0010393B"/>
    <w:rsid w:val="00103B17"/>
    <w:rsid w:val="00103C25"/>
    <w:rsid w:val="00103F08"/>
    <w:rsid w:val="001040FE"/>
    <w:rsid w:val="00104197"/>
    <w:rsid w:val="0010452E"/>
    <w:rsid w:val="00104604"/>
    <w:rsid w:val="0010477E"/>
    <w:rsid w:val="00104A0B"/>
    <w:rsid w:val="001054C8"/>
    <w:rsid w:val="00105609"/>
    <w:rsid w:val="00105777"/>
    <w:rsid w:val="0010586A"/>
    <w:rsid w:val="001058E2"/>
    <w:rsid w:val="00105920"/>
    <w:rsid w:val="00105AE2"/>
    <w:rsid w:val="001060C6"/>
    <w:rsid w:val="0010613E"/>
    <w:rsid w:val="00106326"/>
    <w:rsid w:val="0010663D"/>
    <w:rsid w:val="001067AB"/>
    <w:rsid w:val="001068BC"/>
    <w:rsid w:val="00106980"/>
    <w:rsid w:val="00106B80"/>
    <w:rsid w:val="00106FDB"/>
    <w:rsid w:val="00107B16"/>
    <w:rsid w:val="00107BB9"/>
    <w:rsid w:val="00107BD4"/>
    <w:rsid w:val="00107DDF"/>
    <w:rsid w:val="00107F6E"/>
    <w:rsid w:val="00110137"/>
    <w:rsid w:val="00110253"/>
    <w:rsid w:val="00110306"/>
    <w:rsid w:val="0011032E"/>
    <w:rsid w:val="0011039E"/>
    <w:rsid w:val="00110405"/>
    <w:rsid w:val="001104E4"/>
    <w:rsid w:val="00110A3C"/>
    <w:rsid w:val="00110A65"/>
    <w:rsid w:val="00110C3E"/>
    <w:rsid w:val="00110D6F"/>
    <w:rsid w:val="00110E39"/>
    <w:rsid w:val="00110E43"/>
    <w:rsid w:val="00111AB3"/>
    <w:rsid w:val="00111D8B"/>
    <w:rsid w:val="00111DC4"/>
    <w:rsid w:val="00111E0E"/>
    <w:rsid w:val="00111FBD"/>
    <w:rsid w:val="00112000"/>
    <w:rsid w:val="00112475"/>
    <w:rsid w:val="0011325C"/>
    <w:rsid w:val="0011348B"/>
    <w:rsid w:val="0011354B"/>
    <w:rsid w:val="00113664"/>
    <w:rsid w:val="001140E1"/>
    <w:rsid w:val="0011477E"/>
    <w:rsid w:val="00114D4A"/>
    <w:rsid w:val="00114E9E"/>
    <w:rsid w:val="00114F85"/>
    <w:rsid w:val="00115982"/>
    <w:rsid w:val="00115B5B"/>
    <w:rsid w:val="0011649F"/>
    <w:rsid w:val="00116597"/>
    <w:rsid w:val="00116C53"/>
    <w:rsid w:val="00117382"/>
    <w:rsid w:val="0011745D"/>
    <w:rsid w:val="001177EC"/>
    <w:rsid w:val="00117D4C"/>
    <w:rsid w:val="00117D66"/>
    <w:rsid w:val="00117F1D"/>
    <w:rsid w:val="00117FD8"/>
    <w:rsid w:val="001202D0"/>
    <w:rsid w:val="00120A01"/>
    <w:rsid w:val="00120C12"/>
    <w:rsid w:val="00120F8A"/>
    <w:rsid w:val="0012109F"/>
    <w:rsid w:val="00121289"/>
    <w:rsid w:val="0012143D"/>
    <w:rsid w:val="001216AD"/>
    <w:rsid w:val="00121799"/>
    <w:rsid w:val="001218E3"/>
    <w:rsid w:val="00121A40"/>
    <w:rsid w:val="00121A9B"/>
    <w:rsid w:val="00121ACF"/>
    <w:rsid w:val="00121FD4"/>
    <w:rsid w:val="0012206F"/>
    <w:rsid w:val="001222FC"/>
    <w:rsid w:val="00122A22"/>
    <w:rsid w:val="00122AE2"/>
    <w:rsid w:val="00122CC2"/>
    <w:rsid w:val="00123902"/>
    <w:rsid w:val="00123A94"/>
    <w:rsid w:val="00123AEF"/>
    <w:rsid w:val="00123C2A"/>
    <w:rsid w:val="00123CDE"/>
    <w:rsid w:val="00123E63"/>
    <w:rsid w:val="0012451A"/>
    <w:rsid w:val="001248C2"/>
    <w:rsid w:val="00124A51"/>
    <w:rsid w:val="00125252"/>
    <w:rsid w:val="001253C0"/>
    <w:rsid w:val="001255A5"/>
    <w:rsid w:val="00125C06"/>
    <w:rsid w:val="00125CB2"/>
    <w:rsid w:val="00125E25"/>
    <w:rsid w:val="0012632B"/>
    <w:rsid w:val="00126442"/>
    <w:rsid w:val="00126621"/>
    <w:rsid w:val="00126B1D"/>
    <w:rsid w:val="00126DFC"/>
    <w:rsid w:val="0012702E"/>
    <w:rsid w:val="001276E8"/>
    <w:rsid w:val="00127743"/>
    <w:rsid w:val="0012784F"/>
    <w:rsid w:val="00127C3F"/>
    <w:rsid w:val="00127E1D"/>
    <w:rsid w:val="00127EEA"/>
    <w:rsid w:val="001301E9"/>
    <w:rsid w:val="0013084A"/>
    <w:rsid w:val="0013153F"/>
    <w:rsid w:val="001318B1"/>
    <w:rsid w:val="00131D82"/>
    <w:rsid w:val="00131E6D"/>
    <w:rsid w:val="001325C4"/>
    <w:rsid w:val="001326CB"/>
    <w:rsid w:val="00132799"/>
    <w:rsid w:val="00132914"/>
    <w:rsid w:val="00132ABE"/>
    <w:rsid w:val="00132B22"/>
    <w:rsid w:val="00132E9B"/>
    <w:rsid w:val="00133166"/>
    <w:rsid w:val="001337AD"/>
    <w:rsid w:val="001339B4"/>
    <w:rsid w:val="00133C4B"/>
    <w:rsid w:val="00133D19"/>
    <w:rsid w:val="00133D36"/>
    <w:rsid w:val="00133D88"/>
    <w:rsid w:val="00133FEA"/>
    <w:rsid w:val="001343CA"/>
    <w:rsid w:val="001350CB"/>
    <w:rsid w:val="001352BC"/>
    <w:rsid w:val="001353A1"/>
    <w:rsid w:val="001354A0"/>
    <w:rsid w:val="001354B1"/>
    <w:rsid w:val="00135B2A"/>
    <w:rsid w:val="00135D6C"/>
    <w:rsid w:val="00135F38"/>
    <w:rsid w:val="00135F5F"/>
    <w:rsid w:val="00135FC2"/>
    <w:rsid w:val="0013616C"/>
    <w:rsid w:val="001362CB"/>
    <w:rsid w:val="00136593"/>
    <w:rsid w:val="00136A60"/>
    <w:rsid w:val="00136D35"/>
    <w:rsid w:val="00136E15"/>
    <w:rsid w:val="0013705C"/>
    <w:rsid w:val="0013727C"/>
    <w:rsid w:val="0013741F"/>
    <w:rsid w:val="0013755A"/>
    <w:rsid w:val="00137645"/>
    <w:rsid w:val="001379B8"/>
    <w:rsid w:val="00137B78"/>
    <w:rsid w:val="00137D60"/>
    <w:rsid w:val="0014015A"/>
    <w:rsid w:val="00140763"/>
    <w:rsid w:val="00140E99"/>
    <w:rsid w:val="0014140A"/>
    <w:rsid w:val="00141839"/>
    <w:rsid w:val="001419B3"/>
    <w:rsid w:val="00142108"/>
    <w:rsid w:val="0014237A"/>
    <w:rsid w:val="00142541"/>
    <w:rsid w:val="0014266D"/>
    <w:rsid w:val="00142690"/>
    <w:rsid w:val="00142913"/>
    <w:rsid w:val="001429D5"/>
    <w:rsid w:val="00142CF7"/>
    <w:rsid w:val="00142F7B"/>
    <w:rsid w:val="00142F85"/>
    <w:rsid w:val="00143167"/>
    <w:rsid w:val="001436B8"/>
    <w:rsid w:val="0014385E"/>
    <w:rsid w:val="001438A1"/>
    <w:rsid w:val="00143BAE"/>
    <w:rsid w:val="00143CF2"/>
    <w:rsid w:val="00143F67"/>
    <w:rsid w:val="001440C0"/>
    <w:rsid w:val="001444FA"/>
    <w:rsid w:val="00144C8C"/>
    <w:rsid w:val="0014502D"/>
    <w:rsid w:val="001450FE"/>
    <w:rsid w:val="0014545F"/>
    <w:rsid w:val="00145540"/>
    <w:rsid w:val="001456B0"/>
    <w:rsid w:val="001456BB"/>
    <w:rsid w:val="001456F5"/>
    <w:rsid w:val="00145BF6"/>
    <w:rsid w:val="00145C34"/>
    <w:rsid w:val="00145EA2"/>
    <w:rsid w:val="00146A1A"/>
    <w:rsid w:val="00147029"/>
    <w:rsid w:val="00147531"/>
    <w:rsid w:val="00147A36"/>
    <w:rsid w:val="00147F52"/>
    <w:rsid w:val="0015034C"/>
    <w:rsid w:val="0015037E"/>
    <w:rsid w:val="001504EE"/>
    <w:rsid w:val="00150B75"/>
    <w:rsid w:val="0015114A"/>
    <w:rsid w:val="00151207"/>
    <w:rsid w:val="0015120A"/>
    <w:rsid w:val="00151433"/>
    <w:rsid w:val="0015151A"/>
    <w:rsid w:val="001516F0"/>
    <w:rsid w:val="00151AD7"/>
    <w:rsid w:val="00151AE3"/>
    <w:rsid w:val="00151BBF"/>
    <w:rsid w:val="00151FB2"/>
    <w:rsid w:val="001521B1"/>
    <w:rsid w:val="0015245D"/>
    <w:rsid w:val="00152741"/>
    <w:rsid w:val="00152786"/>
    <w:rsid w:val="0015279B"/>
    <w:rsid w:val="001529F7"/>
    <w:rsid w:val="00152C8B"/>
    <w:rsid w:val="0015356A"/>
    <w:rsid w:val="00153594"/>
    <w:rsid w:val="0015363F"/>
    <w:rsid w:val="00153920"/>
    <w:rsid w:val="00153B48"/>
    <w:rsid w:val="00153B5D"/>
    <w:rsid w:val="00153F35"/>
    <w:rsid w:val="00154A80"/>
    <w:rsid w:val="00154CC2"/>
    <w:rsid w:val="00154DB4"/>
    <w:rsid w:val="00154F49"/>
    <w:rsid w:val="001550F8"/>
    <w:rsid w:val="001551C3"/>
    <w:rsid w:val="001554FD"/>
    <w:rsid w:val="00155853"/>
    <w:rsid w:val="00155931"/>
    <w:rsid w:val="001563B1"/>
    <w:rsid w:val="00156652"/>
    <w:rsid w:val="001566AB"/>
    <w:rsid w:val="00156A48"/>
    <w:rsid w:val="00156B9C"/>
    <w:rsid w:val="00156C40"/>
    <w:rsid w:val="00156F8F"/>
    <w:rsid w:val="00157056"/>
    <w:rsid w:val="00157130"/>
    <w:rsid w:val="001576B1"/>
    <w:rsid w:val="00157C90"/>
    <w:rsid w:val="0016047B"/>
    <w:rsid w:val="0016054A"/>
    <w:rsid w:val="00160A4C"/>
    <w:rsid w:val="00160DF6"/>
    <w:rsid w:val="00161878"/>
    <w:rsid w:val="00161B53"/>
    <w:rsid w:val="0016253D"/>
    <w:rsid w:val="00162913"/>
    <w:rsid w:val="00162F54"/>
    <w:rsid w:val="00163771"/>
    <w:rsid w:val="00163E8D"/>
    <w:rsid w:val="00163EFF"/>
    <w:rsid w:val="00163F66"/>
    <w:rsid w:val="001640A0"/>
    <w:rsid w:val="00164957"/>
    <w:rsid w:val="00164C37"/>
    <w:rsid w:val="00164CF6"/>
    <w:rsid w:val="00164DB0"/>
    <w:rsid w:val="00164E03"/>
    <w:rsid w:val="001652B1"/>
    <w:rsid w:val="001654F2"/>
    <w:rsid w:val="001658D2"/>
    <w:rsid w:val="00165C59"/>
    <w:rsid w:val="001661FB"/>
    <w:rsid w:val="001662C1"/>
    <w:rsid w:val="00166404"/>
    <w:rsid w:val="001668F6"/>
    <w:rsid w:val="001669E2"/>
    <w:rsid w:val="00166BF4"/>
    <w:rsid w:val="001670DA"/>
    <w:rsid w:val="001671A0"/>
    <w:rsid w:val="00167325"/>
    <w:rsid w:val="0016767F"/>
    <w:rsid w:val="001677CC"/>
    <w:rsid w:val="00167A50"/>
    <w:rsid w:val="00167B08"/>
    <w:rsid w:val="001700E6"/>
    <w:rsid w:val="00170458"/>
    <w:rsid w:val="001709F9"/>
    <w:rsid w:val="00170A83"/>
    <w:rsid w:val="0017110C"/>
    <w:rsid w:val="00171689"/>
    <w:rsid w:val="00172188"/>
    <w:rsid w:val="001724B9"/>
    <w:rsid w:val="001724E9"/>
    <w:rsid w:val="00172547"/>
    <w:rsid w:val="00172727"/>
    <w:rsid w:val="00172B69"/>
    <w:rsid w:val="001730AD"/>
    <w:rsid w:val="001733B6"/>
    <w:rsid w:val="00173565"/>
    <w:rsid w:val="0017385A"/>
    <w:rsid w:val="00173A03"/>
    <w:rsid w:val="00173B07"/>
    <w:rsid w:val="00173B72"/>
    <w:rsid w:val="00173C23"/>
    <w:rsid w:val="0017437E"/>
    <w:rsid w:val="00174709"/>
    <w:rsid w:val="00174FD1"/>
    <w:rsid w:val="001751F0"/>
    <w:rsid w:val="001751FA"/>
    <w:rsid w:val="00175625"/>
    <w:rsid w:val="00175764"/>
    <w:rsid w:val="00175842"/>
    <w:rsid w:val="00175E42"/>
    <w:rsid w:val="00175EAB"/>
    <w:rsid w:val="00175FEA"/>
    <w:rsid w:val="00176275"/>
    <w:rsid w:val="0017663A"/>
    <w:rsid w:val="001766CB"/>
    <w:rsid w:val="001766F3"/>
    <w:rsid w:val="001769DD"/>
    <w:rsid w:val="00176A50"/>
    <w:rsid w:val="00176CFE"/>
    <w:rsid w:val="0017705F"/>
    <w:rsid w:val="0017719A"/>
    <w:rsid w:val="001775B4"/>
    <w:rsid w:val="00177A00"/>
    <w:rsid w:val="00177A0C"/>
    <w:rsid w:val="00177DBF"/>
    <w:rsid w:val="00177E3D"/>
    <w:rsid w:val="0018019E"/>
    <w:rsid w:val="0018046B"/>
    <w:rsid w:val="00180873"/>
    <w:rsid w:val="00180D43"/>
    <w:rsid w:val="00180F88"/>
    <w:rsid w:val="001811DD"/>
    <w:rsid w:val="001812BB"/>
    <w:rsid w:val="00181434"/>
    <w:rsid w:val="00181724"/>
    <w:rsid w:val="001817C7"/>
    <w:rsid w:val="00181965"/>
    <w:rsid w:val="00181A42"/>
    <w:rsid w:val="00181D9C"/>
    <w:rsid w:val="00181E7B"/>
    <w:rsid w:val="00182301"/>
    <w:rsid w:val="00182D1E"/>
    <w:rsid w:val="00182F4E"/>
    <w:rsid w:val="00182F54"/>
    <w:rsid w:val="00183EAC"/>
    <w:rsid w:val="00184651"/>
    <w:rsid w:val="0018492F"/>
    <w:rsid w:val="001849D9"/>
    <w:rsid w:val="00184B0E"/>
    <w:rsid w:val="00184C0D"/>
    <w:rsid w:val="00184DAA"/>
    <w:rsid w:val="00185053"/>
    <w:rsid w:val="001853E1"/>
    <w:rsid w:val="00185CF1"/>
    <w:rsid w:val="00186119"/>
    <w:rsid w:val="0018617F"/>
    <w:rsid w:val="001864A9"/>
    <w:rsid w:val="001867C8"/>
    <w:rsid w:val="00186853"/>
    <w:rsid w:val="0018691F"/>
    <w:rsid w:val="001870AA"/>
    <w:rsid w:val="0018752F"/>
    <w:rsid w:val="00187926"/>
    <w:rsid w:val="00187A01"/>
    <w:rsid w:val="00187CAB"/>
    <w:rsid w:val="00187E15"/>
    <w:rsid w:val="00187E66"/>
    <w:rsid w:val="001904A2"/>
    <w:rsid w:val="001904B4"/>
    <w:rsid w:val="00190E6D"/>
    <w:rsid w:val="00190F7E"/>
    <w:rsid w:val="00190F97"/>
    <w:rsid w:val="0019156C"/>
    <w:rsid w:val="001916CC"/>
    <w:rsid w:val="00191721"/>
    <w:rsid w:val="001919FC"/>
    <w:rsid w:val="00192832"/>
    <w:rsid w:val="001928DC"/>
    <w:rsid w:val="001929E5"/>
    <w:rsid w:val="00192A82"/>
    <w:rsid w:val="00192B3E"/>
    <w:rsid w:val="0019300D"/>
    <w:rsid w:val="00193055"/>
    <w:rsid w:val="001931E5"/>
    <w:rsid w:val="0019356F"/>
    <w:rsid w:val="00193573"/>
    <w:rsid w:val="00193838"/>
    <w:rsid w:val="001938D1"/>
    <w:rsid w:val="0019429C"/>
    <w:rsid w:val="00194644"/>
    <w:rsid w:val="00194AD8"/>
    <w:rsid w:val="00194DA0"/>
    <w:rsid w:val="00194EE4"/>
    <w:rsid w:val="00194FDF"/>
    <w:rsid w:val="00195222"/>
    <w:rsid w:val="00195475"/>
    <w:rsid w:val="00195A24"/>
    <w:rsid w:val="00195D4E"/>
    <w:rsid w:val="00195E12"/>
    <w:rsid w:val="00196069"/>
    <w:rsid w:val="0019611C"/>
    <w:rsid w:val="00196255"/>
    <w:rsid w:val="0019684A"/>
    <w:rsid w:val="00196956"/>
    <w:rsid w:val="00196D0E"/>
    <w:rsid w:val="001972C3"/>
    <w:rsid w:val="001975D8"/>
    <w:rsid w:val="0019773A"/>
    <w:rsid w:val="00197A72"/>
    <w:rsid w:val="00197CC0"/>
    <w:rsid w:val="00197D1F"/>
    <w:rsid w:val="001A0483"/>
    <w:rsid w:val="001A0630"/>
    <w:rsid w:val="001A0A46"/>
    <w:rsid w:val="001A13E9"/>
    <w:rsid w:val="001A178E"/>
    <w:rsid w:val="001A1BAD"/>
    <w:rsid w:val="001A2502"/>
    <w:rsid w:val="001A261C"/>
    <w:rsid w:val="001A2762"/>
    <w:rsid w:val="001A2B2E"/>
    <w:rsid w:val="001A303F"/>
    <w:rsid w:val="001A3CB2"/>
    <w:rsid w:val="001A3F5C"/>
    <w:rsid w:val="001A407D"/>
    <w:rsid w:val="001A40B9"/>
    <w:rsid w:val="001A43FA"/>
    <w:rsid w:val="001A442D"/>
    <w:rsid w:val="001A463B"/>
    <w:rsid w:val="001A47C5"/>
    <w:rsid w:val="001A48EC"/>
    <w:rsid w:val="001A4A6A"/>
    <w:rsid w:val="001A4AFB"/>
    <w:rsid w:val="001A4B5F"/>
    <w:rsid w:val="001A4D64"/>
    <w:rsid w:val="001A523C"/>
    <w:rsid w:val="001A555E"/>
    <w:rsid w:val="001A57C5"/>
    <w:rsid w:val="001A58DE"/>
    <w:rsid w:val="001A59FB"/>
    <w:rsid w:val="001A5E9E"/>
    <w:rsid w:val="001A5F71"/>
    <w:rsid w:val="001A610D"/>
    <w:rsid w:val="001A6354"/>
    <w:rsid w:val="001A6366"/>
    <w:rsid w:val="001A658D"/>
    <w:rsid w:val="001A6A6F"/>
    <w:rsid w:val="001A6C57"/>
    <w:rsid w:val="001A6CE2"/>
    <w:rsid w:val="001A7014"/>
    <w:rsid w:val="001A7829"/>
    <w:rsid w:val="001A79AB"/>
    <w:rsid w:val="001A79CB"/>
    <w:rsid w:val="001A7AE8"/>
    <w:rsid w:val="001A7C59"/>
    <w:rsid w:val="001B0069"/>
    <w:rsid w:val="001B0748"/>
    <w:rsid w:val="001B14F3"/>
    <w:rsid w:val="001B1A18"/>
    <w:rsid w:val="001B1D1C"/>
    <w:rsid w:val="001B1EB3"/>
    <w:rsid w:val="001B204E"/>
    <w:rsid w:val="001B22A5"/>
    <w:rsid w:val="001B2372"/>
    <w:rsid w:val="001B2379"/>
    <w:rsid w:val="001B258B"/>
    <w:rsid w:val="001B2787"/>
    <w:rsid w:val="001B2917"/>
    <w:rsid w:val="001B3443"/>
    <w:rsid w:val="001B35D2"/>
    <w:rsid w:val="001B36C1"/>
    <w:rsid w:val="001B38B6"/>
    <w:rsid w:val="001B38D0"/>
    <w:rsid w:val="001B454E"/>
    <w:rsid w:val="001B476A"/>
    <w:rsid w:val="001B49D5"/>
    <w:rsid w:val="001B4AD9"/>
    <w:rsid w:val="001B4BA2"/>
    <w:rsid w:val="001B4D20"/>
    <w:rsid w:val="001B513A"/>
    <w:rsid w:val="001B5584"/>
    <w:rsid w:val="001B5CA0"/>
    <w:rsid w:val="001B5CF9"/>
    <w:rsid w:val="001B6025"/>
    <w:rsid w:val="001B62DD"/>
    <w:rsid w:val="001B6412"/>
    <w:rsid w:val="001B6B53"/>
    <w:rsid w:val="001B6C01"/>
    <w:rsid w:val="001B6C4F"/>
    <w:rsid w:val="001B7088"/>
    <w:rsid w:val="001B71E9"/>
    <w:rsid w:val="001B7943"/>
    <w:rsid w:val="001B7C2F"/>
    <w:rsid w:val="001C0029"/>
    <w:rsid w:val="001C0178"/>
    <w:rsid w:val="001C0221"/>
    <w:rsid w:val="001C0ECB"/>
    <w:rsid w:val="001C0FF5"/>
    <w:rsid w:val="001C1043"/>
    <w:rsid w:val="001C1047"/>
    <w:rsid w:val="001C1382"/>
    <w:rsid w:val="001C1B20"/>
    <w:rsid w:val="001C1BEC"/>
    <w:rsid w:val="001C1EE3"/>
    <w:rsid w:val="001C1F20"/>
    <w:rsid w:val="001C20BB"/>
    <w:rsid w:val="001C223F"/>
    <w:rsid w:val="001C2A1D"/>
    <w:rsid w:val="001C2A9B"/>
    <w:rsid w:val="001C2D8A"/>
    <w:rsid w:val="001C368D"/>
    <w:rsid w:val="001C381D"/>
    <w:rsid w:val="001C39CE"/>
    <w:rsid w:val="001C401B"/>
    <w:rsid w:val="001C4099"/>
    <w:rsid w:val="001C4299"/>
    <w:rsid w:val="001C4727"/>
    <w:rsid w:val="001C4874"/>
    <w:rsid w:val="001C5123"/>
    <w:rsid w:val="001C54FA"/>
    <w:rsid w:val="001C589F"/>
    <w:rsid w:val="001C59D3"/>
    <w:rsid w:val="001C5AD9"/>
    <w:rsid w:val="001C5BB8"/>
    <w:rsid w:val="001C5F94"/>
    <w:rsid w:val="001C60C1"/>
    <w:rsid w:val="001C6165"/>
    <w:rsid w:val="001C6280"/>
    <w:rsid w:val="001C6779"/>
    <w:rsid w:val="001C67CE"/>
    <w:rsid w:val="001C6822"/>
    <w:rsid w:val="001C6A78"/>
    <w:rsid w:val="001C6E36"/>
    <w:rsid w:val="001C6E66"/>
    <w:rsid w:val="001C6F49"/>
    <w:rsid w:val="001C71B7"/>
    <w:rsid w:val="001C76CA"/>
    <w:rsid w:val="001C7C29"/>
    <w:rsid w:val="001C7D13"/>
    <w:rsid w:val="001C7FBE"/>
    <w:rsid w:val="001D0095"/>
    <w:rsid w:val="001D0160"/>
    <w:rsid w:val="001D050F"/>
    <w:rsid w:val="001D0631"/>
    <w:rsid w:val="001D0D58"/>
    <w:rsid w:val="001D1100"/>
    <w:rsid w:val="001D1391"/>
    <w:rsid w:val="001D182D"/>
    <w:rsid w:val="001D18DB"/>
    <w:rsid w:val="001D18E3"/>
    <w:rsid w:val="001D1A04"/>
    <w:rsid w:val="001D1C2B"/>
    <w:rsid w:val="001D1D78"/>
    <w:rsid w:val="001D25D7"/>
    <w:rsid w:val="001D2CC1"/>
    <w:rsid w:val="001D2DAF"/>
    <w:rsid w:val="001D308C"/>
    <w:rsid w:val="001D32E0"/>
    <w:rsid w:val="001D3376"/>
    <w:rsid w:val="001D3D6B"/>
    <w:rsid w:val="001D433B"/>
    <w:rsid w:val="001D44FE"/>
    <w:rsid w:val="001D4793"/>
    <w:rsid w:val="001D50B2"/>
    <w:rsid w:val="001D569A"/>
    <w:rsid w:val="001D5B8D"/>
    <w:rsid w:val="001D6113"/>
    <w:rsid w:val="001D6CCC"/>
    <w:rsid w:val="001D6E7A"/>
    <w:rsid w:val="001D707A"/>
    <w:rsid w:val="001D71BB"/>
    <w:rsid w:val="001D7645"/>
    <w:rsid w:val="001D7AAF"/>
    <w:rsid w:val="001E0044"/>
    <w:rsid w:val="001E02EC"/>
    <w:rsid w:val="001E0545"/>
    <w:rsid w:val="001E0B68"/>
    <w:rsid w:val="001E0FBB"/>
    <w:rsid w:val="001E150A"/>
    <w:rsid w:val="001E191A"/>
    <w:rsid w:val="001E1B9A"/>
    <w:rsid w:val="001E1E86"/>
    <w:rsid w:val="001E1F84"/>
    <w:rsid w:val="001E238E"/>
    <w:rsid w:val="001E2483"/>
    <w:rsid w:val="001E2500"/>
    <w:rsid w:val="001E2B1E"/>
    <w:rsid w:val="001E2CFF"/>
    <w:rsid w:val="001E2F24"/>
    <w:rsid w:val="001E30D4"/>
    <w:rsid w:val="001E3107"/>
    <w:rsid w:val="001E34A8"/>
    <w:rsid w:val="001E34DF"/>
    <w:rsid w:val="001E355A"/>
    <w:rsid w:val="001E3ABC"/>
    <w:rsid w:val="001E3D22"/>
    <w:rsid w:val="001E412D"/>
    <w:rsid w:val="001E484A"/>
    <w:rsid w:val="001E4B9B"/>
    <w:rsid w:val="001E4C69"/>
    <w:rsid w:val="001E4F84"/>
    <w:rsid w:val="001E52EB"/>
    <w:rsid w:val="001E5684"/>
    <w:rsid w:val="001E5693"/>
    <w:rsid w:val="001E5ADD"/>
    <w:rsid w:val="001E5BCD"/>
    <w:rsid w:val="001E5E91"/>
    <w:rsid w:val="001E5F33"/>
    <w:rsid w:val="001E6024"/>
    <w:rsid w:val="001E61D2"/>
    <w:rsid w:val="001E6336"/>
    <w:rsid w:val="001E6385"/>
    <w:rsid w:val="001E66C3"/>
    <w:rsid w:val="001E6A82"/>
    <w:rsid w:val="001E6AE1"/>
    <w:rsid w:val="001E6EA2"/>
    <w:rsid w:val="001E72CD"/>
    <w:rsid w:val="001E740C"/>
    <w:rsid w:val="001E74E7"/>
    <w:rsid w:val="001E7FEC"/>
    <w:rsid w:val="001F038B"/>
    <w:rsid w:val="001F0770"/>
    <w:rsid w:val="001F0801"/>
    <w:rsid w:val="001F0ABB"/>
    <w:rsid w:val="001F1235"/>
    <w:rsid w:val="001F1867"/>
    <w:rsid w:val="001F1B75"/>
    <w:rsid w:val="001F1CB3"/>
    <w:rsid w:val="001F1F04"/>
    <w:rsid w:val="001F21F6"/>
    <w:rsid w:val="001F2543"/>
    <w:rsid w:val="001F2724"/>
    <w:rsid w:val="001F2785"/>
    <w:rsid w:val="001F27E0"/>
    <w:rsid w:val="001F307B"/>
    <w:rsid w:val="001F3479"/>
    <w:rsid w:val="001F358A"/>
    <w:rsid w:val="001F3609"/>
    <w:rsid w:val="001F38B5"/>
    <w:rsid w:val="001F38BD"/>
    <w:rsid w:val="001F3C2B"/>
    <w:rsid w:val="001F3C62"/>
    <w:rsid w:val="001F3CEC"/>
    <w:rsid w:val="001F4081"/>
    <w:rsid w:val="001F44DC"/>
    <w:rsid w:val="001F45A3"/>
    <w:rsid w:val="001F46AC"/>
    <w:rsid w:val="001F4882"/>
    <w:rsid w:val="001F4B18"/>
    <w:rsid w:val="001F4BA5"/>
    <w:rsid w:val="001F4D9B"/>
    <w:rsid w:val="001F4F97"/>
    <w:rsid w:val="001F4FDB"/>
    <w:rsid w:val="001F547E"/>
    <w:rsid w:val="001F568A"/>
    <w:rsid w:val="001F5A22"/>
    <w:rsid w:val="001F5AAC"/>
    <w:rsid w:val="001F5D3E"/>
    <w:rsid w:val="001F5F13"/>
    <w:rsid w:val="001F6329"/>
    <w:rsid w:val="001F660A"/>
    <w:rsid w:val="001F72EE"/>
    <w:rsid w:val="001F7361"/>
    <w:rsid w:val="001F76DE"/>
    <w:rsid w:val="001F76E5"/>
    <w:rsid w:val="001F789E"/>
    <w:rsid w:val="001F78F1"/>
    <w:rsid w:val="001F7C1E"/>
    <w:rsid w:val="001F7FA5"/>
    <w:rsid w:val="002000D7"/>
    <w:rsid w:val="0020010C"/>
    <w:rsid w:val="00200AB9"/>
    <w:rsid w:val="00200BB5"/>
    <w:rsid w:val="00200C2E"/>
    <w:rsid w:val="00200EF8"/>
    <w:rsid w:val="00200F85"/>
    <w:rsid w:val="00201052"/>
    <w:rsid w:val="002011A4"/>
    <w:rsid w:val="002011A9"/>
    <w:rsid w:val="002011B0"/>
    <w:rsid w:val="002011CC"/>
    <w:rsid w:val="0020181A"/>
    <w:rsid w:val="00201870"/>
    <w:rsid w:val="00201E54"/>
    <w:rsid w:val="00201F33"/>
    <w:rsid w:val="0020204C"/>
    <w:rsid w:val="0020204E"/>
    <w:rsid w:val="002028B2"/>
    <w:rsid w:val="00202AD4"/>
    <w:rsid w:val="00202C95"/>
    <w:rsid w:val="00202D11"/>
    <w:rsid w:val="00202DC0"/>
    <w:rsid w:val="00203181"/>
    <w:rsid w:val="00203601"/>
    <w:rsid w:val="00203783"/>
    <w:rsid w:val="0020385F"/>
    <w:rsid w:val="00203AF4"/>
    <w:rsid w:val="00203BAA"/>
    <w:rsid w:val="00203F30"/>
    <w:rsid w:val="0020400F"/>
    <w:rsid w:val="002040C2"/>
    <w:rsid w:val="00204B1B"/>
    <w:rsid w:val="00204BB4"/>
    <w:rsid w:val="00204BC4"/>
    <w:rsid w:val="002050AE"/>
    <w:rsid w:val="00205691"/>
    <w:rsid w:val="00205970"/>
    <w:rsid w:val="00205D54"/>
    <w:rsid w:val="002063DB"/>
    <w:rsid w:val="002065C5"/>
    <w:rsid w:val="002068A0"/>
    <w:rsid w:val="00206920"/>
    <w:rsid w:val="00206BC6"/>
    <w:rsid w:val="00206CF7"/>
    <w:rsid w:val="00206DA1"/>
    <w:rsid w:val="00207021"/>
    <w:rsid w:val="0020732F"/>
    <w:rsid w:val="0020736D"/>
    <w:rsid w:val="00207408"/>
    <w:rsid w:val="00207942"/>
    <w:rsid w:val="002079E4"/>
    <w:rsid w:val="00207D00"/>
    <w:rsid w:val="0021025D"/>
    <w:rsid w:val="002102D8"/>
    <w:rsid w:val="002102E6"/>
    <w:rsid w:val="002103C6"/>
    <w:rsid w:val="002105C1"/>
    <w:rsid w:val="002110DF"/>
    <w:rsid w:val="002112DD"/>
    <w:rsid w:val="0021183B"/>
    <w:rsid w:val="00211A4B"/>
    <w:rsid w:val="00211C0B"/>
    <w:rsid w:val="00211E9F"/>
    <w:rsid w:val="0021220B"/>
    <w:rsid w:val="002126FD"/>
    <w:rsid w:val="00212E96"/>
    <w:rsid w:val="002134E1"/>
    <w:rsid w:val="00213585"/>
    <w:rsid w:val="00213EF5"/>
    <w:rsid w:val="0021436F"/>
    <w:rsid w:val="00214456"/>
    <w:rsid w:val="002144F1"/>
    <w:rsid w:val="002145E5"/>
    <w:rsid w:val="0021471B"/>
    <w:rsid w:val="00215240"/>
    <w:rsid w:val="0021536C"/>
    <w:rsid w:val="00215D96"/>
    <w:rsid w:val="00216171"/>
    <w:rsid w:val="00216483"/>
    <w:rsid w:val="00216A00"/>
    <w:rsid w:val="00216B0C"/>
    <w:rsid w:val="00216BE5"/>
    <w:rsid w:val="00216BF5"/>
    <w:rsid w:val="00216D90"/>
    <w:rsid w:val="002170C0"/>
    <w:rsid w:val="00217210"/>
    <w:rsid w:val="0021743D"/>
    <w:rsid w:val="002176C9"/>
    <w:rsid w:val="00217880"/>
    <w:rsid w:val="00217B15"/>
    <w:rsid w:val="00217DDD"/>
    <w:rsid w:val="00217E38"/>
    <w:rsid w:val="00217FC1"/>
    <w:rsid w:val="00220100"/>
    <w:rsid w:val="0022061F"/>
    <w:rsid w:val="002206CB"/>
    <w:rsid w:val="002209BB"/>
    <w:rsid w:val="00220CBE"/>
    <w:rsid w:val="00220D6A"/>
    <w:rsid w:val="00220E4B"/>
    <w:rsid w:val="00221B4A"/>
    <w:rsid w:val="00221D71"/>
    <w:rsid w:val="002229EB"/>
    <w:rsid w:val="00222CEE"/>
    <w:rsid w:val="002231EA"/>
    <w:rsid w:val="00223238"/>
    <w:rsid w:val="0022346B"/>
    <w:rsid w:val="00223470"/>
    <w:rsid w:val="002234C2"/>
    <w:rsid w:val="00223588"/>
    <w:rsid w:val="002236E4"/>
    <w:rsid w:val="0022397D"/>
    <w:rsid w:val="002239FD"/>
    <w:rsid w:val="00223B49"/>
    <w:rsid w:val="00223CB9"/>
    <w:rsid w:val="00223CCE"/>
    <w:rsid w:val="00223CEE"/>
    <w:rsid w:val="00223D5A"/>
    <w:rsid w:val="00223D7F"/>
    <w:rsid w:val="0022403A"/>
    <w:rsid w:val="002240CB"/>
    <w:rsid w:val="00224302"/>
    <w:rsid w:val="00224556"/>
    <w:rsid w:val="00224A02"/>
    <w:rsid w:val="00224A65"/>
    <w:rsid w:val="00224DD4"/>
    <w:rsid w:val="00224F4B"/>
    <w:rsid w:val="0022586E"/>
    <w:rsid w:val="00225E3B"/>
    <w:rsid w:val="00226243"/>
    <w:rsid w:val="002266AF"/>
    <w:rsid w:val="002268F1"/>
    <w:rsid w:val="002269AE"/>
    <w:rsid w:val="00226B90"/>
    <w:rsid w:val="00226C56"/>
    <w:rsid w:val="00226C58"/>
    <w:rsid w:val="00226D14"/>
    <w:rsid w:val="00227449"/>
    <w:rsid w:val="002278A0"/>
    <w:rsid w:val="00227F87"/>
    <w:rsid w:val="0023090E"/>
    <w:rsid w:val="002309CC"/>
    <w:rsid w:val="00230C1D"/>
    <w:rsid w:val="00230DB1"/>
    <w:rsid w:val="00230DC7"/>
    <w:rsid w:val="00231034"/>
    <w:rsid w:val="002311C3"/>
    <w:rsid w:val="002312CB"/>
    <w:rsid w:val="00231C32"/>
    <w:rsid w:val="00231CB7"/>
    <w:rsid w:val="0023209F"/>
    <w:rsid w:val="002324C4"/>
    <w:rsid w:val="00232A97"/>
    <w:rsid w:val="002330A8"/>
    <w:rsid w:val="00233603"/>
    <w:rsid w:val="002339F8"/>
    <w:rsid w:val="00233B9D"/>
    <w:rsid w:val="00233C01"/>
    <w:rsid w:val="00234001"/>
    <w:rsid w:val="0023407C"/>
    <w:rsid w:val="0023413C"/>
    <w:rsid w:val="00234184"/>
    <w:rsid w:val="002344DC"/>
    <w:rsid w:val="002345A2"/>
    <w:rsid w:val="002346F0"/>
    <w:rsid w:val="002347A5"/>
    <w:rsid w:val="00234B7B"/>
    <w:rsid w:val="00234C9B"/>
    <w:rsid w:val="00234D25"/>
    <w:rsid w:val="002350DC"/>
    <w:rsid w:val="0023516C"/>
    <w:rsid w:val="00235170"/>
    <w:rsid w:val="00235246"/>
    <w:rsid w:val="0023567D"/>
    <w:rsid w:val="00235CE1"/>
    <w:rsid w:val="00235ECF"/>
    <w:rsid w:val="00235FC3"/>
    <w:rsid w:val="002361A0"/>
    <w:rsid w:val="0023629D"/>
    <w:rsid w:val="002362B0"/>
    <w:rsid w:val="002365A0"/>
    <w:rsid w:val="002365A7"/>
    <w:rsid w:val="002367FD"/>
    <w:rsid w:val="002369A6"/>
    <w:rsid w:val="00236B2D"/>
    <w:rsid w:val="00236B46"/>
    <w:rsid w:val="002371E0"/>
    <w:rsid w:val="00237207"/>
    <w:rsid w:val="00237255"/>
    <w:rsid w:val="00237261"/>
    <w:rsid w:val="002373DE"/>
    <w:rsid w:val="002377CE"/>
    <w:rsid w:val="00237EC7"/>
    <w:rsid w:val="00237EEE"/>
    <w:rsid w:val="00237FDF"/>
    <w:rsid w:val="00240920"/>
    <w:rsid w:val="0024095F"/>
    <w:rsid w:val="00241041"/>
    <w:rsid w:val="002410A5"/>
    <w:rsid w:val="00241782"/>
    <w:rsid w:val="002423E3"/>
    <w:rsid w:val="002424AF"/>
    <w:rsid w:val="00242898"/>
    <w:rsid w:val="0024324E"/>
    <w:rsid w:val="002433C8"/>
    <w:rsid w:val="002439DC"/>
    <w:rsid w:val="00243CC6"/>
    <w:rsid w:val="00243DDE"/>
    <w:rsid w:val="00243F22"/>
    <w:rsid w:val="002441D2"/>
    <w:rsid w:val="00244334"/>
    <w:rsid w:val="0024436F"/>
    <w:rsid w:val="0024438B"/>
    <w:rsid w:val="00244504"/>
    <w:rsid w:val="00244575"/>
    <w:rsid w:val="0024462F"/>
    <w:rsid w:val="00244696"/>
    <w:rsid w:val="00244BBB"/>
    <w:rsid w:val="00244DC8"/>
    <w:rsid w:val="00244E30"/>
    <w:rsid w:val="00245400"/>
    <w:rsid w:val="00245883"/>
    <w:rsid w:val="002458BA"/>
    <w:rsid w:val="0024592C"/>
    <w:rsid w:val="00245CE9"/>
    <w:rsid w:val="00246030"/>
    <w:rsid w:val="0024636C"/>
    <w:rsid w:val="00246517"/>
    <w:rsid w:val="00246553"/>
    <w:rsid w:val="00246ABD"/>
    <w:rsid w:val="00246CD5"/>
    <w:rsid w:val="002470A7"/>
    <w:rsid w:val="00247164"/>
    <w:rsid w:val="00247222"/>
    <w:rsid w:val="00247398"/>
    <w:rsid w:val="0024791D"/>
    <w:rsid w:val="00247925"/>
    <w:rsid w:val="002500A4"/>
    <w:rsid w:val="0025055D"/>
    <w:rsid w:val="00250CEC"/>
    <w:rsid w:val="00250E9D"/>
    <w:rsid w:val="00250EB5"/>
    <w:rsid w:val="00250F33"/>
    <w:rsid w:val="00251006"/>
    <w:rsid w:val="00251227"/>
    <w:rsid w:val="002515FC"/>
    <w:rsid w:val="00251946"/>
    <w:rsid w:val="002524D5"/>
    <w:rsid w:val="0025262F"/>
    <w:rsid w:val="0025298D"/>
    <w:rsid w:val="002529B9"/>
    <w:rsid w:val="00252A2E"/>
    <w:rsid w:val="00252C09"/>
    <w:rsid w:val="00252FCA"/>
    <w:rsid w:val="00253353"/>
    <w:rsid w:val="00253834"/>
    <w:rsid w:val="00253908"/>
    <w:rsid w:val="00253A2C"/>
    <w:rsid w:val="00253B1D"/>
    <w:rsid w:val="00253B49"/>
    <w:rsid w:val="00253BF8"/>
    <w:rsid w:val="00253DC1"/>
    <w:rsid w:val="00254125"/>
    <w:rsid w:val="0025458C"/>
    <w:rsid w:val="0025498D"/>
    <w:rsid w:val="00254A14"/>
    <w:rsid w:val="00254DCF"/>
    <w:rsid w:val="00254F1A"/>
    <w:rsid w:val="00254F64"/>
    <w:rsid w:val="0025505C"/>
    <w:rsid w:val="002551A0"/>
    <w:rsid w:val="0025534B"/>
    <w:rsid w:val="002554DE"/>
    <w:rsid w:val="00255AFF"/>
    <w:rsid w:val="00255BB7"/>
    <w:rsid w:val="00255E0E"/>
    <w:rsid w:val="00255E72"/>
    <w:rsid w:val="00256366"/>
    <w:rsid w:val="002565A0"/>
    <w:rsid w:val="00256A52"/>
    <w:rsid w:val="00256CEC"/>
    <w:rsid w:val="00256E4C"/>
    <w:rsid w:val="00257079"/>
    <w:rsid w:val="00257080"/>
    <w:rsid w:val="00257541"/>
    <w:rsid w:val="002575DB"/>
    <w:rsid w:val="0025761C"/>
    <w:rsid w:val="00257A39"/>
    <w:rsid w:val="00257AC4"/>
    <w:rsid w:val="00257AC6"/>
    <w:rsid w:val="00257B0C"/>
    <w:rsid w:val="00257BD1"/>
    <w:rsid w:val="00257DDC"/>
    <w:rsid w:val="0026080C"/>
    <w:rsid w:val="00260D8A"/>
    <w:rsid w:val="00260DA2"/>
    <w:rsid w:val="00261155"/>
    <w:rsid w:val="00261554"/>
    <w:rsid w:val="00261AAF"/>
    <w:rsid w:val="00261C67"/>
    <w:rsid w:val="00261D42"/>
    <w:rsid w:val="00261E4F"/>
    <w:rsid w:val="00261EEF"/>
    <w:rsid w:val="0026232F"/>
    <w:rsid w:val="00262477"/>
    <w:rsid w:val="002627F3"/>
    <w:rsid w:val="00262A1A"/>
    <w:rsid w:val="00262A87"/>
    <w:rsid w:val="00262AF3"/>
    <w:rsid w:val="00262DDC"/>
    <w:rsid w:val="00263243"/>
    <w:rsid w:val="00263272"/>
    <w:rsid w:val="00263558"/>
    <w:rsid w:val="002637CA"/>
    <w:rsid w:val="00263B87"/>
    <w:rsid w:val="00263FF5"/>
    <w:rsid w:val="00264455"/>
    <w:rsid w:val="002647B0"/>
    <w:rsid w:val="0026480A"/>
    <w:rsid w:val="00264D26"/>
    <w:rsid w:val="00264FB2"/>
    <w:rsid w:val="002650A9"/>
    <w:rsid w:val="00265132"/>
    <w:rsid w:val="00265441"/>
    <w:rsid w:val="00265819"/>
    <w:rsid w:val="00265C71"/>
    <w:rsid w:val="00265C8A"/>
    <w:rsid w:val="00265DD9"/>
    <w:rsid w:val="00266313"/>
    <w:rsid w:val="002665F7"/>
    <w:rsid w:val="002666A9"/>
    <w:rsid w:val="0026758A"/>
    <w:rsid w:val="002675C6"/>
    <w:rsid w:val="00267642"/>
    <w:rsid w:val="00267AEA"/>
    <w:rsid w:val="00267DD1"/>
    <w:rsid w:val="002700E6"/>
    <w:rsid w:val="00270460"/>
    <w:rsid w:val="00270709"/>
    <w:rsid w:val="002713F1"/>
    <w:rsid w:val="002713F6"/>
    <w:rsid w:val="00271536"/>
    <w:rsid w:val="00271B72"/>
    <w:rsid w:val="0027294B"/>
    <w:rsid w:val="00273235"/>
    <w:rsid w:val="00273354"/>
    <w:rsid w:val="002733CB"/>
    <w:rsid w:val="00273983"/>
    <w:rsid w:val="00273DFD"/>
    <w:rsid w:val="00273EB4"/>
    <w:rsid w:val="002742E4"/>
    <w:rsid w:val="00274593"/>
    <w:rsid w:val="00274682"/>
    <w:rsid w:val="002746D6"/>
    <w:rsid w:val="0027484A"/>
    <w:rsid w:val="00274A1B"/>
    <w:rsid w:val="002750E3"/>
    <w:rsid w:val="00275334"/>
    <w:rsid w:val="0027546C"/>
    <w:rsid w:val="00275672"/>
    <w:rsid w:val="00275C5A"/>
    <w:rsid w:val="00275D63"/>
    <w:rsid w:val="002761C9"/>
    <w:rsid w:val="002761F1"/>
    <w:rsid w:val="00276758"/>
    <w:rsid w:val="00276767"/>
    <w:rsid w:val="00276803"/>
    <w:rsid w:val="00276CFD"/>
    <w:rsid w:val="00277222"/>
    <w:rsid w:val="00277314"/>
    <w:rsid w:val="002773A0"/>
    <w:rsid w:val="0027751C"/>
    <w:rsid w:val="0027752D"/>
    <w:rsid w:val="00277A14"/>
    <w:rsid w:val="00277B82"/>
    <w:rsid w:val="00280A78"/>
    <w:rsid w:val="00280D2B"/>
    <w:rsid w:val="00280EA3"/>
    <w:rsid w:val="00281014"/>
    <w:rsid w:val="00281102"/>
    <w:rsid w:val="0028145B"/>
    <w:rsid w:val="00281635"/>
    <w:rsid w:val="00281F5A"/>
    <w:rsid w:val="00282006"/>
    <w:rsid w:val="002821DF"/>
    <w:rsid w:val="002823BE"/>
    <w:rsid w:val="0028245E"/>
    <w:rsid w:val="002826D4"/>
    <w:rsid w:val="002828D1"/>
    <w:rsid w:val="002829C9"/>
    <w:rsid w:val="00282AA5"/>
    <w:rsid w:val="00282DAC"/>
    <w:rsid w:val="00283B81"/>
    <w:rsid w:val="00283D9C"/>
    <w:rsid w:val="00284483"/>
    <w:rsid w:val="002847F0"/>
    <w:rsid w:val="002850EB"/>
    <w:rsid w:val="002860B7"/>
    <w:rsid w:val="0028665D"/>
    <w:rsid w:val="002866AA"/>
    <w:rsid w:val="00286925"/>
    <w:rsid w:val="00286AD7"/>
    <w:rsid w:val="00286C88"/>
    <w:rsid w:val="00286F41"/>
    <w:rsid w:val="00286F61"/>
    <w:rsid w:val="00287154"/>
    <w:rsid w:val="0028777F"/>
    <w:rsid w:val="00287836"/>
    <w:rsid w:val="002879EE"/>
    <w:rsid w:val="00287E6B"/>
    <w:rsid w:val="0029022D"/>
    <w:rsid w:val="0029079C"/>
    <w:rsid w:val="002907AE"/>
    <w:rsid w:val="00290998"/>
    <w:rsid w:val="002909E0"/>
    <w:rsid w:val="00290B51"/>
    <w:rsid w:val="00290FF9"/>
    <w:rsid w:val="002911DA"/>
    <w:rsid w:val="00291C66"/>
    <w:rsid w:val="00291FFB"/>
    <w:rsid w:val="00292A98"/>
    <w:rsid w:val="00292B3C"/>
    <w:rsid w:val="00292CB8"/>
    <w:rsid w:val="00293714"/>
    <w:rsid w:val="002938AE"/>
    <w:rsid w:val="002939A3"/>
    <w:rsid w:val="00294003"/>
    <w:rsid w:val="002943BD"/>
    <w:rsid w:val="00294522"/>
    <w:rsid w:val="00294898"/>
    <w:rsid w:val="00294997"/>
    <w:rsid w:val="00294C86"/>
    <w:rsid w:val="00294F73"/>
    <w:rsid w:val="00295139"/>
    <w:rsid w:val="00295356"/>
    <w:rsid w:val="0029550A"/>
    <w:rsid w:val="00295664"/>
    <w:rsid w:val="0029575E"/>
    <w:rsid w:val="002964A2"/>
    <w:rsid w:val="0029661A"/>
    <w:rsid w:val="002968EF"/>
    <w:rsid w:val="00296CDD"/>
    <w:rsid w:val="00296FBE"/>
    <w:rsid w:val="00297233"/>
    <w:rsid w:val="00297744"/>
    <w:rsid w:val="002A0425"/>
    <w:rsid w:val="002A0608"/>
    <w:rsid w:val="002A0D7A"/>
    <w:rsid w:val="002A10E6"/>
    <w:rsid w:val="002A1296"/>
    <w:rsid w:val="002A14AB"/>
    <w:rsid w:val="002A1628"/>
    <w:rsid w:val="002A18D8"/>
    <w:rsid w:val="002A1B4D"/>
    <w:rsid w:val="002A2092"/>
    <w:rsid w:val="002A2ADE"/>
    <w:rsid w:val="002A2F50"/>
    <w:rsid w:val="002A35AC"/>
    <w:rsid w:val="002A3722"/>
    <w:rsid w:val="002A3799"/>
    <w:rsid w:val="002A3842"/>
    <w:rsid w:val="002A39E1"/>
    <w:rsid w:val="002A3B9D"/>
    <w:rsid w:val="002A3D21"/>
    <w:rsid w:val="002A4507"/>
    <w:rsid w:val="002A45C7"/>
    <w:rsid w:val="002A4A72"/>
    <w:rsid w:val="002A4BF0"/>
    <w:rsid w:val="002A4E6F"/>
    <w:rsid w:val="002A50E1"/>
    <w:rsid w:val="002A5776"/>
    <w:rsid w:val="002A59BC"/>
    <w:rsid w:val="002A5A89"/>
    <w:rsid w:val="002A5FC4"/>
    <w:rsid w:val="002A61B6"/>
    <w:rsid w:val="002A67D4"/>
    <w:rsid w:val="002A6F64"/>
    <w:rsid w:val="002A79C9"/>
    <w:rsid w:val="002B023A"/>
    <w:rsid w:val="002B032E"/>
    <w:rsid w:val="002B04E1"/>
    <w:rsid w:val="002B053D"/>
    <w:rsid w:val="002B05A1"/>
    <w:rsid w:val="002B0631"/>
    <w:rsid w:val="002B09A4"/>
    <w:rsid w:val="002B0C5E"/>
    <w:rsid w:val="002B0EFB"/>
    <w:rsid w:val="002B0F6D"/>
    <w:rsid w:val="002B13FA"/>
    <w:rsid w:val="002B1742"/>
    <w:rsid w:val="002B192D"/>
    <w:rsid w:val="002B1BE1"/>
    <w:rsid w:val="002B1C1F"/>
    <w:rsid w:val="002B20F0"/>
    <w:rsid w:val="002B21E2"/>
    <w:rsid w:val="002B2282"/>
    <w:rsid w:val="002B2437"/>
    <w:rsid w:val="002B27A8"/>
    <w:rsid w:val="002B2A6A"/>
    <w:rsid w:val="002B2C79"/>
    <w:rsid w:val="002B2CED"/>
    <w:rsid w:val="002B2F1C"/>
    <w:rsid w:val="002B3204"/>
    <w:rsid w:val="002B3642"/>
    <w:rsid w:val="002B3824"/>
    <w:rsid w:val="002B38C4"/>
    <w:rsid w:val="002B3CDC"/>
    <w:rsid w:val="002B432F"/>
    <w:rsid w:val="002B4E6C"/>
    <w:rsid w:val="002B50AD"/>
    <w:rsid w:val="002B53F2"/>
    <w:rsid w:val="002B5437"/>
    <w:rsid w:val="002B59C4"/>
    <w:rsid w:val="002B5B4A"/>
    <w:rsid w:val="002B5BB5"/>
    <w:rsid w:val="002B5CF5"/>
    <w:rsid w:val="002B62B3"/>
    <w:rsid w:val="002B65AB"/>
    <w:rsid w:val="002B6675"/>
    <w:rsid w:val="002B6754"/>
    <w:rsid w:val="002B6C7A"/>
    <w:rsid w:val="002B6CCE"/>
    <w:rsid w:val="002B75F7"/>
    <w:rsid w:val="002B7653"/>
    <w:rsid w:val="002B76A3"/>
    <w:rsid w:val="002B7C76"/>
    <w:rsid w:val="002C005C"/>
    <w:rsid w:val="002C02BF"/>
    <w:rsid w:val="002C02EF"/>
    <w:rsid w:val="002C0712"/>
    <w:rsid w:val="002C0C42"/>
    <w:rsid w:val="002C162F"/>
    <w:rsid w:val="002C16F3"/>
    <w:rsid w:val="002C188D"/>
    <w:rsid w:val="002C1B6B"/>
    <w:rsid w:val="002C1FE4"/>
    <w:rsid w:val="002C2465"/>
    <w:rsid w:val="002C24DA"/>
    <w:rsid w:val="002C2510"/>
    <w:rsid w:val="002C26B4"/>
    <w:rsid w:val="002C2775"/>
    <w:rsid w:val="002C27C1"/>
    <w:rsid w:val="002C2845"/>
    <w:rsid w:val="002C2C27"/>
    <w:rsid w:val="002C2FA3"/>
    <w:rsid w:val="002C30C1"/>
    <w:rsid w:val="002C33B5"/>
    <w:rsid w:val="002C33CF"/>
    <w:rsid w:val="002C346B"/>
    <w:rsid w:val="002C37DC"/>
    <w:rsid w:val="002C3B13"/>
    <w:rsid w:val="002C3D86"/>
    <w:rsid w:val="002C445A"/>
    <w:rsid w:val="002C44EC"/>
    <w:rsid w:val="002C452C"/>
    <w:rsid w:val="002C460A"/>
    <w:rsid w:val="002C466D"/>
    <w:rsid w:val="002C4A04"/>
    <w:rsid w:val="002C4C12"/>
    <w:rsid w:val="002C4E10"/>
    <w:rsid w:val="002C5099"/>
    <w:rsid w:val="002C5282"/>
    <w:rsid w:val="002C57C6"/>
    <w:rsid w:val="002C5842"/>
    <w:rsid w:val="002C5889"/>
    <w:rsid w:val="002C5984"/>
    <w:rsid w:val="002C63B6"/>
    <w:rsid w:val="002C657B"/>
    <w:rsid w:val="002C67FA"/>
    <w:rsid w:val="002C6C12"/>
    <w:rsid w:val="002C6C4B"/>
    <w:rsid w:val="002C71CE"/>
    <w:rsid w:val="002C743D"/>
    <w:rsid w:val="002C7B43"/>
    <w:rsid w:val="002C7C28"/>
    <w:rsid w:val="002C7DAA"/>
    <w:rsid w:val="002D0133"/>
    <w:rsid w:val="002D01DC"/>
    <w:rsid w:val="002D0364"/>
    <w:rsid w:val="002D03F9"/>
    <w:rsid w:val="002D052D"/>
    <w:rsid w:val="002D0814"/>
    <w:rsid w:val="002D08F8"/>
    <w:rsid w:val="002D0AEA"/>
    <w:rsid w:val="002D0D68"/>
    <w:rsid w:val="002D0DD0"/>
    <w:rsid w:val="002D11AA"/>
    <w:rsid w:val="002D1723"/>
    <w:rsid w:val="002D174D"/>
    <w:rsid w:val="002D1965"/>
    <w:rsid w:val="002D1D7D"/>
    <w:rsid w:val="002D1F98"/>
    <w:rsid w:val="002D2047"/>
    <w:rsid w:val="002D22F1"/>
    <w:rsid w:val="002D24EF"/>
    <w:rsid w:val="002D26DE"/>
    <w:rsid w:val="002D298B"/>
    <w:rsid w:val="002D2CE3"/>
    <w:rsid w:val="002D3953"/>
    <w:rsid w:val="002D39A4"/>
    <w:rsid w:val="002D3B48"/>
    <w:rsid w:val="002D3B8F"/>
    <w:rsid w:val="002D3DD0"/>
    <w:rsid w:val="002D40BD"/>
    <w:rsid w:val="002D4174"/>
    <w:rsid w:val="002D453F"/>
    <w:rsid w:val="002D4627"/>
    <w:rsid w:val="002D4777"/>
    <w:rsid w:val="002D4A46"/>
    <w:rsid w:val="002D4B43"/>
    <w:rsid w:val="002D4E07"/>
    <w:rsid w:val="002D4FD1"/>
    <w:rsid w:val="002D5227"/>
    <w:rsid w:val="002D5290"/>
    <w:rsid w:val="002D5515"/>
    <w:rsid w:val="002D564E"/>
    <w:rsid w:val="002D5746"/>
    <w:rsid w:val="002D577C"/>
    <w:rsid w:val="002D5CAE"/>
    <w:rsid w:val="002D604C"/>
    <w:rsid w:val="002D604E"/>
    <w:rsid w:val="002D63D7"/>
    <w:rsid w:val="002D68DB"/>
    <w:rsid w:val="002D6C04"/>
    <w:rsid w:val="002D6D28"/>
    <w:rsid w:val="002D72FC"/>
    <w:rsid w:val="002D745B"/>
    <w:rsid w:val="002D75D7"/>
    <w:rsid w:val="002D75FD"/>
    <w:rsid w:val="002D7683"/>
    <w:rsid w:val="002D7D3A"/>
    <w:rsid w:val="002D7FF7"/>
    <w:rsid w:val="002E0094"/>
    <w:rsid w:val="002E050F"/>
    <w:rsid w:val="002E0669"/>
    <w:rsid w:val="002E097F"/>
    <w:rsid w:val="002E0FED"/>
    <w:rsid w:val="002E1071"/>
    <w:rsid w:val="002E1472"/>
    <w:rsid w:val="002E15B9"/>
    <w:rsid w:val="002E1937"/>
    <w:rsid w:val="002E1B2A"/>
    <w:rsid w:val="002E1BC4"/>
    <w:rsid w:val="002E1D6C"/>
    <w:rsid w:val="002E1D98"/>
    <w:rsid w:val="002E1EFD"/>
    <w:rsid w:val="002E20CD"/>
    <w:rsid w:val="002E2158"/>
    <w:rsid w:val="002E2527"/>
    <w:rsid w:val="002E2728"/>
    <w:rsid w:val="002E2795"/>
    <w:rsid w:val="002E2D2D"/>
    <w:rsid w:val="002E2D34"/>
    <w:rsid w:val="002E2E52"/>
    <w:rsid w:val="002E308A"/>
    <w:rsid w:val="002E3191"/>
    <w:rsid w:val="002E33C3"/>
    <w:rsid w:val="002E35C3"/>
    <w:rsid w:val="002E3B45"/>
    <w:rsid w:val="002E4127"/>
    <w:rsid w:val="002E4180"/>
    <w:rsid w:val="002E47DF"/>
    <w:rsid w:val="002E47F9"/>
    <w:rsid w:val="002E4BFF"/>
    <w:rsid w:val="002E4D9A"/>
    <w:rsid w:val="002E4EB4"/>
    <w:rsid w:val="002E4ED6"/>
    <w:rsid w:val="002E4F02"/>
    <w:rsid w:val="002E536B"/>
    <w:rsid w:val="002E56C3"/>
    <w:rsid w:val="002E570D"/>
    <w:rsid w:val="002E5A1D"/>
    <w:rsid w:val="002E5E85"/>
    <w:rsid w:val="002E5EA9"/>
    <w:rsid w:val="002E61C6"/>
    <w:rsid w:val="002E637A"/>
    <w:rsid w:val="002E65CE"/>
    <w:rsid w:val="002E6C28"/>
    <w:rsid w:val="002E6D5A"/>
    <w:rsid w:val="002E6DDB"/>
    <w:rsid w:val="002E6E08"/>
    <w:rsid w:val="002E70D9"/>
    <w:rsid w:val="002E7722"/>
    <w:rsid w:val="002F01E4"/>
    <w:rsid w:val="002F043F"/>
    <w:rsid w:val="002F07A3"/>
    <w:rsid w:val="002F07BA"/>
    <w:rsid w:val="002F07D5"/>
    <w:rsid w:val="002F0AEB"/>
    <w:rsid w:val="002F0D73"/>
    <w:rsid w:val="002F0DA9"/>
    <w:rsid w:val="002F1014"/>
    <w:rsid w:val="002F104A"/>
    <w:rsid w:val="002F138D"/>
    <w:rsid w:val="002F1C3E"/>
    <w:rsid w:val="002F1E0A"/>
    <w:rsid w:val="002F1F45"/>
    <w:rsid w:val="002F2100"/>
    <w:rsid w:val="002F24A4"/>
    <w:rsid w:val="002F24ED"/>
    <w:rsid w:val="002F26DD"/>
    <w:rsid w:val="002F2852"/>
    <w:rsid w:val="002F296B"/>
    <w:rsid w:val="002F29E2"/>
    <w:rsid w:val="002F2FB9"/>
    <w:rsid w:val="002F31C4"/>
    <w:rsid w:val="002F365A"/>
    <w:rsid w:val="002F3AB6"/>
    <w:rsid w:val="002F3EA5"/>
    <w:rsid w:val="002F3F11"/>
    <w:rsid w:val="002F3FBC"/>
    <w:rsid w:val="002F436D"/>
    <w:rsid w:val="002F4415"/>
    <w:rsid w:val="002F49A1"/>
    <w:rsid w:val="002F4B38"/>
    <w:rsid w:val="002F4D0B"/>
    <w:rsid w:val="002F4EC2"/>
    <w:rsid w:val="002F4F57"/>
    <w:rsid w:val="002F54C1"/>
    <w:rsid w:val="002F5698"/>
    <w:rsid w:val="002F57B0"/>
    <w:rsid w:val="002F57D8"/>
    <w:rsid w:val="002F5AA0"/>
    <w:rsid w:val="002F5B80"/>
    <w:rsid w:val="002F5CAB"/>
    <w:rsid w:val="002F62E1"/>
    <w:rsid w:val="002F6400"/>
    <w:rsid w:val="002F643C"/>
    <w:rsid w:val="002F6840"/>
    <w:rsid w:val="002F68CB"/>
    <w:rsid w:val="002F6C03"/>
    <w:rsid w:val="002F6C04"/>
    <w:rsid w:val="002F71C0"/>
    <w:rsid w:val="002F72A2"/>
    <w:rsid w:val="002F72AC"/>
    <w:rsid w:val="002F7446"/>
    <w:rsid w:val="002F74F1"/>
    <w:rsid w:val="002F7D36"/>
    <w:rsid w:val="002F7E52"/>
    <w:rsid w:val="0030004A"/>
    <w:rsid w:val="0030008A"/>
    <w:rsid w:val="00300384"/>
    <w:rsid w:val="003003F8"/>
    <w:rsid w:val="00300851"/>
    <w:rsid w:val="00300A1D"/>
    <w:rsid w:val="00300C28"/>
    <w:rsid w:val="00300CFD"/>
    <w:rsid w:val="00300F09"/>
    <w:rsid w:val="00300F47"/>
    <w:rsid w:val="00301017"/>
    <w:rsid w:val="003013D0"/>
    <w:rsid w:val="0030155F"/>
    <w:rsid w:val="00301FAE"/>
    <w:rsid w:val="003024C7"/>
    <w:rsid w:val="0030259D"/>
    <w:rsid w:val="00302907"/>
    <w:rsid w:val="00302C0C"/>
    <w:rsid w:val="00302DAD"/>
    <w:rsid w:val="003034CC"/>
    <w:rsid w:val="0030390A"/>
    <w:rsid w:val="00303BF0"/>
    <w:rsid w:val="00303C7B"/>
    <w:rsid w:val="0030403F"/>
    <w:rsid w:val="003042D8"/>
    <w:rsid w:val="003043F5"/>
    <w:rsid w:val="00304674"/>
    <w:rsid w:val="00304822"/>
    <w:rsid w:val="00304C7E"/>
    <w:rsid w:val="003051ED"/>
    <w:rsid w:val="00305597"/>
    <w:rsid w:val="0030587B"/>
    <w:rsid w:val="00305CAC"/>
    <w:rsid w:val="00306040"/>
    <w:rsid w:val="0030634A"/>
    <w:rsid w:val="00306509"/>
    <w:rsid w:val="00306656"/>
    <w:rsid w:val="00306920"/>
    <w:rsid w:val="00306986"/>
    <w:rsid w:val="00306D98"/>
    <w:rsid w:val="003071EF"/>
    <w:rsid w:val="0030772F"/>
    <w:rsid w:val="0030786C"/>
    <w:rsid w:val="00307BC6"/>
    <w:rsid w:val="00307E04"/>
    <w:rsid w:val="0031031A"/>
    <w:rsid w:val="00310386"/>
    <w:rsid w:val="003104A7"/>
    <w:rsid w:val="00310981"/>
    <w:rsid w:val="003109F7"/>
    <w:rsid w:val="00310A94"/>
    <w:rsid w:val="00310DA3"/>
    <w:rsid w:val="003112E1"/>
    <w:rsid w:val="0031224E"/>
    <w:rsid w:val="003124D9"/>
    <w:rsid w:val="00312594"/>
    <w:rsid w:val="00312761"/>
    <w:rsid w:val="003128E6"/>
    <w:rsid w:val="00312B38"/>
    <w:rsid w:val="00312C2D"/>
    <w:rsid w:val="00312E9B"/>
    <w:rsid w:val="00312F5A"/>
    <w:rsid w:val="00313439"/>
    <w:rsid w:val="00313B43"/>
    <w:rsid w:val="00313C92"/>
    <w:rsid w:val="0031409E"/>
    <w:rsid w:val="0031491A"/>
    <w:rsid w:val="00314A34"/>
    <w:rsid w:val="00314D91"/>
    <w:rsid w:val="00314FCC"/>
    <w:rsid w:val="00315046"/>
    <w:rsid w:val="00315378"/>
    <w:rsid w:val="00315498"/>
    <w:rsid w:val="00315591"/>
    <w:rsid w:val="003155DB"/>
    <w:rsid w:val="00315A42"/>
    <w:rsid w:val="00315CB1"/>
    <w:rsid w:val="00315FB7"/>
    <w:rsid w:val="00316474"/>
    <w:rsid w:val="0031648C"/>
    <w:rsid w:val="0031678D"/>
    <w:rsid w:val="00316B42"/>
    <w:rsid w:val="00316E6F"/>
    <w:rsid w:val="0031737A"/>
    <w:rsid w:val="00317D12"/>
    <w:rsid w:val="003201A3"/>
    <w:rsid w:val="00320356"/>
    <w:rsid w:val="0032041F"/>
    <w:rsid w:val="003204A7"/>
    <w:rsid w:val="003207F7"/>
    <w:rsid w:val="003213E5"/>
    <w:rsid w:val="003214DE"/>
    <w:rsid w:val="00321536"/>
    <w:rsid w:val="0032156C"/>
    <w:rsid w:val="00321606"/>
    <w:rsid w:val="0032183E"/>
    <w:rsid w:val="00322107"/>
    <w:rsid w:val="00322355"/>
    <w:rsid w:val="003223CE"/>
    <w:rsid w:val="00322713"/>
    <w:rsid w:val="00322846"/>
    <w:rsid w:val="00322A17"/>
    <w:rsid w:val="00322C1E"/>
    <w:rsid w:val="00322D56"/>
    <w:rsid w:val="00322F55"/>
    <w:rsid w:val="0032310A"/>
    <w:rsid w:val="00323188"/>
    <w:rsid w:val="00323C6A"/>
    <w:rsid w:val="00323E8D"/>
    <w:rsid w:val="00324641"/>
    <w:rsid w:val="00324B06"/>
    <w:rsid w:val="00324C20"/>
    <w:rsid w:val="00324F9B"/>
    <w:rsid w:val="00325139"/>
    <w:rsid w:val="003256A2"/>
    <w:rsid w:val="003258A1"/>
    <w:rsid w:val="00325ACC"/>
    <w:rsid w:val="00325ACF"/>
    <w:rsid w:val="00325B8D"/>
    <w:rsid w:val="00326327"/>
    <w:rsid w:val="00326633"/>
    <w:rsid w:val="003267F0"/>
    <w:rsid w:val="00326DA7"/>
    <w:rsid w:val="00326F07"/>
    <w:rsid w:val="00326FAF"/>
    <w:rsid w:val="003270E4"/>
    <w:rsid w:val="00327285"/>
    <w:rsid w:val="00327302"/>
    <w:rsid w:val="003273A8"/>
    <w:rsid w:val="00327B42"/>
    <w:rsid w:val="00330DAA"/>
    <w:rsid w:val="00330F5C"/>
    <w:rsid w:val="00331122"/>
    <w:rsid w:val="003313B9"/>
    <w:rsid w:val="00331476"/>
    <w:rsid w:val="0033174C"/>
    <w:rsid w:val="00331A15"/>
    <w:rsid w:val="00331B55"/>
    <w:rsid w:val="00331E7C"/>
    <w:rsid w:val="00331EC0"/>
    <w:rsid w:val="0033203D"/>
    <w:rsid w:val="0033244D"/>
    <w:rsid w:val="003324A9"/>
    <w:rsid w:val="00332F6A"/>
    <w:rsid w:val="003330FB"/>
    <w:rsid w:val="0033376A"/>
    <w:rsid w:val="00333CE4"/>
    <w:rsid w:val="003341F4"/>
    <w:rsid w:val="0033553E"/>
    <w:rsid w:val="00335756"/>
    <w:rsid w:val="003357E7"/>
    <w:rsid w:val="00335979"/>
    <w:rsid w:val="00335ABC"/>
    <w:rsid w:val="00335CDA"/>
    <w:rsid w:val="00335DEA"/>
    <w:rsid w:val="003366C9"/>
    <w:rsid w:val="003368ED"/>
    <w:rsid w:val="00336CA0"/>
    <w:rsid w:val="00336CFB"/>
    <w:rsid w:val="00336FD2"/>
    <w:rsid w:val="003371B0"/>
    <w:rsid w:val="003373B5"/>
    <w:rsid w:val="0033747A"/>
    <w:rsid w:val="00337798"/>
    <w:rsid w:val="00337B27"/>
    <w:rsid w:val="00340163"/>
    <w:rsid w:val="00340356"/>
    <w:rsid w:val="00340520"/>
    <w:rsid w:val="0034092D"/>
    <w:rsid w:val="00340C70"/>
    <w:rsid w:val="00340D5E"/>
    <w:rsid w:val="00340DF1"/>
    <w:rsid w:val="003411F6"/>
    <w:rsid w:val="00341A45"/>
    <w:rsid w:val="00341B7C"/>
    <w:rsid w:val="00341F6F"/>
    <w:rsid w:val="00341F71"/>
    <w:rsid w:val="003420C9"/>
    <w:rsid w:val="003427AF"/>
    <w:rsid w:val="00342A15"/>
    <w:rsid w:val="00342DC8"/>
    <w:rsid w:val="00342F20"/>
    <w:rsid w:val="003430C5"/>
    <w:rsid w:val="003434FF"/>
    <w:rsid w:val="00343616"/>
    <w:rsid w:val="0034377F"/>
    <w:rsid w:val="00343A87"/>
    <w:rsid w:val="00343D07"/>
    <w:rsid w:val="0034469F"/>
    <w:rsid w:val="0034471E"/>
    <w:rsid w:val="003448A9"/>
    <w:rsid w:val="00344AD6"/>
    <w:rsid w:val="003451AF"/>
    <w:rsid w:val="00345A1F"/>
    <w:rsid w:val="00345D16"/>
    <w:rsid w:val="00345F65"/>
    <w:rsid w:val="003463CE"/>
    <w:rsid w:val="00346671"/>
    <w:rsid w:val="0034668D"/>
    <w:rsid w:val="0034685B"/>
    <w:rsid w:val="0034685E"/>
    <w:rsid w:val="00346871"/>
    <w:rsid w:val="00346A0C"/>
    <w:rsid w:val="00347C56"/>
    <w:rsid w:val="00347D9A"/>
    <w:rsid w:val="00347E60"/>
    <w:rsid w:val="003500B4"/>
    <w:rsid w:val="00350F2C"/>
    <w:rsid w:val="00351173"/>
    <w:rsid w:val="003517F9"/>
    <w:rsid w:val="00351A43"/>
    <w:rsid w:val="00351BA9"/>
    <w:rsid w:val="00351DD8"/>
    <w:rsid w:val="00351F55"/>
    <w:rsid w:val="00351FAC"/>
    <w:rsid w:val="003520C5"/>
    <w:rsid w:val="0035210A"/>
    <w:rsid w:val="003522E8"/>
    <w:rsid w:val="00352393"/>
    <w:rsid w:val="00353452"/>
    <w:rsid w:val="003535C1"/>
    <w:rsid w:val="00353CA8"/>
    <w:rsid w:val="00353DA4"/>
    <w:rsid w:val="00354172"/>
    <w:rsid w:val="00354863"/>
    <w:rsid w:val="00354E83"/>
    <w:rsid w:val="00354F64"/>
    <w:rsid w:val="00355240"/>
    <w:rsid w:val="003554A6"/>
    <w:rsid w:val="00355621"/>
    <w:rsid w:val="003558CD"/>
    <w:rsid w:val="003558FF"/>
    <w:rsid w:val="00355A66"/>
    <w:rsid w:val="00355DBF"/>
    <w:rsid w:val="00355F81"/>
    <w:rsid w:val="003561C1"/>
    <w:rsid w:val="0035620E"/>
    <w:rsid w:val="0035662D"/>
    <w:rsid w:val="00356932"/>
    <w:rsid w:val="00356ECC"/>
    <w:rsid w:val="00357556"/>
    <w:rsid w:val="003575D1"/>
    <w:rsid w:val="00357A70"/>
    <w:rsid w:val="00357BBE"/>
    <w:rsid w:val="00357FF6"/>
    <w:rsid w:val="00360004"/>
    <w:rsid w:val="00360345"/>
    <w:rsid w:val="00360EBF"/>
    <w:rsid w:val="003613FE"/>
    <w:rsid w:val="00361A05"/>
    <w:rsid w:val="00361E7F"/>
    <w:rsid w:val="00361F11"/>
    <w:rsid w:val="00361F78"/>
    <w:rsid w:val="003624C4"/>
    <w:rsid w:val="00362515"/>
    <w:rsid w:val="003626E8"/>
    <w:rsid w:val="00362FE9"/>
    <w:rsid w:val="00363284"/>
    <w:rsid w:val="003635D4"/>
    <w:rsid w:val="00363B00"/>
    <w:rsid w:val="00363B2A"/>
    <w:rsid w:val="00363D83"/>
    <w:rsid w:val="00364246"/>
    <w:rsid w:val="00364406"/>
    <w:rsid w:val="003644F0"/>
    <w:rsid w:val="00364874"/>
    <w:rsid w:val="00364C08"/>
    <w:rsid w:val="00364D0F"/>
    <w:rsid w:val="00364F05"/>
    <w:rsid w:val="0036514E"/>
    <w:rsid w:val="00365218"/>
    <w:rsid w:val="003654AC"/>
    <w:rsid w:val="00365F6F"/>
    <w:rsid w:val="003660C0"/>
    <w:rsid w:val="00366F58"/>
    <w:rsid w:val="003670BB"/>
    <w:rsid w:val="00367173"/>
    <w:rsid w:val="003671BB"/>
    <w:rsid w:val="003673C6"/>
    <w:rsid w:val="00367A2F"/>
    <w:rsid w:val="00367FE1"/>
    <w:rsid w:val="0037007C"/>
    <w:rsid w:val="00370957"/>
    <w:rsid w:val="00370986"/>
    <w:rsid w:val="00370CF3"/>
    <w:rsid w:val="00370F7C"/>
    <w:rsid w:val="003710CF"/>
    <w:rsid w:val="0037180A"/>
    <w:rsid w:val="003718E8"/>
    <w:rsid w:val="0037207E"/>
    <w:rsid w:val="00372263"/>
    <w:rsid w:val="00372748"/>
    <w:rsid w:val="003733D6"/>
    <w:rsid w:val="0037358A"/>
    <w:rsid w:val="00373705"/>
    <w:rsid w:val="003739D8"/>
    <w:rsid w:val="00373AE6"/>
    <w:rsid w:val="00373CBA"/>
    <w:rsid w:val="00373FAA"/>
    <w:rsid w:val="00374073"/>
    <w:rsid w:val="00374EA5"/>
    <w:rsid w:val="003750F6"/>
    <w:rsid w:val="00375412"/>
    <w:rsid w:val="00375523"/>
    <w:rsid w:val="00375654"/>
    <w:rsid w:val="00375CA8"/>
    <w:rsid w:val="00375CEC"/>
    <w:rsid w:val="003760FC"/>
    <w:rsid w:val="003766D3"/>
    <w:rsid w:val="00376B47"/>
    <w:rsid w:val="0037767D"/>
    <w:rsid w:val="003777C6"/>
    <w:rsid w:val="00377A7C"/>
    <w:rsid w:val="00377B4B"/>
    <w:rsid w:val="00377C44"/>
    <w:rsid w:val="00377EBE"/>
    <w:rsid w:val="00380093"/>
    <w:rsid w:val="0038118F"/>
    <w:rsid w:val="0038181D"/>
    <w:rsid w:val="00381982"/>
    <w:rsid w:val="00381AA6"/>
    <w:rsid w:val="003820B1"/>
    <w:rsid w:val="003820BB"/>
    <w:rsid w:val="003825F1"/>
    <w:rsid w:val="00382B6B"/>
    <w:rsid w:val="00382FA9"/>
    <w:rsid w:val="0038365C"/>
    <w:rsid w:val="0038369B"/>
    <w:rsid w:val="00383B78"/>
    <w:rsid w:val="00383BEE"/>
    <w:rsid w:val="00383FC4"/>
    <w:rsid w:val="00384341"/>
    <w:rsid w:val="00384423"/>
    <w:rsid w:val="00384688"/>
    <w:rsid w:val="00384AFE"/>
    <w:rsid w:val="00384C54"/>
    <w:rsid w:val="00384CCA"/>
    <w:rsid w:val="00384ED3"/>
    <w:rsid w:val="00385119"/>
    <w:rsid w:val="00385A9D"/>
    <w:rsid w:val="00385AA1"/>
    <w:rsid w:val="00385B5E"/>
    <w:rsid w:val="00385EB0"/>
    <w:rsid w:val="00385EEC"/>
    <w:rsid w:val="003861DC"/>
    <w:rsid w:val="00386304"/>
    <w:rsid w:val="003863B9"/>
    <w:rsid w:val="003866DA"/>
    <w:rsid w:val="003869D6"/>
    <w:rsid w:val="0038744C"/>
    <w:rsid w:val="00387842"/>
    <w:rsid w:val="00387A13"/>
    <w:rsid w:val="00387AAA"/>
    <w:rsid w:val="00387C8C"/>
    <w:rsid w:val="00387F9E"/>
    <w:rsid w:val="003901A2"/>
    <w:rsid w:val="003902B1"/>
    <w:rsid w:val="00391045"/>
    <w:rsid w:val="00391589"/>
    <w:rsid w:val="00391709"/>
    <w:rsid w:val="0039179C"/>
    <w:rsid w:val="00391FBE"/>
    <w:rsid w:val="00392026"/>
    <w:rsid w:val="00392141"/>
    <w:rsid w:val="00392969"/>
    <w:rsid w:val="00392D10"/>
    <w:rsid w:val="00392DE9"/>
    <w:rsid w:val="00392F73"/>
    <w:rsid w:val="00393000"/>
    <w:rsid w:val="003930F1"/>
    <w:rsid w:val="00393173"/>
    <w:rsid w:val="003933C9"/>
    <w:rsid w:val="00393B92"/>
    <w:rsid w:val="00393C0E"/>
    <w:rsid w:val="00393CC9"/>
    <w:rsid w:val="00393CCB"/>
    <w:rsid w:val="00393F7A"/>
    <w:rsid w:val="0039429B"/>
    <w:rsid w:val="003945B2"/>
    <w:rsid w:val="00394CE4"/>
    <w:rsid w:val="00394D5A"/>
    <w:rsid w:val="00394F26"/>
    <w:rsid w:val="00394FA3"/>
    <w:rsid w:val="00395217"/>
    <w:rsid w:val="0039581D"/>
    <w:rsid w:val="003959BA"/>
    <w:rsid w:val="00395EF5"/>
    <w:rsid w:val="00396879"/>
    <w:rsid w:val="00396896"/>
    <w:rsid w:val="0039689F"/>
    <w:rsid w:val="00396B52"/>
    <w:rsid w:val="00396CDE"/>
    <w:rsid w:val="00396D60"/>
    <w:rsid w:val="00396FD0"/>
    <w:rsid w:val="00397172"/>
    <w:rsid w:val="0039757B"/>
    <w:rsid w:val="00397822"/>
    <w:rsid w:val="003A050A"/>
    <w:rsid w:val="003A062C"/>
    <w:rsid w:val="003A0654"/>
    <w:rsid w:val="003A0AF1"/>
    <w:rsid w:val="003A0DDA"/>
    <w:rsid w:val="003A1084"/>
    <w:rsid w:val="003A13F0"/>
    <w:rsid w:val="003A1479"/>
    <w:rsid w:val="003A1902"/>
    <w:rsid w:val="003A1A7A"/>
    <w:rsid w:val="003A1BE8"/>
    <w:rsid w:val="003A1EE5"/>
    <w:rsid w:val="003A2392"/>
    <w:rsid w:val="003A26A0"/>
    <w:rsid w:val="003A26E7"/>
    <w:rsid w:val="003A2831"/>
    <w:rsid w:val="003A2988"/>
    <w:rsid w:val="003A2B47"/>
    <w:rsid w:val="003A31C1"/>
    <w:rsid w:val="003A35AA"/>
    <w:rsid w:val="003A39BC"/>
    <w:rsid w:val="003A3C28"/>
    <w:rsid w:val="003A3CB6"/>
    <w:rsid w:val="003A3CFF"/>
    <w:rsid w:val="003A3D82"/>
    <w:rsid w:val="003A3ED1"/>
    <w:rsid w:val="003A4076"/>
    <w:rsid w:val="003A44DB"/>
    <w:rsid w:val="003A4710"/>
    <w:rsid w:val="003A4712"/>
    <w:rsid w:val="003A4777"/>
    <w:rsid w:val="003A47F4"/>
    <w:rsid w:val="003A5A11"/>
    <w:rsid w:val="003A6184"/>
    <w:rsid w:val="003A6BA0"/>
    <w:rsid w:val="003A6DC4"/>
    <w:rsid w:val="003A795D"/>
    <w:rsid w:val="003A7ADD"/>
    <w:rsid w:val="003B0060"/>
    <w:rsid w:val="003B007F"/>
    <w:rsid w:val="003B0A49"/>
    <w:rsid w:val="003B0DA0"/>
    <w:rsid w:val="003B0E9F"/>
    <w:rsid w:val="003B10AB"/>
    <w:rsid w:val="003B10BE"/>
    <w:rsid w:val="003B12D8"/>
    <w:rsid w:val="003B20C9"/>
    <w:rsid w:val="003B2A1C"/>
    <w:rsid w:val="003B30EB"/>
    <w:rsid w:val="003B3136"/>
    <w:rsid w:val="003B3971"/>
    <w:rsid w:val="003B3998"/>
    <w:rsid w:val="003B3B84"/>
    <w:rsid w:val="003B3F0E"/>
    <w:rsid w:val="003B40AC"/>
    <w:rsid w:val="003B4132"/>
    <w:rsid w:val="003B49BA"/>
    <w:rsid w:val="003B50FC"/>
    <w:rsid w:val="003B55D1"/>
    <w:rsid w:val="003B5B61"/>
    <w:rsid w:val="003B5BDA"/>
    <w:rsid w:val="003B5CA5"/>
    <w:rsid w:val="003B5E14"/>
    <w:rsid w:val="003B636E"/>
    <w:rsid w:val="003B66C1"/>
    <w:rsid w:val="003B6B79"/>
    <w:rsid w:val="003B6F50"/>
    <w:rsid w:val="003B6FEC"/>
    <w:rsid w:val="003B7946"/>
    <w:rsid w:val="003B79DD"/>
    <w:rsid w:val="003B7A48"/>
    <w:rsid w:val="003C0158"/>
    <w:rsid w:val="003C04D8"/>
    <w:rsid w:val="003C0650"/>
    <w:rsid w:val="003C0660"/>
    <w:rsid w:val="003C073A"/>
    <w:rsid w:val="003C075E"/>
    <w:rsid w:val="003C091C"/>
    <w:rsid w:val="003C1102"/>
    <w:rsid w:val="003C1362"/>
    <w:rsid w:val="003C1582"/>
    <w:rsid w:val="003C15F3"/>
    <w:rsid w:val="003C1654"/>
    <w:rsid w:val="003C1676"/>
    <w:rsid w:val="003C1D54"/>
    <w:rsid w:val="003C1F5D"/>
    <w:rsid w:val="003C20C0"/>
    <w:rsid w:val="003C2227"/>
    <w:rsid w:val="003C2E1B"/>
    <w:rsid w:val="003C39DF"/>
    <w:rsid w:val="003C3A6C"/>
    <w:rsid w:val="003C4279"/>
    <w:rsid w:val="003C4446"/>
    <w:rsid w:val="003C4487"/>
    <w:rsid w:val="003C47D2"/>
    <w:rsid w:val="003C4884"/>
    <w:rsid w:val="003C49F2"/>
    <w:rsid w:val="003C4DEA"/>
    <w:rsid w:val="003C4EDD"/>
    <w:rsid w:val="003C5015"/>
    <w:rsid w:val="003C5542"/>
    <w:rsid w:val="003C5AD0"/>
    <w:rsid w:val="003C6880"/>
    <w:rsid w:val="003C6C35"/>
    <w:rsid w:val="003C70FC"/>
    <w:rsid w:val="003C722C"/>
    <w:rsid w:val="003C7321"/>
    <w:rsid w:val="003C748C"/>
    <w:rsid w:val="003C75CB"/>
    <w:rsid w:val="003C7D19"/>
    <w:rsid w:val="003C7D2F"/>
    <w:rsid w:val="003D0295"/>
    <w:rsid w:val="003D06B6"/>
    <w:rsid w:val="003D0D67"/>
    <w:rsid w:val="003D0D7C"/>
    <w:rsid w:val="003D0E4A"/>
    <w:rsid w:val="003D0E61"/>
    <w:rsid w:val="003D11FD"/>
    <w:rsid w:val="003D132D"/>
    <w:rsid w:val="003D1553"/>
    <w:rsid w:val="003D16C3"/>
    <w:rsid w:val="003D1828"/>
    <w:rsid w:val="003D1D00"/>
    <w:rsid w:val="003D1D89"/>
    <w:rsid w:val="003D1DE4"/>
    <w:rsid w:val="003D1E35"/>
    <w:rsid w:val="003D1E9A"/>
    <w:rsid w:val="003D2422"/>
    <w:rsid w:val="003D24E1"/>
    <w:rsid w:val="003D25A9"/>
    <w:rsid w:val="003D26B2"/>
    <w:rsid w:val="003D2C5B"/>
    <w:rsid w:val="003D2D2B"/>
    <w:rsid w:val="003D2E90"/>
    <w:rsid w:val="003D2FD2"/>
    <w:rsid w:val="003D3091"/>
    <w:rsid w:val="003D3381"/>
    <w:rsid w:val="003D39A1"/>
    <w:rsid w:val="003D3FBF"/>
    <w:rsid w:val="003D4652"/>
    <w:rsid w:val="003D4A30"/>
    <w:rsid w:val="003D4A73"/>
    <w:rsid w:val="003D4B3D"/>
    <w:rsid w:val="003D4F05"/>
    <w:rsid w:val="003D4F7B"/>
    <w:rsid w:val="003D5178"/>
    <w:rsid w:val="003D51E6"/>
    <w:rsid w:val="003D51EC"/>
    <w:rsid w:val="003D57DA"/>
    <w:rsid w:val="003D620E"/>
    <w:rsid w:val="003D665B"/>
    <w:rsid w:val="003D69D7"/>
    <w:rsid w:val="003D6E86"/>
    <w:rsid w:val="003D7060"/>
    <w:rsid w:val="003D7452"/>
    <w:rsid w:val="003D79BB"/>
    <w:rsid w:val="003D7A02"/>
    <w:rsid w:val="003D7A9D"/>
    <w:rsid w:val="003D7C26"/>
    <w:rsid w:val="003D7C46"/>
    <w:rsid w:val="003D7C75"/>
    <w:rsid w:val="003D7C98"/>
    <w:rsid w:val="003D7D1D"/>
    <w:rsid w:val="003D7D9D"/>
    <w:rsid w:val="003D7E18"/>
    <w:rsid w:val="003D7FA3"/>
    <w:rsid w:val="003E0543"/>
    <w:rsid w:val="003E081A"/>
    <w:rsid w:val="003E0AB5"/>
    <w:rsid w:val="003E0F8B"/>
    <w:rsid w:val="003E1361"/>
    <w:rsid w:val="003E1942"/>
    <w:rsid w:val="003E1E4E"/>
    <w:rsid w:val="003E21FE"/>
    <w:rsid w:val="003E26B7"/>
    <w:rsid w:val="003E2758"/>
    <w:rsid w:val="003E2A0D"/>
    <w:rsid w:val="003E34C9"/>
    <w:rsid w:val="003E3572"/>
    <w:rsid w:val="003E3945"/>
    <w:rsid w:val="003E3F0D"/>
    <w:rsid w:val="003E40E7"/>
    <w:rsid w:val="003E5BA2"/>
    <w:rsid w:val="003E5D67"/>
    <w:rsid w:val="003E6B47"/>
    <w:rsid w:val="003E749E"/>
    <w:rsid w:val="003E78B7"/>
    <w:rsid w:val="003E7B40"/>
    <w:rsid w:val="003E7EEB"/>
    <w:rsid w:val="003F038C"/>
    <w:rsid w:val="003F05CA"/>
    <w:rsid w:val="003F062A"/>
    <w:rsid w:val="003F063E"/>
    <w:rsid w:val="003F07E5"/>
    <w:rsid w:val="003F0C4C"/>
    <w:rsid w:val="003F0E63"/>
    <w:rsid w:val="003F132A"/>
    <w:rsid w:val="003F1FED"/>
    <w:rsid w:val="003F2170"/>
    <w:rsid w:val="003F23B3"/>
    <w:rsid w:val="003F25A6"/>
    <w:rsid w:val="003F2AAF"/>
    <w:rsid w:val="003F2F71"/>
    <w:rsid w:val="003F2FE8"/>
    <w:rsid w:val="003F340D"/>
    <w:rsid w:val="003F34C6"/>
    <w:rsid w:val="003F3574"/>
    <w:rsid w:val="003F387F"/>
    <w:rsid w:val="003F3884"/>
    <w:rsid w:val="003F3932"/>
    <w:rsid w:val="003F3D91"/>
    <w:rsid w:val="003F3DC6"/>
    <w:rsid w:val="003F4156"/>
    <w:rsid w:val="003F4480"/>
    <w:rsid w:val="003F44D2"/>
    <w:rsid w:val="003F456B"/>
    <w:rsid w:val="003F4647"/>
    <w:rsid w:val="003F48A6"/>
    <w:rsid w:val="003F4B8B"/>
    <w:rsid w:val="003F50DB"/>
    <w:rsid w:val="003F525A"/>
    <w:rsid w:val="003F5859"/>
    <w:rsid w:val="003F5ADF"/>
    <w:rsid w:val="003F5C06"/>
    <w:rsid w:val="003F5C3D"/>
    <w:rsid w:val="003F649E"/>
    <w:rsid w:val="003F6619"/>
    <w:rsid w:val="003F66F0"/>
    <w:rsid w:val="003F6B3C"/>
    <w:rsid w:val="003F733A"/>
    <w:rsid w:val="003F73CE"/>
    <w:rsid w:val="003F7906"/>
    <w:rsid w:val="003F7C37"/>
    <w:rsid w:val="003F7EC4"/>
    <w:rsid w:val="003F7F44"/>
    <w:rsid w:val="0040015D"/>
    <w:rsid w:val="00400A20"/>
    <w:rsid w:val="00400B29"/>
    <w:rsid w:val="00400CFF"/>
    <w:rsid w:val="00400F9C"/>
    <w:rsid w:val="00401185"/>
    <w:rsid w:val="00401198"/>
    <w:rsid w:val="00401389"/>
    <w:rsid w:val="00401611"/>
    <w:rsid w:val="00401B74"/>
    <w:rsid w:val="0040266B"/>
    <w:rsid w:val="0040273A"/>
    <w:rsid w:val="00403062"/>
    <w:rsid w:val="00403377"/>
    <w:rsid w:val="00403630"/>
    <w:rsid w:val="00403D12"/>
    <w:rsid w:val="00404384"/>
    <w:rsid w:val="004048CA"/>
    <w:rsid w:val="004048D7"/>
    <w:rsid w:val="00404AD9"/>
    <w:rsid w:val="00404BB8"/>
    <w:rsid w:val="00405009"/>
    <w:rsid w:val="0040504B"/>
    <w:rsid w:val="00405121"/>
    <w:rsid w:val="004054D0"/>
    <w:rsid w:val="004059F4"/>
    <w:rsid w:val="004064A3"/>
    <w:rsid w:val="00406654"/>
    <w:rsid w:val="004067A5"/>
    <w:rsid w:val="004067A9"/>
    <w:rsid w:val="00406DB6"/>
    <w:rsid w:val="004071C0"/>
    <w:rsid w:val="0040773F"/>
    <w:rsid w:val="004078AF"/>
    <w:rsid w:val="00407AE1"/>
    <w:rsid w:val="00407F82"/>
    <w:rsid w:val="00407FE5"/>
    <w:rsid w:val="00410098"/>
    <w:rsid w:val="004101B0"/>
    <w:rsid w:val="00410277"/>
    <w:rsid w:val="00410301"/>
    <w:rsid w:val="00410326"/>
    <w:rsid w:val="00410483"/>
    <w:rsid w:val="004104BA"/>
    <w:rsid w:val="00410708"/>
    <w:rsid w:val="0041092C"/>
    <w:rsid w:val="00410A59"/>
    <w:rsid w:val="00410C1A"/>
    <w:rsid w:val="00410EC7"/>
    <w:rsid w:val="0041171C"/>
    <w:rsid w:val="00411B39"/>
    <w:rsid w:val="00411BC5"/>
    <w:rsid w:val="004127A7"/>
    <w:rsid w:val="00412B15"/>
    <w:rsid w:val="0041305D"/>
    <w:rsid w:val="00413560"/>
    <w:rsid w:val="004138CE"/>
    <w:rsid w:val="00413A1E"/>
    <w:rsid w:val="00413A84"/>
    <w:rsid w:val="00413B59"/>
    <w:rsid w:val="00413C65"/>
    <w:rsid w:val="00413E2A"/>
    <w:rsid w:val="00414125"/>
    <w:rsid w:val="00414476"/>
    <w:rsid w:val="00414575"/>
    <w:rsid w:val="00414C2E"/>
    <w:rsid w:val="00414F83"/>
    <w:rsid w:val="004151CF"/>
    <w:rsid w:val="00415290"/>
    <w:rsid w:val="00415474"/>
    <w:rsid w:val="0041562B"/>
    <w:rsid w:val="004159B2"/>
    <w:rsid w:val="00415CFA"/>
    <w:rsid w:val="00416310"/>
    <w:rsid w:val="00416364"/>
    <w:rsid w:val="0041679B"/>
    <w:rsid w:val="00416AB2"/>
    <w:rsid w:val="00416BE0"/>
    <w:rsid w:val="00416F66"/>
    <w:rsid w:val="00416FCC"/>
    <w:rsid w:val="004172B6"/>
    <w:rsid w:val="00417812"/>
    <w:rsid w:val="004178E1"/>
    <w:rsid w:val="004178F5"/>
    <w:rsid w:val="0042047F"/>
    <w:rsid w:val="00420AA6"/>
    <w:rsid w:val="00420B63"/>
    <w:rsid w:val="00420B9F"/>
    <w:rsid w:val="00420D34"/>
    <w:rsid w:val="00421304"/>
    <w:rsid w:val="004213F9"/>
    <w:rsid w:val="00421689"/>
    <w:rsid w:val="004218D0"/>
    <w:rsid w:val="0042192C"/>
    <w:rsid w:val="00421980"/>
    <w:rsid w:val="004220C9"/>
    <w:rsid w:val="00422260"/>
    <w:rsid w:val="004226A8"/>
    <w:rsid w:val="00422779"/>
    <w:rsid w:val="00422ACB"/>
    <w:rsid w:val="004233F4"/>
    <w:rsid w:val="00423785"/>
    <w:rsid w:val="00423EBD"/>
    <w:rsid w:val="00423EDD"/>
    <w:rsid w:val="00423F02"/>
    <w:rsid w:val="00423F13"/>
    <w:rsid w:val="0042413F"/>
    <w:rsid w:val="004241CB"/>
    <w:rsid w:val="00424A76"/>
    <w:rsid w:val="00424DF1"/>
    <w:rsid w:val="00425132"/>
    <w:rsid w:val="0042528D"/>
    <w:rsid w:val="004261C5"/>
    <w:rsid w:val="00426408"/>
    <w:rsid w:val="004269FC"/>
    <w:rsid w:val="00426B6E"/>
    <w:rsid w:val="00426F38"/>
    <w:rsid w:val="00426F5C"/>
    <w:rsid w:val="00427255"/>
    <w:rsid w:val="004278A6"/>
    <w:rsid w:val="00427E9B"/>
    <w:rsid w:val="004300CA"/>
    <w:rsid w:val="004302DD"/>
    <w:rsid w:val="004306A1"/>
    <w:rsid w:val="00430999"/>
    <w:rsid w:val="00430B07"/>
    <w:rsid w:val="00430DBE"/>
    <w:rsid w:val="00430E10"/>
    <w:rsid w:val="00430E71"/>
    <w:rsid w:val="0043113F"/>
    <w:rsid w:val="00431177"/>
    <w:rsid w:val="00431262"/>
    <w:rsid w:val="0043128C"/>
    <w:rsid w:val="00431510"/>
    <w:rsid w:val="004319F8"/>
    <w:rsid w:val="00431D07"/>
    <w:rsid w:val="00431E55"/>
    <w:rsid w:val="00431FA3"/>
    <w:rsid w:val="004321F6"/>
    <w:rsid w:val="00432982"/>
    <w:rsid w:val="00432B2A"/>
    <w:rsid w:val="00433013"/>
    <w:rsid w:val="00433044"/>
    <w:rsid w:val="00433062"/>
    <w:rsid w:val="00433205"/>
    <w:rsid w:val="00433635"/>
    <w:rsid w:val="00433690"/>
    <w:rsid w:val="00433A15"/>
    <w:rsid w:val="00433D82"/>
    <w:rsid w:val="00433F5E"/>
    <w:rsid w:val="00434088"/>
    <w:rsid w:val="004341DE"/>
    <w:rsid w:val="004344C3"/>
    <w:rsid w:val="00435189"/>
    <w:rsid w:val="004355E0"/>
    <w:rsid w:val="0043581D"/>
    <w:rsid w:val="00435A0A"/>
    <w:rsid w:val="00435A47"/>
    <w:rsid w:val="00436090"/>
    <w:rsid w:val="004364A1"/>
    <w:rsid w:val="0043670B"/>
    <w:rsid w:val="00436846"/>
    <w:rsid w:val="00436AE1"/>
    <w:rsid w:val="00436C45"/>
    <w:rsid w:val="00436CCB"/>
    <w:rsid w:val="0043714C"/>
    <w:rsid w:val="0043728F"/>
    <w:rsid w:val="004372A9"/>
    <w:rsid w:val="004373E6"/>
    <w:rsid w:val="004375B9"/>
    <w:rsid w:val="00437819"/>
    <w:rsid w:val="00437B91"/>
    <w:rsid w:val="00440490"/>
    <w:rsid w:val="00440590"/>
    <w:rsid w:val="004407EE"/>
    <w:rsid w:val="00440978"/>
    <w:rsid w:val="00440E06"/>
    <w:rsid w:val="004411FB"/>
    <w:rsid w:val="004416D8"/>
    <w:rsid w:val="00441F34"/>
    <w:rsid w:val="004428D0"/>
    <w:rsid w:val="00442CA5"/>
    <w:rsid w:val="00442EC5"/>
    <w:rsid w:val="00442F6F"/>
    <w:rsid w:val="00442F81"/>
    <w:rsid w:val="00443251"/>
    <w:rsid w:val="0044335F"/>
    <w:rsid w:val="0044345D"/>
    <w:rsid w:val="00443886"/>
    <w:rsid w:val="004439E5"/>
    <w:rsid w:val="00443AB3"/>
    <w:rsid w:val="00444185"/>
    <w:rsid w:val="004443A7"/>
    <w:rsid w:val="0044442C"/>
    <w:rsid w:val="004450BC"/>
    <w:rsid w:val="004451B0"/>
    <w:rsid w:val="0044525B"/>
    <w:rsid w:val="0044532E"/>
    <w:rsid w:val="0044570F"/>
    <w:rsid w:val="004458B5"/>
    <w:rsid w:val="00445941"/>
    <w:rsid w:val="0044609E"/>
    <w:rsid w:val="004464EB"/>
    <w:rsid w:val="004465E1"/>
    <w:rsid w:val="00446C64"/>
    <w:rsid w:val="00446F11"/>
    <w:rsid w:val="00447968"/>
    <w:rsid w:val="00447995"/>
    <w:rsid w:val="00447D26"/>
    <w:rsid w:val="00447DFC"/>
    <w:rsid w:val="004504CE"/>
    <w:rsid w:val="004504F1"/>
    <w:rsid w:val="00450AD9"/>
    <w:rsid w:val="00450AFB"/>
    <w:rsid w:val="00450DAC"/>
    <w:rsid w:val="00450FAF"/>
    <w:rsid w:val="00451414"/>
    <w:rsid w:val="004516DB"/>
    <w:rsid w:val="0045171D"/>
    <w:rsid w:val="00451C0C"/>
    <w:rsid w:val="004527BF"/>
    <w:rsid w:val="00452A5A"/>
    <w:rsid w:val="00452FF2"/>
    <w:rsid w:val="00453005"/>
    <w:rsid w:val="004530B2"/>
    <w:rsid w:val="00453A3A"/>
    <w:rsid w:val="00453AF1"/>
    <w:rsid w:val="00454B3F"/>
    <w:rsid w:val="00454D97"/>
    <w:rsid w:val="00454F4A"/>
    <w:rsid w:val="00454F9F"/>
    <w:rsid w:val="004557D7"/>
    <w:rsid w:val="00455866"/>
    <w:rsid w:val="00455ADC"/>
    <w:rsid w:val="00455B08"/>
    <w:rsid w:val="00455D45"/>
    <w:rsid w:val="00456136"/>
    <w:rsid w:val="004563C7"/>
    <w:rsid w:val="00456930"/>
    <w:rsid w:val="0046001E"/>
    <w:rsid w:val="004601E5"/>
    <w:rsid w:val="0046026E"/>
    <w:rsid w:val="0046045A"/>
    <w:rsid w:val="004607A5"/>
    <w:rsid w:val="004607EB"/>
    <w:rsid w:val="0046092A"/>
    <w:rsid w:val="0046095E"/>
    <w:rsid w:val="00460E4D"/>
    <w:rsid w:val="00460FC0"/>
    <w:rsid w:val="004615FC"/>
    <w:rsid w:val="00461764"/>
    <w:rsid w:val="004618AE"/>
    <w:rsid w:val="00461A22"/>
    <w:rsid w:val="00461A42"/>
    <w:rsid w:val="00461F21"/>
    <w:rsid w:val="0046205D"/>
    <w:rsid w:val="00462293"/>
    <w:rsid w:val="0046232B"/>
    <w:rsid w:val="004626C1"/>
    <w:rsid w:val="00462DA5"/>
    <w:rsid w:val="00462EE5"/>
    <w:rsid w:val="00462F43"/>
    <w:rsid w:val="004637F8"/>
    <w:rsid w:val="004643D4"/>
    <w:rsid w:val="00464595"/>
    <w:rsid w:val="004645A5"/>
    <w:rsid w:val="00464FE5"/>
    <w:rsid w:val="0046549D"/>
    <w:rsid w:val="00465554"/>
    <w:rsid w:val="004658B5"/>
    <w:rsid w:val="00465C32"/>
    <w:rsid w:val="004660A2"/>
    <w:rsid w:val="0046654A"/>
    <w:rsid w:val="00466739"/>
    <w:rsid w:val="00466A5E"/>
    <w:rsid w:val="00466E99"/>
    <w:rsid w:val="004679B5"/>
    <w:rsid w:val="00467F61"/>
    <w:rsid w:val="00470E30"/>
    <w:rsid w:val="00471331"/>
    <w:rsid w:val="0047136B"/>
    <w:rsid w:val="00471411"/>
    <w:rsid w:val="0047170E"/>
    <w:rsid w:val="00471A28"/>
    <w:rsid w:val="00471EA5"/>
    <w:rsid w:val="00471FCC"/>
    <w:rsid w:val="004720A4"/>
    <w:rsid w:val="004722B9"/>
    <w:rsid w:val="00472589"/>
    <w:rsid w:val="00472675"/>
    <w:rsid w:val="00472991"/>
    <w:rsid w:val="00472A79"/>
    <w:rsid w:val="0047388C"/>
    <w:rsid w:val="00473941"/>
    <w:rsid w:val="00473C76"/>
    <w:rsid w:val="00473F19"/>
    <w:rsid w:val="0047429D"/>
    <w:rsid w:val="00474383"/>
    <w:rsid w:val="004748E6"/>
    <w:rsid w:val="00474C16"/>
    <w:rsid w:val="00474E76"/>
    <w:rsid w:val="00475519"/>
    <w:rsid w:val="00475753"/>
    <w:rsid w:val="00475AF5"/>
    <w:rsid w:val="00475DBB"/>
    <w:rsid w:val="00475E22"/>
    <w:rsid w:val="00475EA2"/>
    <w:rsid w:val="00476198"/>
    <w:rsid w:val="0047674D"/>
    <w:rsid w:val="00476846"/>
    <w:rsid w:val="004773C1"/>
    <w:rsid w:val="00477556"/>
    <w:rsid w:val="00477964"/>
    <w:rsid w:val="00477F0A"/>
    <w:rsid w:val="00480692"/>
    <w:rsid w:val="0048088E"/>
    <w:rsid w:val="00480A36"/>
    <w:rsid w:val="00480A88"/>
    <w:rsid w:val="00480F2B"/>
    <w:rsid w:val="00480FBE"/>
    <w:rsid w:val="004812E9"/>
    <w:rsid w:val="004813A4"/>
    <w:rsid w:val="00481514"/>
    <w:rsid w:val="00481694"/>
    <w:rsid w:val="00481864"/>
    <w:rsid w:val="004819D8"/>
    <w:rsid w:val="00481B68"/>
    <w:rsid w:val="00481CE2"/>
    <w:rsid w:val="00481E0A"/>
    <w:rsid w:val="00481F06"/>
    <w:rsid w:val="0048206E"/>
    <w:rsid w:val="004820CF"/>
    <w:rsid w:val="0048211F"/>
    <w:rsid w:val="00482720"/>
    <w:rsid w:val="00482A98"/>
    <w:rsid w:val="00482C01"/>
    <w:rsid w:val="00482C9E"/>
    <w:rsid w:val="004831D4"/>
    <w:rsid w:val="004832D6"/>
    <w:rsid w:val="004835B6"/>
    <w:rsid w:val="004835E7"/>
    <w:rsid w:val="0048389F"/>
    <w:rsid w:val="0048409A"/>
    <w:rsid w:val="0048430C"/>
    <w:rsid w:val="00484AD1"/>
    <w:rsid w:val="00484F68"/>
    <w:rsid w:val="00485FE6"/>
    <w:rsid w:val="00486413"/>
    <w:rsid w:val="0048641D"/>
    <w:rsid w:val="004867E2"/>
    <w:rsid w:val="004869AD"/>
    <w:rsid w:val="0048722D"/>
    <w:rsid w:val="004872F2"/>
    <w:rsid w:val="00487482"/>
    <w:rsid w:val="004875B6"/>
    <w:rsid w:val="00487CDD"/>
    <w:rsid w:val="00487D04"/>
    <w:rsid w:val="004900DA"/>
    <w:rsid w:val="004902BE"/>
    <w:rsid w:val="004904D0"/>
    <w:rsid w:val="00490539"/>
    <w:rsid w:val="004905CE"/>
    <w:rsid w:val="00490942"/>
    <w:rsid w:val="004909BF"/>
    <w:rsid w:val="00490B17"/>
    <w:rsid w:val="00490BED"/>
    <w:rsid w:val="00490CAF"/>
    <w:rsid w:val="00490E56"/>
    <w:rsid w:val="00491131"/>
    <w:rsid w:val="004915CA"/>
    <w:rsid w:val="0049189D"/>
    <w:rsid w:val="00491B3A"/>
    <w:rsid w:val="00491EC6"/>
    <w:rsid w:val="00491EE5"/>
    <w:rsid w:val="00491F66"/>
    <w:rsid w:val="004921A5"/>
    <w:rsid w:val="00492736"/>
    <w:rsid w:val="004928BD"/>
    <w:rsid w:val="00492909"/>
    <w:rsid w:val="00492CFD"/>
    <w:rsid w:val="00492F38"/>
    <w:rsid w:val="00492FA7"/>
    <w:rsid w:val="00493239"/>
    <w:rsid w:val="0049334E"/>
    <w:rsid w:val="0049374F"/>
    <w:rsid w:val="00493811"/>
    <w:rsid w:val="00493AE9"/>
    <w:rsid w:val="00493DD7"/>
    <w:rsid w:val="00493EC5"/>
    <w:rsid w:val="00494207"/>
    <w:rsid w:val="00494284"/>
    <w:rsid w:val="004949D5"/>
    <w:rsid w:val="00494D5D"/>
    <w:rsid w:val="00494DD5"/>
    <w:rsid w:val="00494FA4"/>
    <w:rsid w:val="0049517A"/>
    <w:rsid w:val="004951C3"/>
    <w:rsid w:val="00495668"/>
    <w:rsid w:val="004957F0"/>
    <w:rsid w:val="00495820"/>
    <w:rsid w:val="00495B09"/>
    <w:rsid w:val="00496091"/>
    <w:rsid w:val="004962D2"/>
    <w:rsid w:val="0049635F"/>
    <w:rsid w:val="00496962"/>
    <w:rsid w:val="00496A55"/>
    <w:rsid w:val="00496B53"/>
    <w:rsid w:val="004971C7"/>
    <w:rsid w:val="00497385"/>
    <w:rsid w:val="00497733"/>
    <w:rsid w:val="00497893"/>
    <w:rsid w:val="00497BA0"/>
    <w:rsid w:val="004A009A"/>
    <w:rsid w:val="004A0250"/>
    <w:rsid w:val="004A042E"/>
    <w:rsid w:val="004A04AE"/>
    <w:rsid w:val="004A08C8"/>
    <w:rsid w:val="004A0BFB"/>
    <w:rsid w:val="004A0BFE"/>
    <w:rsid w:val="004A0C76"/>
    <w:rsid w:val="004A0DA1"/>
    <w:rsid w:val="004A0EF4"/>
    <w:rsid w:val="004A0F93"/>
    <w:rsid w:val="004A1117"/>
    <w:rsid w:val="004A13D6"/>
    <w:rsid w:val="004A1555"/>
    <w:rsid w:val="004A18BC"/>
    <w:rsid w:val="004A1B05"/>
    <w:rsid w:val="004A1D19"/>
    <w:rsid w:val="004A1D20"/>
    <w:rsid w:val="004A2486"/>
    <w:rsid w:val="004A2628"/>
    <w:rsid w:val="004A2A93"/>
    <w:rsid w:val="004A2FE2"/>
    <w:rsid w:val="004A3297"/>
    <w:rsid w:val="004A3B22"/>
    <w:rsid w:val="004A3B5F"/>
    <w:rsid w:val="004A3BA2"/>
    <w:rsid w:val="004A3BDB"/>
    <w:rsid w:val="004A3CE3"/>
    <w:rsid w:val="004A3CEE"/>
    <w:rsid w:val="004A3E63"/>
    <w:rsid w:val="004A411E"/>
    <w:rsid w:val="004A464F"/>
    <w:rsid w:val="004A4813"/>
    <w:rsid w:val="004A4B4B"/>
    <w:rsid w:val="004A4BB7"/>
    <w:rsid w:val="004A4D83"/>
    <w:rsid w:val="004A5061"/>
    <w:rsid w:val="004A5188"/>
    <w:rsid w:val="004A52E9"/>
    <w:rsid w:val="004A5F36"/>
    <w:rsid w:val="004A5F4C"/>
    <w:rsid w:val="004A6040"/>
    <w:rsid w:val="004A6597"/>
    <w:rsid w:val="004A6F88"/>
    <w:rsid w:val="004A72A7"/>
    <w:rsid w:val="004A7359"/>
    <w:rsid w:val="004A7468"/>
    <w:rsid w:val="004A7848"/>
    <w:rsid w:val="004A79FA"/>
    <w:rsid w:val="004A7B40"/>
    <w:rsid w:val="004A7C36"/>
    <w:rsid w:val="004B00C0"/>
    <w:rsid w:val="004B05C4"/>
    <w:rsid w:val="004B06C5"/>
    <w:rsid w:val="004B0823"/>
    <w:rsid w:val="004B0E18"/>
    <w:rsid w:val="004B1262"/>
    <w:rsid w:val="004B12BC"/>
    <w:rsid w:val="004B1B99"/>
    <w:rsid w:val="004B1CB4"/>
    <w:rsid w:val="004B1E14"/>
    <w:rsid w:val="004B1FF2"/>
    <w:rsid w:val="004B2044"/>
    <w:rsid w:val="004B21E2"/>
    <w:rsid w:val="004B242C"/>
    <w:rsid w:val="004B24BA"/>
    <w:rsid w:val="004B2A95"/>
    <w:rsid w:val="004B2E7D"/>
    <w:rsid w:val="004B2F18"/>
    <w:rsid w:val="004B34FA"/>
    <w:rsid w:val="004B3CE8"/>
    <w:rsid w:val="004B3DDB"/>
    <w:rsid w:val="004B3DF7"/>
    <w:rsid w:val="004B4081"/>
    <w:rsid w:val="004B44F9"/>
    <w:rsid w:val="004B44FD"/>
    <w:rsid w:val="004B4544"/>
    <w:rsid w:val="004B4F13"/>
    <w:rsid w:val="004B571F"/>
    <w:rsid w:val="004B5A0E"/>
    <w:rsid w:val="004B5AB1"/>
    <w:rsid w:val="004B5CFC"/>
    <w:rsid w:val="004B5E2E"/>
    <w:rsid w:val="004B5E56"/>
    <w:rsid w:val="004B5E66"/>
    <w:rsid w:val="004B617C"/>
    <w:rsid w:val="004B626F"/>
    <w:rsid w:val="004B6273"/>
    <w:rsid w:val="004B6319"/>
    <w:rsid w:val="004B6AAD"/>
    <w:rsid w:val="004B6C67"/>
    <w:rsid w:val="004B6F79"/>
    <w:rsid w:val="004B6FDE"/>
    <w:rsid w:val="004B70B4"/>
    <w:rsid w:val="004B774D"/>
    <w:rsid w:val="004B78B0"/>
    <w:rsid w:val="004B7991"/>
    <w:rsid w:val="004B79DC"/>
    <w:rsid w:val="004C0870"/>
    <w:rsid w:val="004C0E47"/>
    <w:rsid w:val="004C1031"/>
    <w:rsid w:val="004C1073"/>
    <w:rsid w:val="004C11B4"/>
    <w:rsid w:val="004C171D"/>
    <w:rsid w:val="004C1754"/>
    <w:rsid w:val="004C17BC"/>
    <w:rsid w:val="004C1900"/>
    <w:rsid w:val="004C1903"/>
    <w:rsid w:val="004C19A1"/>
    <w:rsid w:val="004C20F2"/>
    <w:rsid w:val="004C21CE"/>
    <w:rsid w:val="004C24FC"/>
    <w:rsid w:val="004C255B"/>
    <w:rsid w:val="004C29DE"/>
    <w:rsid w:val="004C29FC"/>
    <w:rsid w:val="004C2BEA"/>
    <w:rsid w:val="004C2DE7"/>
    <w:rsid w:val="004C2FD9"/>
    <w:rsid w:val="004C30C6"/>
    <w:rsid w:val="004C32B6"/>
    <w:rsid w:val="004C3887"/>
    <w:rsid w:val="004C3967"/>
    <w:rsid w:val="004C3C12"/>
    <w:rsid w:val="004C3D31"/>
    <w:rsid w:val="004C3E23"/>
    <w:rsid w:val="004C3EAD"/>
    <w:rsid w:val="004C3F12"/>
    <w:rsid w:val="004C4114"/>
    <w:rsid w:val="004C4230"/>
    <w:rsid w:val="004C4440"/>
    <w:rsid w:val="004C4452"/>
    <w:rsid w:val="004C4546"/>
    <w:rsid w:val="004C4AED"/>
    <w:rsid w:val="004C4BD3"/>
    <w:rsid w:val="004C4DCA"/>
    <w:rsid w:val="004C4E90"/>
    <w:rsid w:val="004C4FA9"/>
    <w:rsid w:val="004C5685"/>
    <w:rsid w:val="004C56E2"/>
    <w:rsid w:val="004C5765"/>
    <w:rsid w:val="004C608C"/>
    <w:rsid w:val="004C61F7"/>
    <w:rsid w:val="004C63AC"/>
    <w:rsid w:val="004C6581"/>
    <w:rsid w:val="004C686C"/>
    <w:rsid w:val="004C6D75"/>
    <w:rsid w:val="004C7DF6"/>
    <w:rsid w:val="004D02A6"/>
    <w:rsid w:val="004D0378"/>
    <w:rsid w:val="004D08A6"/>
    <w:rsid w:val="004D0CEA"/>
    <w:rsid w:val="004D0FF3"/>
    <w:rsid w:val="004D100E"/>
    <w:rsid w:val="004D160D"/>
    <w:rsid w:val="004D168E"/>
    <w:rsid w:val="004D16B8"/>
    <w:rsid w:val="004D19B5"/>
    <w:rsid w:val="004D1B06"/>
    <w:rsid w:val="004D1C49"/>
    <w:rsid w:val="004D201C"/>
    <w:rsid w:val="004D2133"/>
    <w:rsid w:val="004D240A"/>
    <w:rsid w:val="004D2856"/>
    <w:rsid w:val="004D2B42"/>
    <w:rsid w:val="004D2C2D"/>
    <w:rsid w:val="004D2C7D"/>
    <w:rsid w:val="004D2D3F"/>
    <w:rsid w:val="004D2EA1"/>
    <w:rsid w:val="004D31A9"/>
    <w:rsid w:val="004D3621"/>
    <w:rsid w:val="004D39DB"/>
    <w:rsid w:val="004D3B21"/>
    <w:rsid w:val="004D3BF7"/>
    <w:rsid w:val="004D4011"/>
    <w:rsid w:val="004D42A0"/>
    <w:rsid w:val="004D42DE"/>
    <w:rsid w:val="004D4C8F"/>
    <w:rsid w:val="004D4CF0"/>
    <w:rsid w:val="004D51CD"/>
    <w:rsid w:val="004D5226"/>
    <w:rsid w:val="004D5912"/>
    <w:rsid w:val="004D5998"/>
    <w:rsid w:val="004D6013"/>
    <w:rsid w:val="004D6220"/>
    <w:rsid w:val="004D6486"/>
    <w:rsid w:val="004D6536"/>
    <w:rsid w:val="004D66AC"/>
    <w:rsid w:val="004D6820"/>
    <w:rsid w:val="004D69B5"/>
    <w:rsid w:val="004D7227"/>
    <w:rsid w:val="004D739B"/>
    <w:rsid w:val="004D74D3"/>
    <w:rsid w:val="004D75BE"/>
    <w:rsid w:val="004D777B"/>
    <w:rsid w:val="004D79B4"/>
    <w:rsid w:val="004D7B86"/>
    <w:rsid w:val="004E01AC"/>
    <w:rsid w:val="004E041E"/>
    <w:rsid w:val="004E07C9"/>
    <w:rsid w:val="004E0E7F"/>
    <w:rsid w:val="004E0EB8"/>
    <w:rsid w:val="004E12AB"/>
    <w:rsid w:val="004E1793"/>
    <w:rsid w:val="004E18E9"/>
    <w:rsid w:val="004E1FAA"/>
    <w:rsid w:val="004E2797"/>
    <w:rsid w:val="004E2882"/>
    <w:rsid w:val="004E2A9F"/>
    <w:rsid w:val="004E2ADC"/>
    <w:rsid w:val="004E2AFB"/>
    <w:rsid w:val="004E2D30"/>
    <w:rsid w:val="004E2F07"/>
    <w:rsid w:val="004E39D5"/>
    <w:rsid w:val="004E3EA3"/>
    <w:rsid w:val="004E3F8B"/>
    <w:rsid w:val="004E4193"/>
    <w:rsid w:val="004E4213"/>
    <w:rsid w:val="004E43B2"/>
    <w:rsid w:val="004E43DA"/>
    <w:rsid w:val="004E4510"/>
    <w:rsid w:val="004E4F58"/>
    <w:rsid w:val="004E57DB"/>
    <w:rsid w:val="004E62F3"/>
    <w:rsid w:val="004E68F7"/>
    <w:rsid w:val="004E6C65"/>
    <w:rsid w:val="004E6D6A"/>
    <w:rsid w:val="004E6E55"/>
    <w:rsid w:val="004E7B11"/>
    <w:rsid w:val="004E7B40"/>
    <w:rsid w:val="004E7BB3"/>
    <w:rsid w:val="004E7D8C"/>
    <w:rsid w:val="004F030C"/>
    <w:rsid w:val="004F05F0"/>
    <w:rsid w:val="004F0A7F"/>
    <w:rsid w:val="004F1154"/>
    <w:rsid w:val="004F15AF"/>
    <w:rsid w:val="004F1ABD"/>
    <w:rsid w:val="004F1B39"/>
    <w:rsid w:val="004F1D02"/>
    <w:rsid w:val="004F2245"/>
    <w:rsid w:val="004F232C"/>
    <w:rsid w:val="004F24C4"/>
    <w:rsid w:val="004F266A"/>
    <w:rsid w:val="004F2679"/>
    <w:rsid w:val="004F2F21"/>
    <w:rsid w:val="004F359D"/>
    <w:rsid w:val="004F38E8"/>
    <w:rsid w:val="004F3B09"/>
    <w:rsid w:val="004F3DCB"/>
    <w:rsid w:val="004F3DE5"/>
    <w:rsid w:val="004F3EBA"/>
    <w:rsid w:val="004F4F33"/>
    <w:rsid w:val="004F4F57"/>
    <w:rsid w:val="004F4FC7"/>
    <w:rsid w:val="004F574B"/>
    <w:rsid w:val="004F5B54"/>
    <w:rsid w:val="004F5DCB"/>
    <w:rsid w:val="004F5EFC"/>
    <w:rsid w:val="004F64E7"/>
    <w:rsid w:val="004F6869"/>
    <w:rsid w:val="004F6913"/>
    <w:rsid w:val="004F7168"/>
    <w:rsid w:val="004F71A9"/>
    <w:rsid w:val="004F73EF"/>
    <w:rsid w:val="004F7865"/>
    <w:rsid w:val="004F78D0"/>
    <w:rsid w:val="004F7C66"/>
    <w:rsid w:val="004F7C6B"/>
    <w:rsid w:val="0050096F"/>
    <w:rsid w:val="00500C94"/>
    <w:rsid w:val="005013A5"/>
    <w:rsid w:val="00501426"/>
    <w:rsid w:val="0050174E"/>
    <w:rsid w:val="00501854"/>
    <w:rsid w:val="00501BAA"/>
    <w:rsid w:val="00501C2F"/>
    <w:rsid w:val="00502059"/>
    <w:rsid w:val="0050219B"/>
    <w:rsid w:val="005021D9"/>
    <w:rsid w:val="00502524"/>
    <w:rsid w:val="005025C1"/>
    <w:rsid w:val="00502784"/>
    <w:rsid w:val="00502B62"/>
    <w:rsid w:val="00503102"/>
    <w:rsid w:val="005035D7"/>
    <w:rsid w:val="005039BC"/>
    <w:rsid w:val="00503ABA"/>
    <w:rsid w:val="00503D2D"/>
    <w:rsid w:val="00503DAC"/>
    <w:rsid w:val="00503E64"/>
    <w:rsid w:val="00503F17"/>
    <w:rsid w:val="00503F71"/>
    <w:rsid w:val="00504406"/>
    <w:rsid w:val="0050450F"/>
    <w:rsid w:val="005047C9"/>
    <w:rsid w:val="00504A5C"/>
    <w:rsid w:val="00505555"/>
    <w:rsid w:val="00505FCD"/>
    <w:rsid w:val="00506007"/>
    <w:rsid w:val="00506036"/>
    <w:rsid w:val="00506247"/>
    <w:rsid w:val="0050653C"/>
    <w:rsid w:val="005065FB"/>
    <w:rsid w:val="0050674A"/>
    <w:rsid w:val="00506928"/>
    <w:rsid w:val="00507378"/>
    <w:rsid w:val="005077A1"/>
    <w:rsid w:val="005077EF"/>
    <w:rsid w:val="00507814"/>
    <w:rsid w:val="00507FE7"/>
    <w:rsid w:val="00510018"/>
    <w:rsid w:val="0051008B"/>
    <w:rsid w:val="0051098F"/>
    <w:rsid w:val="00510A57"/>
    <w:rsid w:val="00510D02"/>
    <w:rsid w:val="00511003"/>
    <w:rsid w:val="0051193A"/>
    <w:rsid w:val="00511AD5"/>
    <w:rsid w:val="00511DC7"/>
    <w:rsid w:val="0051226B"/>
    <w:rsid w:val="0051235E"/>
    <w:rsid w:val="005126B1"/>
    <w:rsid w:val="00512FB1"/>
    <w:rsid w:val="00513139"/>
    <w:rsid w:val="0051368D"/>
    <w:rsid w:val="005139B2"/>
    <w:rsid w:val="00513B47"/>
    <w:rsid w:val="00513FA3"/>
    <w:rsid w:val="00514065"/>
    <w:rsid w:val="0051406A"/>
    <w:rsid w:val="005140E3"/>
    <w:rsid w:val="005142C5"/>
    <w:rsid w:val="0051480A"/>
    <w:rsid w:val="00514AC3"/>
    <w:rsid w:val="00514B22"/>
    <w:rsid w:val="00514C17"/>
    <w:rsid w:val="00514ED7"/>
    <w:rsid w:val="00514F74"/>
    <w:rsid w:val="0051501B"/>
    <w:rsid w:val="005152B5"/>
    <w:rsid w:val="005154B1"/>
    <w:rsid w:val="00515639"/>
    <w:rsid w:val="00515893"/>
    <w:rsid w:val="00516356"/>
    <w:rsid w:val="00517036"/>
    <w:rsid w:val="005171A9"/>
    <w:rsid w:val="005172BB"/>
    <w:rsid w:val="005179BD"/>
    <w:rsid w:val="00517C2A"/>
    <w:rsid w:val="005202CE"/>
    <w:rsid w:val="00520472"/>
    <w:rsid w:val="005206E6"/>
    <w:rsid w:val="005207A3"/>
    <w:rsid w:val="00520EA0"/>
    <w:rsid w:val="00520FFD"/>
    <w:rsid w:val="0052123C"/>
    <w:rsid w:val="00521319"/>
    <w:rsid w:val="00521579"/>
    <w:rsid w:val="005215EE"/>
    <w:rsid w:val="0052185E"/>
    <w:rsid w:val="00521AF8"/>
    <w:rsid w:val="00522151"/>
    <w:rsid w:val="0052220E"/>
    <w:rsid w:val="00522396"/>
    <w:rsid w:val="00522817"/>
    <w:rsid w:val="00522869"/>
    <w:rsid w:val="00522B94"/>
    <w:rsid w:val="00522BC8"/>
    <w:rsid w:val="00522D84"/>
    <w:rsid w:val="00522F19"/>
    <w:rsid w:val="0052328A"/>
    <w:rsid w:val="005233E9"/>
    <w:rsid w:val="00523491"/>
    <w:rsid w:val="005234B7"/>
    <w:rsid w:val="00523C28"/>
    <w:rsid w:val="005247A7"/>
    <w:rsid w:val="00524907"/>
    <w:rsid w:val="00524A8E"/>
    <w:rsid w:val="00524B60"/>
    <w:rsid w:val="00525321"/>
    <w:rsid w:val="0052533E"/>
    <w:rsid w:val="005253BA"/>
    <w:rsid w:val="005253E5"/>
    <w:rsid w:val="005257AB"/>
    <w:rsid w:val="00525A64"/>
    <w:rsid w:val="00525D38"/>
    <w:rsid w:val="00525EB7"/>
    <w:rsid w:val="00525FDD"/>
    <w:rsid w:val="0052662E"/>
    <w:rsid w:val="0052690A"/>
    <w:rsid w:val="00527248"/>
    <w:rsid w:val="00527830"/>
    <w:rsid w:val="00527CEB"/>
    <w:rsid w:val="0053009C"/>
    <w:rsid w:val="0053018A"/>
    <w:rsid w:val="0053042E"/>
    <w:rsid w:val="00530C40"/>
    <w:rsid w:val="00530C5C"/>
    <w:rsid w:val="00530CC9"/>
    <w:rsid w:val="00530EED"/>
    <w:rsid w:val="00531036"/>
    <w:rsid w:val="0053115C"/>
    <w:rsid w:val="0053176B"/>
    <w:rsid w:val="005318AF"/>
    <w:rsid w:val="00531921"/>
    <w:rsid w:val="00531B23"/>
    <w:rsid w:val="00531D0C"/>
    <w:rsid w:val="0053234F"/>
    <w:rsid w:val="0053284D"/>
    <w:rsid w:val="005329B1"/>
    <w:rsid w:val="00532C0A"/>
    <w:rsid w:val="00532C38"/>
    <w:rsid w:val="0053344E"/>
    <w:rsid w:val="005335C0"/>
    <w:rsid w:val="005335C7"/>
    <w:rsid w:val="00533A53"/>
    <w:rsid w:val="00533A5C"/>
    <w:rsid w:val="00534392"/>
    <w:rsid w:val="0053451F"/>
    <w:rsid w:val="005345EE"/>
    <w:rsid w:val="00534643"/>
    <w:rsid w:val="00535AFF"/>
    <w:rsid w:val="00536090"/>
    <w:rsid w:val="00536242"/>
    <w:rsid w:val="0053675C"/>
    <w:rsid w:val="00536837"/>
    <w:rsid w:val="00536BE2"/>
    <w:rsid w:val="00536C47"/>
    <w:rsid w:val="00536CAD"/>
    <w:rsid w:val="00536DC5"/>
    <w:rsid w:val="00536F42"/>
    <w:rsid w:val="00537182"/>
    <w:rsid w:val="0053721C"/>
    <w:rsid w:val="00537328"/>
    <w:rsid w:val="005373DA"/>
    <w:rsid w:val="005377BB"/>
    <w:rsid w:val="00537E40"/>
    <w:rsid w:val="00537F31"/>
    <w:rsid w:val="00540629"/>
    <w:rsid w:val="00540791"/>
    <w:rsid w:val="0054093E"/>
    <w:rsid w:val="00540975"/>
    <w:rsid w:val="00540A01"/>
    <w:rsid w:val="00540CDD"/>
    <w:rsid w:val="00540EA3"/>
    <w:rsid w:val="00540ECF"/>
    <w:rsid w:val="005410F6"/>
    <w:rsid w:val="005417BE"/>
    <w:rsid w:val="00541B36"/>
    <w:rsid w:val="00541EDD"/>
    <w:rsid w:val="00542743"/>
    <w:rsid w:val="005427F7"/>
    <w:rsid w:val="005429BF"/>
    <w:rsid w:val="00542AB8"/>
    <w:rsid w:val="00542C2D"/>
    <w:rsid w:val="00542CD8"/>
    <w:rsid w:val="00543237"/>
    <w:rsid w:val="005433B4"/>
    <w:rsid w:val="0054340B"/>
    <w:rsid w:val="00544296"/>
    <w:rsid w:val="005442D9"/>
    <w:rsid w:val="00544752"/>
    <w:rsid w:val="00544934"/>
    <w:rsid w:val="00544D18"/>
    <w:rsid w:val="00544FCE"/>
    <w:rsid w:val="00545038"/>
    <w:rsid w:val="00545195"/>
    <w:rsid w:val="00545383"/>
    <w:rsid w:val="005453FD"/>
    <w:rsid w:val="00545FAD"/>
    <w:rsid w:val="0054724F"/>
    <w:rsid w:val="005474E7"/>
    <w:rsid w:val="0054777D"/>
    <w:rsid w:val="005478BD"/>
    <w:rsid w:val="005479E3"/>
    <w:rsid w:val="00547F3D"/>
    <w:rsid w:val="005504FF"/>
    <w:rsid w:val="0055055C"/>
    <w:rsid w:val="005505F1"/>
    <w:rsid w:val="00550654"/>
    <w:rsid w:val="0055076B"/>
    <w:rsid w:val="00550B08"/>
    <w:rsid w:val="00550FE0"/>
    <w:rsid w:val="0055115B"/>
    <w:rsid w:val="005512E6"/>
    <w:rsid w:val="00551489"/>
    <w:rsid w:val="005514E4"/>
    <w:rsid w:val="00551985"/>
    <w:rsid w:val="00551C4C"/>
    <w:rsid w:val="00551D0A"/>
    <w:rsid w:val="005527E8"/>
    <w:rsid w:val="00552A1F"/>
    <w:rsid w:val="00552B0D"/>
    <w:rsid w:val="00552BD3"/>
    <w:rsid w:val="00552C4E"/>
    <w:rsid w:val="00552F69"/>
    <w:rsid w:val="00553119"/>
    <w:rsid w:val="005531E8"/>
    <w:rsid w:val="005532A0"/>
    <w:rsid w:val="00553694"/>
    <w:rsid w:val="005539EB"/>
    <w:rsid w:val="00553E61"/>
    <w:rsid w:val="005545A7"/>
    <w:rsid w:val="0055473D"/>
    <w:rsid w:val="005549F8"/>
    <w:rsid w:val="00554A02"/>
    <w:rsid w:val="00555109"/>
    <w:rsid w:val="005552C9"/>
    <w:rsid w:val="00555B98"/>
    <w:rsid w:val="00555C9B"/>
    <w:rsid w:val="00555D12"/>
    <w:rsid w:val="00555ECA"/>
    <w:rsid w:val="00555F36"/>
    <w:rsid w:val="00556266"/>
    <w:rsid w:val="00556273"/>
    <w:rsid w:val="00556375"/>
    <w:rsid w:val="00556408"/>
    <w:rsid w:val="005564EB"/>
    <w:rsid w:val="005566EF"/>
    <w:rsid w:val="0055684A"/>
    <w:rsid w:val="005568C7"/>
    <w:rsid w:val="00556B26"/>
    <w:rsid w:val="00556B35"/>
    <w:rsid w:val="00556DB3"/>
    <w:rsid w:val="00556F12"/>
    <w:rsid w:val="0055741A"/>
    <w:rsid w:val="00557545"/>
    <w:rsid w:val="00557AEB"/>
    <w:rsid w:val="00557EAF"/>
    <w:rsid w:val="00560668"/>
    <w:rsid w:val="00560705"/>
    <w:rsid w:val="005609B5"/>
    <w:rsid w:val="00560DD3"/>
    <w:rsid w:val="00560F2C"/>
    <w:rsid w:val="005611B7"/>
    <w:rsid w:val="005611C4"/>
    <w:rsid w:val="00561301"/>
    <w:rsid w:val="00561370"/>
    <w:rsid w:val="0056149E"/>
    <w:rsid w:val="005616D3"/>
    <w:rsid w:val="005618D4"/>
    <w:rsid w:val="00561937"/>
    <w:rsid w:val="00561C12"/>
    <w:rsid w:val="00562014"/>
    <w:rsid w:val="005623B9"/>
    <w:rsid w:val="005625C8"/>
    <w:rsid w:val="00562BFD"/>
    <w:rsid w:val="0056313B"/>
    <w:rsid w:val="00563151"/>
    <w:rsid w:val="00563745"/>
    <w:rsid w:val="0056431A"/>
    <w:rsid w:val="0056442E"/>
    <w:rsid w:val="005646C3"/>
    <w:rsid w:val="005648A0"/>
    <w:rsid w:val="00564B92"/>
    <w:rsid w:val="00565013"/>
    <w:rsid w:val="00565111"/>
    <w:rsid w:val="005657AA"/>
    <w:rsid w:val="005658F8"/>
    <w:rsid w:val="00565A88"/>
    <w:rsid w:val="00565C34"/>
    <w:rsid w:val="00565DF0"/>
    <w:rsid w:val="00566187"/>
    <w:rsid w:val="00566239"/>
    <w:rsid w:val="005665AD"/>
    <w:rsid w:val="00566828"/>
    <w:rsid w:val="0056696F"/>
    <w:rsid w:val="00566980"/>
    <w:rsid w:val="00566C01"/>
    <w:rsid w:val="0056760D"/>
    <w:rsid w:val="00567F7B"/>
    <w:rsid w:val="00570087"/>
    <w:rsid w:val="005701F6"/>
    <w:rsid w:val="00570925"/>
    <w:rsid w:val="00570A6F"/>
    <w:rsid w:val="00570AE4"/>
    <w:rsid w:val="00570FB7"/>
    <w:rsid w:val="00571163"/>
    <w:rsid w:val="005711FC"/>
    <w:rsid w:val="005714AC"/>
    <w:rsid w:val="0057154F"/>
    <w:rsid w:val="00571B3B"/>
    <w:rsid w:val="00571DBE"/>
    <w:rsid w:val="00571FB4"/>
    <w:rsid w:val="00572269"/>
    <w:rsid w:val="0057244A"/>
    <w:rsid w:val="00572506"/>
    <w:rsid w:val="005726BE"/>
    <w:rsid w:val="00572AE3"/>
    <w:rsid w:val="00572CFB"/>
    <w:rsid w:val="00572F26"/>
    <w:rsid w:val="0057306B"/>
    <w:rsid w:val="005730F1"/>
    <w:rsid w:val="00573262"/>
    <w:rsid w:val="005733C8"/>
    <w:rsid w:val="005735BF"/>
    <w:rsid w:val="0057374A"/>
    <w:rsid w:val="00574129"/>
    <w:rsid w:val="005748A1"/>
    <w:rsid w:val="00574A31"/>
    <w:rsid w:val="005750C5"/>
    <w:rsid w:val="005752DE"/>
    <w:rsid w:val="00575827"/>
    <w:rsid w:val="00575B7F"/>
    <w:rsid w:val="00575BBD"/>
    <w:rsid w:val="00575D8D"/>
    <w:rsid w:val="00576019"/>
    <w:rsid w:val="005762CC"/>
    <w:rsid w:val="00576407"/>
    <w:rsid w:val="005768A6"/>
    <w:rsid w:val="00576972"/>
    <w:rsid w:val="005769E3"/>
    <w:rsid w:val="00576DDD"/>
    <w:rsid w:val="00576DF1"/>
    <w:rsid w:val="00576F8C"/>
    <w:rsid w:val="005771D8"/>
    <w:rsid w:val="0057723D"/>
    <w:rsid w:val="005772A9"/>
    <w:rsid w:val="0057753B"/>
    <w:rsid w:val="0057761F"/>
    <w:rsid w:val="0057770E"/>
    <w:rsid w:val="00577DF9"/>
    <w:rsid w:val="00577FCA"/>
    <w:rsid w:val="0058023F"/>
    <w:rsid w:val="005802DE"/>
    <w:rsid w:val="005803F1"/>
    <w:rsid w:val="0058069C"/>
    <w:rsid w:val="00580A73"/>
    <w:rsid w:val="00580C52"/>
    <w:rsid w:val="00581B49"/>
    <w:rsid w:val="00581BE8"/>
    <w:rsid w:val="00581D7A"/>
    <w:rsid w:val="00581F58"/>
    <w:rsid w:val="00581F82"/>
    <w:rsid w:val="0058209F"/>
    <w:rsid w:val="005822EF"/>
    <w:rsid w:val="00582431"/>
    <w:rsid w:val="00582599"/>
    <w:rsid w:val="005828B0"/>
    <w:rsid w:val="00582B05"/>
    <w:rsid w:val="00582B28"/>
    <w:rsid w:val="005832EB"/>
    <w:rsid w:val="00583699"/>
    <w:rsid w:val="00583930"/>
    <w:rsid w:val="005839A2"/>
    <w:rsid w:val="00583B86"/>
    <w:rsid w:val="00583C77"/>
    <w:rsid w:val="00583D31"/>
    <w:rsid w:val="00584A25"/>
    <w:rsid w:val="005852D6"/>
    <w:rsid w:val="005853B9"/>
    <w:rsid w:val="0058548B"/>
    <w:rsid w:val="0058549A"/>
    <w:rsid w:val="00585B2E"/>
    <w:rsid w:val="00585CBF"/>
    <w:rsid w:val="00585CDD"/>
    <w:rsid w:val="00585D99"/>
    <w:rsid w:val="005862E2"/>
    <w:rsid w:val="00586866"/>
    <w:rsid w:val="005868F7"/>
    <w:rsid w:val="00586B0D"/>
    <w:rsid w:val="00586D73"/>
    <w:rsid w:val="00587058"/>
    <w:rsid w:val="00587181"/>
    <w:rsid w:val="005871B7"/>
    <w:rsid w:val="00587235"/>
    <w:rsid w:val="005873CD"/>
    <w:rsid w:val="00587CA4"/>
    <w:rsid w:val="00587DE4"/>
    <w:rsid w:val="00590153"/>
    <w:rsid w:val="0059040F"/>
    <w:rsid w:val="00590946"/>
    <w:rsid w:val="00590A33"/>
    <w:rsid w:val="00590BAC"/>
    <w:rsid w:val="00591102"/>
    <w:rsid w:val="00591644"/>
    <w:rsid w:val="005916EA"/>
    <w:rsid w:val="00591957"/>
    <w:rsid w:val="0059199E"/>
    <w:rsid w:val="005920D7"/>
    <w:rsid w:val="00592591"/>
    <w:rsid w:val="005926E5"/>
    <w:rsid w:val="00592964"/>
    <w:rsid w:val="00592BBA"/>
    <w:rsid w:val="00592C3B"/>
    <w:rsid w:val="00592F13"/>
    <w:rsid w:val="00592F70"/>
    <w:rsid w:val="00593070"/>
    <w:rsid w:val="005934A0"/>
    <w:rsid w:val="0059367E"/>
    <w:rsid w:val="00593AA2"/>
    <w:rsid w:val="0059480F"/>
    <w:rsid w:val="00594B81"/>
    <w:rsid w:val="00594CE8"/>
    <w:rsid w:val="00594FC6"/>
    <w:rsid w:val="00594FEF"/>
    <w:rsid w:val="00595006"/>
    <w:rsid w:val="00595200"/>
    <w:rsid w:val="00595349"/>
    <w:rsid w:val="005959D7"/>
    <w:rsid w:val="00595B7B"/>
    <w:rsid w:val="00595C6C"/>
    <w:rsid w:val="00595E08"/>
    <w:rsid w:val="00596470"/>
    <w:rsid w:val="005964DF"/>
    <w:rsid w:val="005965BF"/>
    <w:rsid w:val="00596FED"/>
    <w:rsid w:val="00597234"/>
    <w:rsid w:val="005973E6"/>
    <w:rsid w:val="005978B9"/>
    <w:rsid w:val="00597BF9"/>
    <w:rsid w:val="005A0A53"/>
    <w:rsid w:val="005A0B54"/>
    <w:rsid w:val="005A0C2D"/>
    <w:rsid w:val="005A0DB9"/>
    <w:rsid w:val="005A0F01"/>
    <w:rsid w:val="005A0F19"/>
    <w:rsid w:val="005A11B4"/>
    <w:rsid w:val="005A1809"/>
    <w:rsid w:val="005A1B5F"/>
    <w:rsid w:val="005A1C27"/>
    <w:rsid w:val="005A20D0"/>
    <w:rsid w:val="005A21C8"/>
    <w:rsid w:val="005A227B"/>
    <w:rsid w:val="005A268F"/>
    <w:rsid w:val="005A26F2"/>
    <w:rsid w:val="005A309A"/>
    <w:rsid w:val="005A332A"/>
    <w:rsid w:val="005A373D"/>
    <w:rsid w:val="005A3DB4"/>
    <w:rsid w:val="005A3E8B"/>
    <w:rsid w:val="005A470F"/>
    <w:rsid w:val="005A4AA6"/>
    <w:rsid w:val="005A4BE6"/>
    <w:rsid w:val="005A4F16"/>
    <w:rsid w:val="005A53B5"/>
    <w:rsid w:val="005A545B"/>
    <w:rsid w:val="005A55AA"/>
    <w:rsid w:val="005A55E1"/>
    <w:rsid w:val="005A5FEB"/>
    <w:rsid w:val="005A6055"/>
    <w:rsid w:val="005A63D8"/>
    <w:rsid w:val="005A64E7"/>
    <w:rsid w:val="005A6A19"/>
    <w:rsid w:val="005A6D98"/>
    <w:rsid w:val="005A6E60"/>
    <w:rsid w:val="005A7A5A"/>
    <w:rsid w:val="005A7A97"/>
    <w:rsid w:val="005A7B39"/>
    <w:rsid w:val="005A7C3E"/>
    <w:rsid w:val="005A7C41"/>
    <w:rsid w:val="005A7D83"/>
    <w:rsid w:val="005B00FD"/>
    <w:rsid w:val="005B0401"/>
    <w:rsid w:val="005B0555"/>
    <w:rsid w:val="005B06C3"/>
    <w:rsid w:val="005B0B58"/>
    <w:rsid w:val="005B14FD"/>
    <w:rsid w:val="005B1742"/>
    <w:rsid w:val="005B177A"/>
    <w:rsid w:val="005B19AF"/>
    <w:rsid w:val="005B1B35"/>
    <w:rsid w:val="005B1B79"/>
    <w:rsid w:val="005B20BE"/>
    <w:rsid w:val="005B21FB"/>
    <w:rsid w:val="005B2402"/>
    <w:rsid w:val="005B275E"/>
    <w:rsid w:val="005B2BC6"/>
    <w:rsid w:val="005B2CBA"/>
    <w:rsid w:val="005B2DD6"/>
    <w:rsid w:val="005B3088"/>
    <w:rsid w:val="005B313E"/>
    <w:rsid w:val="005B3172"/>
    <w:rsid w:val="005B3B63"/>
    <w:rsid w:val="005B3D47"/>
    <w:rsid w:val="005B43B4"/>
    <w:rsid w:val="005B4483"/>
    <w:rsid w:val="005B478A"/>
    <w:rsid w:val="005B4807"/>
    <w:rsid w:val="005B4E53"/>
    <w:rsid w:val="005B53C8"/>
    <w:rsid w:val="005B561B"/>
    <w:rsid w:val="005B5857"/>
    <w:rsid w:val="005B5D81"/>
    <w:rsid w:val="005B5F6A"/>
    <w:rsid w:val="005B5FEE"/>
    <w:rsid w:val="005B60BE"/>
    <w:rsid w:val="005B61B4"/>
    <w:rsid w:val="005B61CB"/>
    <w:rsid w:val="005B61D2"/>
    <w:rsid w:val="005B6865"/>
    <w:rsid w:val="005B6A5F"/>
    <w:rsid w:val="005B6FBB"/>
    <w:rsid w:val="005B74BA"/>
    <w:rsid w:val="005B7C22"/>
    <w:rsid w:val="005C0196"/>
    <w:rsid w:val="005C05AB"/>
    <w:rsid w:val="005C05E8"/>
    <w:rsid w:val="005C06F6"/>
    <w:rsid w:val="005C1A83"/>
    <w:rsid w:val="005C1B83"/>
    <w:rsid w:val="005C21E6"/>
    <w:rsid w:val="005C224C"/>
    <w:rsid w:val="005C2253"/>
    <w:rsid w:val="005C234D"/>
    <w:rsid w:val="005C25CE"/>
    <w:rsid w:val="005C25FF"/>
    <w:rsid w:val="005C2D55"/>
    <w:rsid w:val="005C304D"/>
    <w:rsid w:val="005C3289"/>
    <w:rsid w:val="005C346B"/>
    <w:rsid w:val="005C36FF"/>
    <w:rsid w:val="005C41DE"/>
    <w:rsid w:val="005C441B"/>
    <w:rsid w:val="005C4A1B"/>
    <w:rsid w:val="005C4EC7"/>
    <w:rsid w:val="005C4F62"/>
    <w:rsid w:val="005C4F83"/>
    <w:rsid w:val="005C502D"/>
    <w:rsid w:val="005C50D6"/>
    <w:rsid w:val="005C5363"/>
    <w:rsid w:val="005C53C7"/>
    <w:rsid w:val="005C53F4"/>
    <w:rsid w:val="005C560A"/>
    <w:rsid w:val="005C57DB"/>
    <w:rsid w:val="005C5E06"/>
    <w:rsid w:val="005C6B32"/>
    <w:rsid w:val="005C6B88"/>
    <w:rsid w:val="005C6F6C"/>
    <w:rsid w:val="005C7013"/>
    <w:rsid w:val="005C72E2"/>
    <w:rsid w:val="005C7A04"/>
    <w:rsid w:val="005C7A91"/>
    <w:rsid w:val="005C7BD5"/>
    <w:rsid w:val="005D0225"/>
    <w:rsid w:val="005D044D"/>
    <w:rsid w:val="005D07BF"/>
    <w:rsid w:val="005D0846"/>
    <w:rsid w:val="005D0ABD"/>
    <w:rsid w:val="005D0B8E"/>
    <w:rsid w:val="005D10A5"/>
    <w:rsid w:val="005D1288"/>
    <w:rsid w:val="005D18AD"/>
    <w:rsid w:val="005D2084"/>
    <w:rsid w:val="005D2281"/>
    <w:rsid w:val="005D2569"/>
    <w:rsid w:val="005D26B4"/>
    <w:rsid w:val="005D3185"/>
    <w:rsid w:val="005D32EB"/>
    <w:rsid w:val="005D399A"/>
    <w:rsid w:val="005D3A3B"/>
    <w:rsid w:val="005D4000"/>
    <w:rsid w:val="005D43D2"/>
    <w:rsid w:val="005D48BE"/>
    <w:rsid w:val="005D4A36"/>
    <w:rsid w:val="005D4E32"/>
    <w:rsid w:val="005D5218"/>
    <w:rsid w:val="005D521E"/>
    <w:rsid w:val="005D5221"/>
    <w:rsid w:val="005D5310"/>
    <w:rsid w:val="005D5458"/>
    <w:rsid w:val="005D5569"/>
    <w:rsid w:val="005D55F2"/>
    <w:rsid w:val="005D59FE"/>
    <w:rsid w:val="005D5AD1"/>
    <w:rsid w:val="005D5FE9"/>
    <w:rsid w:val="005D60DB"/>
    <w:rsid w:val="005D6240"/>
    <w:rsid w:val="005D647B"/>
    <w:rsid w:val="005D6548"/>
    <w:rsid w:val="005D68F9"/>
    <w:rsid w:val="005D6C50"/>
    <w:rsid w:val="005D74B0"/>
    <w:rsid w:val="005D7A3F"/>
    <w:rsid w:val="005D7A59"/>
    <w:rsid w:val="005D7E79"/>
    <w:rsid w:val="005D7F0A"/>
    <w:rsid w:val="005E042D"/>
    <w:rsid w:val="005E083F"/>
    <w:rsid w:val="005E0A50"/>
    <w:rsid w:val="005E0C6C"/>
    <w:rsid w:val="005E0EB2"/>
    <w:rsid w:val="005E1511"/>
    <w:rsid w:val="005E18A3"/>
    <w:rsid w:val="005E1D3E"/>
    <w:rsid w:val="005E1DE6"/>
    <w:rsid w:val="005E1F09"/>
    <w:rsid w:val="005E203B"/>
    <w:rsid w:val="005E20C0"/>
    <w:rsid w:val="005E2162"/>
    <w:rsid w:val="005E2270"/>
    <w:rsid w:val="005E28B2"/>
    <w:rsid w:val="005E337A"/>
    <w:rsid w:val="005E34BA"/>
    <w:rsid w:val="005E3BFA"/>
    <w:rsid w:val="005E3EB6"/>
    <w:rsid w:val="005E3EE4"/>
    <w:rsid w:val="005E4132"/>
    <w:rsid w:val="005E447F"/>
    <w:rsid w:val="005E4502"/>
    <w:rsid w:val="005E4620"/>
    <w:rsid w:val="005E462C"/>
    <w:rsid w:val="005E49B9"/>
    <w:rsid w:val="005E4CE2"/>
    <w:rsid w:val="005E4E32"/>
    <w:rsid w:val="005E4E62"/>
    <w:rsid w:val="005E51D9"/>
    <w:rsid w:val="005E52D3"/>
    <w:rsid w:val="005E59F7"/>
    <w:rsid w:val="005E5BAC"/>
    <w:rsid w:val="005E630C"/>
    <w:rsid w:val="005E6817"/>
    <w:rsid w:val="005E69A1"/>
    <w:rsid w:val="005E6A55"/>
    <w:rsid w:val="005E6CBC"/>
    <w:rsid w:val="005E71D5"/>
    <w:rsid w:val="005E72FF"/>
    <w:rsid w:val="005E73C0"/>
    <w:rsid w:val="005E756C"/>
    <w:rsid w:val="005E78D3"/>
    <w:rsid w:val="005E790D"/>
    <w:rsid w:val="005F0802"/>
    <w:rsid w:val="005F0B75"/>
    <w:rsid w:val="005F0E0D"/>
    <w:rsid w:val="005F0E36"/>
    <w:rsid w:val="005F1001"/>
    <w:rsid w:val="005F1130"/>
    <w:rsid w:val="005F11B9"/>
    <w:rsid w:val="005F1508"/>
    <w:rsid w:val="005F17FE"/>
    <w:rsid w:val="005F1ABB"/>
    <w:rsid w:val="005F1D6A"/>
    <w:rsid w:val="005F1F8C"/>
    <w:rsid w:val="005F2021"/>
    <w:rsid w:val="005F218C"/>
    <w:rsid w:val="005F26A0"/>
    <w:rsid w:val="005F2706"/>
    <w:rsid w:val="005F2784"/>
    <w:rsid w:val="005F2867"/>
    <w:rsid w:val="005F300E"/>
    <w:rsid w:val="005F3508"/>
    <w:rsid w:val="005F3573"/>
    <w:rsid w:val="005F36F0"/>
    <w:rsid w:val="005F3CDD"/>
    <w:rsid w:val="005F4421"/>
    <w:rsid w:val="005F48F6"/>
    <w:rsid w:val="005F49A6"/>
    <w:rsid w:val="005F4A95"/>
    <w:rsid w:val="005F4DEE"/>
    <w:rsid w:val="005F5800"/>
    <w:rsid w:val="005F587F"/>
    <w:rsid w:val="005F5A96"/>
    <w:rsid w:val="005F5E1B"/>
    <w:rsid w:val="005F5E88"/>
    <w:rsid w:val="005F60CD"/>
    <w:rsid w:val="005F6746"/>
    <w:rsid w:val="005F6864"/>
    <w:rsid w:val="005F6871"/>
    <w:rsid w:val="005F6A8F"/>
    <w:rsid w:val="005F6BB7"/>
    <w:rsid w:val="005F6EA9"/>
    <w:rsid w:val="005F6FCF"/>
    <w:rsid w:val="005F70E6"/>
    <w:rsid w:val="005F72F5"/>
    <w:rsid w:val="005F7347"/>
    <w:rsid w:val="005F7351"/>
    <w:rsid w:val="005F7492"/>
    <w:rsid w:val="005F7588"/>
    <w:rsid w:val="005F776E"/>
    <w:rsid w:val="005F7E13"/>
    <w:rsid w:val="00600255"/>
    <w:rsid w:val="0060046C"/>
    <w:rsid w:val="00600E19"/>
    <w:rsid w:val="00601076"/>
    <w:rsid w:val="00601530"/>
    <w:rsid w:val="006015D9"/>
    <w:rsid w:val="0060167D"/>
    <w:rsid w:val="0060196B"/>
    <w:rsid w:val="00601E35"/>
    <w:rsid w:val="00602094"/>
    <w:rsid w:val="00602456"/>
    <w:rsid w:val="00602F1B"/>
    <w:rsid w:val="006032FD"/>
    <w:rsid w:val="006034AA"/>
    <w:rsid w:val="006037F9"/>
    <w:rsid w:val="00603DB9"/>
    <w:rsid w:val="00603E50"/>
    <w:rsid w:val="00604057"/>
    <w:rsid w:val="00604371"/>
    <w:rsid w:val="00604A00"/>
    <w:rsid w:val="00604BD7"/>
    <w:rsid w:val="00604C22"/>
    <w:rsid w:val="00604DD6"/>
    <w:rsid w:val="00604E86"/>
    <w:rsid w:val="00605019"/>
    <w:rsid w:val="006051FE"/>
    <w:rsid w:val="00605206"/>
    <w:rsid w:val="00605699"/>
    <w:rsid w:val="006057F7"/>
    <w:rsid w:val="00605928"/>
    <w:rsid w:val="00605B03"/>
    <w:rsid w:val="00605D6D"/>
    <w:rsid w:val="00605F11"/>
    <w:rsid w:val="00605FFE"/>
    <w:rsid w:val="006060F0"/>
    <w:rsid w:val="00606667"/>
    <w:rsid w:val="00606840"/>
    <w:rsid w:val="00606841"/>
    <w:rsid w:val="00606B0B"/>
    <w:rsid w:val="00606B65"/>
    <w:rsid w:val="00606E02"/>
    <w:rsid w:val="00606EA4"/>
    <w:rsid w:val="00606FBA"/>
    <w:rsid w:val="006071C3"/>
    <w:rsid w:val="0060730C"/>
    <w:rsid w:val="006074FB"/>
    <w:rsid w:val="006075B8"/>
    <w:rsid w:val="00607669"/>
    <w:rsid w:val="006076F4"/>
    <w:rsid w:val="00607714"/>
    <w:rsid w:val="0060774E"/>
    <w:rsid w:val="0060778C"/>
    <w:rsid w:val="006077FC"/>
    <w:rsid w:val="00607AFD"/>
    <w:rsid w:val="00607D07"/>
    <w:rsid w:val="00607E3A"/>
    <w:rsid w:val="0061009E"/>
    <w:rsid w:val="0061020A"/>
    <w:rsid w:val="006102EE"/>
    <w:rsid w:val="00610375"/>
    <w:rsid w:val="006103D2"/>
    <w:rsid w:val="00610516"/>
    <w:rsid w:val="00610646"/>
    <w:rsid w:val="00610EFA"/>
    <w:rsid w:val="00610F05"/>
    <w:rsid w:val="0061120E"/>
    <w:rsid w:val="00611E58"/>
    <w:rsid w:val="006122A2"/>
    <w:rsid w:val="00612350"/>
    <w:rsid w:val="006124B7"/>
    <w:rsid w:val="00612802"/>
    <w:rsid w:val="00612A3E"/>
    <w:rsid w:val="00612F97"/>
    <w:rsid w:val="0061345D"/>
    <w:rsid w:val="00613973"/>
    <w:rsid w:val="00614B35"/>
    <w:rsid w:val="00615042"/>
    <w:rsid w:val="00615237"/>
    <w:rsid w:val="0061525A"/>
    <w:rsid w:val="006152DE"/>
    <w:rsid w:val="0061549B"/>
    <w:rsid w:val="0061555D"/>
    <w:rsid w:val="006158DE"/>
    <w:rsid w:val="006159B6"/>
    <w:rsid w:val="00615D5E"/>
    <w:rsid w:val="00615E71"/>
    <w:rsid w:val="00616134"/>
    <w:rsid w:val="006162F2"/>
    <w:rsid w:val="00616802"/>
    <w:rsid w:val="00616886"/>
    <w:rsid w:val="00616947"/>
    <w:rsid w:val="006169DC"/>
    <w:rsid w:val="00616E7B"/>
    <w:rsid w:val="00616EAB"/>
    <w:rsid w:val="00616F78"/>
    <w:rsid w:val="00617129"/>
    <w:rsid w:val="006175C1"/>
    <w:rsid w:val="00617C5A"/>
    <w:rsid w:val="00617E12"/>
    <w:rsid w:val="00617E81"/>
    <w:rsid w:val="00617F79"/>
    <w:rsid w:val="006201A9"/>
    <w:rsid w:val="006203C1"/>
    <w:rsid w:val="0062046A"/>
    <w:rsid w:val="0062055A"/>
    <w:rsid w:val="0062057D"/>
    <w:rsid w:val="006205D5"/>
    <w:rsid w:val="00620729"/>
    <w:rsid w:val="00620C25"/>
    <w:rsid w:val="00620E4A"/>
    <w:rsid w:val="00620EE9"/>
    <w:rsid w:val="0062137C"/>
    <w:rsid w:val="00621477"/>
    <w:rsid w:val="006217B0"/>
    <w:rsid w:val="006218BA"/>
    <w:rsid w:val="0062193A"/>
    <w:rsid w:val="00621A1A"/>
    <w:rsid w:val="00621ADA"/>
    <w:rsid w:val="00621CBD"/>
    <w:rsid w:val="006220B5"/>
    <w:rsid w:val="006224F4"/>
    <w:rsid w:val="0062275E"/>
    <w:rsid w:val="006227A7"/>
    <w:rsid w:val="00622D6E"/>
    <w:rsid w:val="0062309D"/>
    <w:rsid w:val="006233B7"/>
    <w:rsid w:val="006234AF"/>
    <w:rsid w:val="00623A97"/>
    <w:rsid w:val="00623F7B"/>
    <w:rsid w:val="00624616"/>
    <w:rsid w:val="00624634"/>
    <w:rsid w:val="006246EA"/>
    <w:rsid w:val="00624B37"/>
    <w:rsid w:val="00624B63"/>
    <w:rsid w:val="00625321"/>
    <w:rsid w:val="006253A1"/>
    <w:rsid w:val="006256F3"/>
    <w:rsid w:val="006256FC"/>
    <w:rsid w:val="00625E92"/>
    <w:rsid w:val="006261FD"/>
    <w:rsid w:val="00626AC1"/>
    <w:rsid w:val="00626BCA"/>
    <w:rsid w:val="00626ED9"/>
    <w:rsid w:val="00626F0C"/>
    <w:rsid w:val="0062717D"/>
    <w:rsid w:val="006273CC"/>
    <w:rsid w:val="00627431"/>
    <w:rsid w:val="006274E2"/>
    <w:rsid w:val="00627940"/>
    <w:rsid w:val="00630397"/>
    <w:rsid w:val="006303DF"/>
    <w:rsid w:val="00630F84"/>
    <w:rsid w:val="00631064"/>
    <w:rsid w:val="006314CF"/>
    <w:rsid w:val="0063158F"/>
    <w:rsid w:val="0063167D"/>
    <w:rsid w:val="0063177F"/>
    <w:rsid w:val="006317E4"/>
    <w:rsid w:val="00631AC7"/>
    <w:rsid w:val="00631CBD"/>
    <w:rsid w:val="00631D6B"/>
    <w:rsid w:val="00631E13"/>
    <w:rsid w:val="00631EA1"/>
    <w:rsid w:val="00631F20"/>
    <w:rsid w:val="00631F4A"/>
    <w:rsid w:val="00632183"/>
    <w:rsid w:val="0063250A"/>
    <w:rsid w:val="00632565"/>
    <w:rsid w:val="00632701"/>
    <w:rsid w:val="00632A54"/>
    <w:rsid w:val="00632AE1"/>
    <w:rsid w:val="006330A1"/>
    <w:rsid w:val="006336DE"/>
    <w:rsid w:val="00633A06"/>
    <w:rsid w:val="00633A41"/>
    <w:rsid w:val="00633EF7"/>
    <w:rsid w:val="00633F68"/>
    <w:rsid w:val="00633F7D"/>
    <w:rsid w:val="00634257"/>
    <w:rsid w:val="006343D8"/>
    <w:rsid w:val="0063479F"/>
    <w:rsid w:val="006347D2"/>
    <w:rsid w:val="006349F7"/>
    <w:rsid w:val="00634B84"/>
    <w:rsid w:val="00634C87"/>
    <w:rsid w:val="006353F0"/>
    <w:rsid w:val="006357B5"/>
    <w:rsid w:val="006357D2"/>
    <w:rsid w:val="00635CDC"/>
    <w:rsid w:val="0063639A"/>
    <w:rsid w:val="00636440"/>
    <w:rsid w:val="006364A1"/>
    <w:rsid w:val="0063678E"/>
    <w:rsid w:val="00636794"/>
    <w:rsid w:val="0063685B"/>
    <w:rsid w:val="00636D50"/>
    <w:rsid w:val="00637057"/>
    <w:rsid w:val="00637206"/>
    <w:rsid w:val="00637629"/>
    <w:rsid w:val="00637A0C"/>
    <w:rsid w:val="00637B82"/>
    <w:rsid w:val="00637BFD"/>
    <w:rsid w:val="006403DD"/>
    <w:rsid w:val="00640638"/>
    <w:rsid w:val="00640A55"/>
    <w:rsid w:val="00640C7E"/>
    <w:rsid w:val="00640C86"/>
    <w:rsid w:val="00640F93"/>
    <w:rsid w:val="0064147E"/>
    <w:rsid w:val="0064179D"/>
    <w:rsid w:val="00641C1D"/>
    <w:rsid w:val="00641C4E"/>
    <w:rsid w:val="00641CA2"/>
    <w:rsid w:val="00641E8C"/>
    <w:rsid w:val="00641FB3"/>
    <w:rsid w:val="006424DE"/>
    <w:rsid w:val="00642B1F"/>
    <w:rsid w:val="006431E8"/>
    <w:rsid w:val="00643213"/>
    <w:rsid w:val="00643816"/>
    <w:rsid w:val="00644190"/>
    <w:rsid w:val="006441E5"/>
    <w:rsid w:val="0064427E"/>
    <w:rsid w:val="0064434C"/>
    <w:rsid w:val="00644488"/>
    <w:rsid w:val="00644D44"/>
    <w:rsid w:val="00644EDE"/>
    <w:rsid w:val="00644F29"/>
    <w:rsid w:val="00645167"/>
    <w:rsid w:val="0064552A"/>
    <w:rsid w:val="00645866"/>
    <w:rsid w:val="00645C24"/>
    <w:rsid w:val="00645D1F"/>
    <w:rsid w:val="00645E4D"/>
    <w:rsid w:val="006461C5"/>
    <w:rsid w:val="006463A4"/>
    <w:rsid w:val="00646C57"/>
    <w:rsid w:val="006471CC"/>
    <w:rsid w:val="006472A1"/>
    <w:rsid w:val="00647359"/>
    <w:rsid w:val="006479C6"/>
    <w:rsid w:val="00647A29"/>
    <w:rsid w:val="00647B00"/>
    <w:rsid w:val="006505B2"/>
    <w:rsid w:val="0065079F"/>
    <w:rsid w:val="00650932"/>
    <w:rsid w:val="00650D45"/>
    <w:rsid w:val="0065106D"/>
    <w:rsid w:val="006513D4"/>
    <w:rsid w:val="00651640"/>
    <w:rsid w:val="00651DB2"/>
    <w:rsid w:val="006525B4"/>
    <w:rsid w:val="00652A28"/>
    <w:rsid w:val="00652A96"/>
    <w:rsid w:val="00652AEF"/>
    <w:rsid w:val="006531C5"/>
    <w:rsid w:val="006533D7"/>
    <w:rsid w:val="006533EF"/>
    <w:rsid w:val="0065379F"/>
    <w:rsid w:val="0065388A"/>
    <w:rsid w:val="006539F2"/>
    <w:rsid w:val="00653CBF"/>
    <w:rsid w:val="0065400B"/>
    <w:rsid w:val="006540A4"/>
    <w:rsid w:val="006549A6"/>
    <w:rsid w:val="00654D49"/>
    <w:rsid w:val="00654DEE"/>
    <w:rsid w:val="006555BA"/>
    <w:rsid w:val="006557E4"/>
    <w:rsid w:val="00655F2D"/>
    <w:rsid w:val="00656188"/>
    <w:rsid w:val="006561E9"/>
    <w:rsid w:val="0065657A"/>
    <w:rsid w:val="00656670"/>
    <w:rsid w:val="006566E5"/>
    <w:rsid w:val="006567CB"/>
    <w:rsid w:val="00656818"/>
    <w:rsid w:val="0065715A"/>
    <w:rsid w:val="006571CE"/>
    <w:rsid w:val="0065731D"/>
    <w:rsid w:val="006573B0"/>
    <w:rsid w:val="00657D0C"/>
    <w:rsid w:val="00660105"/>
    <w:rsid w:val="00660346"/>
    <w:rsid w:val="00660768"/>
    <w:rsid w:val="006607DE"/>
    <w:rsid w:val="00660AC0"/>
    <w:rsid w:val="00660C95"/>
    <w:rsid w:val="00660D6C"/>
    <w:rsid w:val="006610F1"/>
    <w:rsid w:val="00661381"/>
    <w:rsid w:val="006615BD"/>
    <w:rsid w:val="00661C6B"/>
    <w:rsid w:val="00661DB4"/>
    <w:rsid w:val="00661EB1"/>
    <w:rsid w:val="00661F6D"/>
    <w:rsid w:val="0066201A"/>
    <w:rsid w:val="00662039"/>
    <w:rsid w:val="00662D7A"/>
    <w:rsid w:val="00663029"/>
    <w:rsid w:val="006630AA"/>
    <w:rsid w:val="006631BD"/>
    <w:rsid w:val="00663242"/>
    <w:rsid w:val="00663431"/>
    <w:rsid w:val="00663504"/>
    <w:rsid w:val="006636F4"/>
    <w:rsid w:val="00664681"/>
    <w:rsid w:val="0066487B"/>
    <w:rsid w:val="00664EBA"/>
    <w:rsid w:val="00664ED3"/>
    <w:rsid w:val="00665074"/>
    <w:rsid w:val="006653F0"/>
    <w:rsid w:val="00665517"/>
    <w:rsid w:val="006655C0"/>
    <w:rsid w:val="00665694"/>
    <w:rsid w:val="006660D1"/>
    <w:rsid w:val="00666153"/>
    <w:rsid w:val="0066646A"/>
    <w:rsid w:val="006664DA"/>
    <w:rsid w:val="00666709"/>
    <w:rsid w:val="00666797"/>
    <w:rsid w:val="00666829"/>
    <w:rsid w:val="00666CED"/>
    <w:rsid w:val="0066706B"/>
    <w:rsid w:val="0066747B"/>
    <w:rsid w:val="00667830"/>
    <w:rsid w:val="00667B56"/>
    <w:rsid w:val="00667CCF"/>
    <w:rsid w:val="00667D03"/>
    <w:rsid w:val="00667E2C"/>
    <w:rsid w:val="0067019D"/>
    <w:rsid w:val="006701FB"/>
    <w:rsid w:val="00670435"/>
    <w:rsid w:val="00670D50"/>
    <w:rsid w:val="00671004"/>
    <w:rsid w:val="006710EC"/>
    <w:rsid w:val="006712E3"/>
    <w:rsid w:val="00671AAC"/>
    <w:rsid w:val="00671BB1"/>
    <w:rsid w:val="00671BC5"/>
    <w:rsid w:val="00671CC4"/>
    <w:rsid w:val="0067208D"/>
    <w:rsid w:val="0067244E"/>
    <w:rsid w:val="00672646"/>
    <w:rsid w:val="00672956"/>
    <w:rsid w:val="00672AAD"/>
    <w:rsid w:val="00672D5A"/>
    <w:rsid w:val="006732AD"/>
    <w:rsid w:val="00673304"/>
    <w:rsid w:val="00673AC0"/>
    <w:rsid w:val="006740BE"/>
    <w:rsid w:val="006744D2"/>
    <w:rsid w:val="00674525"/>
    <w:rsid w:val="0067468B"/>
    <w:rsid w:val="0067477B"/>
    <w:rsid w:val="00674A8B"/>
    <w:rsid w:val="00674AE6"/>
    <w:rsid w:val="00674E42"/>
    <w:rsid w:val="006755A4"/>
    <w:rsid w:val="00675846"/>
    <w:rsid w:val="006759F2"/>
    <w:rsid w:val="00675A39"/>
    <w:rsid w:val="00675BBA"/>
    <w:rsid w:val="00675DFD"/>
    <w:rsid w:val="00675FB0"/>
    <w:rsid w:val="006760FD"/>
    <w:rsid w:val="00676582"/>
    <w:rsid w:val="00676720"/>
    <w:rsid w:val="0067676B"/>
    <w:rsid w:val="0067709C"/>
    <w:rsid w:val="0067753F"/>
    <w:rsid w:val="00677AC3"/>
    <w:rsid w:val="00677B6B"/>
    <w:rsid w:val="00680CE6"/>
    <w:rsid w:val="00680D43"/>
    <w:rsid w:val="00680F5F"/>
    <w:rsid w:val="006810E4"/>
    <w:rsid w:val="006813F8"/>
    <w:rsid w:val="00681750"/>
    <w:rsid w:val="006817AD"/>
    <w:rsid w:val="0068199D"/>
    <w:rsid w:val="00681EB8"/>
    <w:rsid w:val="00682112"/>
    <w:rsid w:val="006821D6"/>
    <w:rsid w:val="00682679"/>
    <w:rsid w:val="00682729"/>
    <w:rsid w:val="006827C9"/>
    <w:rsid w:val="00682BA6"/>
    <w:rsid w:val="00682E58"/>
    <w:rsid w:val="00683047"/>
    <w:rsid w:val="00683276"/>
    <w:rsid w:val="0068354F"/>
    <w:rsid w:val="00683627"/>
    <w:rsid w:val="00683786"/>
    <w:rsid w:val="00683C25"/>
    <w:rsid w:val="00683C29"/>
    <w:rsid w:val="006840C1"/>
    <w:rsid w:val="00684428"/>
    <w:rsid w:val="006847C8"/>
    <w:rsid w:val="00684B29"/>
    <w:rsid w:val="00684DC4"/>
    <w:rsid w:val="00685143"/>
    <w:rsid w:val="00685474"/>
    <w:rsid w:val="006856F1"/>
    <w:rsid w:val="00685B0E"/>
    <w:rsid w:val="00685BD9"/>
    <w:rsid w:val="00686184"/>
    <w:rsid w:val="0068642A"/>
    <w:rsid w:val="00686542"/>
    <w:rsid w:val="00686550"/>
    <w:rsid w:val="00686957"/>
    <w:rsid w:val="00686A1E"/>
    <w:rsid w:val="00686C84"/>
    <w:rsid w:val="00686F6D"/>
    <w:rsid w:val="00687171"/>
    <w:rsid w:val="006872BA"/>
    <w:rsid w:val="00687953"/>
    <w:rsid w:val="00687B78"/>
    <w:rsid w:val="00687F3D"/>
    <w:rsid w:val="006902C0"/>
    <w:rsid w:val="006906B0"/>
    <w:rsid w:val="00690795"/>
    <w:rsid w:val="00690B5E"/>
    <w:rsid w:val="00690C6E"/>
    <w:rsid w:val="00690D7B"/>
    <w:rsid w:val="006912EE"/>
    <w:rsid w:val="006913D6"/>
    <w:rsid w:val="00691648"/>
    <w:rsid w:val="006917D7"/>
    <w:rsid w:val="00691F47"/>
    <w:rsid w:val="00692157"/>
    <w:rsid w:val="006922D4"/>
    <w:rsid w:val="00692A16"/>
    <w:rsid w:val="00692A1E"/>
    <w:rsid w:val="00692DC3"/>
    <w:rsid w:val="006934FE"/>
    <w:rsid w:val="00693613"/>
    <w:rsid w:val="00693C81"/>
    <w:rsid w:val="00693F6E"/>
    <w:rsid w:val="0069434C"/>
    <w:rsid w:val="00694443"/>
    <w:rsid w:val="00694B70"/>
    <w:rsid w:val="00694BB7"/>
    <w:rsid w:val="00694C6D"/>
    <w:rsid w:val="00694D20"/>
    <w:rsid w:val="00694E22"/>
    <w:rsid w:val="00694EB2"/>
    <w:rsid w:val="00694ECC"/>
    <w:rsid w:val="00694F44"/>
    <w:rsid w:val="00695209"/>
    <w:rsid w:val="0069543C"/>
    <w:rsid w:val="006957FD"/>
    <w:rsid w:val="0069595F"/>
    <w:rsid w:val="006959DF"/>
    <w:rsid w:val="00695A84"/>
    <w:rsid w:val="00695C7A"/>
    <w:rsid w:val="00695D70"/>
    <w:rsid w:val="00695F2D"/>
    <w:rsid w:val="00695F4C"/>
    <w:rsid w:val="006962E6"/>
    <w:rsid w:val="00696574"/>
    <w:rsid w:val="00696607"/>
    <w:rsid w:val="00696B92"/>
    <w:rsid w:val="00696EB9"/>
    <w:rsid w:val="00696F1E"/>
    <w:rsid w:val="00696F51"/>
    <w:rsid w:val="0069712D"/>
    <w:rsid w:val="006973BD"/>
    <w:rsid w:val="00697520"/>
    <w:rsid w:val="006976F9"/>
    <w:rsid w:val="00697806"/>
    <w:rsid w:val="006979A5"/>
    <w:rsid w:val="00697C12"/>
    <w:rsid w:val="006A0451"/>
    <w:rsid w:val="006A0509"/>
    <w:rsid w:val="006A0540"/>
    <w:rsid w:val="006A1458"/>
    <w:rsid w:val="006A145B"/>
    <w:rsid w:val="006A17F6"/>
    <w:rsid w:val="006A185F"/>
    <w:rsid w:val="006A1991"/>
    <w:rsid w:val="006A21BD"/>
    <w:rsid w:val="006A268B"/>
    <w:rsid w:val="006A272B"/>
    <w:rsid w:val="006A3BBC"/>
    <w:rsid w:val="006A3CCE"/>
    <w:rsid w:val="006A3EDF"/>
    <w:rsid w:val="006A4302"/>
    <w:rsid w:val="006A4A55"/>
    <w:rsid w:val="006A52EB"/>
    <w:rsid w:val="006A5366"/>
    <w:rsid w:val="006A5443"/>
    <w:rsid w:val="006A544C"/>
    <w:rsid w:val="006A54F2"/>
    <w:rsid w:val="006A5980"/>
    <w:rsid w:val="006A5A34"/>
    <w:rsid w:val="006A5A56"/>
    <w:rsid w:val="006A6254"/>
    <w:rsid w:val="006A62DF"/>
    <w:rsid w:val="006A6597"/>
    <w:rsid w:val="006A6824"/>
    <w:rsid w:val="006A698D"/>
    <w:rsid w:val="006A6B99"/>
    <w:rsid w:val="006A6D94"/>
    <w:rsid w:val="006A6E7D"/>
    <w:rsid w:val="006A75CE"/>
    <w:rsid w:val="006A7873"/>
    <w:rsid w:val="006A7D84"/>
    <w:rsid w:val="006A7E5F"/>
    <w:rsid w:val="006A7E80"/>
    <w:rsid w:val="006A7EA1"/>
    <w:rsid w:val="006B0015"/>
    <w:rsid w:val="006B03B6"/>
    <w:rsid w:val="006B0514"/>
    <w:rsid w:val="006B0672"/>
    <w:rsid w:val="006B0846"/>
    <w:rsid w:val="006B0997"/>
    <w:rsid w:val="006B0A39"/>
    <w:rsid w:val="006B0AEB"/>
    <w:rsid w:val="006B0D68"/>
    <w:rsid w:val="006B0F4D"/>
    <w:rsid w:val="006B1025"/>
    <w:rsid w:val="006B117A"/>
    <w:rsid w:val="006B1436"/>
    <w:rsid w:val="006B15E9"/>
    <w:rsid w:val="006B1613"/>
    <w:rsid w:val="006B1CBA"/>
    <w:rsid w:val="006B2150"/>
    <w:rsid w:val="006B2409"/>
    <w:rsid w:val="006B2438"/>
    <w:rsid w:val="006B2501"/>
    <w:rsid w:val="006B261B"/>
    <w:rsid w:val="006B26E9"/>
    <w:rsid w:val="006B285C"/>
    <w:rsid w:val="006B2B7C"/>
    <w:rsid w:val="006B2BC1"/>
    <w:rsid w:val="006B2C90"/>
    <w:rsid w:val="006B2D04"/>
    <w:rsid w:val="006B305C"/>
    <w:rsid w:val="006B35E6"/>
    <w:rsid w:val="006B397D"/>
    <w:rsid w:val="006B3C3F"/>
    <w:rsid w:val="006B3D08"/>
    <w:rsid w:val="006B3D6B"/>
    <w:rsid w:val="006B3F22"/>
    <w:rsid w:val="006B4101"/>
    <w:rsid w:val="006B42A3"/>
    <w:rsid w:val="006B4425"/>
    <w:rsid w:val="006B44FF"/>
    <w:rsid w:val="006B465A"/>
    <w:rsid w:val="006B46F6"/>
    <w:rsid w:val="006B4C62"/>
    <w:rsid w:val="006B52D8"/>
    <w:rsid w:val="006B5C1E"/>
    <w:rsid w:val="006B5CCE"/>
    <w:rsid w:val="006B5E3A"/>
    <w:rsid w:val="006B5E9C"/>
    <w:rsid w:val="006B603E"/>
    <w:rsid w:val="006B6314"/>
    <w:rsid w:val="006B638D"/>
    <w:rsid w:val="006B6B33"/>
    <w:rsid w:val="006B6C75"/>
    <w:rsid w:val="006B6DD0"/>
    <w:rsid w:val="006B76EE"/>
    <w:rsid w:val="006B772C"/>
    <w:rsid w:val="006B7750"/>
    <w:rsid w:val="006B78B3"/>
    <w:rsid w:val="006B7A02"/>
    <w:rsid w:val="006B7C49"/>
    <w:rsid w:val="006C0399"/>
    <w:rsid w:val="006C0453"/>
    <w:rsid w:val="006C0576"/>
    <w:rsid w:val="006C06EC"/>
    <w:rsid w:val="006C0795"/>
    <w:rsid w:val="006C09AD"/>
    <w:rsid w:val="006C0DAA"/>
    <w:rsid w:val="006C0E4C"/>
    <w:rsid w:val="006C104B"/>
    <w:rsid w:val="006C10F2"/>
    <w:rsid w:val="006C1583"/>
    <w:rsid w:val="006C16ED"/>
    <w:rsid w:val="006C1817"/>
    <w:rsid w:val="006C1904"/>
    <w:rsid w:val="006C19ED"/>
    <w:rsid w:val="006C1A76"/>
    <w:rsid w:val="006C1D20"/>
    <w:rsid w:val="006C1D5A"/>
    <w:rsid w:val="006C2701"/>
    <w:rsid w:val="006C2A8E"/>
    <w:rsid w:val="006C2AAD"/>
    <w:rsid w:val="006C2AD6"/>
    <w:rsid w:val="006C2C72"/>
    <w:rsid w:val="006C2C73"/>
    <w:rsid w:val="006C2C89"/>
    <w:rsid w:val="006C2E0D"/>
    <w:rsid w:val="006C3255"/>
    <w:rsid w:val="006C345B"/>
    <w:rsid w:val="006C3735"/>
    <w:rsid w:val="006C3F26"/>
    <w:rsid w:val="006C40FE"/>
    <w:rsid w:val="006C44F6"/>
    <w:rsid w:val="006C4629"/>
    <w:rsid w:val="006C4D6B"/>
    <w:rsid w:val="006C4D80"/>
    <w:rsid w:val="006C546D"/>
    <w:rsid w:val="006C54B5"/>
    <w:rsid w:val="006C5509"/>
    <w:rsid w:val="006C566A"/>
    <w:rsid w:val="006C5F3F"/>
    <w:rsid w:val="006C6364"/>
    <w:rsid w:val="006C64E4"/>
    <w:rsid w:val="006C66E5"/>
    <w:rsid w:val="006C6B04"/>
    <w:rsid w:val="006C6DC3"/>
    <w:rsid w:val="006C790F"/>
    <w:rsid w:val="006C79AD"/>
    <w:rsid w:val="006C7D8D"/>
    <w:rsid w:val="006C7DF1"/>
    <w:rsid w:val="006C7FF9"/>
    <w:rsid w:val="006D0035"/>
    <w:rsid w:val="006D03F4"/>
    <w:rsid w:val="006D0634"/>
    <w:rsid w:val="006D0C6D"/>
    <w:rsid w:val="006D0D17"/>
    <w:rsid w:val="006D0D50"/>
    <w:rsid w:val="006D0E74"/>
    <w:rsid w:val="006D0F0B"/>
    <w:rsid w:val="006D166F"/>
    <w:rsid w:val="006D1B24"/>
    <w:rsid w:val="006D1CE5"/>
    <w:rsid w:val="006D283B"/>
    <w:rsid w:val="006D331A"/>
    <w:rsid w:val="006D3C7D"/>
    <w:rsid w:val="006D3F5E"/>
    <w:rsid w:val="006D3F90"/>
    <w:rsid w:val="006D401C"/>
    <w:rsid w:val="006D408B"/>
    <w:rsid w:val="006D42A5"/>
    <w:rsid w:val="006D42B6"/>
    <w:rsid w:val="006D4649"/>
    <w:rsid w:val="006D4659"/>
    <w:rsid w:val="006D4700"/>
    <w:rsid w:val="006D4A94"/>
    <w:rsid w:val="006D4DFB"/>
    <w:rsid w:val="006D513D"/>
    <w:rsid w:val="006D52A7"/>
    <w:rsid w:val="006D530D"/>
    <w:rsid w:val="006D5391"/>
    <w:rsid w:val="006D53BE"/>
    <w:rsid w:val="006D57FB"/>
    <w:rsid w:val="006D5D5F"/>
    <w:rsid w:val="006D601C"/>
    <w:rsid w:val="006D609D"/>
    <w:rsid w:val="006D6577"/>
    <w:rsid w:val="006D68FB"/>
    <w:rsid w:val="006D69C4"/>
    <w:rsid w:val="006D6E2A"/>
    <w:rsid w:val="006D6F28"/>
    <w:rsid w:val="006D7137"/>
    <w:rsid w:val="006D7447"/>
    <w:rsid w:val="006D75C1"/>
    <w:rsid w:val="006D7709"/>
    <w:rsid w:val="006D7712"/>
    <w:rsid w:val="006D7A9C"/>
    <w:rsid w:val="006D7B5D"/>
    <w:rsid w:val="006D7C46"/>
    <w:rsid w:val="006E0241"/>
    <w:rsid w:val="006E025A"/>
    <w:rsid w:val="006E0350"/>
    <w:rsid w:val="006E092D"/>
    <w:rsid w:val="006E1233"/>
    <w:rsid w:val="006E1404"/>
    <w:rsid w:val="006E14F9"/>
    <w:rsid w:val="006E1FDB"/>
    <w:rsid w:val="006E2703"/>
    <w:rsid w:val="006E2868"/>
    <w:rsid w:val="006E28EE"/>
    <w:rsid w:val="006E2AD9"/>
    <w:rsid w:val="006E3AF3"/>
    <w:rsid w:val="006E3C7F"/>
    <w:rsid w:val="006E3D99"/>
    <w:rsid w:val="006E3F3C"/>
    <w:rsid w:val="006E403E"/>
    <w:rsid w:val="006E4443"/>
    <w:rsid w:val="006E4469"/>
    <w:rsid w:val="006E4660"/>
    <w:rsid w:val="006E478A"/>
    <w:rsid w:val="006E48CA"/>
    <w:rsid w:val="006E49EF"/>
    <w:rsid w:val="006E4E09"/>
    <w:rsid w:val="006E50C3"/>
    <w:rsid w:val="006E5DED"/>
    <w:rsid w:val="006E603D"/>
    <w:rsid w:val="006E62D6"/>
    <w:rsid w:val="006E636A"/>
    <w:rsid w:val="006E63B9"/>
    <w:rsid w:val="006E710A"/>
    <w:rsid w:val="006E742B"/>
    <w:rsid w:val="006E7D33"/>
    <w:rsid w:val="006E7E62"/>
    <w:rsid w:val="006F0454"/>
    <w:rsid w:val="006F04FE"/>
    <w:rsid w:val="006F0592"/>
    <w:rsid w:val="006F0983"/>
    <w:rsid w:val="006F0D47"/>
    <w:rsid w:val="006F11D9"/>
    <w:rsid w:val="006F15E7"/>
    <w:rsid w:val="006F16F9"/>
    <w:rsid w:val="006F1993"/>
    <w:rsid w:val="006F1A3D"/>
    <w:rsid w:val="006F1FCE"/>
    <w:rsid w:val="006F22D3"/>
    <w:rsid w:val="006F2836"/>
    <w:rsid w:val="006F292B"/>
    <w:rsid w:val="006F2B9D"/>
    <w:rsid w:val="006F306C"/>
    <w:rsid w:val="006F319B"/>
    <w:rsid w:val="006F31D5"/>
    <w:rsid w:val="006F33A1"/>
    <w:rsid w:val="006F3721"/>
    <w:rsid w:val="006F3824"/>
    <w:rsid w:val="006F3A54"/>
    <w:rsid w:val="006F3D2F"/>
    <w:rsid w:val="006F41D1"/>
    <w:rsid w:val="006F4279"/>
    <w:rsid w:val="006F4436"/>
    <w:rsid w:val="006F44FD"/>
    <w:rsid w:val="006F487C"/>
    <w:rsid w:val="006F4A5F"/>
    <w:rsid w:val="006F4B18"/>
    <w:rsid w:val="006F4DC0"/>
    <w:rsid w:val="006F4E9C"/>
    <w:rsid w:val="006F535B"/>
    <w:rsid w:val="006F5817"/>
    <w:rsid w:val="006F5907"/>
    <w:rsid w:val="006F5A03"/>
    <w:rsid w:val="006F5B1E"/>
    <w:rsid w:val="006F5BFF"/>
    <w:rsid w:val="006F5C15"/>
    <w:rsid w:val="006F5DA7"/>
    <w:rsid w:val="006F5DAB"/>
    <w:rsid w:val="006F5ECF"/>
    <w:rsid w:val="006F630D"/>
    <w:rsid w:val="006F63A5"/>
    <w:rsid w:val="006F64E2"/>
    <w:rsid w:val="006F68A4"/>
    <w:rsid w:val="006F6915"/>
    <w:rsid w:val="006F6B01"/>
    <w:rsid w:val="006F6C47"/>
    <w:rsid w:val="006F6D8A"/>
    <w:rsid w:val="006F7210"/>
    <w:rsid w:val="006F754F"/>
    <w:rsid w:val="006F7619"/>
    <w:rsid w:val="006F784A"/>
    <w:rsid w:val="006F7A07"/>
    <w:rsid w:val="006F7E19"/>
    <w:rsid w:val="00700050"/>
    <w:rsid w:val="0070032E"/>
    <w:rsid w:val="00700332"/>
    <w:rsid w:val="007004EC"/>
    <w:rsid w:val="00700D52"/>
    <w:rsid w:val="0070142B"/>
    <w:rsid w:val="00701915"/>
    <w:rsid w:val="0070195B"/>
    <w:rsid w:val="00701DB8"/>
    <w:rsid w:val="00702563"/>
    <w:rsid w:val="0070276E"/>
    <w:rsid w:val="00702940"/>
    <w:rsid w:val="00702A4E"/>
    <w:rsid w:val="00702EAD"/>
    <w:rsid w:val="00702F8F"/>
    <w:rsid w:val="00703F24"/>
    <w:rsid w:val="00704117"/>
    <w:rsid w:val="0070433F"/>
    <w:rsid w:val="00705232"/>
    <w:rsid w:val="0070524A"/>
    <w:rsid w:val="0070578F"/>
    <w:rsid w:val="00705841"/>
    <w:rsid w:val="00705FEB"/>
    <w:rsid w:val="00706081"/>
    <w:rsid w:val="0070635A"/>
    <w:rsid w:val="007063AA"/>
    <w:rsid w:val="0070650A"/>
    <w:rsid w:val="00706600"/>
    <w:rsid w:val="0070667E"/>
    <w:rsid w:val="0070672B"/>
    <w:rsid w:val="00706846"/>
    <w:rsid w:val="00706B2B"/>
    <w:rsid w:val="007070A6"/>
    <w:rsid w:val="007071C8"/>
    <w:rsid w:val="00707629"/>
    <w:rsid w:val="007079FC"/>
    <w:rsid w:val="00707AFD"/>
    <w:rsid w:val="007104FE"/>
    <w:rsid w:val="0071051E"/>
    <w:rsid w:val="0071055B"/>
    <w:rsid w:val="00710844"/>
    <w:rsid w:val="00710B81"/>
    <w:rsid w:val="00711327"/>
    <w:rsid w:val="00711632"/>
    <w:rsid w:val="00711765"/>
    <w:rsid w:val="00711A36"/>
    <w:rsid w:val="00711B05"/>
    <w:rsid w:val="00711F0E"/>
    <w:rsid w:val="00712680"/>
    <w:rsid w:val="00712763"/>
    <w:rsid w:val="00712AEB"/>
    <w:rsid w:val="00712BC0"/>
    <w:rsid w:val="00712DAF"/>
    <w:rsid w:val="0071383B"/>
    <w:rsid w:val="00714056"/>
    <w:rsid w:val="00714085"/>
    <w:rsid w:val="00714C26"/>
    <w:rsid w:val="00714D97"/>
    <w:rsid w:val="0071529C"/>
    <w:rsid w:val="00715345"/>
    <w:rsid w:val="007155C1"/>
    <w:rsid w:val="00715627"/>
    <w:rsid w:val="0071573D"/>
    <w:rsid w:val="00715E6A"/>
    <w:rsid w:val="00715F71"/>
    <w:rsid w:val="0071619C"/>
    <w:rsid w:val="0071622C"/>
    <w:rsid w:val="00716318"/>
    <w:rsid w:val="00716461"/>
    <w:rsid w:val="0071660C"/>
    <w:rsid w:val="00716F0A"/>
    <w:rsid w:val="007170DA"/>
    <w:rsid w:val="007172AD"/>
    <w:rsid w:val="00717447"/>
    <w:rsid w:val="0071745C"/>
    <w:rsid w:val="00717A94"/>
    <w:rsid w:val="00717C22"/>
    <w:rsid w:val="00717E1E"/>
    <w:rsid w:val="007200C0"/>
    <w:rsid w:val="00720416"/>
    <w:rsid w:val="007205B0"/>
    <w:rsid w:val="00720801"/>
    <w:rsid w:val="00720A38"/>
    <w:rsid w:val="00720BB4"/>
    <w:rsid w:val="00720CF7"/>
    <w:rsid w:val="00720E42"/>
    <w:rsid w:val="00720E78"/>
    <w:rsid w:val="00720EE6"/>
    <w:rsid w:val="00721258"/>
    <w:rsid w:val="007214E9"/>
    <w:rsid w:val="00721D46"/>
    <w:rsid w:val="007220DA"/>
    <w:rsid w:val="00722254"/>
    <w:rsid w:val="007223D2"/>
    <w:rsid w:val="0072244E"/>
    <w:rsid w:val="00722867"/>
    <w:rsid w:val="0072290B"/>
    <w:rsid w:val="00722B1B"/>
    <w:rsid w:val="0072312F"/>
    <w:rsid w:val="00723311"/>
    <w:rsid w:val="00723419"/>
    <w:rsid w:val="00723739"/>
    <w:rsid w:val="00723AB0"/>
    <w:rsid w:val="00723C84"/>
    <w:rsid w:val="00723E71"/>
    <w:rsid w:val="00723E77"/>
    <w:rsid w:val="0072416F"/>
    <w:rsid w:val="0072484D"/>
    <w:rsid w:val="00724C59"/>
    <w:rsid w:val="007250CC"/>
    <w:rsid w:val="00725130"/>
    <w:rsid w:val="00725708"/>
    <w:rsid w:val="007257FC"/>
    <w:rsid w:val="00725823"/>
    <w:rsid w:val="00725955"/>
    <w:rsid w:val="00726472"/>
    <w:rsid w:val="0072675D"/>
    <w:rsid w:val="00726B03"/>
    <w:rsid w:val="00726CE0"/>
    <w:rsid w:val="00727400"/>
    <w:rsid w:val="00727C44"/>
    <w:rsid w:val="00727C94"/>
    <w:rsid w:val="0073000E"/>
    <w:rsid w:val="00730014"/>
    <w:rsid w:val="007303D3"/>
    <w:rsid w:val="00730724"/>
    <w:rsid w:val="00730726"/>
    <w:rsid w:val="00730C91"/>
    <w:rsid w:val="0073130A"/>
    <w:rsid w:val="0073166A"/>
    <w:rsid w:val="007316A3"/>
    <w:rsid w:val="00731992"/>
    <w:rsid w:val="00731B0A"/>
    <w:rsid w:val="00731C57"/>
    <w:rsid w:val="00731EAE"/>
    <w:rsid w:val="00731F1B"/>
    <w:rsid w:val="00732786"/>
    <w:rsid w:val="007327BD"/>
    <w:rsid w:val="00732863"/>
    <w:rsid w:val="007329DC"/>
    <w:rsid w:val="00732B2E"/>
    <w:rsid w:val="00732CFB"/>
    <w:rsid w:val="00733073"/>
    <w:rsid w:val="00733123"/>
    <w:rsid w:val="00733303"/>
    <w:rsid w:val="0073350A"/>
    <w:rsid w:val="007336BE"/>
    <w:rsid w:val="00733850"/>
    <w:rsid w:val="00733B39"/>
    <w:rsid w:val="00733C12"/>
    <w:rsid w:val="007340A6"/>
    <w:rsid w:val="007343B3"/>
    <w:rsid w:val="0073454F"/>
    <w:rsid w:val="00734BF5"/>
    <w:rsid w:val="00735033"/>
    <w:rsid w:val="00735056"/>
    <w:rsid w:val="00735328"/>
    <w:rsid w:val="007355BB"/>
    <w:rsid w:val="007358CD"/>
    <w:rsid w:val="00735A59"/>
    <w:rsid w:val="00735DDB"/>
    <w:rsid w:val="00735DE2"/>
    <w:rsid w:val="007360A9"/>
    <w:rsid w:val="00736151"/>
    <w:rsid w:val="00736450"/>
    <w:rsid w:val="007364FD"/>
    <w:rsid w:val="0073650D"/>
    <w:rsid w:val="0073679A"/>
    <w:rsid w:val="0073681E"/>
    <w:rsid w:val="0073685B"/>
    <w:rsid w:val="00736942"/>
    <w:rsid w:val="00736A8E"/>
    <w:rsid w:val="00736B72"/>
    <w:rsid w:val="00736BD9"/>
    <w:rsid w:val="0073704B"/>
    <w:rsid w:val="007370D0"/>
    <w:rsid w:val="007372D4"/>
    <w:rsid w:val="0073771A"/>
    <w:rsid w:val="0073792B"/>
    <w:rsid w:val="00737CFE"/>
    <w:rsid w:val="00737D29"/>
    <w:rsid w:val="007400B4"/>
    <w:rsid w:val="007403E2"/>
    <w:rsid w:val="007404B1"/>
    <w:rsid w:val="00740521"/>
    <w:rsid w:val="00740C2C"/>
    <w:rsid w:val="00740C46"/>
    <w:rsid w:val="00740CEF"/>
    <w:rsid w:val="007410A0"/>
    <w:rsid w:val="00741211"/>
    <w:rsid w:val="00741226"/>
    <w:rsid w:val="007412A1"/>
    <w:rsid w:val="007414A6"/>
    <w:rsid w:val="007414C9"/>
    <w:rsid w:val="0074176A"/>
    <w:rsid w:val="007418AE"/>
    <w:rsid w:val="00741C8B"/>
    <w:rsid w:val="0074200B"/>
    <w:rsid w:val="007420D4"/>
    <w:rsid w:val="00742EA2"/>
    <w:rsid w:val="00742EAB"/>
    <w:rsid w:val="00742F2A"/>
    <w:rsid w:val="007431AB"/>
    <w:rsid w:val="007437FC"/>
    <w:rsid w:val="00743895"/>
    <w:rsid w:val="00744339"/>
    <w:rsid w:val="00744452"/>
    <w:rsid w:val="007449BF"/>
    <w:rsid w:val="00744D55"/>
    <w:rsid w:val="007450C4"/>
    <w:rsid w:val="0074541E"/>
    <w:rsid w:val="0074558F"/>
    <w:rsid w:val="00745CC1"/>
    <w:rsid w:val="00745CDB"/>
    <w:rsid w:val="00745E2A"/>
    <w:rsid w:val="00745E50"/>
    <w:rsid w:val="00745F17"/>
    <w:rsid w:val="00746197"/>
    <w:rsid w:val="00746364"/>
    <w:rsid w:val="007463E7"/>
    <w:rsid w:val="00746708"/>
    <w:rsid w:val="00746916"/>
    <w:rsid w:val="00746917"/>
    <w:rsid w:val="00746BBB"/>
    <w:rsid w:val="00746BC0"/>
    <w:rsid w:val="007477EF"/>
    <w:rsid w:val="0074797F"/>
    <w:rsid w:val="007503A7"/>
    <w:rsid w:val="00750B95"/>
    <w:rsid w:val="00750D8F"/>
    <w:rsid w:val="00750F62"/>
    <w:rsid w:val="0075103E"/>
    <w:rsid w:val="007510B4"/>
    <w:rsid w:val="00751897"/>
    <w:rsid w:val="007519F7"/>
    <w:rsid w:val="00751B74"/>
    <w:rsid w:val="00751DAB"/>
    <w:rsid w:val="0075208E"/>
    <w:rsid w:val="00752142"/>
    <w:rsid w:val="00752197"/>
    <w:rsid w:val="007523F9"/>
    <w:rsid w:val="007524BB"/>
    <w:rsid w:val="007524D7"/>
    <w:rsid w:val="0075262F"/>
    <w:rsid w:val="007526AB"/>
    <w:rsid w:val="00752737"/>
    <w:rsid w:val="00753480"/>
    <w:rsid w:val="0075357E"/>
    <w:rsid w:val="00753660"/>
    <w:rsid w:val="007538E3"/>
    <w:rsid w:val="00753A74"/>
    <w:rsid w:val="00753D53"/>
    <w:rsid w:val="00754005"/>
    <w:rsid w:val="00754711"/>
    <w:rsid w:val="00754CC3"/>
    <w:rsid w:val="007554CE"/>
    <w:rsid w:val="00755DEA"/>
    <w:rsid w:val="00755F0B"/>
    <w:rsid w:val="0075677F"/>
    <w:rsid w:val="0075688D"/>
    <w:rsid w:val="007569D3"/>
    <w:rsid w:val="00756C49"/>
    <w:rsid w:val="00756DD6"/>
    <w:rsid w:val="00757022"/>
    <w:rsid w:val="007573E8"/>
    <w:rsid w:val="007574C5"/>
    <w:rsid w:val="0075766E"/>
    <w:rsid w:val="007576A9"/>
    <w:rsid w:val="00757E68"/>
    <w:rsid w:val="007603F9"/>
    <w:rsid w:val="007604FA"/>
    <w:rsid w:val="00760C4E"/>
    <w:rsid w:val="00760C74"/>
    <w:rsid w:val="00760F6C"/>
    <w:rsid w:val="00760F9E"/>
    <w:rsid w:val="0076129C"/>
    <w:rsid w:val="00761617"/>
    <w:rsid w:val="0076204A"/>
    <w:rsid w:val="007623A4"/>
    <w:rsid w:val="007627BE"/>
    <w:rsid w:val="007628BE"/>
    <w:rsid w:val="0076292F"/>
    <w:rsid w:val="00762934"/>
    <w:rsid w:val="00762B37"/>
    <w:rsid w:val="007631D2"/>
    <w:rsid w:val="007635ED"/>
    <w:rsid w:val="007638A5"/>
    <w:rsid w:val="0076449C"/>
    <w:rsid w:val="00764592"/>
    <w:rsid w:val="0076485F"/>
    <w:rsid w:val="00764EA3"/>
    <w:rsid w:val="00764F03"/>
    <w:rsid w:val="007650B3"/>
    <w:rsid w:val="00765311"/>
    <w:rsid w:val="00765B1A"/>
    <w:rsid w:val="00765BC1"/>
    <w:rsid w:val="00766146"/>
    <w:rsid w:val="007664B6"/>
    <w:rsid w:val="007664BF"/>
    <w:rsid w:val="0076650F"/>
    <w:rsid w:val="00766913"/>
    <w:rsid w:val="00766A1C"/>
    <w:rsid w:val="00767191"/>
    <w:rsid w:val="00767246"/>
    <w:rsid w:val="00767CAE"/>
    <w:rsid w:val="00770037"/>
    <w:rsid w:val="007700A8"/>
    <w:rsid w:val="0077025E"/>
    <w:rsid w:val="007702B1"/>
    <w:rsid w:val="00770425"/>
    <w:rsid w:val="00770743"/>
    <w:rsid w:val="007707D8"/>
    <w:rsid w:val="0077092F"/>
    <w:rsid w:val="00770AEE"/>
    <w:rsid w:val="00770C7C"/>
    <w:rsid w:val="007713B7"/>
    <w:rsid w:val="007713C1"/>
    <w:rsid w:val="00771473"/>
    <w:rsid w:val="007716DF"/>
    <w:rsid w:val="00771C45"/>
    <w:rsid w:val="00771FEA"/>
    <w:rsid w:val="00772268"/>
    <w:rsid w:val="00772406"/>
    <w:rsid w:val="007725EA"/>
    <w:rsid w:val="007729FB"/>
    <w:rsid w:val="00773366"/>
    <w:rsid w:val="00773C59"/>
    <w:rsid w:val="00774070"/>
    <w:rsid w:val="007740E3"/>
    <w:rsid w:val="00774267"/>
    <w:rsid w:val="007743D8"/>
    <w:rsid w:val="00774594"/>
    <w:rsid w:val="0077488E"/>
    <w:rsid w:val="007749C1"/>
    <w:rsid w:val="00774C44"/>
    <w:rsid w:val="00774DD2"/>
    <w:rsid w:val="00774E37"/>
    <w:rsid w:val="0077538B"/>
    <w:rsid w:val="00775672"/>
    <w:rsid w:val="007756F8"/>
    <w:rsid w:val="00775A2E"/>
    <w:rsid w:val="00775DA1"/>
    <w:rsid w:val="00775E45"/>
    <w:rsid w:val="007766D1"/>
    <w:rsid w:val="0077675B"/>
    <w:rsid w:val="007771E7"/>
    <w:rsid w:val="00777335"/>
    <w:rsid w:val="00777B67"/>
    <w:rsid w:val="00777CEF"/>
    <w:rsid w:val="0078047C"/>
    <w:rsid w:val="00780786"/>
    <w:rsid w:val="00780D87"/>
    <w:rsid w:val="00780DF5"/>
    <w:rsid w:val="00780F1E"/>
    <w:rsid w:val="00780F87"/>
    <w:rsid w:val="00781E76"/>
    <w:rsid w:val="00782234"/>
    <w:rsid w:val="007827C1"/>
    <w:rsid w:val="00783419"/>
    <w:rsid w:val="007836A0"/>
    <w:rsid w:val="007838F0"/>
    <w:rsid w:val="00783AA9"/>
    <w:rsid w:val="00783CCB"/>
    <w:rsid w:val="0078428C"/>
    <w:rsid w:val="007843F2"/>
    <w:rsid w:val="0078475C"/>
    <w:rsid w:val="007847E3"/>
    <w:rsid w:val="00784C63"/>
    <w:rsid w:val="00784E3D"/>
    <w:rsid w:val="00785092"/>
    <w:rsid w:val="00785A3F"/>
    <w:rsid w:val="00785A9F"/>
    <w:rsid w:val="00785C41"/>
    <w:rsid w:val="00786136"/>
    <w:rsid w:val="00786AD2"/>
    <w:rsid w:val="00787059"/>
    <w:rsid w:val="00787759"/>
    <w:rsid w:val="00787B6A"/>
    <w:rsid w:val="00787ED4"/>
    <w:rsid w:val="007900EA"/>
    <w:rsid w:val="00790209"/>
    <w:rsid w:val="00790249"/>
    <w:rsid w:val="00790312"/>
    <w:rsid w:val="007903C7"/>
    <w:rsid w:val="007908C9"/>
    <w:rsid w:val="00790945"/>
    <w:rsid w:val="0079112F"/>
    <w:rsid w:val="0079124F"/>
    <w:rsid w:val="007914AB"/>
    <w:rsid w:val="0079153E"/>
    <w:rsid w:val="0079184B"/>
    <w:rsid w:val="007919CD"/>
    <w:rsid w:val="00791D86"/>
    <w:rsid w:val="00792337"/>
    <w:rsid w:val="00792380"/>
    <w:rsid w:val="007925DF"/>
    <w:rsid w:val="0079276A"/>
    <w:rsid w:val="00792770"/>
    <w:rsid w:val="007927DB"/>
    <w:rsid w:val="00792950"/>
    <w:rsid w:val="00792962"/>
    <w:rsid w:val="007929FC"/>
    <w:rsid w:val="00792BEB"/>
    <w:rsid w:val="007931C2"/>
    <w:rsid w:val="007938EF"/>
    <w:rsid w:val="00793AC7"/>
    <w:rsid w:val="00793E72"/>
    <w:rsid w:val="007940F1"/>
    <w:rsid w:val="00794724"/>
    <w:rsid w:val="00794817"/>
    <w:rsid w:val="007952E7"/>
    <w:rsid w:val="00795688"/>
    <w:rsid w:val="00795BFB"/>
    <w:rsid w:val="00795C4C"/>
    <w:rsid w:val="00795D22"/>
    <w:rsid w:val="007963B2"/>
    <w:rsid w:val="00796B00"/>
    <w:rsid w:val="007979D3"/>
    <w:rsid w:val="00797AC7"/>
    <w:rsid w:val="00797CEC"/>
    <w:rsid w:val="00797CF4"/>
    <w:rsid w:val="00797D27"/>
    <w:rsid w:val="00797DA8"/>
    <w:rsid w:val="00797DD5"/>
    <w:rsid w:val="00797F57"/>
    <w:rsid w:val="007A00EA"/>
    <w:rsid w:val="007A00FA"/>
    <w:rsid w:val="007A03DA"/>
    <w:rsid w:val="007A0423"/>
    <w:rsid w:val="007A08AA"/>
    <w:rsid w:val="007A0A12"/>
    <w:rsid w:val="007A0ECC"/>
    <w:rsid w:val="007A132D"/>
    <w:rsid w:val="007A1345"/>
    <w:rsid w:val="007A22C2"/>
    <w:rsid w:val="007A24DC"/>
    <w:rsid w:val="007A2C7A"/>
    <w:rsid w:val="007A2DDB"/>
    <w:rsid w:val="007A2F1F"/>
    <w:rsid w:val="007A3038"/>
    <w:rsid w:val="007A3339"/>
    <w:rsid w:val="007A33C9"/>
    <w:rsid w:val="007A35CD"/>
    <w:rsid w:val="007A3854"/>
    <w:rsid w:val="007A395A"/>
    <w:rsid w:val="007A3A35"/>
    <w:rsid w:val="007A3F85"/>
    <w:rsid w:val="007A4308"/>
    <w:rsid w:val="007A4427"/>
    <w:rsid w:val="007A4EFE"/>
    <w:rsid w:val="007A4F1D"/>
    <w:rsid w:val="007A50CA"/>
    <w:rsid w:val="007A5170"/>
    <w:rsid w:val="007A5829"/>
    <w:rsid w:val="007A592C"/>
    <w:rsid w:val="007A5DE5"/>
    <w:rsid w:val="007A6778"/>
    <w:rsid w:val="007A6857"/>
    <w:rsid w:val="007A68C4"/>
    <w:rsid w:val="007A6922"/>
    <w:rsid w:val="007A6B47"/>
    <w:rsid w:val="007A70BA"/>
    <w:rsid w:val="007A74B0"/>
    <w:rsid w:val="007A7533"/>
    <w:rsid w:val="007A77D1"/>
    <w:rsid w:val="007A7B4F"/>
    <w:rsid w:val="007B006E"/>
    <w:rsid w:val="007B0605"/>
    <w:rsid w:val="007B0914"/>
    <w:rsid w:val="007B0D68"/>
    <w:rsid w:val="007B0EA8"/>
    <w:rsid w:val="007B1D0E"/>
    <w:rsid w:val="007B1FE6"/>
    <w:rsid w:val="007B21D4"/>
    <w:rsid w:val="007B24A5"/>
    <w:rsid w:val="007B251D"/>
    <w:rsid w:val="007B2834"/>
    <w:rsid w:val="007B298A"/>
    <w:rsid w:val="007B2ECF"/>
    <w:rsid w:val="007B3A17"/>
    <w:rsid w:val="007B3BAD"/>
    <w:rsid w:val="007B3BB9"/>
    <w:rsid w:val="007B4203"/>
    <w:rsid w:val="007B47F8"/>
    <w:rsid w:val="007B499F"/>
    <w:rsid w:val="007B4A4F"/>
    <w:rsid w:val="007B4EE5"/>
    <w:rsid w:val="007B4F58"/>
    <w:rsid w:val="007B528D"/>
    <w:rsid w:val="007B572B"/>
    <w:rsid w:val="007B5913"/>
    <w:rsid w:val="007B5BE4"/>
    <w:rsid w:val="007B6198"/>
    <w:rsid w:val="007B63CA"/>
    <w:rsid w:val="007B6E67"/>
    <w:rsid w:val="007B7044"/>
    <w:rsid w:val="007B77D1"/>
    <w:rsid w:val="007B79DD"/>
    <w:rsid w:val="007B7DBD"/>
    <w:rsid w:val="007B7F4D"/>
    <w:rsid w:val="007C0293"/>
    <w:rsid w:val="007C0794"/>
    <w:rsid w:val="007C07C7"/>
    <w:rsid w:val="007C09CE"/>
    <w:rsid w:val="007C09E7"/>
    <w:rsid w:val="007C0E21"/>
    <w:rsid w:val="007C0EBB"/>
    <w:rsid w:val="007C11A7"/>
    <w:rsid w:val="007C1438"/>
    <w:rsid w:val="007C1522"/>
    <w:rsid w:val="007C1872"/>
    <w:rsid w:val="007C1CD9"/>
    <w:rsid w:val="007C2579"/>
    <w:rsid w:val="007C2871"/>
    <w:rsid w:val="007C2CD0"/>
    <w:rsid w:val="007C32EF"/>
    <w:rsid w:val="007C3329"/>
    <w:rsid w:val="007C361D"/>
    <w:rsid w:val="007C3BDD"/>
    <w:rsid w:val="007C408B"/>
    <w:rsid w:val="007C4117"/>
    <w:rsid w:val="007C4218"/>
    <w:rsid w:val="007C4328"/>
    <w:rsid w:val="007C4B84"/>
    <w:rsid w:val="007C4CD4"/>
    <w:rsid w:val="007C519A"/>
    <w:rsid w:val="007C549C"/>
    <w:rsid w:val="007C563C"/>
    <w:rsid w:val="007C5810"/>
    <w:rsid w:val="007C581F"/>
    <w:rsid w:val="007C6365"/>
    <w:rsid w:val="007C6567"/>
    <w:rsid w:val="007C68AA"/>
    <w:rsid w:val="007C692B"/>
    <w:rsid w:val="007C6DDC"/>
    <w:rsid w:val="007C70E7"/>
    <w:rsid w:val="007C70FF"/>
    <w:rsid w:val="007C72AA"/>
    <w:rsid w:val="007C7459"/>
    <w:rsid w:val="007C7595"/>
    <w:rsid w:val="007C78CB"/>
    <w:rsid w:val="007C7A93"/>
    <w:rsid w:val="007C7ABA"/>
    <w:rsid w:val="007C7C25"/>
    <w:rsid w:val="007C7CE8"/>
    <w:rsid w:val="007D004F"/>
    <w:rsid w:val="007D01D1"/>
    <w:rsid w:val="007D06A2"/>
    <w:rsid w:val="007D0A15"/>
    <w:rsid w:val="007D0B38"/>
    <w:rsid w:val="007D101C"/>
    <w:rsid w:val="007D1042"/>
    <w:rsid w:val="007D125C"/>
    <w:rsid w:val="007D16CF"/>
    <w:rsid w:val="007D1756"/>
    <w:rsid w:val="007D1932"/>
    <w:rsid w:val="007D1D4C"/>
    <w:rsid w:val="007D26BE"/>
    <w:rsid w:val="007D279E"/>
    <w:rsid w:val="007D2944"/>
    <w:rsid w:val="007D2A9D"/>
    <w:rsid w:val="007D2DB2"/>
    <w:rsid w:val="007D3224"/>
    <w:rsid w:val="007D3929"/>
    <w:rsid w:val="007D3C6F"/>
    <w:rsid w:val="007D3D8D"/>
    <w:rsid w:val="007D4044"/>
    <w:rsid w:val="007D53BF"/>
    <w:rsid w:val="007D5440"/>
    <w:rsid w:val="007D5669"/>
    <w:rsid w:val="007D5717"/>
    <w:rsid w:val="007D5B7C"/>
    <w:rsid w:val="007D5C3E"/>
    <w:rsid w:val="007D6221"/>
    <w:rsid w:val="007D6483"/>
    <w:rsid w:val="007D66DF"/>
    <w:rsid w:val="007D6848"/>
    <w:rsid w:val="007D69EB"/>
    <w:rsid w:val="007D6C43"/>
    <w:rsid w:val="007D70B5"/>
    <w:rsid w:val="007D781C"/>
    <w:rsid w:val="007D7896"/>
    <w:rsid w:val="007E00A2"/>
    <w:rsid w:val="007E088E"/>
    <w:rsid w:val="007E09EC"/>
    <w:rsid w:val="007E0D44"/>
    <w:rsid w:val="007E0F85"/>
    <w:rsid w:val="007E101F"/>
    <w:rsid w:val="007E128F"/>
    <w:rsid w:val="007E12AD"/>
    <w:rsid w:val="007E1337"/>
    <w:rsid w:val="007E156B"/>
    <w:rsid w:val="007E1582"/>
    <w:rsid w:val="007E15B8"/>
    <w:rsid w:val="007E17CF"/>
    <w:rsid w:val="007E2850"/>
    <w:rsid w:val="007E2EF7"/>
    <w:rsid w:val="007E2F5A"/>
    <w:rsid w:val="007E2FC7"/>
    <w:rsid w:val="007E3454"/>
    <w:rsid w:val="007E3619"/>
    <w:rsid w:val="007E38EF"/>
    <w:rsid w:val="007E3973"/>
    <w:rsid w:val="007E4145"/>
    <w:rsid w:val="007E4561"/>
    <w:rsid w:val="007E45ED"/>
    <w:rsid w:val="007E4624"/>
    <w:rsid w:val="007E4B42"/>
    <w:rsid w:val="007E5763"/>
    <w:rsid w:val="007E5D39"/>
    <w:rsid w:val="007E5E87"/>
    <w:rsid w:val="007E5F92"/>
    <w:rsid w:val="007E600E"/>
    <w:rsid w:val="007E6BF0"/>
    <w:rsid w:val="007E6D80"/>
    <w:rsid w:val="007E7035"/>
    <w:rsid w:val="007E7454"/>
    <w:rsid w:val="007E75A6"/>
    <w:rsid w:val="007E7D86"/>
    <w:rsid w:val="007E7DAE"/>
    <w:rsid w:val="007E7F03"/>
    <w:rsid w:val="007F03D7"/>
    <w:rsid w:val="007F09D0"/>
    <w:rsid w:val="007F0FFD"/>
    <w:rsid w:val="007F1017"/>
    <w:rsid w:val="007F118B"/>
    <w:rsid w:val="007F134B"/>
    <w:rsid w:val="007F155A"/>
    <w:rsid w:val="007F1833"/>
    <w:rsid w:val="007F189A"/>
    <w:rsid w:val="007F1D48"/>
    <w:rsid w:val="007F215F"/>
    <w:rsid w:val="007F21A2"/>
    <w:rsid w:val="007F279C"/>
    <w:rsid w:val="007F2E28"/>
    <w:rsid w:val="007F2E3A"/>
    <w:rsid w:val="007F33C4"/>
    <w:rsid w:val="007F3AA6"/>
    <w:rsid w:val="007F3AF8"/>
    <w:rsid w:val="007F3EAD"/>
    <w:rsid w:val="007F40B1"/>
    <w:rsid w:val="007F41D6"/>
    <w:rsid w:val="007F4219"/>
    <w:rsid w:val="007F432F"/>
    <w:rsid w:val="007F4A3F"/>
    <w:rsid w:val="007F4A61"/>
    <w:rsid w:val="007F5205"/>
    <w:rsid w:val="007F5255"/>
    <w:rsid w:val="007F56CC"/>
    <w:rsid w:val="007F58B8"/>
    <w:rsid w:val="007F61C2"/>
    <w:rsid w:val="007F6254"/>
    <w:rsid w:val="007F6962"/>
    <w:rsid w:val="007F6CCC"/>
    <w:rsid w:val="007F6E25"/>
    <w:rsid w:val="007F7A2F"/>
    <w:rsid w:val="007F7CB0"/>
    <w:rsid w:val="007F7CE1"/>
    <w:rsid w:val="008000D6"/>
    <w:rsid w:val="00800193"/>
    <w:rsid w:val="008002C5"/>
    <w:rsid w:val="0080049A"/>
    <w:rsid w:val="00800C3F"/>
    <w:rsid w:val="00800CF2"/>
    <w:rsid w:val="0080118A"/>
    <w:rsid w:val="008016EA"/>
    <w:rsid w:val="00801762"/>
    <w:rsid w:val="0080177F"/>
    <w:rsid w:val="00801B71"/>
    <w:rsid w:val="008022D4"/>
    <w:rsid w:val="0080276D"/>
    <w:rsid w:val="008032B4"/>
    <w:rsid w:val="00803954"/>
    <w:rsid w:val="00803A8E"/>
    <w:rsid w:val="008040D7"/>
    <w:rsid w:val="008040DE"/>
    <w:rsid w:val="0080424A"/>
    <w:rsid w:val="00804A19"/>
    <w:rsid w:val="00804AF4"/>
    <w:rsid w:val="00804B3A"/>
    <w:rsid w:val="00804D41"/>
    <w:rsid w:val="00805142"/>
    <w:rsid w:val="00805470"/>
    <w:rsid w:val="008057A6"/>
    <w:rsid w:val="00805935"/>
    <w:rsid w:val="00805FCE"/>
    <w:rsid w:val="008062AA"/>
    <w:rsid w:val="008067C2"/>
    <w:rsid w:val="00806CC2"/>
    <w:rsid w:val="00806E3C"/>
    <w:rsid w:val="0080793F"/>
    <w:rsid w:val="00807A8B"/>
    <w:rsid w:val="00807BF6"/>
    <w:rsid w:val="00810AC3"/>
    <w:rsid w:val="00811383"/>
    <w:rsid w:val="008117CA"/>
    <w:rsid w:val="00811ADF"/>
    <w:rsid w:val="00811DC9"/>
    <w:rsid w:val="008120F5"/>
    <w:rsid w:val="00812149"/>
    <w:rsid w:val="008121B7"/>
    <w:rsid w:val="008123F3"/>
    <w:rsid w:val="00812573"/>
    <w:rsid w:val="008126B0"/>
    <w:rsid w:val="00812873"/>
    <w:rsid w:val="00812B85"/>
    <w:rsid w:val="00812C36"/>
    <w:rsid w:val="00812CAC"/>
    <w:rsid w:val="00812EFE"/>
    <w:rsid w:val="0081309F"/>
    <w:rsid w:val="008130CB"/>
    <w:rsid w:val="00813538"/>
    <w:rsid w:val="008138DB"/>
    <w:rsid w:val="008139E3"/>
    <w:rsid w:val="00813DFB"/>
    <w:rsid w:val="0081420A"/>
    <w:rsid w:val="008142DB"/>
    <w:rsid w:val="0081474D"/>
    <w:rsid w:val="00814998"/>
    <w:rsid w:val="00814AE4"/>
    <w:rsid w:val="00815183"/>
    <w:rsid w:val="008151CA"/>
    <w:rsid w:val="00815520"/>
    <w:rsid w:val="00815D9C"/>
    <w:rsid w:val="0081607B"/>
    <w:rsid w:val="00816361"/>
    <w:rsid w:val="00816506"/>
    <w:rsid w:val="008166EF"/>
    <w:rsid w:val="00816F98"/>
    <w:rsid w:val="00816FEF"/>
    <w:rsid w:val="00817362"/>
    <w:rsid w:val="0081737B"/>
    <w:rsid w:val="008174FF"/>
    <w:rsid w:val="00817650"/>
    <w:rsid w:val="00817A17"/>
    <w:rsid w:val="00820018"/>
    <w:rsid w:val="00820127"/>
    <w:rsid w:val="00820675"/>
    <w:rsid w:val="00820A8C"/>
    <w:rsid w:val="00820FDB"/>
    <w:rsid w:val="00821304"/>
    <w:rsid w:val="008215FB"/>
    <w:rsid w:val="00821715"/>
    <w:rsid w:val="0082193E"/>
    <w:rsid w:val="00821C34"/>
    <w:rsid w:val="00822B5B"/>
    <w:rsid w:val="00822C02"/>
    <w:rsid w:val="00822FB1"/>
    <w:rsid w:val="008230AB"/>
    <w:rsid w:val="00823174"/>
    <w:rsid w:val="0082324F"/>
    <w:rsid w:val="008232B6"/>
    <w:rsid w:val="008234A9"/>
    <w:rsid w:val="008236A9"/>
    <w:rsid w:val="008236C4"/>
    <w:rsid w:val="008236CC"/>
    <w:rsid w:val="00823769"/>
    <w:rsid w:val="00823C81"/>
    <w:rsid w:val="00824905"/>
    <w:rsid w:val="00824E49"/>
    <w:rsid w:val="0082507C"/>
    <w:rsid w:val="008251A5"/>
    <w:rsid w:val="00825751"/>
    <w:rsid w:val="00825754"/>
    <w:rsid w:val="00825758"/>
    <w:rsid w:val="008259E2"/>
    <w:rsid w:val="00825CF7"/>
    <w:rsid w:val="00826352"/>
    <w:rsid w:val="008264EB"/>
    <w:rsid w:val="00826A28"/>
    <w:rsid w:val="00826AFF"/>
    <w:rsid w:val="00826B21"/>
    <w:rsid w:val="00827152"/>
    <w:rsid w:val="0082731C"/>
    <w:rsid w:val="00827410"/>
    <w:rsid w:val="00827440"/>
    <w:rsid w:val="00827A3C"/>
    <w:rsid w:val="00827B06"/>
    <w:rsid w:val="00827EF1"/>
    <w:rsid w:val="008303FB"/>
    <w:rsid w:val="00830B33"/>
    <w:rsid w:val="00830C8E"/>
    <w:rsid w:val="00830E6A"/>
    <w:rsid w:val="00831644"/>
    <w:rsid w:val="00831646"/>
    <w:rsid w:val="00831A2C"/>
    <w:rsid w:val="00831C27"/>
    <w:rsid w:val="00832135"/>
    <w:rsid w:val="00832197"/>
    <w:rsid w:val="00832C71"/>
    <w:rsid w:val="00832FFD"/>
    <w:rsid w:val="008331B6"/>
    <w:rsid w:val="008333BB"/>
    <w:rsid w:val="00833752"/>
    <w:rsid w:val="008337DF"/>
    <w:rsid w:val="00833B05"/>
    <w:rsid w:val="00834067"/>
    <w:rsid w:val="008347D6"/>
    <w:rsid w:val="0083515F"/>
    <w:rsid w:val="008351DA"/>
    <w:rsid w:val="00835572"/>
    <w:rsid w:val="008355FB"/>
    <w:rsid w:val="00835A7C"/>
    <w:rsid w:val="00836226"/>
    <w:rsid w:val="008362B4"/>
    <w:rsid w:val="00836300"/>
    <w:rsid w:val="0083635E"/>
    <w:rsid w:val="0083636D"/>
    <w:rsid w:val="00836428"/>
    <w:rsid w:val="0083665A"/>
    <w:rsid w:val="00836C0A"/>
    <w:rsid w:val="0083703A"/>
    <w:rsid w:val="00837146"/>
    <w:rsid w:val="0083771F"/>
    <w:rsid w:val="00837C11"/>
    <w:rsid w:val="00837D8C"/>
    <w:rsid w:val="00837ED5"/>
    <w:rsid w:val="008408E4"/>
    <w:rsid w:val="0084099B"/>
    <w:rsid w:val="00840A4B"/>
    <w:rsid w:val="00840CA2"/>
    <w:rsid w:val="00840E16"/>
    <w:rsid w:val="00841039"/>
    <w:rsid w:val="008411DC"/>
    <w:rsid w:val="0084134F"/>
    <w:rsid w:val="008423A1"/>
    <w:rsid w:val="00842518"/>
    <w:rsid w:val="008425B2"/>
    <w:rsid w:val="008429A1"/>
    <w:rsid w:val="00842E8F"/>
    <w:rsid w:val="00843127"/>
    <w:rsid w:val="00843546"/>
    <w:rsid w:val="0084374F"/>
    <w:rsid w:val="00843848"/>
    <w:rsid w:val="008439D5"/>
    <w:rsid w:val="00843BC0"/>
    <w:rsid w:val="0084425D"/>
    <w:rsid w:val="008444DF"/>
    <w:rsid w:val="00844A22"/>
    <w:rsid w:val="00844D06"/>
    <w:rsid w:val="00844F19"/>
    <w:rsid w:val="0084510F"/>
    <w:rsid w:val="0084536D"/>
    <w:rsid w:val="008454FB"/>
    <w:rsid w:val="0084563A"/>
    <w:rsid w:val="00845820"/>
    <w:rsid w:val="00845B14"/>
    <w:rsid w:val="00845B66"/>
    <w:rsid w:val="00845EB1"/>
    <w:rsid w:val="0084629A"/>
    <w:rsid w:val="00846405"/>
    <w:rsid w:val="00846428"/>
    <w:rsid w:val="00846510"/>
    <w:rsid w:val="00846803"/>
    <w:rsid w:val="00846ADF"/>
    <w:rsid w:val="00846B1B"/>
    <w:rsid w:val="00846CB1"/>
    <w:rsid w:val="00847703"/>
    <w:rsid w:val="00847743"/>
    <w:rsid w:val="00847DF5"/>
    <w:rsid w:val="00847F2C"/>
    <w:rsid w:val="008503FA"/>
    <w:rsid w:val="0085066B"/>
    <w:rsid w:val="008507DF"/>
    <w:rsid w:val="00850D4D"/>
    <w:rsid w:val="00851351"/>
    <w:rsid w:val="008515C6"/>
    <w:rsid w:val="00851A76"/>
    <w:rsid w:val="00851A7F"/>
    <w:rsid w:val="0085265B"/>
    <w:rsid w:val="00852933"/>
    <w:rsid w:val="00852A86"/>
    <w:rsid w:val="0085309D"/>
    <w:rsid w:val="00853843"/>
    <w:rsid w:val="008539D4"/>
    <w:rsid w:val="00853B28"/>
    <w:rsid w:val="00853F9C"/>
    <w:rsid w:val="00854460"/>
    <w:rsid w:val="00854564"/>
    <w:rsid w:val="00855721"/>
    <w:rsid w:val="00855C6D"/>
    <w:rsid w:val="00855D4D"/>
    <w:rsid w:val="00856024"/>
    <w:rsid w:val="0085602B"/>
    <w:rsid w:val="008560F5"/>
    <w:rsid w:val="008562C8"/>
    <w:rsid w:val="00856460"/>
    <w:rsid w:val="00856897"/>
    <w:rsid w:val="0085691D"/>
    <w:rsid w:val="0085694E"/>
    <w:rsid w:val="00856E9A"/>
    <w:rsid w:val="00856F5C"/>
    <w:rsid w:val="00856F99"/>
    <w:rsid w:val="00856FD5"/>
    <w:rsid w:val="00857024"/>
    <w:rsid w:val="0085738A"/>
    <w:rsid w:val="00857640"/>
    <w:rsid w:val="008579F2"/>
    <w:rsid w:val="00857D14"/>
    <w:rsid w:val="00860157"/>
    <w:rsid w:val="00860367"/>
    <w:rsid w:val="00860620"/>
    <w:rsid w:val="0086075D"/>
    <w:rsid w:val="008614CB"/>
    <w:rsid w:val="00861556"/>
    <w:rsid w:val="00861834"/>
    <w:rsid w:val="00861B51"/>
    <w:rsid w:val="00861FE5"/>
    <w:rsid w:val="008621F4"/>
    <w:rsid w:val="008622D6"/>
    <w:rsid w:val="00862502"/>
    <w:rsid w:val="00862689"/>
    <w:rsid w:val="00862AD7"/>
    <w:rsid w:val="00862CC1"/>
    <w:rsid w:val="00862CD3"/>
    <w:rsid w:val="008633AC"/>
    <w:rsid w:val="0086365D"/>
    <w:rsid w:val="00863737"/>
    <w:rsid w:val="008637A5"/>
    <w:rsid w:val="00863B11"/>
    <w:rsid w:val="00863EFE"/>
    <w:rsid w:val="008640E6"/>
    <w:rsid w:val="00864384"/>
    <w:rsid w:val="00864706"/>
    <w:rsid w:val="00864978"/>
    <w:rsid w:val="00864BE8"/>
    <w:rsid w:val="00864C76"/>
    <w:rsid w:val="00864D50"/>
    <w:rsid w:val="00865276"/>
    <w:rsid w:val="00865567"/>
    <w:rsid w:val="00865B52"/>
    <w:rsid w:val="00865B7F"/>
    <w:rsid w:val="008660D4"/>
    <w:rsid w:val="00866143"/>
    <w:rsid w:val="008663E4"/>
    <w:rsid w:val="00866757"/>
    <w:rsid w:val="00866786"/>
    <w:rsid w:val="0086688D"/>
    <w:rsid w:val="00866A4C"/>
    <w:rsid w:val="00866BC1"/>
    <w:rsid w:val="00866D48"/>
    <w:rsid w:val="00866E71"/>
    <w:rsid w:val="00866E8D"/>
    <w:rsid w:val="00867258"/>
    <w:rsid w:val="00867615"/>
    <w:rsid w:val="00867639"/>
    <w:rsid w:val="0086773B"/>
    <w:rsid w:val="0086789B"/>
    <w:rsid w:val="008679C8"/>
    <w:rsid w:val="008679CA"/>
    <w:rsid w:val="00867A88"/>
    <w:rsid w:val="00867BE0"/>
    <w:rsid w:val="00867C05"/>
    <w:rsid w:val="00867F90"/>
    <w:rsid w:val="00870671"/>
    <w:rsid w:val="00870972"/>
    <w:rsid w:val="00870ADD"/>
    <w:rsid w:val="00870C65"/>
    <w:rsid w:val="008717AB"/>
    <w:rsid w:val="00871EE0"/>
    <w:rsid w:val="00871FA9"/>
    <w:rsid w:val="00872692"/>
    <w:rsid w:val="008728E9"/>
    <w:rsid w:val="0087296A"/>
    <w:rsid w:val="00872A86"/>
    <w:rsid w:val="00872AE6"/>
    <w:rsid w:val="0087359D"/>
    <w:rsid w:val="008738D4"/>
    <w:rsid w:val="0087398E"/>
    <w:rsid w:val="00873E41"/>
    <w:rsid w:val="00873EAA"/>
    <w:rsid w:val="008740A9"/>
    <w:rsid w:val="00874302"/>
    <w:rsid w:val="00874636"/>
    <w:rsid w:val="008749A6"/>
    <w:rsid w:val="00874F11"/>
    <w:rsid w:val="00874FB4"/>
    <w:rsid w:val="00875048"/>
    <w:rsid w:val="008753D4"/>
    <w:rsid w:val="00875431"/>
    <w:rsid w:val="008758C8"/>
    <w:rsid w:val="0087608D"/>
    <w:rsid w:val="00876164"/>
    <w:rsid w:val="008763BA"/>
    <w:rsid w:val="00876C3D"/>
    <w:rsid w:val="00877073"/>
    <w:rsid w:val="00877164"/>
    <w:rsid w:val="00877AB5"/>
    <w:rsid w:val="00880186"/>
    <w:rsid w:val="0088092B"/>
    <w:rsid w:val="00880989"/>
    <w:rsid w:val="00880E18"/>
    <w:rsid w:val="00880FFC"/>
    <w:rsid w:val="00881454"/>
    <w:rsid w:val="008817A6"/>
    <w:rsid w:val="008818C8"/>
    <w:rsid w:val="00881C3D"/>
    <w:rsid w:val="00881E1D"/>
    <w:rsid w:val="00882486"/>
    <w:rsid w:val="008826D6"/>
    <w:rsid w:val="00882874"/>
    <w:rsid w:val="008828A4"/>
    <w:rsid w:val="00882D1F"/>
    <w:rsid w:val="00882E3C"/>
    <w:rsid w:val="00882FE5"/>
    <w:rsid w:val="00883669"/>
    <w:rsid w:val="00883787"/>
    <w:rsid w:val="00883B12"/>
    <w:rsid w:val="00884179"/>
    <w:rsid w:val="008841BC"/>
    <w:rsid w:val="00884297"/>
    <w:rsid w:val="0088450A"/>
    <w:rsid w:val="00884617"/>
    <w:rsid w:val="00884691"/>
    <w:rsid w:val="00884784"/>
    <w:rsid w:val="008848A2"/>
    <w:rsid w:val="008848DA"/>
    <w:rsid w:val="008848ED"/>
    <w:rsid w:val="00884B47"/>
    <w:rsid w:val="00884C30"/>
    <w:rsid w:val="00884FEE"/>
    <w:rsid w:val="00885435"/>
    <w:rsid w:val="008854C1"/>
    <w:rsid w:val="0088557E"/>
    <w:rsid w:val="008855E4"/>
    <w:rsid w:val="0088571F"/>
    <w:rsid w:val="008858EC"/>
    <w:rsid w:val="00885A6E"/>
    <w:rsid w:val="00885AC3"/>
    <w:rsid w:val="00885FC8"/>
    <w:rsid w:val="00886419"/>
    <w:rsid w:val="00886669"/>
    <w:rsid w:val="00886CD2"/>
    <w:rsid w:val="00886DAC"/>
    <w:rsid w:val="008870FE"/>
    <w:rsid w:val="00887108"/>
    <w:rsid w:val="008872AC"/>
    <w:rsid w:val="008874C1"/>
    <w:rsid w:val="00887B6B"/>
    <w:rsid w:val="00887DCB"/>
    <w:rsid w:val="00890014"/>
    <w:rsid w:val="00890318"/>
    <w:rsid w:val="00890356"/>
    <w:rsid w:val="008906D1"/>
    <w:rsid w:val="00890D87"/>
    <w:rsid w:val="00890E19"/>
    <w:rsid w:val="00891A60"/>
    <w:rsid w:val="00891C77"/>
    <w:rsid w:val="00891E6F"/>
    <w:rsid w:val="00891EB0"/>
    <w:rsid w:val="00892242"/>
    <w:rsid w:val="00892471"/>
    <w:rsid w:val="00892759"/>
    <w:rsid w:val="0089275D"/>
    <w:rsid w:val="00892A0C"/>
    <w:rsid w:val="00892A36"/>
    <w:rsid w:val="00892A3A"/>
    <w:rsid w:val="00893126"/>
    <w:rsid w:val="00893239"/>
    <w:rsid w:val="00893DF7"/>
    <w:rsid w:val="00893E41"/>
    <w:rsid w:val="00893F78"/>
    <w:rsid w:val="00893FDB"/>
    <w:rsid w:val="008940D0"/>
    <w:rsid w:val="0089418E"/>
    <w:rsid w:val="00894270"/>
    <w:rsid w:val="00894489"/>
    <w:rsid w:val="008945A8"/>
    <w:rsid w:val="008945CD"/>
    <w:rsid w:val="00894A74"/>
    <w:rsid w:val="00894FD7"/>
    <w:rsid w:val="008952D9"/>
    <w:rsid w:val="008955CF"/>
    <w:rsid w:val="00895878"/>
    <w:rsid w:val="00895941"/>
    <w:rsid w:val="00895C1A"/>
    <w:rsid w:val="00895C3E"/>
    <w:rsid w:val="00895FF5"/>
    <w:rsid w:val="00896218"/>
    <w:rsid w:val="0089623D"/>
    <w:rsid w:val="008963A5"/>
    <w:rsid w:val="008965D7"/>
    <w:rsid w:val="00896D5D"/>
    <w:rsid w:val="00896F3F"/>
    <w:rsid w:val="00897955"/>
    <w:rsid w:val="00897FE2"/>
    <w:rsid w:val="008A0364"/>
    <w:rsid w:val="008A05A8"/>
    <w:rsid w:val="008A155A"/>
    <w:rsid w:val="008A158A"/>
    <w:rsid w:val="008A19DB"/>
    <w:rsid w:val="008A1F7C"/>
    <w:rsid w:val="008A1FCD"/>
    <w:rsid w:val="008A22CB"/>
    <w:rsid w:val="008A23DC"/>
    <w:rsid w:val="008A3363"/>
    <w:rsid w:val="008A3371"/>
    <w:rsid w:val="008A3381"/>
    <w:rsid w:val="008A3C3E"/>
    <w:rsid w:val="008A3EF3"/>
    <w:rsid w:val="008A4295"/>
    <w:rsid w:val="008A49A3"/>
    <w:rsid w:val="008A49C7"/>
    <w:rsid w:val="008A500D"/>
    <w:rsid w:val="008A5564"/>
    <w:rsid w:val="008A56CB"/>
    <w:rsid w:val="008A587B"/>
    <w:rsid w:val="008A6162"/>
    <w:rsid w:val="008A6598"/>
    <w:rsid w:val="008A6911"/>
    <w:rsid w:val="008A7017"/>
    <w:rsid w:val="008A7276"/>
    <w:rsid w:val="008A7734"/>
    <w:rsid w:val="008A77D0"/>
    <w:rsid w:val="008A78CB"/>
    <w:rsid w:val="008A79DE"/>
    <w:rsid w:val="008A7F9F"/>
    <w:rsid w:val="008B0064"/>
    <w:rsid w:val="008B096E"/>
    <w:rsid w:val="008B0E50"/>
    <w:rsid w:val="008B1054"/>
    <w:rsid w:val="008B1630"/>
    <w:rsid w:val="008B1757"/>
    <w:rsid w:val="008B182D"/>
    <w:rsid w:val="008B1A4A"/>
    <w:rsid w:val="008B1B28"/>
    <w:rsid w:val="008B1CAF"/>
    <w:rsid w:val="008B2344"/>
    <w:rsid w:val="008B2546"/>
    <w:rsid w:val="008B263E"/>
    <w:rsid w:val="008B268E"/>
    <w:rsid w:val="008B27F9"/>
    <w:rsid w:val="008B2882"/>
    <w:rsid w:val="008B28A7"/>
    <w:rsid w:val="008B32D8"/>
    <w:rsid w:val="008B348C"/>
    <w:rsid w:val="008B3654"/>
    <w:rsid w:val="008B3693"/>
    <w:rsid w:val="008B3A0A"/>
    <w:rsid w:val="008B3A6D"/>
    <w:rsid w:val="008B43E0"/>
    <w:rsid w:val="008B44E1"/>
    <w:rsid w:val="008B4544"/>
    <w:rsid w:val="008B4997"/>
    <w:rsid w:val="008B49CD"/>
    <w:rsid w:val="008B4A3A"/>
    <w:rsid w:val="008B4F83"/>
    <w:rsid w:val="008B4FCA"/>
    <w:rsid w:val="008B5077"/>
    <w:rsid w:val="008B5944"/>
    <w:rsid w:val="008B624D"/>
    <w:rsid w:val="008B6715"/>
    <w:rsid w:val="008B6D52"/>
    <w:rsid w:val="008B6DFD"/>
    <w:rsid w:val="008B72B8"/>
    <w:rsid w:val="008B78A5"/>
    <w:rsid w:val="008B7992"/>
    <w:rsid w:val="008B79FB"/>
    <w:rsid w:val="008B7A04"/>
    <w:rsid w:val="008B7D7E"/>
    <w:rsid w:val="008B7DB3"/>
    <w:rsid w:val="008C0008"/>
    <w:rsid w:val="008C0323"/>
    <w:rsid w:val="008C09BE"/>
    <w:rsid w:val="008C0B86"/>
    <w:rsid w:val="008C0BFB"/>
    <w:rsid w:val="008C0E1B"/>
    <w:rsid w:val="008C0E39"/>
    <w:rsid w:val="008C0F9C"/>
    <w:rsid w:val="008C0F9F"/>
    <w:rsid w:val="008C12A3"/>
    <w:rsid w:val="008C1398"/>
    <w:rsid w:val="008C1676"/>
    <w:rsid w:val="008C16A3"/>
    <w:rsid w:val="008C1815"/>
    <w:rsid w:val="008C1EC5"/>
    <w:rsid w:val="008C1F44"/>
    <w:rsid w:val="008C22C5"/>
    <w:rsid w:val="008C24B5"/>
    <w:rsid w:val="008C2ADD"/>
    <w:rsid w:val="008C2C22"/>
    <w:rsid w:val="008C2F7A"/>
    <w:rsid w:val="008C3509"/>
    <w:rsid w:val="008C36F8"/>
    <w:rsid w:val="008C3A6C"/>
    <w:rsid w:val="008C3C8C"/>
    <w:rsid w:val="008C40B5"/>
    <w:rsid w:val="008C4628"/>
    <w:rsid w:val="008C4C32"/>
    <w:rsid w:val="008C4F19"/>
    <w:rsid w:val="008C5610"/>
    <w:rsid w:val="008C5739"/>
    <w:rsid w:val="008C5B31"/>
    <w:rsid w:val="008C615C"/>
    <w:rsid w:val="008C620B"/>
    <w:rsid w:val="008C692F"/>
    <w:rsid w:val="008C6B24"/>
    <w:rsid w:val="008C7133"/>
    <w:rsid w:val="008C7259"/>
    <w:rsid w:val="008C72CA"/>
    <w:rsid w:val="008C72D4"/>
    <w:rsid w:val="008C756B"/>
    <w:rsid w:val="008C7BA7"/>
    <w:rsid w:val="008C7C8A"/>
    <w:rsid w:val="008C7D9F"/>
    <w:rsid w:val="008C7ECB"/>
    <w:rsid w:val="008D02B2"/>
    <w:rsid w:val="008D060F"/>
    <w:rsid w:val="008D0643"/>
    <w:rsid w:val="008D1965"/>
    <w:rsid w:val="008D1B24"/>
    <w:rsid w:val="008D2056"/>
    <w:rsid w:val="008D2252"/>
    <w:rsid w:val="008D22E9"/>
    <w:rsid w:val="008D2906"/>
    <w:rsid w:val="008D2E69"/>
    <w:rsid w:val="008D36FA"/>
    <w:rsid w:val="008D3A73"/>
    <w:rsid w:val="008D3B86"/>
    <w:rsid w:val="008D3C1B"/>
    <w:rsid w:val="008D403C"/>
    <w:rsid w:val="008D40AF"/>
    <w:rsid w:val="008D45DE"/>
    <w:rsid w:val="008D4755"/>
    <w:rsid w:val="008D481A"/>
    <w:rsid w:val="008D49F1"/>
    <w:rsid w:val="008D4B2E"/>
    <w:rsid w:val="008D4B5D"/>
    <w:rsid w:val="008D4B7A"/>
    <w:rsid w:val="008D4C3D"/>
    <w:rsid w:val="008D5243"/>
    <w:rsid w:val="008D595D"/>
    <w:rsid w:val="008D5C87"/>
    <w:rsid w:val="008D5CBF"/>
    <w:rsid w:val="008D5D8C"/>
    <w:rsid w:val="008D62D1"/>
    <w:rsid w:val="008D6531"/>
    <w:rsid w:val="008D6890"/>
    <w:rsid w:val="008D6AE4"/>
    <w:rsid w:val="008D6B53"/>
    <w:rsid w:val="008D6C67"/>
    <w:rsid w:val="008D7336"/>
    <w:rsid w:val="008D743C"/>
    <w:rsid w:val="008D7575"/>
    <w:rsid w:val="008D75A4"/>
    <w:rsid w:val="008D7831"/>
    <w:rsid w:val="008D78CD"/>
    <w:rsid w:val="008D7B88"/>
    <w:rsid w:val="008E00A7"/>
    <w:rsid w:val="008E0C8B"/>
    <w:rsid w:val="008E0D3C"/>
    <w:rsid w:val="008E110D"/>
    <w:rsid w:val="008E135B"/>
    <w:rsid w:val="008E1A9A"/>
    <w:rsid w:val="008E1B9E"/>
    <w:rsid w:val="008E1FE6"/>
    <w:rsid w:val="008E25FA"/>
    <w:rsid w:val="008E29BF"/>
    <w:rsid w:val="008E2F17"/>
    <w:rsid w:val="008E348C"/>
    <w:rsid w:val="008E38B4"/>
    <w:rsid w:val="008E3B9A"/>
    <w:rsid w:val="008E3CC1"/>
    <w:rsid w:val="008E3CC3"/>
    <w:rsid w:val="008E410D"/>
    <w:rsid w:val="008E439F"/>
    <w:rsid w:val="008E44EE"/>
    <w:rsid w:val="008E4911"/>
    <w:rsid w:val="008E4A39"/>
    <w:rsid w:val="008E4D81"/>
    <w:rsid w:val="008E4DE0"/>
    <w:rsid w:val="008E4EA0"/>
    <w:rsid w:val="008E4F12"/>
    <w:rsid w:val="008E55AB"/>
    <w:rsid w:val="008E5AB3"/>
    <w:rsid w:val="008E6454"/>
    <w:rsid w:val="008E6522"/>
    <w:rsid w:val="008E67C6"/>
    <w:rsid w:val="008E6829"/>
    <w:rsid w:val="008E69A4"/>
    <w:rsid w:val="008E6A06"/>
    <w:rsid w:val="008E6ECF"/>
    <w:rsid w:val="008E6FA9"/>
    <w:rsid w:val="008E7535"/>
    <w:rsid w:val="008E75FB"/>
    <w:rsid w:val="008E7686"/>
    <w:rsid w:val="008E780E"/>
    <w:rsid w:val="008E788E"/>
    <w:rsid w:val="008E78BD"/>
    <w:rsid w:val="008E793A"/>
    <w:rsid w:val="008E7A44"/>
    <w:rsid w:val="008E7A98"/>
    <w:rsid w:val="008E7DAE"/>
    <w:rsid w:val="008E7E97"/>
    <w:rsid w:val="008F0591"/>
    <w:rsid w:val="008F06C9"/>
    <w:rsid w:val="008F0A26"/>
    <w:rsid w:val="008F1100"/>
    <w:rsid w:val="008F120A"/>
    <w:rsid w:val="008F227C"/>
    <w:rsid w:val="008F2299"/>
    <w:rsid w:val="008F27E0"/>
    <w:rsid w:val="008F289D"/>
    <w:rsid w:val="008F2B32"/>
    <w:rsid w:val="008F2BD1"/>
    <w:rsid w:val="008F2E31"/>
    <w:rsid w:val="008F2F04"/>
    <w:rsid w:val="008F37C9"/>
    <w:rsid w:val="008F37EB"/>
    <w:rsid w:val="008F3E66"/>
    <w:rsid w:val="008F3EF7"/>
    <w:rsid w:val="008F4080"/>
    <w:rsid w:val="008F40EF"/>
    <w:rsid w:val="008F435A"/>
    <w:rsid w:val="008F4581"/>
    <w:rsid w:val="008F476A"/>
    <w:rsid w:val="008F4789"/>
    <w:rsid w:val="008F48EB"/>
    <w:rsid w:val="008F4A08"/>
    <w:rsid w:val="008F4B49"/>
    <w:rsid w:val="008F4CF3"/>
    <w:rsid w:val="008F4F0B"/>
    <w:rsid w:val="008F4F14"/>
    <w:rsid w:val="008F4F68"/>
    <w:rsid w:val="008F509E"/>
    <w:rsid w:val="008F5677"/>
    <w:rsid w:val="008F599D"/>
    <w:rsid w:val="008F6009"/>
    <w:rsid w:val="008F6069"/>
    <w:rsid w:val="008F6985"/>
    <w:rsid w:val="008F69B7"/>
    <w:rsid w:val="008F6CDC"/>
    <w:rsid w:val="008F703E"/>
    <w:rsid w:val="008F71B4"/>
    <w:rsid w:val="008F7573"/>
    <w:rsid w:val="008F7976"/>
    <w:rsid w:val="008F7D2A"/>
    <w:rsid w:val="009001B2"/>
    <w:rsid w:val="00900281"/>
    <w:rsid w:val="009003C6"/>
    <w:rsid w:val="00900D31"/>
    <w:rsid w:val="00900DD6"/>
    <w:rsid w:val="00900F3E"/>
    <w:rsid w:val="00901469"/>
    <w:rsid w:val="00901595"/>
    <w:rsid w:val="00901B89"/>
    <w:rsid w:val="00901BA6"/>
    <w:rsid w:val="0090218F"/>
    <w:rsid w:val="009028ED"/>
    <w:rsid w:val="00902A30"/>
    <w:rsid w:val="00902D29"/>
    <w:rsid w:val="00902D54"/>
    <w:rsid w:val="00902E55"/>
    <w:rsid w:val="0090322D"/>
    <w:rsid w:val="00903290"/>
    <w:rsid w:val="00903575"/>
    <w:rsid w:val="00903581"/>
    <w:rsid w:val="009039C3"/>
    <w:rsid w:val="00903EBC"/>
    <w:rsid w:val="0090409F"/>
    <w:rsid w:val="009040E2"/>
    <w:rsid w:val="00904235"/>
    <w:rsid w:val="0090459B"/>
    <w:rsid w:val="009046C4"/>
    <w:rsid w:val="00904760"/>
    <w:rsid w:val="00904877"/>
    <w:rsid w:val="00905322"/>
    <w:rsid w:val="009053B8"/>
    <w:rsid w:val="009057E6"/>
    <w:rsid w:val="009062A5"/>
    <w:rsid w:val="0090656B"/>
    <w:rsid w:val="00906971"/>
    <w:rsid w:val="0090698F"/>
    <w:rsid w:val="00906A67"/>
    <w:rsid w:val="00906AD0"/>
    <w:rsid w:val="00906C43"/>
    <w:rsid w:val="00906FD6"/>
    <w:rsid w:val="00907147"/>
    <w:rsid w:val="0090714A"/>
    <w:rsid w:val="009072B0"/>
    <w:rsid w:val="0090743B"/>
    <w:rsid w:val="00907DD5"/>
    <w:rsid w:val="00907ECE"/>
    <w:rsid w:val="00910350"/>
    <w:rsid w:val="0091044C"/>
    <w:rsid w:val="009107BD"/>
    <w:rsid w:val="009109A1"/>
    <w:rsid w:val="00910FA7"/>
    <w:rsid w:val="00911026"/>
    <w:rsid w:val="00911071"/>
    <w:rsid w:val="00911272"/>
    <w:rsid w:val="0091155C"/>
    <w:rsid w:val="00911B4F"/>
    <w:rsid w:val="00911E04"/>
    <w:rsid w:val="00911E9B"/>
    <w:rsid w:val="00911F21"/>
    <w:rsid w:val="0091218B"/>
    <w:rsid w:val="009124E0"/>
    <w:rsid w:val="0091252C"/>
    <w:rsid w:val="009126AB"/>
    <w:rsid w:val="009128E1"/>
    <w:rsid w:val="00912988"/>
    <w:rsid w:val="00912A04"/>
    <w:rsid w:val="00912A35"/>
    <w:rsid w:val="00912C96"/>
    <w:rsid w:val="009130A6"/>
    <w:rsid w:val="0091349E"/>
    <w:rsid w:val="009135D6"/>
    <w:rsid w:val="00913AFB"/>
    <w:rsid w:val="00913D09"/>
    <w:rsid w:val="00913D26"/>
    <w:rsid w:val="00914078"/>
    <w:rsid w:val="0091413C"/>
    <w:rsid w:val="009148F0"/>
    <w:rsid w:val="009149AA"/>
    <w:rsid w:val="00914C77"/>
    <w:rsid w:val="00915065"/>
    <w:rsid w:val="00915094"/>
    <w:rsid w:val="009153FC"/>
    <w:rsid w:val="0091581E"/>
    <w:rsid w:val="00915970"/>
    <w:rsid w:val="0091676A"/>
    <w:rsid w:val="00917483"/>
    <w:rsid w:val="0091749E"/>
    <w:rsid w:val="00917BBC"/>
    <w:rsid w:val="00920437"/>
    <w:rsid w:val="00920701"/>
    <w:rsid w:val="009209E9"/>
    <w:rsid w:val="00920D67"/>
    <w:rsid w:val="00921047"/>
    <w:rsid w:val="009212F5"/>
    <w:rsid w:val="009213A1"/>
    <w:rsid w:val="009213AD"/>
    <w:rsid w:val="00921898"/>
    <w:rsid w:val="009218F7"/>
    <w:rsid w:val="00921ACB"/>
    <w:rsid w:val="00921E9F"/>
    <w:rsid w:val="00922605"/>
    <w:rsid w:val="00922D23"/>
    <w:rsid w:val="00922D86"/>
    <w:rsid w:val="0092369B"/>
    <w:rsid w:val="009237D8"/>
    <w:rsid w:val="00923982"/>
    <w:rsid w:val="0092398E"/>
    <w:rsid w:val="00923B52"/>
    <w:rsid w:val="00923C16"/>
    <w:rsid w:val="00923E05"/>
    <w:rsid w:val="00924258"/>
    <w:rsid w:val="00924C26"/>
    <w:rsid w:val="00924CFD"/>
    <w:rsid w:val="00924D28"/>
    <w:rsid w:val="00925204"/>
    <w:rsid w:val="009252D7"/>
    <w:rsid w:val="00925B2D"/>
    <w:rsid w:val="00925C74"/>
    <w:rsid w:val="009263DC"/>
    <w:rsid w:val="0092650C"/>
    <w:rsid w:val="00926757"/>
    <w:rsid w:val="009267EA"/>
    <w:rsid w:val="00926AD5"/>
    <w:rsid w:val="00926EA0"/>
    <w:rsid w:val="0092727B"/>
    <w:rsid w:val="009278CE"/>
    <w:rsid w:val="00927F0A"/>
    <w:rsid w:val="00930111"/>
    <w:rsid w:val="00930947"/>
    <w:rsid w:val="00930C85"/>
    <w:rsid w:val="00930D5E"/>
    <w:rsid w:val="00930F05"/>
    <w:rsid w:val="00930F76"/>
    <w:rsid w:val="009319CB"/>
    <w:rsid w:val="00931AF7"/>
    <w:rsid w:val="00931C16"/>
    <w:rsid w:val="00931CA4"/>
    <w:rsid w:val="00931DEB"/>
    <w:rsid w:val="00932481"/>
    <w:rsid w:val="009324D4"/>
    <w:rsid w:val="009329BC"/>
    <w:rsid w:val="00932D54"/>
    <w:rsid w:val="00932DBE"/>
    <w:rsid w:val="00933145"/>
    <w:rsid w:val="009334DD"/>
    <w:rsid w:val="00933878"/>
    <w:rsid w:val="0093396C"/>
    <w:rsid w:val="0093413A"/>
    <w:rsid w:val="0093433A"/>
    <w:rsid w:val="00934503"/>
    <w:rsid w:val="00934577"/>
    <w:rsid w:val="0093484A"/>
    <w:rsid w:val="00934988"/>
    <w:rsid w:val="00934D10"/>
    <w:rsid w:val="00935029"/>
    <w:rsid w:val="00935F07"/>
    <w:rsid w:val="00935F0C"/>
    <w:rsid w:val="0093638B"/>
    <w:rsid w:val="0093651B"/>
    <w:rsid w:val="00936969"/>
    <w:rsid w:val="00936ABE"/>
    <w:rsid w:val="00936C2B"/>
    <w:rsid w:val="00937089"/>
    <w:rsid w:val="009373F5"/>
    <w:rsid w:val="00937403"/>
    <w:rsid w:val="00937CC1"/>
    <w:rsid w:val="00937E38"/>
    <w:rsid w:val="00937E97"/>
    <w:rsid w:val="00937F6D"/>
    <w:rsid w:val="00937FBA"/>
    <w:rsid w:val="00940853"/>
    <w:rsid w:val="00940D5F"/>
    <w:rsid w:val="00941718"/>
    <w:rsid w:val="00941886"/>
    <w:rsid w:val="00941C1F"/>
    <w:rsid w:val="0094202A"/>
    <w:rsid w:val="00942405"/>
    <w:rsid w:val="009424B7"/>
    <w:rsid w:val="00942913"/>
    <w:rsid w:val="009429B1"/>
    <w:rsid w:val="009429C8"/>
    <w:rsid w:val="00943641"/>
    <w:rsid w:val="009436A1"/>
    <w:rsid w:val="00943EE5"/>
    <w:rsid w:val="009442B0"/>
    <w:rsid w:val="0094460C"/>
    <w:rsid w:val="00944834"/>
    <w:rsid w:val="009448F9"/>
    <w:rsid w:val="00944F8A"/>
    <w:rsid w:val="00945021"/>
    <w:rsid w:val="00945058"/>
    <w:rsid w:val="009451D4"/>
    <w:rsid w:val="009451DF"/>
    <w:rsid w:val="009453F0"/>
    <w:rsid w:val="00945754"/>
    <w:rsid w:val="00945B88"/>
    <w:rsid w:val="00946C2E"/>
    <w:rsid w:val="00946E20"/>
    <w:rsid w:val="00946F63"/>
    <w:rsid w:val="00947259"/>
    <w:rsid w:val="00947900"/>
    <w:rsid w:val="00947C9B"/>
    <w:rsid w:val="0095005F"/>
    <w:rsid w:val="009500D3"/>
    <w:rsid w:val="00950328"/>
    <w:rsid w:val="009508E0"/>
    <w:rsid w:val="00950D5C"/>
    <w:rsid w:val="009510A2"/>
    <w:rsid w:val="00951649"/>
    <w:rsid w:val="00951742"/>
    <w:rsid w:val="00951783"/>
    <w:rsid w:val="009517E7"/>
    <w:rsid w:val="009518BF"/>
    <w:rsid w:val="0095229C"/>
    <w:rsid w:val="00952503"/>
    <w:rsid w:val="00953257"/>
    <w:rsid w:val="00953345"/>
    <w:rsid w:val="00953508"/>
    <w:rsid w:val="00953974"/>
    <w:rsid w:val="009539A4"/>
    <w:rsid w:val="00953A45"/>
    <w:rsid w:val="00953AC6"/>
    <w:rsid w:val="00953BD1"/>
    <w:rsid w:val="00953DA8"/>
    <w:rsid w:val="00954734"/>
    <w:rsid w:val="0095474C"/>
    <w:rsid w:val="0095521E"/>
    <w:rsid w:val="00955868"/>
    <w:rsid w:val="00955B28"/>
    <w:rsid w:val="00956363"/>
    <w:rsid w:val="009563DC"/>
    <w:rsid w:val="009566D5"/>
    <w:rsid w:val="009567DD"/>
    <w:rsid w:val="00956E7D"/>
    <w:rsid w:val="009574BA"/>
    <w:rsid w:val="009575B2"/>
    <w:rsid w:val="00957795"/>
    <w:rsid w:val="00957975"/>
    <w:rsid w:val="00957A17"/>
    <w:rsid w:val="009602A6"/>
    <w:rsid w:val="009603E8"/>
    <w:rsid w:val="00960611"/>
    <w:rsid w:val="00960702"/>
    <w:rsid w:val="009607AD"/>
    <w:rsid w:val="00961016"/>
    <w:rsid w:val="00961276"/>
    <w:rsid w:val="00961584"/>
    <w:rsid w:val="00961A67"/>
    <w:rsid w:val="00961BA0"/>
    <w:rsid w:val="00961E35"/>
    <w:rsid w:val="00961E85"/>
    <w:rsid w:val="00962103"/>
    <w:rsid w:val="00962A06"/>
    <w:rsid w:val="00962CB9"/>
    <w:rsid w:val="00963039"/>
    <w:rsid w:val="0096339B"/>
    <w:rsid w:val="009634D2"/>
    <w:rsid w:val="0096407E"/>
    <w:rsid w:val="00964085"/>
    <w:rsid w:val="00964312"/>
    <w:rsid w:val="00964922"/>
    <w:rsid w:val="0096496F"/>
    <w:rsid w:val="00965565"/>
    <w:rsid w:val="00965689"/>
    <w:rsid w:val="009656C2"/>
    <w:rsid w:val="00965B6D"/>
    <w:rsid w:val="00965B8A"/>
    <w:rsid w:val="0096623C"/>
    <w:rsid w:val="00966316"/>
    <w:rsid w:val="00966584"/>
    <w:rsid w:val="00966666"/>
    <w:rsid w:val="009666BF"/>
    <w:rsid w:val="0096723D"/>
    <w:rsid w:val="0096787B"/>
    <w:rsid w:val="00967C43"/>
    <w:rsid w:val="00967DC8"/>
    <w:rsid w:val="00970338"/>
    <w:rsid w:val="0097033F"/>
    <w:rsid w:val="0097071F"/>
    <w:rsid w:val="00970AB8"/>
    <w:rsid w:val="00970AEB"/>
    <w:rsid w:val="00970F75"/>
    <w:rsid w:val="00971670"/>
    <w:rsid w:val="009716C1"/>
    <w:rsid w:val="009717AC"/>
    <w:rsid w:val="00971A4E"/>
    <w:rsid w:val="0097225C"/>
    <w:rsid w:val="00972260"/>
    <w:rsid w:val="009722C3"/>
    <w:rsid w:val="00972919"/>
    <w:rsid w:val="00972BCA"/>
    <w:rsid w:val="00972DD3"/>
    <w:rsid w:val="0097311A"/>
    <w:rsid w:val="009733F8"/>
    <w:rsid w:val="00973A21"/>
    <w:rsid w:val="00973A6E"/>
    <w:rsid w:val="00973ACF"/>
    <w:rsid w:val="00973FB0"/>
    <w:rsid w:val="009740AD"/>
    <w:rsid w:val="00974205"/>
    <w:rsid w:val="009747D7"/>
    <w:rsid w:val="00974CD4"/>
    <w:rsid w:val="009750A5"/>
    <w:rsid w:val="009751C1"/>
    <w:rsid w:val="00975391"/>
    <w:rsid w:val="0097555F"/>
    <w:rsid w:val="00975C9B"/>
    <w:rsid w:val="0097673C"/>
    <w:rsid w:val="0097677B"/>
    <w:rsid w:val="0097683B"/>
    <w:rsid w:val="00976987"/>
    <w:rsid w:val="009769DA"/>
    <w:rsid w:val="00976A9E"/>
    <w:rsid w:val="00976DE4"/>
    <w:rsid w:val="00976E93"/>
    <w:rsid w:val="009770B3"/>
    <w:rsid w:val="0097722F"/>
    <w:rsid w:val="00977310"/>
    <w:rsid w:val="0097766A"/>
    <w:rsid w:val="009778F7"/>
    <w:rsid w:val="00977C7E"/>
    <w:rsid w:val="009805D2"/>
    <w:rsid w:val="00980620"/>
    <w:rsid w:val="009811E8"/>
    <w:rsid w:val="009811EB"/>
    <w:rsid w:val="009811F1"/>
    <w:rsid w:val="009812C2"/>
    <w:rsid w:val="00981778"/>
    <w:rsid w:val="009818A0"/>
    <w:rsid w:val="00981D6E"/>
    <w:rsid w:val="00981E1E"/>
    <w:rsid w:val="00981E3D"/>
    <w:rsid w:val="00981F15"/>
    <w:rsid w:val="0098225A"/>
    <w:rsid w:val="0098245E"/>
    <w:rsid w:val="00982624"/>
    <w:rsid w:val="009837B9"/>
    <w:rsid w:val="0098397E"/>
    <w:rsid w:val="00983CBA"/>
    <w:rsid w:val="00983E57"/>
    <w:rsid w:val="00984471"/>
    <w:rsid w:val="00984975"/>
    <w:rsid w:val="00984AD4"/>
    <w:rsid w:val="00984F42"/>
    <w:rsid w:val="00985825"/>
    <w:rsid w:val="00985A91"/>
    <w:rsid w:val="00985AD4"/>
    <w:rsid w:val="00985C11"/>
    <w:rsid w:val="00985DE2"/>
    <w:rsid w:val="009860A5"/>
    <w:rsid w:val="00986296"/>
    <w:rsid w:val="0098644E"/>
    <w:rsid w:val="0098675D"/>
    <w:rsid w:val="00986B4E"/>
    <w:rsid w:val="00986C90"/>
    <w:rsid w:val="0098716B"/>
    <w:rsid w:val="009872A8"/>
    <w:rsid w:val="00987A01"/>
    <w:rsid w:val="00987D49"/>
    <w:rsid w:val="009909B2"/>
    <w:rsid w:val="00990AD0"/>
    <w:rsid w:val="0099104E"/>
    <w:rsid w:val="009911BE"/>
    <w:rsid w:val="009914EF"/>
    <w:rsid w:val="0099166A"/>
    <w:rsid w:val="00991A60"/>
    <w:rsid w:val="00991D3C"/>
    <w:rsid w:val="00991F19"/>
    <w:rsid w:val="00992059"/>
    <w:rsid w:val="009921C1"/>
    <w:rsid w:val="00992474"/>
    <w:rsid w:val="009926E0"/>
    <w:rsid w:val="0099299A"/>
    <w:rsid w:val="00992C38"/>
    <w:rsid w:val="00992D33"/>
    <w:rsid w:val="00992D51"/>
    <w:rsid w:val="009938F0"/>
    <w:rsid w:val="00993A95"/>
    <w:rsid w:val="00993AD8"/>
    <w:rsid w:val="00993F39"/>
    <w:rsid w:val="00993F44"/>
    <w:rsid w:val="00994192"/>
    <w:rsid w:val="0099451E"/>
    <w:rsid w:val="00994C0D"/>
    <w:rsid w:val="00994C32"/>
    <w:rsid w:val="00994E4D"/>
    <w:rsid w:val="00995004"/>
    <w:rsid w:val="009950F0"/>
    <w:rsid w:val="009950F5"/>
    <w:rsid w:val="00995274"/>
    <w:rsid w:val="0099544C"/>
    <w:rsid w:val="009959EC"/>
    <w:rsid w:val="00995BC1"/>
    <w:rsid w:val="00995D5D"/>
    <w:rsid w:val="00995EC1"/>
    <w:rsid w:val="0099615D"/>
    <w:rsid w:val="00996B1A"/>
    <w:rsid w:val="00996E04"/>
    <w:rsid w:val="00997948"/>
    <w:rsid w:val="00997BA4"/>
    <w:rsid w:val="00997D69"/>
    <w:rsid w:val="009A021C"/>
    <w:rsid w:val="009A0239"/>
    <w:rsid w:val="009A084B"/>
    <w:rsid w:val="009A0F5B"/>
    <w:rsid w:val="009A1305"/>
    <w:rsid w:val="009A16B1"/>
    <w:rsid w:val="009A1722"/>
    <w:rsid w:val="009A1C21"/>
    <w:rsid w:val="009A1D68"/>
    <w:rsid w:val="009A203C"/>
    <w:rsid w:val="009A2301"/>
    <w:rsid w:val="009A230D"/>
    <w:rsid w:val="009A2493"/>
    <w:rsid w:val="009A250B"/>
    <w:rsid w:val="009A2633"/>
    <w:rsid w:val="009A295A"/>
    <w:rsid w:val="009A2BAB"/>
    <w:rsid w:val="009A2DCC"/>
    <w:rsid w:val="009A2DEE"/>
    <w:rsid w:val="009A3541"/>
    <w:rsid w:val="009A3974"/>
    <w:rsid w:val="009A39D0"/>
    <w:rsid w:val="009A3E1B"/>
    <w:rsid w:val="009A3E6F"/>
    <w:rsid w:val="009A3EFB"/>
    <w:rsid w:val="009A4560"/>
    <w:rsid w:val="009A49AA"/>
    <w:rsid w:val="009A4A1B"/>
    <w:rsid w:val="009A4B2D"/>
    <w:rsid w:val="009A53F6"/>
    <w:rsid w:val="009A554A"/>
    <w:rsid w:val="009A5645"/>
    <w:rsid w:val="009A590D"/>
    <w:rsid w:val="009A5A4F"/>
    <w:rsid w:val="009A5ABC"/>
    <w:rsid w:val="009A5CCE"/>
    <w:rsid w:val="009A5EB1"/>
    <w:rsid w:val="009A6040"/>
    <w:rsid w:val="009A6383"/>
    <w:rsid w:val="009A63C6"/>
    <w:rsid w:val="009A63EE"/>
    <w:rsid w:val="009A6530"/>
    <w:rsid w:val="009A698F"/>
    <w:rsid w:val="009A6CD1"/>
    <w:rsid w:val="009A6E1F"/>
    <w:rsid w:val="009A736D"/>
    <w:rsid w:val="009A75B1"/>
    <w:rsid w:val="009A7765"/>
    <w:rsid w:val="009A7F10"/>
    <w:rsid w:val="009B0190"/>
    <w:rsid w:val="009B0200"/>
    <w:rsid w:val="009B05E5"/>
    <w:rsid w:val="009B0617"/>
    <w:rsid w:val="009B0935"/>
    <w:rsid w:val="009B0946"/>
    <w:rsid w:val="009B0B38"/>
    <w:rsid w:val="009B0EC1"/>
    <w:rsid w:val="009B1413"/>
    <w:rsid w:val="009B1537"/>
    <w:rsid w:val="009B162A"/>
    <w:rsid w:val="009B1B25"/>
    <w:rsid w:val="009B244A"/>
    <w:rsid w:val="009B2753"/>
    <w:rsid w:val="009B29D8"/>
    <w:rsid w:val="009B29EE"/>
    <w:rsid w:val="009B2DDE"/>
    <w:rsid w:val="009B2E1D"/>
    <w:rsid w:val="009B324E"/>
    <w:rsid w:val="009B35F3"/>
    <w:rsid w:val="009B3B0B"/>
    <w:rsid w:val="009B3E26"/>
    <w:rsid w:val="009B3F3A"/>
    <w:rsid w:val="009B449B"/>
    <w:rsid w:val="009B44C7"/>
    <w:rsid w:val="009B4BAE"/>
    <w:rsid w:val="009B4C58"/>
    <w:rsid w:val="009B4FEB"/>
    <w:rsid w:val="009B5631"/>
    <w:rsid w:val="009B575B"/>
    <w:rsid w:val="009B59BD"/>
    <w:rsid w:val="009B5A6D"/>
    <w:rsid w:val="009B6740"/>
    <w:rsid w:val="009B6C26"/>
    <w:rsid w:val="009B7CBE"/>
    <w:rsid w:val="009B7D62"/>
    <w:rsid w:val="009B7DE9"/>
    <w:rsid w:val="009C0873"/>
    <w:rsid w:val="009C0927"/>
    <w:rsid w:val="009C0EFC"/>
    <w:rsid w:val="009C13B0"/>
    <w:rsid w:val="009C1E59"/>
    <w:rsid w:val="009C1ED4"/>
    <w:rsid w:val="009C22E1"/>
    <w:rsid w:val="009C247F"/>
    <w:rsid w:val="009C2711"/>
    <w:rsid w:val="009C28BF"/>
    <w:rsid w:val="009C2ECD"/>
    <w:rsid w:val="009C34A8"/>
    <w:rsid w:val="009C3706"/>
    <w:rsid w:val="009C3A3A"/>
    <w:rsid w:val="009C3AB6"/>
    <w:rsid w:val="009C43E8"/>
    <w:rsid w:val="009C493D"/>
    <w:rsid w:val="009C4B5C"/>
    <w:rsid w:val="009C4EE5"/>
    <w:rsid w:val="009C5181"/>
    <w:rsid w:val="009C51E5"/>
    <w:rsid w:val="009C570F"/>
    <w:rsid w:val="009C57FD"/>
    <w:rsid w:val="009C5B68"/>
    <w:rsid w:val="009C5CEC"/>
    <w:rsid w:val="009C5D7C"/>
    <w:rsid w:val="009C5F23"/>
    <w:rsid w:val="009C6055"/>
    <w:rsid w:val="009C67AF"/>
    <w:rsid w:val="009C67DA"/>
    <w:rsid w:val="009C6CEA"/>
    <w:rsid w:val="009C7064"/>
    <w:rsid w:val="009C7545"/>
    <w:rsid w:val="009C777F"/>
    <w:rsid w:val="009C78D6"/>
    <w:rsid w:val="009C7AE3"/>
    <w:rsid w:val="009C7B85"/>
    <w:rsid w:val="009C7CB4"/>
    <w:rsid w:val="009D00B9"/>
    <w:rsid w:val="009D0177"/>
    <w:rsid w:val="009D0254"/>
    <w:rsid w:val="009D0799"/>
    <w:rsid w:val="009D0D98"/>
    <w:rsid w:val="009D0DC4"/>
    <w:rsid w:val="009D141B"/>
    <w:rsid w:val="009D1605"/>
    <w:rsid w:val="009D17F1"/>
    <w:rsid w:val="009D1A64"/>
    <w:rsid w:val="009D1CFF"/>
    <w:rsid w:val="009D1D01"/>
    <w:rsid w:val="009D22D6"/>
    <w:rsid w:val="009D2845"/>
    <w:rsid w:val="009D2EED"/>
    <w:rsid w:val="009D2F51"/>
    <w:rsid w:val="009D2FD5"/>
    <w:rsid w:val="009D3827"/>
    <w:rsid w:val="009D38BC"/>
    <w:rsid w:val="009D3C93"/>
    <w:rsid w:val="009D3E2D"/>
    <w:rsid w:val="009D3E2E"/>
    <w:rsid w:val="009D400A"/>
    <w:rsid w:val="009D42CE"/>
    <w:rsid w:val="009D4348"/>
    <w:rsid w:val="009D47A7"/>
    <w:rsid w:val="009D4C6D"/>
    <w:rsid w:val="009D52E3"/>
    <w:rsid w:val="009D584E"/>
    <w:rsid w:val="009D5B91"/>
    <w:rsid w:val="009D5C41"/>
    <w:rsid w:val="009D6AE3"/>
    <w:rsid w:val="009D6D95"/>
    <w:rsid w:val="009D716F"/>
    <w:rsid w:val="009D71C8"/>
    <w:rsid w:val="009D7353"/>
    <w:rsid w:val="009D752D"/>
    <w:rsid w:val="009D759E"/>
    <w:rsid w:val="009D7718"/>
    <w:rsid w:val="009D792E"/>
    <w:rsid w:val="009D7A44"/>
    <w:rsid w:val="009D7B11"/>
    <w:rsid w:val="009D7C4B"/>
    <w:rsid w:val="009D7C8F"/>
    <w:rsid w:val="009D7DB3"/>
    <w:rsid w:val="009D7FB9"/>
    <w:rsid w:val="009E051E"/>
    <w:rsid w:val="009E05E0"/>
    <w:rsid w:val="009E08A9"/>
    <w:rsid w:val="009E0C0A"/>
    <w:rsid w:val="009E0DFE"/>
    <w:rsid w:val="009E0F0E"/>
    <w:rsid w:val="009E1063"/>
    <w:rsid w:val="009E1D3B"/>
    <w:rsid w:val="009E2001"/>
    <w:rsid w:val="009E2787"/>
    <w:rsid w:val="009E2E64"/>
    <w:rsid w:val="009E31E3"/>
    <w:rsid w:val="009E31F6"/>
    <w:rsid w:val="009E3C46"/>
    <w:rsid w:val="009E3C5F"/>
    <w:rsid w:val="009E424D"/>
    <w:rsid w:val="009E4451"/>
    <w:rsid w:val="009E4590"/>
    <w:rsid w:val="009E4932"/>
    <w:rsid w:val="009E4C07"/>
    <w:rsid w:val="009E4E26"/>
    <w:rsid w:val="009E51BE"/>
    <w:rsid w:val="009E5221"/>
    <w:rsid w:val="009E55DF"/>
    <w:rsid w:val="009E55F5"/>
    <w:rsid w:val="009E5EB3"/>
    <w:rsid w:val="009E5FE4"/>
    <w:rsid w:val="009E6075"/>
    <w:rsid w:val="009E639D"/>
    <w:rsid w:val="009E68BD"/>
    <w:rsid w:val="009E6D63"/>
    <w:rsid w:val="009E7504"/>
    <w:rsid w:val="009E7965"/>
    <w:rsid w:val="009E7998"/>
    <w:rsid w:val="009E7AD7"/>
    <w:rsid w:val="009E7AF7"/>
    <w:rsid w:val="009E7BB0"/>
    <w:rsid w:val="009E7C49"/>
    <w:rsid w:val="009F0080"/>
    <w:rsid w:val="009F01BA"/>
    <w:rsid w:val="009F059C"/>
    <w:rsid w:val="009F09E8"/>
    <w:rsid w:val="009F0DF0"/>
    <w:rsid w:val="009F0FF3"/>
    <w:rsid w:val="009F1286"/>
    <w:rsid w:val="009F13BA"/>
    <w:rsid w:val="009F1908"/>
    <w:rsid w:val="009F1AD8"/>
    <w:rsid w:val="009F27A3"/>
    <w:rsid w:val="009F2A8F"/>
    <w:rsid w:val="009F2C88"/>
    <w:rsid w:val="009F2CF0"/>
    <w:rsid w:val="009F383E"/>
    <w:rsid w:val="009F390B"/>
    <w:rsid w:val="009F3995"/>
    <w:rsid w:val="009F3FE6"/>
    <w:rsid w:val="009F4318"/>
    <w:rsid w:val="009F45B9"/>
    <w:rsid w:val="009F4650"/>
    <w:rsid w:val="009F473A"/>
    <w:rsid w:val="009F4754"/>
    <w:rsid w:val="009F4A58"/>
    <w:rsid w:val="009F4CB6"/>
    <w:rsid w:val="009F54FC"/>
    <w:rsid w:val="009F577A"/>
    <w:rsid w:val="009F57E3"/>
    <w:rsid w:val="009F5D1C"/>
    <w:rsid w:val="009F5F2E"/>
    <w:rsid w:val="009F6204"/>
    <w:rsid w:val="009F6345"/>
    <w:rsid w:val="009F64F3"/>
    <w:rsid w:val="009F6793"/>
    <w:rsid w:val="009F6986"/>
    <w:rsid w:val="009F6D3E"/>
    <w:rsid w:val="009F6D50"/>
    <w:rsid w:val="009F6E74"/>
    <w:rsid w:val="009F7043"/>
    <w:rsid w:val="009F7093"/>
    <w:rsid w:val="009F7101"/>
    <w:rsid w:val="009F7684"/>
    <w:rsid w:val="009F78B5"/>
    <w:rsid w:val="009F7BC1"/>
    <w:rsid w:val="009F7D4B"/>
    <w:rsid w:val="009F7E5E"/>
    <w:rsid w:val="009F7EAF"/>
    <w:rsid w:val="00A001FB"/>
    <w:rsid w:val="00A008F4"/>
    <w:rsid w:val="00A00BBD"/>
    <w:rsid w:val="00A00BBF"/>
    <w:rsid w:val="00A00D75"/>
    <w:rsid w:val="00A00E84"/>
    <w:rsid w:val="00A00F0B"/>
    <w:rsid w:val="00A0116E"/>
    <w:rsid w:val="00A01184"/>
    <w:rsid w:val="00A014BB"/>
    <w:rsid w:val="00A018A7"/>
    <w:rsid w:val="00A01A5D"/>
    <w:rsid w:val="00A01AEA"/>
    <w:rsid w:val="00A01B93"/>
    <w:rsid w:val="00A01E4B"/>
    <w:rsid w:val="00A01F36"/>
    <w:rsid w:val="00A01FAF"/>
    <w:rsid w:val="00A027A8"/>
    <w:rsid w:val="00A02B69"/>
    <w:rsid w:val="00A02D1A"/>
    <w:rsid w:val="00A02E70"/>
    <w:rsid w:val="00A02F3E"/>
    <w:rsid w:val="00A02F46"/>
    <w:rsid w:val="00A03019"/>
    <w:rsid w:val="00A036F6"/>
    <w:rsid w:val="00A037B3"/>
    <w:rsid w:val="00A037C2"/>
    <w:rsid w:val="00A037DE"/>
    <w:rsid w:val="00A038C6"/>
    <w:rsid w:val="00A03CFE"/>
    <w:rsid w:val="00A03D43"/>
    <w:rsid w:val="00A03F4D"/>
    <w:rsid w:val="00A04018"/>
    <w:rsid w:val="00A04380"/>
    <w:rsid w:val="00A04440"/>
    <w:rsid w:val="00A04520"/>
    <w:rsid w:val="00A04701"/>
    <w:rsid w:val="00A047A5"/>
    <w:rsid w:val="00A04A06"/>
    <w:rsid w:val="00A04B26"/>
    <w:rsid w:val="00A04BD8"/>
    <w:rsid w:val="00A04D4C"/>
    <w:rsid w:val="00A04D98"/>
    <w:rsid w:val="00A05472"/>
    <w:rsid w:val="00A057B2"/>
    <w:rsid w:val="00A057C7"/>
    <w:rsid w:val="00A05B02"/>
    <w:rsid w:val="00A05C04"/>
    <w:rsid w:val="00A05C32"/>
    <w:rsid w:val="00A05DB0"/>
    <w:rsid w:val="00A05DE9"/>
    <w:rsid w:val="00A0653F"/>
    <w:rsid w:val="00A06C82"/>
    <w:rsid w:val="00A0704C"/>
    <w:rsid w:val="00A072AF"/>
    <w:rsid w:val="00A0739F"/>
    <w:rsid w:val="00A073B5"/>
    <w:rsid w:val="00A07CBB"/>
    <w:rsid w:val="00A07F90"/>
    <w:rsid w:val="00A10023"/>
    <w:rsid w:val="00A10077"/>
    <w:rsid w:val="00A101FC"/>
    <w:rsid w:val="00A10237"/>
    <w:rsid w:val="00A102D8"/>
    <w:rsid w:val="00A10394"/>
    <w:rsid w:val="00A109CA"/>
    <w:rsid w:val="00A10D44"/>
    <w:rsid w:val="00A1112A"/>
    <w:rsid w:val="00A11260"/>
    <w:rsid w:val="00A112C0"/>
    <w:rsid w:val="00A1157F"/>
    <w:rsid w:val="00A1169F"/>
    <w:rsid w:val="00A11A85"/>
    <w:rsid w:val="00A11C69"/>
    <w:rsid w:val="00A11CD0"/>
    <w:rsid w:val="00A12E1F"/>
    <w:rsid w:val="00A12F3C"/>
    <w:rsid w:val="00A13390"/>
    <w:rsid w:val="00A135C6"/>
    <w:rsid w:val="00A13650"/>
    <w:rsid w:val="00A13948"/>
    <w:rsid w:val="00A14060"/>
    <w:rsid w:val="00A1437E"/>
    <w:rsid w:val="00A14AC5"/>
    <w:rsid w:val="00A14E69"/>
    <w:rsid w:val="00A15416"/>
    <w:rsid w:val="00A1555B"/>
    <w:rsid w:val="00A155C5"/>
    <w:rsid w:val="00A155D7"/>
    <w:rsid w:val="00A15B5E"/>
    <w:rsid w:val="00A15BD0"/>
    <w:rsid w:val="00A164DC"/>
    <w:rsid w:val="00A165E4"/>
    <w:rsid w:val="00A16AD8"/>
    <w:rsid w:val="00A16B8D"/>
    <w:rsid w:val="00A16E86"/>
    <w:rsid w:val="00A170B6"/>
    <w:rsid w:val="00A170F0"/>
    <w:rsid w:val="00A176BC"/>
    <w:rsid w:val="00A178B8"/>
    <w:rsid w:val="00A17BFD"/>
    <w:rsid w:val="00A17C4C"/>
    <w:rsid w:val="00A17ED3"/>
    <w:rsid w:val="00A200EF"/>
    <w:rsid w:val="00A2013B"/>
    <w:rsid w:val="00A20392"/>
    <w:rsid w:val="00A20470"/>
    <w:rsid w:val="00A206D1"/>
    <w:rsid w:val="00A2077B"/>
    <w:rsid w:val="00A20808"/>
    <w:rsid w:val="00A20CAF"/>
    <w:rsid w:val="00A20E30"/>
    <w:rsid w:val="00A20F8D"/>
    <w:rsid w:val="00A21145"/>
    <w:rsid w:val="00A21735"/>
    <w:rsid w:val="00A218A0"/>
    <w:rsid w:val="00A21C95"/>
    <w:rsid w:val="00A21CF3"/>
    <w:rsid w:val="00A22259"/>
    <w:rsid w:val="00A227C5"/>
    <w:rsid w:val="00A23514"/>
    <w:rsid w:val="00A2385B"/>
    <w:rsid w:val="00A239F4"/>
    <w:rsid w:val="00A24205"/>
    <w:rsid w:val="00A24683"/>
    <w:rsid w:val="00A24813"/>
    <w:rsid w:val="00A24BD6"/>
    <w:rsid w:val="00A25068"/>
    <w:rsid w:val="00A26179"/>
    <w:rsid w:val="00A26185"/>
    <w:rsid w:val="00A262F8"/>
    <w:rsid w:val="00A26575"/>
    <w:rsid w:val="00A26622"/>
    <w:rsid w:val="00A26FA4"/>
    <w:rsid w:val="00A274AC"/>
    <w:rsid w:val="00A275B0"/>
    <w:rsid w:val="00A275D8"/>
    <w:rsid w:val="00A275F1"/>
    <w:rsid w:val="00A27791"/>
    <w:rsid w:val="00A27AEC"/>
    <w:rsid w:val="00A27CE0"/>
    <w:rsid w:val="00A27E16"/>
    <w:rsid w:val="00A303F3"/>
    <w:rsid w:val="00A30811"/>
    <w:rsid w:val="00A31768"/>
    <w:rsid w:val="00A317C6"/>
    <w:rsid w:val="00A317D1"/>
    <w:rsid w:val="00A31806"/>
    <w:rsid w:val="00A31883"/>
    <w:rsid w:val="00A31A7D"/>
    <w:rsid w:val="00A31D1D"/>
    <w:rsid w:val="00A31FD1"/>
    <w:rsid w:val="00A320DB"/>
    <w:rsid w:val="00A3211A"/>
    <w:rsid w:val="00A323B5"/>
    <w:rsid w:val="00A32513"/>
    <w:rsid w:val="00A328D4"/>
    <w:rsid w:val="00A3290D"/>
    <w:rsid w:val="00A33019"/>
    <w:rsid w:val="00A3301B"/>
    <w:rsid w:val="00A331FD"/>
    <w:rsid w:val="00A3381D"/>
    <w:rsid w:val="00A33DD5"/>
    <w:rsid w:val="00A33E5E"/>
    <w:rsid w:val="00A33FC0"/>
    <w:rsid w:val="00A342D9"/>
    <w:rsid w:val="00A346A9"/>
    <w:rsid w:val="00A34BE4"/>
    <w:rsid w:val="00A34C5E"/>
    <w:rsid w:val="00A34E86"/>
    <w:rsid w:val="00A35572"/>
    <w:rsid w:val="00A3575F"/>
    <w:rsid w:val="00A357B4"/>
    <w:rsid w:val="00A358B5"/>
    <w:rsid w:val="00A35D16"/>
    <w:rsid w:val="00A35D68"/>
    <w:rsid w:val="00A35F25"/>
    <w:rsid w:val="00A35F7D"/>
    <w:rsid w:val="00A360B9"/>
    <w:rsid w:val="00A365C0"/>
    <w:rsid w:val="00A36754"/>
    <w:rsid w:val="00A36AF3"/>
    <w:rsid w:val="00A372BE"/>
    <w:rsid w:val="00A37512"/>
    <w:rsid w:val="00A37547"/>
    <w:rsid w:val="00A3759F"/>
    <w:rsid w:val="00A379B9"/>
    <w:rsid w:val="00A37BCD"/>
    <w:rsid w:val="00A37EDB"/>
    <w:rsid w:val="00A37F97"/>
    <w:rsid w:val="00A4057E"/>
    <w:rsid w:val="00A405EF"/>
    <w:rsid w:val="00A40BD3"/>
    <w:rsid w:val="00A40C89"/>
    <w:rsid w:val="00A40D48"/>
    <w:rsid w:val="00A40F93"/>
    <w:rsid w:val="00A41341"/>
    <w:rsid w:val="00A415DB"/>
    <w:rsid w:val="00A41636"/>
    <w:rsid w:val="00A41689"/>
    <w:rsid w:val="00A41BC7"/>
    <w:rsid w:val="00A41C70"/>
    <w:rsid w:val="00A41EBD"/>
    <w:rsid w:val="00A420B7"/>
    <w:rsid w:val="00A422BA"/>
    <w:rsid w:val="00A4245F"/>
    <w:rsid w:val="00A42592"/>
    <w:rsid w:val="00A431C3"/>
    <w:rsid w:val="00A436E9"/>
    <w:rsid w:val="00A4389C"/>
    <w:rsid w:val="00A43C59"/>
    <w:rsid w:val="00A444E6"/>
    <w:rsid w:val="00A44A49"/>
    <w:rsid w:val="00A44F19"/>
    <w:rsid w:val="00A44F5B"/>
    <w:rsid w:val="00A453C9"/>
    <w:rsid w:val="00A45428"/>
    <w:rsid w:val="00A45826"/>
    <w:rsid w:val="00A45ABE"/>
    <w:rsid w:val="00A45F58"/>
    <w:rsid w:val="00A4604E"/>
    <w:rsid w:val="00A464B4"/>
    <w:rsid w:val="00A46760"/>
    <w:rsid w:val="00A467DB"/>
    <w:rsid w:val="00A467FF"/>
    <w:rsid w:val="00A475BC"/>
    <w:rsid w:val="00A47B4E"/>
    <w:rsid w:val="00A50326"/>
    <w:rsid w:val="00A50488"/>
    <w:rsid w:val="00A50748"/>
    <w:rsid w:val="00A50895"/>
    <w:rsid w:val="00A50A25"/>
    <w:rsid w:val="00A50ECD"/>
    <w:rsid w:val="00A511E3"/>
    <w:rsid w:val="00A5157E"/>
    <w:rsid w:val="00A518F3"/>
    <w:rsid w:val="00A519CA"/>
    <w:rsid w:val="00A51DB2"/>
    <w:rsid w:val="00A51E97"/>
    <w:rsid w:val="00A52187"/>
    <w:rsid w:val="00A52287"/>
    <w:rsid w:val="00A522ED"/>
    <w:rsid w:val="00A523B9"/>
    <w:rsid w:val="00A5261E"/>
    <w:rsid w:val="00A52729"/>
    <w:rsid w:val="00A52C7F"/>
    <w:rsid w:val="00A52D1A"/>
    <w:rsid w:val="00A530D6"/>
    <w:rsid w:val="00A53272"/>
    <w:rsid w:val="00A534C9"/>
    <w:rsid w:val="00A53539"/>
    <w:rsid w:val="00A53675"/>
    <w:rsid w:val="00A53B94"/>
    <w:rsid w:val="00A53E3F"/>
    <w:rsid w:val="00A53FCA"/>
    <w:rsid w:val="00A545BA"/>
    <w:rsid w:val="00A546C9"/>
    <w:rsid w:val="00A547CC"/>
    <w:rsid w:val="00A54850"/>
    <w:rsid w:val="00A54898"/>
    <w:rsid w:val="00A54915"/>
    <w:rsid w:val="00A54A8D"/>
    <w:rsid w:val="00A55855"/>
    <w:rsid w:val="00A55A1F"/>
    <w:rsid w:val="00A55AA0"/>
    <w:rsid w:val="00A55C99"/>
    <w:rsid w:val="00A5618D"/>
    <w:rsid w:val="00A564D7"/>
    <w:rsid w:val="00A5664B"/>
    <w:rsid w:val="00A56B6A"/>
    <w:rsid w:val="00A5715A"/>
    <w:rsid w:val="00A57258"/>
    <w:rsid w:val="00A5783C"/>
    <w:rsid w:val="00A57850"/>
    <w:rsid w:val="00A578DC"/>
    <w:rsid w:val="00A57E9B"/>
    <w:rsid w:val="00A57F17"/>
    <w:rsid w:val="00A600DD"/>
    <w:rsid w:val="00A60223"/>
    <w:rsid w:val="00A608BB"/>
    <w:rsid w:val="00A610A1"/>
    <w:rsid w:val="00A6136C"/>
    <w:rsid w:val="00A61665"/>
    <w:rsid w:val="00A61912"/>
    <w:rsid w:val="00A61BF5"/>
    <w:rsid w:val="00A620A7"/>
    <w:rsid w:val="00A62390"/>
    <w:rsid w:val="00A6270B"/>
    <w:rsid w:val="00A6297B"/>
    <w:rsid w:val="00A62C0C"/>
    <w:rsid w:val="00A63460"/>
    <w:rsid w:val="00A63483"/>
    <w:rsid w:val="00A637A4"/>
    <w:rsid w:val="00A63973"/>
    <w:rsid w:val="00A640E2"/>
    <w:rsid w:val="00A6475C"/>
    <w:rsid w:val="00A64860"/>
    <w:rsid w:val="00A6493A"/>
    <w:rsid w:val="00A64CAF"/>
    <w:rsid w:val="00A64D65"/>
    <w:rsid w:val="00A64E19"/>
    <w:rsid w:val="00A64F5D"/>
    <w:rsid w:val="00A65849"/>
    <w:rsid w:val="00A659E8"/>
    <w:rsid w:val="00A65A96"/>
    <w:rsid w:val="00A65D29"/>
    <w:rsid w:val="00A65D91"/>
    <w:rsid w:val="00A65F12"/>
    <w:rsid w:val="00A66184"/>
    <w:rsid w:val="00A66AF3"/>
    <w:rsid w:val="00A66C38"/>
    <w:rsid w:val="00A66CB8"/>
    <w:rsid w:val="00A66F58"/>
    <w:rsid w:val="00A670CF"/>
    <w:rsid w:val="00A6725B"/>
    <w:rsid w:val="00A672B0"/>
    <w:rsid w:val="00A676A0"/>
    <w:rsid w:val="00A67AD9"/>
    <w:rsid w:val="00A700C9"/>
    <w:rsid w:val="00A705D1"/>
    <w:rsid w:val="00A70605"/>
    <w:rsid w:val="00A70C4C"/>
    <w:rsid w:val="00A70C59"/>
    <w:rsid w:val="00A717BB"/>
    <w:rsid w:val="00A7198B"/>
    <w:rsid w:val="00A71AF2"/>
    <w:rsid w:val="00A71B54"/>
    <w:rsid w:val="00A71F06"/>
    <w:rsid w:val="00A71F9B"/>
    <w:rsid w:val="00A71FBA"/>
    <w:rsid w:val="00A720AC"/>
    <w:rsid w:val="00A72427"/>
    <w:rsid w:val="00A72606"/>
    <w:rsid w:val="00A72A42"/>
    <w:rsid w:val="00A730A7"/>
    <w:rsid w:val="00A73134"/>
    <w:rsid w:val="00A732D6"/>
    <w:rsid w:val="00A73620"/>
    <w:rsid w:val="00A73A8E"/>
    <w:rsid w:val="00A73B16"/>
    <w:rsid w:val="00A73C46"/>
    <w:rsid w:val="00A73C99"/>
    <w:rsid w:val="00A74163"/>
    <w:rsid w:val="00A746FF"/>
    <w:rsid w:val="00A751A3"/>
    <w:rsid w:val="00A751D4"/>
    <w:rsid w:val="00A7520C"/>
    <w:rsid w:val="00A75275"/>
    <w:rsid w:val="00A75394"/>
    <w:rsid w:val="00A7571C"/>
    <w:rsid w:val="00A75C8D"/>
    <w:rsid w:val="00A76001"/>
    <w:rsid w:val="00A763F3"/>
    <w:rsid w:val="00A764C0"/>
    <w:rsid w:val="00A764DD"/>
    <w:rsid w:val="00A766A4"/>
    <w:rsid w:val="00A76B58"/>
    <w:rsid w:val="00A76B5C"/>
    <w:rsid w:val="00A76C56"/>
    <w:rsid w:val="00A76CC8"/>
    <w:rsid w:val="00A76CDB"/>
    <w:rsid w:val="00A76DA7"/>
    <w:rsid w:val="00A76F3C"/>
    <w:rsid w:val="00A77110"/>
    <w:rsid w:val="00A7733B"/>
    <w:rsid w:val="00A77667"/>
    <w:rsid w:val="00A777B2"/>
    <w:rsid w:val="00A801C3"/>
    <w:rsid w:val="00A802C7"/>
    <w:rsid w:val="00A8054C"/>
    <w:rsid w:val="00A80975"/>
    <w:rsid w:val="00A80D1D"/>
    <w:rsid w:val="00A81119"/>
    <w:rsid w:val="00A81191"/>
    <w:rsid w:val="00A817C4"/>
    <w:rsid w:val="00A818F6"/>
    <w:rsid w:val="00A81E16"/>
    <w:rsid w:val="00A81EFB"/>
    <w:rsid w:val="00A82033"/>
    <w:rsid w:val="00A82521"/>
    <w:rsid w:val="00A825D4"/>
    <w:rsid w:val="00A828F6"/>
    <w:rsid w:val="00A82B73"/>
    <w:rsid w:val="00A82C06"/>
    <w:rsid w:val="00A8317C"/>
    <w:rsid w:val="00A83354"/>
    <w:rsid w:val="00A83708"/>
    <w:rsid w:val="00A8389A"/>
    <w:rsid w:val="00A83A73"/>
    <w:rsid w:val="00A83BD0"/>
    <w:rsid w:val="00A83D65"/>
    <w:rsid w:val="00A84DB6"/>
    <w:rsid w:val="00A85154"/>
    <w:rsid w:val="00A8516B"/>
    <w:rsid w:val="00A85FAA"/>
    <w:rsid w:val="00A86069"/>
    <w:rsid w:val="00A86523"/>
    <w:rsid w:val="00A866DE"/>
    <w:rsid w:val="00A86B96"/>
    <w:rsid w:val="00A86E8B"/>
    <w:rsid w:val="00A86FBB"/>
    <w:rsid w:val="00A87150"/>
    <w:rsid w:val="00A87164"/>
    <w:rsid w:val="00A8769D"/>
    <w:rsid w:val="00A87A65"/>
    <w:rsid w:val="00A87ABA"/>
    <w:rsid w:val="00A87B83"/>
    <w:rsid w:val="00A87EE4"/>
    <w:rsid w:val="00A87FCD"/>
    <w:rsid w:val="00A901B6"/>
    <w:rsid w:val="00A903B3"/>
    <w:rsid w:val="00A909FA"/>
    <w:rsid w:val="00A90A18"/>
    <w:rsid w:val="00A91518"/>
    <w:rsid w:val="00A9178C"/>
    <w:rsid w:val="00A9194A"/>
    <w:rsid w:val="00A91A2F"/>
    <w:rsid w:val="00A91B53"/>
    <w:rsid w:val="00A922DF"/>
    <w:rsid w:val="00A924A3"/>
    <w:rsid w:val="00A927C4"/>
    <w:rsid w:val="00A929E7"/>
    <w:rsid w:val="00A92C56"/>
    <w:rsid w:val="00A92F26"/>
    <w:rsid w:val="00A93072"/>
    <w:rsid w:val="00A93203"/>
    <w:rsid w:val="00A936B3"/>
    <w:rsid w:val="00A938BD"/>
    <w:rsid w:val="00A938E8"/>
    <w:rsid w:val="00A93953"/>
    <w:rsid w:val="00A93E34"/>
    <w:rsid w:val="00A940CA"/>
    <w:rsid w:val="00A9429A"/>
    <w:rsid w:val="00A94361"/>
    <w:rsid w:val="00A944FF"/>
    <w:rsid w:val="00A94A33"/>
    <w:rsid w:val="00A94C50"/>
    <w:rsid w:val="00A94D35"/>
    <w:rsid w:val="00A959D8"/>
    <w:rsid w:val="00A95ABF"/>
    <w:rsid w:val="00A95B72"/>
    <w:rsid w:val="00A95F35"/>
    <w:rsid w:val="00A9616B"/>
    <w:rsid w:val="00A96491"/>
    <w:rsid w:val="00A966BF"/>
    <w:rsid w:val="00A96757"/>
    <w:rsid w:val="00A967C7"/>
    <w:rsid w:val="00A9688E"/>
    <w:rsid w:val="00A968A8"/>
    <w:rsid w:val="00A968DC"/>
    <w:rsid w:val="00A96BF9"/>
    <w:rsid w:val="00A97063"/>
    <w:rsid w:val="00A97187"/>
    <w:rsid w:val="00A979D8"/>
    <w:rsid w:val="00AA051D"/>
    <w:rsid w:val="00AA07CE"/>
    <w:rsid w:val="00AA0908"/>
    <w:rsid w:val="00AA0B79"/>
    <w:rsid w:val="00AA113D"/>
    <w:rsid w:val="00AA1242"/>
    <w:rsid w:val="00AA14AC"/>
    <w:rsid w:val="00AA25B1"/>
    <w:rsid w:val="00AA282B"/>
    <w:rsid w:val="00AA2907"/>
    <w:rsid w:val="00AA3995"/>
    <w:rsid w:val="00AA3DC7"/>
    <w:rsid w:val="00AA3EC7"/>
    <w:rsid w:val="00AA42C3"/>
    <w:rsid w:val="00AA44AF"/>
    <w:rsid w:val="00AA459F"/>
    <w:rsid w:val="00AA4893"/>
    <w:rsid w:val="00AA48AE"/>
    <w:rsid w:val="00AA5038"/>
    <w:rsid w:val="00AA50D5"/>
    <w:rsid w:val="00AA57B9"/>
    <w:rsid w:val="00AA5E5E"/>
    <w:rsid w:val="00AA5E82"/>
    <w:rsid w:val="00AA658A"/>
    <w:rsid w:val="00AA6BD5"/>
    <w:rsid w:val="00AA6BD8"/>
    <w:rsid w:val="00AA6C7D"/>
    <w:rsid w:val="00AA7197"/>
    <w:rsid w:val="00AA7872"/>
    <w:rsid w:val="00AA7B5D"/>
    <w:rsid w:val="00AA7B7F"/>
    <w:rsid w:val="00AA7FD6"/>
    <w:rsid w:val="00AB01DC"/>
    <w:rsid w:val="00AB042A"/>
    <w:rsid w:val="00AB07D2"/>
    <w:rsid w:val="00AB0848"/>
    <w:rsid w:val="00AB09FC"/>
    <w:rsid w:val="00AB0A6E"/>
    <w:rsid w:val="00AB0B04"/>
    <w:rsid w:val="00AB0F64"/>
    <w:rsid w:val="00AB1062"/>
    <w:rsid w:val="00AB111D"/>
    <w:rsid w:val="00AB1388"/>
    <w:rsid w:val="00AB13A6"/>
    <w:rsid w:val="00AB14EB"/>
    <w:rsid w:val="00AB1578"/>
    <w:rsid w:val="00AB187A"/>
    <w:rsid w:val="00AB19EF"/>
    <w:rsid w:val="00AB2170"/>
    <w:rsid w:val="00AB237C"/>
    <w:rsid w:val="00AB23D6"/>
    <w:rsid w:val="00AB246D"/>
    <w:rsid w:val="00AB24DC"/>
    <w:rsid w:val="00AB24E5"/>
    <w:rsid w:val="00AB2A72"/>
    <w:rsid w:val="00AB2D34"/>
    <w:rsid w:val="00AB2F96"/>
    <w:rsid w:val="00AB31F3"/>
    <w:rsid w:val="00AB3430"/>
    <w:rsid w:val="00AB3437"/>
    <w:rsid w:val="00AB37B9"/>
    <w:rsid w:val="00AB38ED"/>
    <w:rsid w:val="00AB3DD1"/>
    <w:rsid w:val="00AB40DA"/>
    <w:rsid w:val="00AB41AA"/>
    <w:rsid w:val="00AB43C0"/>
    <w:rsid w:val="00AB4603"/>
    <w:rsid w:val="00AB4652"/>
    <w:rsid w:val="00AB46B6"/>
    <w:rsid w:val="00AB4799"/>
    <w:rsid w:val="00AB4AD1"/>
    <w:rsid w:val="00AB4AEF"/>
    <w:rsid w:val="00AB4B60"/>
    <w:rsid w:val="00AB4B7C"/>
    <w:rsid w:val="00AB524A"/>
    <w:rsid w:val="00AB538D"/>
    <w:rsid w:val="00AB5C8B"/>
    <w:rsid w:val="00AB5E07"/>
    <w:rsid w:val="00AB6B89"/>
    <w:rsid w:val="00AB6BD8"/>
    <w:rsid w:val="00AB6DEA"/>
    <w:rsid w:val="00AB6FA3"/>
    <w:rsid w:val="00AB71A3"/>
    <w:rsid w:val="00AB71A7"/>
    <w:rsid w:val="00AB7287"/>
    <w:rsid w:val="00AB7326"/>
    <w:rsid w:val="00AB746F"/>
    <w:rsid w:val="00AB758C"/>
    <w:rsid w:val="00AB79B5"/>
    <w:rsid w:val="00AB7A3C"/>
    <w:rsid w:val="00AB7CFA"/>
    <w:rsid w:val="00AC0925"/>
    <w:rsid w:val="00AC0BEA"/>
    <w:rsid w:val="00AC1012"/>
    <w:rsid w:val="00AC1667"/>
    <w:rsid w:val="00AC1BA0"/>
    <w:rsid w:val="00AC20D0"/>
    <w:rsid w:val="00AC2B96"/>
    <w:rsid w:val="00AC2DF2"/>
    <w:rsid w:val="00AC2E8A"/>
    <w:rsid w:val="00AC3031"/>
    <w:rsid w:val="00AC3814"/>
    <w:rsid w:val="00AC450C"/>
    <w:rsid w:val="00AC451F"/>
    <w:rsid w:val="00AC452C"/>
    <w:rsid w:val="00AC4DDC"/>
    <w:rsid w:val="00AC4F78"/>
    <w:rsid w:val="00AC517E"/>
    <w:rsid w:val="00AC5379"/>
    <w:rsid w:val="00AC5B48"/>
    <w:rsid w:val="00AC62EB"/>
    <w:rsid w:val="00AC63D1"/>
    <w:rsid w:val="00AC643E"/>
    <w:rsid w:val="00AC6831"/>
    <w:rsid w:val="00AC6E5F"/>
    <w:rsid w:val="00AC7001"/>
    <w:rsid w:val="00AC7A43"/>
    <w:rsid w:val="00AD0801"/>
    <w:rsid w:val="00AD0808"/>
    <w:rsid w:val="00AD088B"/>
    <w:rsid w:val="00AD09A9"/>
    <w:rsid w:val="00AD09EB"/>
    <w:rsid w:val="00AD0B7F"/>
    <w:rsid w:val="00AD0CAE"/>
    <w:rsid w:val="00AD0CBB"/>
    <w:rsid w:val="00AD1450"/>
    <w:rsid w:val="00AD1930"/>
    <w:rsid w:val="00AD1B33"/>
    <w:rsid w:val="00AD2051"/>
    <w:rsid w:val="00AD20D0"/>
    <w:rsid w:val="00AD270C"/>
    <w:rsid w:val="00AD2B0E"/>
    <w:rsid w:val="00AD332B"/>
    <w:rsid w:val="00AD366F"/>
    <w:rsid w:val="00AD36BA"/>
    <w:rsid w:val="00AD36CA"/>
    <w:rsid w:val="00AD36D2"/>
    <w:rsid w:val="00AD3703"/>
    <w:rsid w:val="00AD3759"/>
    <w:rsid w:val="00AD3C7D"/>
    <w:rsid w:val="00AD3EB8"/>
    <w:rsid w:val="00AD45F1"/>
    <w:rsid w:val="00AD4697"/>
    <w:rsid w:val="00AD47ED"/>
    <w:rsid w:val="00AD486A"/>
    <w:rsid w:val="00AD487D"/>
    <w:rsid w:val="00AD4A9E"/>
    <w:rsid w:val="00AD4BD8"/>
    <w:rsid w:val="00AD53F9"/>
    <w:rsid w:val="00AD59C2"/>
    <w:rsid w:val="00AD5B64"/>
    <w:rsid w:val="00AD612A"/>
    <w:rsid w:val="00AD6132"/>
    <w:rsid w:val="00AD6502"/>
    <w:rsid w:val="00AD65D7"/>
    <w:rsid w:val="00AD70BC"/>
    <w:rsid w:val="00AD7135"/>
    <w:rsid w:val="00AD7612"/>
    <w:rsid w:val="00AD7F51"/>
    <w:rsid w:val="00AD7F86"/>
    <w:rsid w:val="00AD7F95"/>
    <w:rsid w:val="00AD7FB3"/>
    <w:rsid w:val="00AE0593"/>
    <w:rsid w:val="00AE0695"/>
    <w:rsid w:val="00AE0D9C"/>
    <w:rsid w:val="00AE0E22"/>
    <w:rsid w:val="00AE10FB"/>
    <w:rsid w:val="00AE14FF"/>
    <w:rsid w:val="00AE1533"/>
    <w:rsid w:val="00AE1ADF"/>
    <w:rsid w:val="00AE1B28"/>
    <w:rsid w:val="00AE1E3D"/>
    <w:rsid w:val="00AE1E8E"/>
    <w:rsid w:val="00AE26BC"/>
    <w:rsid w:val="00AE27D7"/>
    <w:rsid w:val="00AE27DE"/>
    <w:rsid w:val="00AE2CD9"/>
    <w:rsid w:val="00AE2CEE"/>
    <w:rsid w:val="00AE3133"/>
    <w:rsid w:val="00AE314D"/>
    <w:rsid w:val="00AE3302"/>
    <w:rsid w:val="00AE3D20"/>
    <w:rsid w:val="00AE3D5E"/>
    <w:rsid w:val="00AE3E7E"/>
    <w:rsid w:val="00AE3FCF"/>
    <w:rsid w:val="00AE461B"/>
    <w:rsid w:val="00AE46A0"/>
    <w:rsid w:val="00AE4A08"/>
    <w:rsid w:val="00AE4A2F"/>
    <w:rsid w:val="00AE4AD1"/>
    <w:rsid w:val="00AE4B1B"/>
    <w:rsid w:val="00AE4CB4"/>
    <w:rsid w:val="00AE4FE3"/>
    <w:rsid w:val="00AE5467"/>
    <w:rsid w:val="00AE58CB"/>
    <w:rsid w:val="00AE5BED"/>
    <w:rsid w:val="00AE5EDB"/>
    <w:rsid w:val="00AE605A"/>
    <w:rsid w:val="00AE63C7"/>
    <w:rsid w:val="00AE659F"/>
    <w:rsid w:val="00AE67C5"/>
    <w:rsid w:val="00AE68C0"/>
    <w:rsid w:val="00AE6F08"/>
    <w:rsid w:val="00AE708D"/>
    <w:rsid w:val="00AE7214"/>
    <w:rsid w:val="00AE72E6"/>
    <w:rsid w:val="00AE7584"/>
    <w:rsid w:val="00AE7721"/>
    <w:rsid w:val="00AE7810"/>
    <w:rsid w:val="00AE7973"/>
    <w:rsid w:val="00AF033B"/>
    <w:rsid w:val="00AF0381"/>
    <w:rsid w:val="00AF05B6"/>
    <w:rsid w:val="00AF0898"/>
    <w:rsid w:val="00AF08F1"/>
    <w:rsid w:val="00AF0E13"/>
    <w:rsid w:val="00AF0E25"/>
    <w:rsid w:val="00AF0EFB"/>
    <w:rsid w:val="00AF0F0B"/>
    <w:rsid w:val="00AF1009"/>
    <w:rsid w:val="00AF1284"/>
    <w:rsid w:val="00AF1315"/>
    <w:rsid w:val="00AF1411"/>
    <w:rsid w:val="00AF19BF"/>
    <w:rsid w:val="00AF2045"/>
    <w:rsid w:val="00AF2067"/>
    <w:rsid w:val="00AF2670"/>
    <w:rsid w:val="00AF29BD"/>
    <w:rsid w:val="00AF2BB7"/>
    <w:rsid w:val="00AF2DC3"/>
    <w:rsid w:val="00AF308A"/>
    <w:rsid w:val="00AF31E0"/>
    <w:rsid w:val="00AF321A"/>
    <w:rsid w:val="00AF3321"/>
    <w:rsid w:val="00AF3AD5"/>
    <w:rsid w:val="00AF3D52"/>
    <w:rsid w:val="00AF4835"/>
    <w:rsid w:val="00AF49CB"/>
    <w:rsid w:val="00AF49F7"/>
    <w:rsid w:val="00AF4BC7"/>
    <w:rsid w:val="00AF56B5"/>
    <w:rsid w:val="00AF57AA"/>
    <w:rsid w:val="00AF5A82"/>
    <w:rsid w:val="00AF5BD8"/>
    <w:rsid w:val="00AF60A0"/>
    <w:rsid w:val="00AF63A6"/>
    <w:rsid w:val="00AF63FE"/>
    <w:rsid w:val="00AF68F8"/>
    <w:rsid w:val="00AF6ABF"/>
    <w:rsid w:val="00AF6E61"/>
    <w:rsid w:val="00AF7104"/>
    <w:rsid w:val="00AF73AC"/>
    <w:rsid w:val="00AF7579"/>
    <w:rsid w:val="00AF7ADF"/>
    <w:rsid w:val="00AF7C39"/>
    <w:rsid w:val="00AF7EA6"/>
    <w:rsid w:val="00B0005B"/>
    <w:rsid w:val="00B002A5"/>
    <w:rsid w:val="00B0030F"/>
    <w:rsid w:val="00B003EE"/>
    <w:rsid w:val="00B006B8"/>
    <w:rsid w:val="00B00A9F"/>
    <w:rsid w:val="00B00C5B"/>
    <w:rsid w:val="00B00F51"/>
    <w:rsid w:val="00B0127A"/>
    <w:rsid w:val="00B01322"/>
    <w:rsid w:val="00B015B4"/>
    <w:rsid w:val="00B01C98"/>
    <w:rsid w:val="00B01FE7"/>
    <w:rsid w:val="00B02033"/>
    <w:rsid w:val="00B021FA"/>
    <w:rsid w:val="00B02972"/>
    <w:rsid w:val="00B02A91"/>
    <w:rsid w:val="00B032B7"/>
    <w:rsid w:val="00B03379"/>
    <w:rsid w:val="00B033E5"/>
    <w:rsid w:val="00B038D4"/>
    <w:rsid w:val="00B03A63"/>
    <w:rsid w:val="00B03AD3"/>
    <w:rsid w:val="00B03C8E"/>
    <w:rsid w:val="00B03D0D"/>
    <w:rsid w:val="00B03EFB"/>
    <w:rsid w:val="00B03FC6"/>
    <w:rsid w:val="00B04405"/>
    <w:rsid w:val="00B04580"/>
    <w:rsid w:val="00B049D3"/>
    <w:rsid w:val="00B04AF1"/>
    <w:rsid w:val="00B04CFB"/>
    <w:rsid w:val="00B04FC6"/>
    <w:rsid w:val="00B05313"/>
    <w:rsid w:val="00B056A5"/>
    <w:rsid w:val="00B05F54"/>
    <w:rsid w:val="00B0648D"/>
    <w:rsid w:val="00B06B07"/>
    <w:rsid w:val="00B06C8B"/>
    <w:rsid w:val="00B06E01"/>
    <w:rsid w:val="00B06FA9"/>
    <w:rsid w:val="00B070E7"/>
    <w:rsid w:val="00B07211"/>
    <w:rsid w:val="00B07A61"/>
    <w:rsid w:val="00B10084"/>
    <w:rsid w:val="00B101CA"/>
    <w:rsid w:val="00B102F2"/>
    <w:rsid w:val="00B104AD"/>
    <w:rsid w:val="00B10BE4"/>
    <w:rsid w:val="00B10E6A"/>
    <w:rsid w:val="00B1122F"/>
    <w:rsid w:val="00B11F3A"/>
    <w:rsid w:val="00B122FD"/>
    <w:rsid w:val="00B127AE"/>
    <w:rsid w:val="00B12AEB"/>
    <w:rsid w:val="00B12AF4"/>
    <w:rsid w:val="00B12D03"/>
    <w:rsid w:val="00B12E23"/>
    <w:rsid w:val="00B13029"/>
    <w:rsid w:val="00B133A3"/>
    <w:rsid w:val="00B134D3"/>
    <w:rsid w:val="00B136C9"/>
    <w:rsid w:val="00B13847"/>
    <w:rsid w:val="00B1384B"/>
    <w:rsid w:val="00B13B1D"/>
    <w:rsid w:val="00B13D03"/>
    <w:rsid w:val="00B14548"/>
    <w:rsid w:val="00B148AD"/>
    <w:rsid w:val="00B14F72"/>
    <w:rsid w:val="00B1540D"/>
    <w:rsid w:val="00B1576A"/>
    <w:rsid w:val="00B1579D"/>
    <w:rsid w:val="00B15887"/>
    <w:rsid w:val="00B158E0"/>
    <w:rsid w:val="00B15B52"/>
    <w:rsid w:val="00B15D93"/>
    <w:rsid w:val="00B15E06"/>
    <w:rsid w:val="00B16075"/>
    <w:rsid w:val="00B162C0"/>
    <w:rsid w:val="00B163C4"/>
    <w:rsid w:val="00B16658"/>
    <w:rsid w:val="00B16703"/>
    <w:rsid w:val="00B16938"/>
    <w:rsid w:val="00B17614"/>
    <w:rsid w:val="00B17EEF"/>
    <w:rsid w:val="00B17F75"/>
    <w:rsid w:val="00B200F2"/>
    <w:rsid w:val="00B201A4"/>
    <w:rsid w:val="00B201D1"/>
    <w:rsid w:val="00B209BB"/>
    <w:rsid w:val="00B20CD1"/>
    <w:rsid w:val="00B20F12"/>
    <w:rsid w:val="00B213A6"/>
    <w:rsid w:val="00B2145D"/>
    <w:rsid w:val="00B214D0"/>
    <w:rsid w:val="00B21994"/>
    <w:rsid w:val="00B21D1E"/>
    <w:rsid w:val="00B223A5"/>
    <w:rsid w:val="00B223BD"/>
    <w:rsid w:val="00B22713"/>
    <w:rsid w:val="00B22BC6"/>
    <w:rsid w:val="00B22D4B"/>
    <w:rsid w:val="00B22D6F"/>
    <w:rsid w:val="00B22F7E"/>
    <w:rsid w:val="00B235B0"/>
    <w:rsid w:val="00B23D62"/>
    <w:rsid w:val="00B24024"/>
    <w:rsid w:val="00B240D1"/>
    <w:rsid w:val="00B242BA"/>
    <w:rsid w:val="00B249B1"/>
    <w:rsid w:val="00B24DF6"/>
    <w:rsid w:val="00B25255"/>
    <w:rsid w:val="00B252DD"/>
    <w:rsid w:val="00B25374"/>
    <w:rsid w:val="00B256C1"/>
    <w:rsid w:val="00B25EA4"/>
    <w:rsid w:val="00B26087"/>
    <w:rsid w:val="00B265D7"/>
    <w:rsid w:val="00B26663"/>
    <w:rsid w:val="00B268E3"/>
    <w:rsid w:val="00B26A96"/>
    <w:rsid w:val="00B26C0C"/>
    <w:rsid w:val="00B26D2C"/>
    <w:rsid w:val="00B2729B"/>
    <w:rsid w:val="00B274DB"/>
    <w:rsid w:val="00B2777B"/>
    <w:rsid w:val="00B27A43"/>
    <w:rsid w:val="00B27A99"/>
    <w:rsid w:val="00B27B27"/>
    <w:rsid w:val="00B27BC5"/>
    <w:rsid w:val="00B27BE4"/>
    <w:rsid w:val="00B3016A"/>
    <w:rsid w:val="00B301C3"/>
    <w:rsid w:val="00B3078D"/>
    <w:rsid w:val="00B30C06"/>
    <w:rsid w:val="00B30EB8"/>
    <w:rsid w:val="00B310E6"/>
    <w:rsid w:val="00B3122F"/>
    <w:rsid w:val="00B317DB"/>
    <w:rsid w:val="00B31802"/>
    <w:rsid w:val="00B319A3"/>
    <w:rsid w:val="00B31C1E"/>
    <w:rsid w:val="00B321DA"/>
    <w:rsid w:val="00B32A09"/>
    <w:rsid w:val="00B32F16"/>
    <w:rsid w:val="00B3364F"/>
    <w:rsid w:val="00B33C61"/>
    <w:rsid w:val="00B33D32"/>
    <w:rsid w:val="00B33D93"/>
    <w:rsid w:val="00B3484C"/>
    <w:rsid w:val="00B34BE3"/>
    <w:rsid w:val="00B34FE2"/>
    <w:rsid w:val="00B35166"/>
    <w:rsid w:val="00B352C5"/>
    <w:rsid w:val="00B354A5"/>
    <w:rsid w:val="00B357D8"/>
    <w:rsid w:val="00B35D65"/>
    <w:rsid w:val="00B35EC3"/>
    <w:rsid w:val="00B360F4"/>
    <w:rsid w:val="00B361BB"/>
    <w:rsid w:val="00B36404"/>
    <w:rsid w:val="00B36581"/>
    <w:rsid w:val="00B367EB"/>
    <w:rsid w:val="00B36A00"/>
    <w:rsid w:val="00B36B8C"/>
    <w:rsid w:val="00B36E17"/>
    <w:rsid w:val="00B37335"/>
    <w:rsid w:val="00B374E0"/>
    <w:rsid w:val="00B374EA"/>
    <w:rsid w:val="00B3750B"/>
    <w:rsid w:val="00B37A7C"/>
    <w:rsid w:val="00B37BFB"/>
    <w:rsid w:val="00B37BFC"/>
    <w:rsid w:val="00B37F66"/>
    <w:rsid w:val="00B40358"/>
    <w:rsid w:val="00B4075E"/>
    <w:rsid w:val="00B408C7"/>
    <w:rsid w:val="00B41213"/>
    <w:rsid w:val="00B41614"/>
    <w:rsid w:val="00B41D66"/>
    <w:rsid w:val="00B422A0"/>
    <w:rsid w:val="00B424A3"/>
    <w:rsid w:val="00B4253B"/>
    <w:rsid w:val="00B425BB"/>
    <w:rsid w:val="00B42780"/>
    <w:rsid w:val="00B42851"/>
    <w:rsid w:val="00B429E1"/>
    <w:rsid w:val="00B42C33"/>
    <w:rsid w:val="00B42C63"/>
    <w:rsid w:val="00B42E18"/>
    <w:rsid w:val="00B42F80"/>
    <w:rsid w:val="00B43122"/>
    <w:rsid w:val="00B433D9"/>
    <w:rsid w:val="00B435CB"/>
    <w:rsid w:val="00B443A5"/>
    <w:rsid w:val="00B443BF"/>
    <w:rsid w:val="00B44787"/>
    <w:rsid w:val="00B4499B"/>
    <w:rsid w:val="00B44BF1"/>
    <w:rsid w:val="00B45064"/>
    <w:rsid w:val="00B4590E"/>
    <w:rsid w:val="00B459AE"/>
    <w:rsid w:val="00B45B31"/>
    <w:rsid w:val="00B45BC4"/>
    <w:rsid w:val="00B4601E"/>
    <w:rsid w:val="00B4670A"/>
    <w:rsid w:val="00B46D2E"/>
    <w:rsid w:val="00B46F2D"/>
    <w:rsid w:val="00B472B5"/>
    <w:rsid w:val="00B477E0"/>
    <w:rsid w:val="00B47902"/>
    <w:rsid w:val="00B47A6B"/>
    <w:rsid w:val="00B47B14"/>
    <w:rsid w:val="00B47B9C"/>
    <w:rsid w:val="00B47F30"/>
    <w:rsid w:val="00B505C8"/>
    <w:rsid w:val="00B50644"/>
    <w:rsid w:val="00B50DB8"/>
    <w:rsid w:val="00B511D1"/>
    <w:rsid w:val="00B5136E"/>
    <w:rsid w:val="00B525FD"/>
    <w:rsid w:val="00B52C18"/>
    <w:rsid w:val="00B52CEB"/>
    <w:rsid w:val="00B52E80"/>
    <w:rsid w:val="00B52F63"/>
    <w:rsid w:val="00B53654"/>
    <w:rsid w:val="00B53905"/>
    <w:rsid w:val="00B5397C"/>
    <w:rsid w:val="00B53A3E"/>
    <w:rsid w:val="00B53E72"/>
    <w:rsid w:val="00B53FD9"/>
    <w:rsid w:val="00B54127"/>
    <w:rsid w:val="00B542E1"/>
    <w:rsid w:val="00B54632"/>
    <w:rsid w:val="00B54B5B"/>
    <w:rsid w:val="00B54C06"/>
    <w:rsid w:val="00B54F4D"/>
    <w:rsid w:val="00B55064"/>
    <w:rsid w:val="00B553DF"/>
    <w:rsid w:val="00B5562E"/>
    <w:rsid w:val="00B55A63"/>
    <w:rsid w:val="00B55D65"/>
    <w:rsid w:val="00B56169"/>
    <w:rsid w:val="00B56206"/>
    <w:rsid w:val="00B56709"/>
    <w:rsid w:val="00B56725"/>
    <w:rsid w:val="00B5699F"/>
    <w:rsid w:val="00B56D59"/>
    <w:rsid w:val="00B57000"/>
    <w:rsid w:val="00B5762F"/>
    <w:rsid w:val="00B577C2"/>
    <w:rsid w:val="00B57CEB"/>
    <w:rsid w:val="00B57D2D"/>
    <w:rsid w:val="00B57DEE"/>
    <w:rsid w:val="00B57E64"/>
    <w:rsid w:val="00B60006"/>
    <w:rsid w:val="00B6061D"/>
    <w:rsid w:val="00B60939"/>
    <w:rsid w:val="00B60AFD"/>
    <w:rsid w:val="00B60EAD"/>
    <w:rsid w:val="00B610EE"/>
    <w:rsid w:val="00B61301"/>
    <w:rsid w:val="00B613A5"/>
    <w:rsid w:val="00B61552"/>
    <w:rsid w:val="00B618BC"/>
    <w:rsid w:val="00B61927"/>
    <w:rsid w:val="00B61C3F"/>
    <w:rsid w:val="00B61C55"/>
    <w:rsid w:val="00B62158"/>
    <w:rsid w:val="00B621AF"/>
    <w:rsid w:val="00B623DB"/>
    <w:rsid w:val="00B62715"/>
    <w:rsid w:val="00B63065"/>
    <w:rsid w:val="00B6328C"/>
    <w:rsid w:val="00B63476"/>
    <w:rsid w:val="00B63A36"/>
    <w:rsid w:val="00B63C20"/>
    <w:rsid w:val="00B63EF6"/>
    <w:rsid w:val="00B644AD"/>
    <w:rsid w:val="00B646EE"/>
    <w:rsid w:val="00B649CE"/>
    <w:rsid w:val="00B64FA0"/>
    <w:rsid w:val="00B64FB9"/>
    <w:rsid w:val="00B65006"/>
    <w:rsid w:val="00B652C5"/>
    <w:rsid w:val="00B653EB"/>
    <w:rsid w:val="00B65611"/>
    <w:rsid w:val="00B65690"/>
    <w:rsid w:val="00B656CD"/>
    <w:rsid w:val="00B65C6E"/>
    <w:rsid w:val="00B66027"/>
    <w:rsid w:val="00B661A1"/>
    <w:rsid w:val="00B665EA"/>
    <w:rsid w:val="00B66638"/>
    <w:rsid w:val="00B6682E"/>
    <w:rsid w:val="00B671F6"/>
    <w:rsid w:val="00B6736B"/>
    <w:rsid w:val="00B67731"/>
    <w:rsid w:val="00B67B6C"/>
    <w:rsid w:val="00B67C71"/>
    <w:rsid w:val="00B67D69"/>
    <w:rsid w:val="00B67D9B"/>
    <w:rsid w:val="00B67FAF"/>
    <w:rsid w:val="00B70622"/>
    <w:rsid w:val="00B7069F"/>
    <w:rsid w:val="00B70930"/>
    <w:rsid w:val="00B70A04"/>
    <w:rsid w:val="00B70D20"/>
    <w:rsid w:val="00B70E8E"/>
    <w:rsid w:val="00B70F00"/>
    <w:rsid w:val="00B72404"/>
    <w:rsid w:val="00B728FD"/>
    <w:rsid w:val="00B72D15"/>
    <w:rsid w:val="00B72DF0"/>
    <w:rsid w:val="00B731D0"/>
    <w:rsid w:val="00B731FB"/>
    <w:rsid w:val="00B735D7"/>
    <w:rsid w:val="00B73741"/>
    <w:rsid w:val="00B7406E"/>
    <w:rsid w:val="00B746DB"/>
    <w:rsid w:val="00B74C64"/>
    <w:rsid w:val="00B74D8D"/>
    <w:rsid w:val="00B75045"/>
    <w:rsid w:val="00B7505E"/>
    <w:rsid w:val="00B75720"/>
    <w:rsid w:val="00B758CF"/>
    <w:rsid w:val="00B75AD0"/>
    <w:rsid w:val="00B75BDB"/>
    <w:rsid w:val="00B75BF7"/>
    <w:rsid w:val="00B76010"/>
    <w:rsid w:val="00B7673F"/>
    <w:rsid w:val="00B76914"/>
    <w:rsid w:val="00B76A12"/>
    <w:rsid w:val="00B76B18"/>
    <w:rsid w:val="00B76C92"/>
    <w:rsid w:val="00B7716F"/>
    <w:rsid w:val="00B7718C"/>
    <w:rsid w:val="00B77579"/>
    <w:rsid w:val="00B777DC"/>
    <w:rsid w:val="00B777E8"/>
    <w:rsid w:val="00B77864"/>
    <w:rsid w:val="00B77A0B"/>
    <w:rsid w:val="00B77BC8"/>
    <w:rsid w:val="00B80310"/>
    <w:rsid w:val="00B809EB"/>
    <w:rsid w:val="00B80AB5"/>
    <w:rsid w:val="00B80C42"/>
    <w:rsid w:val="00B818A4"/>
    <w:rsid w:val="00B81C14"/>
    <w:rsid w:val="00B81C95"/>
    <w:rsid w:val="00B81F4F"/>
    <w:rsid w:val="00B81F96"/>
    <w:rsid w:val="00B82024"/>
    <w:rsid w:val="00B8203E"/>
    <w:rsid w:val="00B822F2"/>
    <w:rsid w:val="00B82B3B"/>
    <w:rsid w:val="00B82B7E"/>
    <w:rsid w:val="00B82D8B"/>
    <w:rsid w:val="00B831DC"/>
    <w:rsid w:val="00B83528"/>
    <w:rsid w:val="00B83D69"/>
    <w:rsid w:val="00B83E3C"/>
    <w:rsid w:val="00B83F0A"/>
    <w:rsid w:val="00B84117"/>
    <w:rsid w:val="00B8416C"/>
    <w:rsid w:val="00B84225"/>
    <w:rsid w:val="00B84294"/>
    <w:rsid w:val="00B8429F"/>
    <w:rsid w:val="00B84645"/>
    <w:rsid w:val="00B8473C"/>
    <w:rsid w:val="00B8473F"/>
    <w:rsid w:val="00B847FF"/>
    <w:rsid w:val="00B84861"/>
    <w:rsid w:val="00B84D59"/>
    <w:rsid w:val="00B854BA"/>
    <w:rsid w:val="00B856DE"/>
    <w:rsid w:val="00B858F0"/>
    <w:rsid w:val="00B859E8"/>
    <w:rsid w:val="00B85AA2"/>
    <w:rsid w:val="00B85C55"/>
    <w:rsid w:val="00B8634A"/>
    <w:rsid w:val="00B8647C"/>
    <w:rsid w:val="00B86481"/>
    <w:rsid w:val="00B8649C"/>
    <w:rsid w:val="00B8695D"/>
    <w:rsid w:val="00B86B36"/>
    <w:rsid w:val="00B876D3"/>
    <w:rsid w:val="00B87939"/>
    <w:rsid w:val="00B87D6E"/>
    <w:rsid w:val="00B87F0A"/>
    <w:rsid w:val="00B87F6C"/>
    <w:rsid w:val="00B903B7"/>
    <w:rsid w:val="00B9055C"/>
    <w:rsid w:val="00B90587"/>
    <w:rsid w:val="00B90615"/>
    <w:rsid w:val="00B90AF7"/>
    <w:rsid w:val="00B91242"/>
    <w:rsid w:val="00B9156A"/>
    <w:rsid w:val="00B91586"/>
    <w:rsid w:val="00B91B98"/>
    <w:rsid w:val="00B91BF0"/>
    <w:rsid w:val="00B91D70"/>
    <w:rsid w:val="00B92799"/>
    <w:rsid w:val="00B92904"/>
    <w:rsid w:val="00B92C46"/>
    <w:rsid w:val="00B92D0B"/>
    <w:rsid w:val="00B92FF6"/>
    <w:rsid w:val="00B93D16"/>
    <w:rsid w:val="00B93D8C"/>
    <w:rsid w:val="00B93D94"/>
    <w:rsid w:val="00B93E6D"/>
    <w:rsid w:val="00B94249"/>
    <w:rsid w:val="00B945AF"/>
    <w:rsid w:val="00B9472D"/>
    <w:rsid w:val="00B947B1"/>
    <w:rsid w:val="00B94945"/>
    <w:rsid w:val="00B94A35"/>
    <w:rsid w:val="00B94DD6"/>
    <w:rsid w:val="00B94EBE"/>
    <w:rsid w:val="00B94EDC"/>
    <w:rsid w:val="00B94F5D"/>
    <w:rsid w:val="00B94FE1"/>
    <w:rsid w:val="00B95307"/>
    <w:rsid w:val="00B95439"/>
    <w:rsid w:val="00B95717"/>
    <w:rsid w:val="00B958CB"/>
    <w:rsid w:val="00B9593A"/>
    <w:rsid w:val="00B95BF6"/>
    <w:rsid w:val="00B95F93"/>
    <w:rsid w:val="00B9700B"/>
    <w:rsid w:val="00B9709B"/>
    <w:rsid w:val="00B97230"/>
    <w:rsid w:val="00B9752D"/>
    <w:rsid w:val="00B97B64"/>
    <w:rsid w:val="00B97C46"/>
    <w:rsid w:val="00B97E1C"/>
    <w:rsid w:val="00BA0925"/>
    <w:rsid w:val="00BA121C"/>
    <w:rsid w:val="00BA126D"/>
    <w:rsid w:val="00BA1341"/>
    <w:rsid w:val="00BA1369"/>
    <w:rsid w:val="00BA14F3"/>
    <w:rsid w:val="00BA193A"/>
    <w:rsid w:val="00BA1AA8"/>
    <w:rsid w:val="00BA1B9E"/>
    <w:rsid w:val="00BA1D6B"/>
    <w:rsid w:val="00BA1E88"/>
    <w:rsid w:val="00BA1F5F"/>
    <w:rsid w:val="00BA23AA"/>
    <w:rsid w:val="00BA25F1"/>
    <w:rsid w:val="00BA2EE5"/>
    <w:rsid w:val="00BA322D"/>
    <w:rsid w:val="00BA32A1"/>
    <w:rsid w:val="00BA38C2"/>
    <w:rsid w:val="00BA3A47"/>
    <w:rsid w:val="00BA3E1C"/>
    <w:rsid w:val="00BA3FBD"/>
    <w:rsid w:val="00BA436B"/>
    <w:rsid w:val="00BA4526"/>
    <w:rsid w:val="00BA46AA"/>
    <w:rsid w:val="00BA4C7B"/>
    <w:rsid w:val="00BA50D9"/>
    <w:rsid w:val="00BA552B"/>
    <w:rsid w:val="00BA5CCD"/>
    <w:rsid w:val="00BA5D3D"/>
    <w:rsid w:val="00BA5DCC"/>
    <w:rsid w:val="00BA60C8"/>
    <w:rsid w:val="00BA63FA"/>
    <w:rsid w:val="00BA6F73"/>
    <w:rsid w:val="00BA73EA"/>
    <w:rsid w:val="00BA741F"/>
    <w:rsid w:val="00BB00B3"/>
    <w:rsid w:val="00BB046D"/>
    <w:rsid w:val="00BB0585"/>
    <w:rsid w:val="00BB0647"/>
    <w:rsid w:val="00BB08EE"/>
    <w:rsid w:val="00BB0A01"/>
    <w:rsid w:val="00BB0BDD"/>
    <w:rsid w:val="00BB176C"/>
    <w:rsid w:val="00BB1B20"/>
    <w:rsid w:val="00BB1D23"/>
    <w:rsid w:val="00BB1EA1"/>
    <w:rsid w:val="00BB1F85"/>
    <w:rsid w:val="00BB1F9A"/>
    <w:rsid w:val="00BB22F9"/>
    <w:rsid w:val="00BB2624"/>
    <w:rsid w:val="00BB2A73"/>
    <w:rsid w:val="00BB306A"/>
    <w:rsid w:val="00BB32FE"/>
    <w:rsid w:val="00BB3503"/>
    <w:rsid w:val="00BB35AC"/>
    <w:rsid w:val="00BB36BE"/>
    <w:rsid w:val="00BB36C1"/>
    <w:rsid w:val="00BB3A45"/>
    <w:rsid w:val="00BB4325"/>
    <w:rsid w:val="00BB433A"/>
    <w:rsid w:val="00BB446E"/>
    <w:rsid w:val="00BB4ACC"/>
    <w:rsid w:val="00BB4DE8"/>
    <w:rsid w:val="00BB4F3C"/>
    <w:rsid w:val="00BB50BE"/>
    <w:rsid w:val="00BB57E1"/>
    <w:rsid w:val="00BB5EC6"/>
    <w:rsid w:val="00BB5F94"/>
    <w:rsid w:val="00BB6011"/>
    <w:rsid w:val="00BB62F2"/>
    <w:rsid w:val="00BB6BA5"/>
    <w:rsid w:val="00BB6D4B"/>
    <w:rsid w:val="00BB703E"/>
    <w:rsid w:val="00BB732D"/>
    <w:rsid w:val="00BB7405"/>
    <w:rsid w:val="00BB740E"/>
    <w:rsid w:val="00BB7CBD"/>
    <w:rsid w:val="00BB7DD7"/>
    <w:rsid w:val="00BC0332"/>
    <w:rsid w:val="00BC05E5"/>
    <w:rsid w:val="00BC061C"/>
    <w:rsid w:val="00BC06AC"/>
    <w:rsid w:val="00BC06D6"/>
    <w:rsid w:val="00BC079D"/>
    <w:rsid w:val="00BC08EA"/>
    <w:rsid w:val="00BC0A13"/>
    <w:rsid w:val="00BC0CE9"/>
    <w:rsid w:val="00BC0F2B"/>
    <w:rsid w:val="00BC11F5"/>
    <w:rsid w:val="00BC14C6"/>
    <w:rsid w:val="00BC160E"/>
    <w:rsid w:val="00BC183C"/>
    <w:rsid w:val="00BC1A98"/>
    <w:rsid w:val="00BC1C4E"/>
    <w:rsid w:val="00BC1D74"/>
    <w:rsid w:val="00BC1F90"/>
    <w:rsid w:val="00BC205E"/>
    <w:rsid w:val="00BC2815"/>
    <w:rsid w:val="00BC28B4"/>
    <w:rsid w:val="00BC2C80"/>
    <w:rsid w:val="00BC2CC4"/>
    <w:rsid w:val="00BC2F31"/>
    <w:rsid w:val="00BC32CE"/>
    <w:rsid w:val="00BC3631"/>
    <w:rsid w:val="00BC3CE4"/>
    <w:rsid w:val="00BC4683"/>
    <w:rsid w:val="00BC4951"/>
    <w:rsid w:val="00BC495F"/>
    <w:rsid w:val="00BC4DD9"/>
    <w:rsid w:val="00BC5012"/>
    <w:rsid w:val="00BC568E"/>
    <w:rsid w:val="00BC589B"/>
    <w:rsid w:val="00BC591F"/>
    <w:rsid w:val="00BC5B32"/>
    <w:rsid w:val="00BC5BB4"/>
    <w:rsid w:val="00BC605E"/>
    <w:rsid w:val="00BC65CB"/>
    <w:rsid w:val="00BC6A9E"/>
    <w:rsid w:val="00BC6C4C"/>
    <w:rsid w:val="00BC6E29"/>
    <w:rsid w:val="00BC6FD5"/>
    <w:rsid w:val="00BC706D"/>
    <w:rsid w:val="00BC73DA"/>
    <w:rsid w:val="00BC7458"/>
    <w:rsid w:val="00BC7950"/>
    <w:rsid w:val="00BC79A4"/>
    <w:rsid w:val="00BC7D6D"/>
    <w:rsid w:val="00BC7EBA"/>
    <w:rsid w:val="00BD00DE"/>
    <w:rsid w:val="00BD0290"/>
    <w:rsid w:val="00BD11CC"/>
    <w:rsid w:val="00BD14F5"/>
    <w:rsid w:val="00BD20FC"/>
    <w:rsid w:val="00BD2108"/>
    <w:rsid w:val="00BD21C1"/>
    <w:rsid w:val="00BD23C2"/>
    <w:rsid w:val="00BD259E"/>
    <w:rsid w:val="00BD2731"/>
    <w:rsid w:val="00BD2933"/>
    <w:rsid w:val="00BD2A43"/>
    <w:rsid w:val="00BD2AAD"/>
    <w:rsid w:val="00BD2D0C"/>
    <w:rsid w:val="00BD2E28"/>
    <w:rsid w:val="00BD2FD5"/>
    <w:rsid w:val="00BD344C"/>
    <w:rsid w:val="00BD346D"/>
    <w:rsid w:val="00BD35E5"/>
    <w:rsid w:val="00BD3F9A"/>
    <w:rsid w:val="00BD407E"/>
    <w:rsid w:val="00BD4734"/>
    <w:rsid w:val="00BD4A24"/>
    <w:rsid w:val="00BD4A7F"/>
    <w:rsid w:val="00BD4B2E"/>
    <w:rsid w:val="00BD4B85"/>
    <w:rsid w:val="00BD4DF9"/>
    <w:rsid w:val="00BD5193"/>
    <w:rsid w:val="00BD5CD8"/>
    <w:rsid w:val="00BD643F"/>
    <w:rsid w:val="00BD6516"/>
    <w:rsid w:val="00BD6638"/>
    <w:rsid w:val="00BD68A3"/>
    <w:rsid w:val="00BD6938"/>
    <w:rsid w:val="00BD6B2C"/>
    <w:rsid w:val="00BD6CF3"/>
    <w:rsid w:val="00BD6D8A"/>
    <w:rsid w:val="00BD7084"/>
    <w:rsid w:val="00BD71EF"/>
    <w:rsid w:val="00BD73A0"/>
    <w:rsid w:val="00BD795D"/>
    <w:rsid w:val="00BD7B09"/>
    <w:rsid w:val="00BD7F51"/>
    <w:rsid w:val="00BD7FA6"/>
    <w:rsid w:val="00BE0117"/>
    <w:rsid w:val="00BE05E8"/>
    <w:rsid w:val="00BE0A2A"/>
    <w:rsid w:val="00BE0ECA"/>
    <w:rsid w:val="00BE15EA"/>
    <w:rsid w:val="00BE1828"/>
    <w:rsid w:val="00BE196D"/>
    <w:rsid w:val="00BE1A00"/>
    <w:rsid w:val="00BE1B6F"/>
    <w:rsid w:val="00BE1CC8"/>
    <w:rsid w:val="00BE1CFA"/>
    <w:rsid w:val="00BE1DA3"/>
    <w:rsid w:val="00BE1E02"/>
    <w:rsid w:val="00BE1ECA"/>
    <w:rsid w:val="00BE1ECC"/>
    <w:rsid w:val="00BE2180"/>
    <w:rsid w:val="00BE21F2"/>
    <w:rsid w:val="00BE23FD"/>
    <w:rsid w:val="00BE24CA"/>
    <w:rsid w:val="00BE24F4"/>
    <w:rsid w:val="00BE2814"/>
    <w:rsid w:val="00BE290B"/>
    <w:rsid w:val="00BE2A06"/>
    <w:rsid w:val="00BE2D70"/>
    <w:rsid w:val="00BE2EE6"/>
    <w:rsid w:val="00BE2FEF"/>
    <w:rsid w:val="00BE32FD"/>
    <w:rsid w:val="00BE396E"/>
    <w:rsid w:val="00BE3C39"/>
    <w:rsid w:val="00BE4275"/>
    <w:rsid w:val="00BE502E"/>
    <w:rsid w:val="00BE581D"/>
    <w:rsid w:val="00BE58D8"/>
    <w:rsid w:val="00BE61F5"/>
    <w:rsid w:val="00BE6343"/>
    <w:rsid w:val="00BE69FB"/>
    <w:rsid w:val="00BE6A0A"/>
    <w:rsid w:val="00BE6CE9"/>
    <w:rsid w:val="00BE7209"/>
    <w:rsid w:val="00BE7260"/>
    <w:rsid w:val="00BE75E2"/>
    <w:rsid w:val="00BE764A"/>
    <w:rsid w:val="00BE79AB"/>
    <w:rsid w:val="00BE7B5D"/>
    <w:rsid w:val="00BF01CA"/>
    <w:rsid w:val="00BF0422"/>
    <w:rsid w:val="00BF055A"/>
    <w:rsid w:val="00BF06AE"/>
    <w:rsid w:val="00BF0CE1"/>
    <w:rsid w:val="00BF0E4C"/>
    <w:rsid w:val="00BF0F95"/>
    <w:rsid w:val="00BF1354"/>
    <w:rsid w:val="00BF17F9"/>
    <w:rsid w:val="00BF1809"/>
    <w:rsid w:val="00BF20DB"/>
    <w:rsid w:val="00BF2135"/>
    <w:rsid w:val="00BF2160"/>
    <w:rsid w:val="00BF2368"/>
    <w:rsid w:val="00BF2433"/>
    <w:rsid w:val="00BF283B"/>
    <w:rsid w:val="00BF2D26"/>
    <w:rsid w:val="00BF2DBC"/>
    <w:rsid w:val="00BF2F57"/>
    <w:rsid w:val="00BF3198"/>
    <w:rsid w:val="00BF364A"/>
    <w:rsid w:val="00BF3E3D"/>
    <w:rsid w:val="00BF3E8B"/>
    <w:rsid w:val="00BF46BC"/>
    <w:rsid w:val="00BF47E2"/>
    <w:rsid w:val="00BF4A53"/>
    <w:rsid w:val="00BF4C4B"/>
    <w:rsid w:val="00BF4C71"/>
    <w:rsid w:val="00BF5371"/>
    <w:rsid w:val="00BF5713"/>
    <w:rsid w:val="00BF5901"/>
    <w:rsid w:val="00BF5A20"/>
    <w:rsid w:val="00BF5B0B"/>
    <w:rsid w:val="00BF5F65"/>
    <w:rsid w:val="00BF61C9"/>
    <w:rsid w:val="00BF64F2"/>
    <w:rsid w:val="00BF6508"/>
    <w:rsid w:val="00BF6536"/>
    <w:rsid w:val="00BF6795"/>
    <w:rsid w:val="00BF6C94"/>
    <w:rsid w:val="00BF74C7"/>
    <w:rsid w:val="00BF766A"/>
    <w:rsid w:val="00C0024C"/>
    <w:rsid w:val="00C00424"/>
    <w:rsid w:val="00C00673"/>
    <w:rsid w:val="00C0083F"/>
    <w:rsid w:val="00C00C53"/>
    <w:rsid w:val="00C00C93"/>
    <w:rsid w:val="00C00D4F"/>
    <w:rsid w:val="00C011E6"/>
    <w:rsid w:val="00C01396"/>
    <w:rsid w:val="00C016D7"/>
    <w:rsid w:val="00C017AB"/>
    <w:rsid w:val="00C01AAF"/>
    <w:rsid w:val="00C01C26"/>
    <w:rsid w:val="00C02053"/>
    <w:rsid w:val="00C025F4"/>
    <w:rsid w:val="00C02BFF"/>
    <w:rsid w:val="00C02E08"/>
    <w:rsid w:val="00C030DB"/>
    <w:rsid w:val="00C03417"/>
    <w:rsid w:val="00C036A0"/>
    <w:rsid w:val="00C036DD"/>
    <w:rsid w:val="00C03E52"/>
    <w:rsid w:val="00C03E92"/>
    <w:rsid w:val="00C04024"/>
    <w:rsid w:val="00C0427A"/>
    <w:rsid w:val="00C042D1"/>
    <w:rsid w:val="00C04302"/>
    <w:rsid w:val="00C04375"/>
    <w:rsid w:val="00C04527"/>
    <w:rsid w:val="00C0461C"/>
    <w:rsid w:val="00C04836"/>
    <w:rsid w:val="00C04EA2"/>
    <w:rsid w:val="00C051BE"/>
    <w:rsid w:val="00C051FE"/>
    <w:rsid w:val="00C0535B"/>
    <w:rsid w:val="00C0574A"/>
    <w:rsid w:val="00C0583E"/>
    <w:rsid w:val="00C05ABE"/>
    <w:rsid w:val="00C06196"/>
    <w:rsid w:val="00C06644"/>
    <w:rsid w:val="00C06BED"/>
    <w:rsid w:val="00C0709A"/>
    <w:rsid w:val="00C0725B"/>
    <w:rsid w:val="00C07A4C"/>
    <w:rsid w:val="00C10059"/>
    <w:rsid w:val="00C10162"/>
    <w:rsid w:val="00C1020D"/>
    <w:rsid w:val="00C10296"/>
    <w:rsid w:val="00C1095C"/>
    <w:rsid w:val="00C1098A"/>
    <w:rsid w:val="00C10AB8"/>
    <w:rsid w:val="00C10E49"/>
    <w:rsid w:val="00C10F46"/>
    <w:rsid w:val="00C111DD"/>
    <w:rsid w:val="00C11577"/>
    <w:rsid w:val="00C1179F"/>
    <w:rsid w:val="00C11A9D"/>
    <w:rsid w:val="00C11C39"/>
    <w:rsid w:val="00C11E1C"/>
    <w:rsid w:val="00C11EB9"/>
    <w:rsid w:val="00C1244E"/>
    <w:rsid w:val="00C12B57"/>
    <w:rsid w:val="00C12C14"/>
    <w:rsid w:val="00C12E0A"/>
    <w:rsid w:val="00C12ECC"/>
    <w:rsid w:val="00C13B19"/>
    <w:rsid w:val="00C14007"/>
    <w:rsid w:val="00C14351"/>
    <w:rsid w:val="00C146C5"/>
    <w:rsid w:val="00C14B00"/>
    <w:rsid w:val="00C14E24"/>
    <w:rsid w:val="00C14FC1"/>
    <w:rsid w:val="00C151DF"/>
    <w:rsid w:val="00C152C2"/>
    <w:rsid w:val="00C152EF"/>
    <w:rsid w:val="00C156A0"/>
    <w:rsid w:val="00C15B90"/>
    <w:rsid w:val="00C15BCD"/>
    <w:rsid w:val="00C15F04"/>
    <w:rsid w:val="00C160A3"/>
    <w:rsid w:val="00C162E8"/>
    <w:rsid w:val="00C16372"/>
    <w:rsid w:val="00C1643E"/>
    <w:rsid w:val="00C16815"/>
    <w:rsid w:val="00C16BA9"/>
    <w:rsid w:val="00C16E1F"/>
    <w:rsid w:val="00C1724A"/>
    <w:rsid w:val="00C1757F"/>
    <w:rsid w:val="00C1773D"/>
    <w:rsid w:val="00C179B3"/>
    <w:rsid w:val="00C17A44"/>
    <w:rsid w:val="00C17E3F"/>
    <w:rsid w:val="00C17EB1"/>
    <w:rsid w:val="00C17F13"/>
    <w:rsid w:val="00C200AA"/>
    <w:rsid w:val="00C20485"/>
    <w:rsid w:val="00C20D4B"/>
    <w:rsid w:val="00C20E87"/>
    <w:rsid w:val="00C21412"/>
    <w:rsid w:val="00C214B2"/>
    <w:rsid w:val="00C21692"/>
    <w:rsid w:val="00C2179B"/>
    <w:rsid w:val="00C21B74"/>
    <w:rsid w:val="00C21CF5"/>
    <w:rsid w:val="00C220FB"/>
    <w:rsid w:val="00C22DE9"/>
    <w:rsid w:val="00C230BD"/>
    <w:rsid w:val="00C233BD"/>
    <w:rsid w:val="00C237ED"/>
    <w:rsid w:val="00C23BC2"/>
    <w:rsid w:val="00C23BCC"/>
    <w:rsid w:val="00C23C57"/>
    <w:rsid w:val="00C242F6"/>
    <w:rsid w:val="00C244B7"/>
    <w:rsid w:val="00C24632"/>
    <w:rsid w:val="00C24B8D"/>
    <w:rsid w:val="00C24C40"/>
    <w:rsid w:val="00C24C9F"/>
    <w:rsid w:val="00C25418"/>
    <w:rsid w:val="00C25710"/>
    <w:rsid w:val="00C25725"/>
    <w:rsid w:val="00C258FE"/>
    <w:rsid w:val="00C25D9C"/>
    <w:rsid w:val="00C25EA7"/>
    <w:rsid w:val="00C26722"/>
    <w:rsid w:val="00C26933"/>
    <w:rsid w:val="00C26A16"/>
    <w:rsid w:val="00C27208"/>
    <w:rsid w:val="00C27502"/>
    <w:rsid w:val="00C2778B"/>
    <w:rsid w:val="00C27F8C"/>
    <w:rsid w:val="00C30016"/>
    <w:rsid w:val="00C301ED"/>
    <w:rsid w:val="00C30938"/>
    <w:rsid w:val="00C312B5"/>
    <w:rsid w:val="00C31649"/>
    <w:rsid w:val="00C31B56"/>
    <w:rsid w:val="00C31B90"/>
    <w:rsid w:val="00C31F6A"/>
    <w:rsid w:val="00C32033"/>
    <w:rsid w:val="00C320BD"/>
    <w:rsid w:val="00C3218E"/>
    <w:rsid w:val="00C32A5E"/>
    <w:rsid w:val="00C32AF9"/>
    <w:rsid w:val="00C32D4A"/>
    <w:rsid w:val="00C32D8D"/>
    <w:rsid w:val="00C32DEA"/>
    <w:rsid w:val="00C32E26"/>
    <w:rsid w:val="00C32F84"/>
    <w:rsid w:val="00C33CF7"/>
    <w:rsid w:val="00C33DD2"/>
    <w:rsid w:val="00C34252"/>
    <w:rsid w:val="00C3434C"/>
    <w:rsid w:val="00C345ED"/>
    <w:rsid w:val="00C347F2"/>
    <w:rsid w:val="00C34B7F"/>
    <w:rsid w:val="00C34BE4"/>
    <w:rsid w:val="00C3509F"/>
    <w:rsid w:val="00C3519C"/>
    <w:rsid w:val="00C35318"/>
    <w:rsid w:val="00C35DCB"/>
    <w:rsid w:val="00C360A2"/>
    <w:rsid w:val="00C363C1"/>
    <w:rsid w:val="00C36D7A"/>
    <w:rsid w:val="00C3705C"/>
    <w:rsid w:val="00C37125"/>
    <w:rsid w:val="00C37387"/>
    <w:rsid w:val="00C37AC3"/>
    <w:rsid w:val="00C37BC4"/>
    <w:rsid w:val="00C40385"/>
    <w:rsid w:val="00C403DF"/>
    <w:rsid w:val="00C407B6"/>
    <w:rsid w:val="00C4098D"/>
    <w:rsid w:val="00C409EC"/>
    <w:rsid w:val="00C414FA"/>
    <w:rsid w:val="00C416CC"/>
    <w:rsid w:val="00C41768"/>
    <w:rsid w:val="00C41819"/>
    <w:rsid w:val="00C41853"/>
    <w:rsid w:val="00C418E3"/>
    <w:rsid w:val="00C419BB"/>
    <w:rsid w:val="00C41A2A"/>
    <w:rsid w:val="00C41A68"/>
    <w:rsid w:val="00C41F33"/>
    <w:rsid w:val="00C42294"/>
    <w:rsid w:val="00C423BF"/>
    <w:rsid w:val="00C424C8"/>
    <w:rsid w:val="00C425C7"/>
    <w:rsid w:val="00C42B29"/>
    <w:rsid w:val="00C42C8A"/>
    <w:rsid w:val="00C42F98"/>
    <w:rsid w:val="00C43032"/>
    <w:rsid w:val="00C4343B"/>
    <w:rsid w:val="00C43D9A"/>
    <w:rsid w:val="00C4435E"/>
    <w:rsid w:val="00C443C5"/>
    <w:rsid w:val="00C4459F"/>
    <w:rsid w:val="00C44A91"/>
    <w:rsid w:val="00C44CE5"/>
    <w:rsid w:val="00C44F32"/>
    <w:rsid w:val="00C45065"/>
    <w:rsid w:val="00C4678B"/>
    <w:rsid w:val="00C46913"/>
    <w:rsid w:val="00C46A2C"/>
    <w:rsid w:val="00C475AA"/>
    <w:rsid w:val="00C475C1"/>
    <w:rsid w:val="00C47A25"/>
    <w:rsid w:val="00C47A3C"/>
    <w:rsid w:val="00C47C5C"/>
    <w:rsid w:val="00C47F55"/>
    <w:rsid w:val="00C50435"/>
    <w:rsid w:val="00C50624"/>
    <w:rsid w:val="00C50F06"/>
    <w:rsid w:val="00C515FD"/>
    <w:rsid w:val="00C51990"/>
    <w:rsid w:val="00C519CE"/>
    <w:rsid w:val="00C51AAE"/>
    <w:rsid w:val="00C51EF7"/>
    <w:rsid w:val="00C51F94"/>
    <w:rsid w:val="00C5202A"/>
    <w:rsid w:val="00C5214A"/>
    <w:rsid w:val="00C5284B"/>
    <w:rsid w:val="00C52C5E"/>
    <w:rsid w:val="00C52F71"/>
    <w:rsid w:val="00C53093"/>
    <w:rsid w:val="00C531FD"/>
    <w:rsid w:val="00C5322B"/>
    <w:rsid w:val="00C5346C"/>
    <w:rsid w:val="00C5350F"/>
    <w:rsid w:val="00C53638"/>
    <w:rsid w:val="00C53BE6"/>
    <w:rsid w:val="00C53C98"/>
    <w:rsid w:val="00C53EBF"/>
    <w:rsid w:val="00C5412E"/>
    <w:rsid w:val="00C54242"/>
    <w:rsid w:val="00C545BF"/>
    <w:rsid w:val="00C54600"/>
    <w:rsid w:val="00C54AFA"/>
    <w:rsid w:val="00C54B4D"/>
    <w:rsid w:val="00C54C52"/>
    <w:rsid w:val="00C55268"/>
    <w:rsid w:val="00C55285"/>
    <w:rsid w:val="00C55361"/>
    <w:rsid w:val="00C5593A"/>
    <w:rsid w:val="00C55BFC"/>
    <w:rsid w:val="00C55C8C"/>
    <w:rsid w:val="00C55E73"/>
    <w:rsid w:val="00C5669C"/>
    <w:rsid w:val="00C5682C"/>
    <w:rsid w:val="00C56C71"/>
    <w:rsid w:val="00C56D5E"/>
    <w:rsid w:val="00C56F90"/>
    <w:rsid w:val="00C56FCF"/>
    <w:rsid w:val="00C571DE"/>
    <w:rsid w:val="00C5750D"/>
    <w:rsid w:val="00C579FF"/>
    <w:rsid w:val="00C57B6C"/>
    <w:rsid w:val="00C57C1F"/>
    <w:rsid w:val="00C57C2C"/>
    <w:rsid w:val="00C60272"/>
    <w:rsid w:val="00C60435"/>
    <w:rsid w:val="00C60C3A"/>
    <w:rsid w:val="00C610CE"/>
    <w:rsid w:val="00C611CC"/>
    <w:rsid w:val="00C61677"/>
    <w:rsid w:val="00C6194C"/>
    <w:rsid w:val="00C61A60"/>
    <w:rsid w:val="00C621EE"/>
    <w:rsid w:val="00C6239E"/>
    <w:rsid w:val="00C62653"/>
    <w:rsid w:val="00C6284A"/>
    <w:rsid w:val="00C628A6"/>
    <w:rsid w:val="00C62BAA"/>
    <w:rsid w:val="00C62C96"/>
    <w:rsid w:val="00C62E8A"/>
    <w:rsid w:val="00C6366C"/>
    <w:rsid w:val="00C63805"/>
    <w:rsid w:val="00C638EE"/>
    <w:rsid w:val="00C6398D"/>
    <w:rsid w:val="00C64225"/>
    <w:rsid w:val="00C64344"/>
    <w:rsid w:val="00C6435E"/>
    <w:rsid w:val="00C6483C"/>
    <w:rsid w:val="00C64888"/>
    <w:rsid w:val="00C64E7A"/>
    <w:rsid w:val="00C65108"/>
    <w:rsid w:val="00C653D7"/>
    <w:rsid w:val="00C65576"/>
    <w:rsid w:val="00C65665"/>
    <w:rsid w:val="00C657B8"/>
    <w:rsid w:val="00C65FB6"/>
    <w:rsid w:val="00C65FF2"/>
    <w:rsid w:val="00C66152"/>
    <w:rsid w:val="00C66165"/>
    <w:rsid w:val="00C664BF"/>
    <w:rsid w:val="00C66566"/>
    <w:rsid w:val="00C6692E"/>
    <w:rsid w:val="00C66DD0"/>
    <w:rsid w:val="00C66E7A"/>
    <w:rsid w:val="00C67118"/>
    <w:rsid w:val="00C67238"/>
    <w:rsid w:val="00C67643"/>
    <w:rsid w:val="00C6771F"/>
    <w:rsid w:val="00C679A3"/>
    <w:rsid w:val="00C679FE"/>
    <w:rsid w:val="00C67AFC"/>
    <w:rsid w:val="00C67D08"/>
    <w:rsid w:val="00C67FD7"/>
    <w:rsid w:val="00C7018E"/>
    <w:rsid w:val="00C701AC"/>
    <w:rsid w:val="00C703F8"/>
    <w:rsid w:val="00C7060A"/>
    <w:rsid w:val="00C7074E"/>
    <w:rsid w:val="00C70A4B"/>
    <w:rsid w:val="00C70B74"/>
    <w:rsid w:val="00C70EAF"/>
    <w:rsid w:val="00C70F0F"/>
    <w:rsid w:val="00C71172"/>
    <w:rsid w:val="00C7151A"/>
    <w:rsid w:val="00C717E3"/>
    <w:rsid w:val="00C71AFA"/>
    <w:rsid w:val="00C71BCF"/>
    <w:rsid w:val="00C71F60"/>
    <w:rsid w:val="00C721E8"/>
    <w:rsid w:val="00C72241"/>
    <w:rsid w:val="00C722BE"/>
    <w:rsid w:val="00C72478"/>
    <w:rsid w:val="00C72AA3"/>
    <w:rsid w:val="00C73046"/>
    <w:rsid w:val="00C73056"/>
    <w:rsid w:val="00C736F9"/>
    <w:rsid w:val="00C7382F"/>
    <w:rsid w:val="00C73C01"/>
    <w:rsid w:val="00C73EA7"/>
    <w:rsid w:val="00C73F3B"/>
    <w:rsid w:val="00C740AE"/>
    <w:rsid w:val="00C740E1"/>
    <w:rsid w:val="00C743BE"/>
    <w:rsid w:val="00C743BF"/>
    <w:rsid w:val="00C7456A"/>
    <w:rsid w:val="00C7467B"/>
    <w:rsid w:val="00C74919"/>
    <w:rsid w:val="00C749A3"/>
    <w:rsid w:val="00C749C2"/>
    <w:rsid w:val="00C74F64"/>
    <w:rsid w:val="00C74FA9"/>
    <w:rsid w:val="00C7502F"/>
    <w:rsid w:val="00C750C8"/>
    <w:rsid w:val="00C7560F"/>
    <w:rsid w:val="00C75FE1"/>
    <w:rsid w:val="00C76419"/>
    <w:rsid w:val="00C768D2"/>
    <w:rsid w:val="00C768D9"/>
    <w:rsid w:val="00C76BA9"/>
    <w:rsid w:val="00C76C38"/>
    <w:rsid w:val="00C76D16"/>
    <w:rsid w:val="00C76D5F"/>
    <w:rsid w:val="00C76F99"/>
    <w:rsid w:val="00C80759"/>
    <w:rsid w:val="00C8079A"/>
    <w:rsid w:val="00C80A0E"/>
    <w:rsid w:val="00C80C8C"/>
    <w:rsid w:val="00C80DC0"/>
    <w:rsid w:val="00C80ECF"/>
    <w:rsid w:val="00C80FBA"/>
    <w:rsid w:val="00C8127B"/>
    <w:rsid w:val="00C8135C"/>
    <w:rsid w:val="00C81659"/>
    <w:rsid w:val="00C81973"/>
    <w:rsid w:val="00C81FAB"/>
    <w:rsid w:val="00C8213F"/>
    <w:rsid w:val="00C82361"/>
    <w:rsid w:val="00C82389"/>
    <w:rsid w:val="00C82526"/>
    <w:rsid w:val="00C82C69"/>
    <w:rsid w:val="00C83646"/>
    <w:rsid w:val="00C83CC9"/>
    <w:rsid w:val="00C84029"/>
    <w:rsid w:val="00C841AF"/>
    <w:rsid w:val="00C841FD"/>
    <w:rsid w:val="00C84434"/>
    <w:rsid w:val="00C8457F"/>
    <w:rsid w:val="00C84D3B"/>
    <w:rsid w:val="00C84E6A"/>
    <w:rsid w:val="00C85154"/>
    <w:rsid w:val="00C8535E"/>
    <w:rsid w:val="00C85770"/>
    <w:rsid w:val="00C85D03"/>
    <w:rsid w:val="00C85D71"/>
    <w:rsid w:val="00C85F09"/>
    <w:rsid w:val="00C86157"/>
    <w:rsid w:val="00C865D4"/>
    <w:rsid w:val="00C8660D"/>
    <w:rsid w:val="00C86833"/>
    <w:rsid w:val="00C86D38"/>
    <w:rsid w:val="00C87462"/>
    <w:rsid w:val="00C878A5"/>
    <w:rsid w:val="00C8797A"/>
    <w:rsid w:val="00C87CF3"/>
    <w:rsid w:val="00C87E6C"/>
    <w:rsid w:val="00C900B8"/>
    <w:rsid w:val="00C90810"/>
    <w:rsid w:val="00C90B96"/>
    <w:rsid w:val="00C90C71"/>
    <w:rsid w:val="00C9150E"/>
    <w:rsid w:val="00C919B8"/>
    <w:rsid w:val="00C91B3E"/>
    <w:rsid w:val="00C91BC7"/>
    <w:rsid w:val="00C91C02"/>
    <w:rsid w:val="00C91EF5"/>
    <w:rsid w:val="00C91FD1"/>
    <w:rsid w:val="00C9236D"/>
    <w:rsid w:val="00C92370"/>
    <w:rsid w:val="00C923D1"/>
    <w:rsid w:val="00C9298B"/>
    <w:rsid w:val="00C92B7A"/>
    <w:rsid w:val="00C9308B"/>
    <w:rsid w:val="00C931CF"/>
    <w:rsid w:val="00C938CF"/>
    <w:rsid w:val="00C93E65"/>
    <w:rsid w:val="00C94053"/>
    <w:rsid w:val="00C94B1E"/>
    <w:rsid w:val="00C94ECB"/>
    <w:rsid w:val="00C94F3F"/>
    <w:rsid w:val="00C950A8"/>
    <w:rsid w:val="00C950DE"/>
    <w:rsid w:val="00C95B7A"/>
    <w:rsid w:val="00C95D49"/>
    <w:rsid w:val="00C9624D"/>
    <w:rsid w:val="00C962AA"/>
    <w:rsid w:val="00C965AC"/>
    <w:rsid w:val="00C969DA"/>
    <w:rsid w:val="00C96EEE"/>
    <w:rsid w:val="00C973A9"/>
    <w:rsid w:val="00C97885"/>
    <w:rsid w:val="00CA0557"/>
    <w:rsid w:val="00CA0636"/>
    <w:rsid w:val="00CA081F"/>
    <w:rsid w:val="00CA095D"/>
    <w:rsid w:val="00CA0B24"/>
    <w:rsid w:val="00CA1955"/>
    <w:rsid w:val="00CA1A65"/>
    <w:rsid w:val="00CA1EB1"/>
    <w:rsid w:val="00CA21D8"/>
    <w:rsid w:val="00CA2497"/>
    <w:rsid w:val="00CA27D3"/>
    <w:rsid w:val="00CA2C77"/>
    <w:rsid w:val="00CA2F4E"/>
    <w:rsid w:val="00CA331E"/>
    <w:rsid w:val="00CA3AF6"/>
    <w:rsid w:val="00CA3C45"/>
    <w:rsid w:val="00CA3EDF"/>
    <w:rsid w:val="00CA3F3F"/>
    <w:rsid w:val="00CA3FD1"/>
    <w:rsid w:val="00CA444F"/>
    <w:rsid w:val="00CA465C"/>
    <w:rsid w:val="00CA4FD7"/>
    <w:rsid w:val="00CA5094"/>
    <w:rsid w:val="00CA5245"/>
    <w:rsid w:val="00CA53C7"/>
    <w:rsid w:val="00CA54D6"/>
    <w:rsid w:val="00CA55A3"/>
    <w:rsid w:val="00CA5C2B"/>
    <w:rsid w:val="00CA6038"/>
    <w:rsid w:val="00CA62D7"/>
    <w:rsid w:val="00CA66B6"/>
    <w:rsid w:val="00CA6824"/>
    <w:rsid w:val="00CA6890"/>
    <w:rsid w:val="00CA69F6"/>
    <w:rsid w:val="00CA71F4"/>
    <w:rsid w:val="00CA7614"/>
    <w:rsid w:val="00CA7AAE"/>
    <w:rsid w:val="00CA7B09"/>
    <w:rsid w:val="00CA7E5C"/>
    <w:rsid w:val="00CA7F68"/>
    <w:rsid w:val="00CB0008"/>
    <w:rsid w:val="00CB063C"/>
    <w:rsid w:val="00CB0894"/>
    <w:rsid w:val="00CB0C22"/>
    <w:rsid w:val="00CB0D42"/>
    <w:rsid w:val="00CB0E84"/>
    <w:rsid w:val="00CB10BB"/>
    <w:rsid w:val="00CB1225"/>
    <w:rsid w:val="00CB12A5"/>
    <w:rsid w:val="00CB16E9"/>
    <w:rsid w:val="00CB1CAC"/>
    <w:rsid w:val="00CB1CF4"/>
    <w:rsid w:val="00CB2251"/>
    <w:rsid w:val="00CB2A65"/>
    <w:rsid w:val="00CB2EAF"/>
    <w:rsid w:val="00CB2F2A"/>
    <w:rsid w:val="00CB321A"/>
    <w:rsid w:val="00CB35C8"/>
    <w:rsid w:val="00CB35FE"/>
    <w:rsid w:val="00CB3661"/>
    <w:rsid w:val="00CB3B09"/>
    <w:rsid w:val="00CB410A"/>
    <w:rsid w:val="00CB41A6"/>
    <w:rsid w:val="00CB4940"/>
    <w:rsid w:val="00CB4C14"/>
    <w:rsid w:val="00CB4D94"/>
    <w:rsid w:val="00CB4E5A"/>
    <w:rsid w:val="00CB531D"/>
    <w:rsid w:val="00CB5395"/>
    <w:rsid w:val="00CB5892"/>
    <w:rsid w:val="00CB5B1A"/>
    <w:rsid w:val="00CB5BF7"/>
    <w:rsid w:val="00CB5F76"/>
    <w:rsid w:val="00CB5F99"/>
    <w:rsid w:val="00CB6167"/>
    <w:rsid w:val="00CB6325"/>
    <w:rsid w:val="00CB67F0"/>
    <w:rsid w:val="00CB6B22"/>
    <w:rsid w:val="00CB75C2"/>
    <w:rsid w:val="00CB766F"/>
    <w:rsid w:val="00CB7BAF"/>
    <w:rsid w:val="00CB7F5F"/>
    <w:rsid w:val="00CB7FA3"/>
    <w:rsid w:val="00CC0369"/>
    <w:rsid w:val="00CC09EA"/>
    <w:rsid w:val="00CC0EC3"/>
    <w:rsid w:val="00CC11A5"/>
    <w:rsid w:val="00CC12DF"/>
    <w:rsid w:val="00CC16B9"/>
    <w:rsid w:val="00CC1A7A"/>
    <w:rsid w:val="00CC1B36"/>
    <w:rsid w:val="00CC1B39"/>
    <w:rsid w:val="00CC1E8D"/>
    <w:rsid w:val="00CC240A"/>
    <w:rsid w:val="00CC2448"/>
    <w:rsid w:val="00CC270A"/>
    <w:rsid w:val="00CC2B5D"/>
    <w:rsid w:val="00CC2FED"/>
    <w:rsid w:val="00CC3076"/>
    <w:rsid w:val="00CC35EA"/>
    <w:rsid w:val="00CC365D"/>
    <w:rsid w:val="00CC3832"/>
    <w:rsid w:val="00CC3848"/>
    <w:rsid w:val="00CC3CA3"/>
    <w:rsid w:val="00CC4070"/>
    <w:rsid w:val="00CC44EE"/>
    <w:rsid w:val="00CC4899"/>
    <w:rsid w:val="00CC52BC"/>
    <w:rsid w:val="00CC5BCF"/>
    <w:rsid w:val="00CC66D7"/>
    <w:rsid w:val="00CC6834"/>
    <w:rsid w:val="00CC6E61"/>
    <w:rsid w:val="00CC7276"/>
    <w:rsid w:val="00CC73D0"/>
    <w:rsid w:val="00CC74B5"/>
    <w:rsid w:val="00CC77A5"/>
    <w:rsid w:val="00CC7894"/>
    <w:rsid w:val="00CC7A88"/>
    <w:rsid w:val="00CC7B07"/>
    <w:rsid w:val="00CC7CB8"/>
    <w:rsid w:val="00CC7D3D"/>
    <w:rsid w:val="00CD003F"/>
    <w:rsid w:val="00CD06EA"/>
    <w:rsid w:val="00CD106A"/>
    <w:rsid w:val="00CD1EDB"/>
    <w:rsid w:val="00CD1EE7"/>
    <w:rsid w:val="00CD251E"/>
    <w:rsid w:val="00CD2966"/>
    <w:rsid w:val="00CD2A60"/>
    <w:rsid w:val="00CD2F35"/>
    <w:rsid w:val="00CD3509"/>
    <w:rsid w:val="00CD3C30"/>
    <w:rsid w:val="00CD3F29"/>
    <w:rsid w:val="00CD3F77"/>
    <w:rsid w:val="00CD4096"/>
    <w:rsid w:val="00CD40C0"/>
    <w:rsid w:val="00CD4639"/>
    <w:rsid w:val="00CD47C8"/>
    <w:rsid w:val="00CD4C97"/>
    <w:rsid w:val="00CD57D6"/>
    <w:rsid w:val="00CD592A"/>
    <w:rsid w:val="00CD59A9"/>
    <w:rsid w:val="00CD59CF"/>
    <w:rsid w:val="00CD5BEF"/>
    <w:rsid w:val="00CD5F98"/>
    <w:rsid w:val="00CD61E8"/>
    <w:rsid w:val="00CD62C1"/>
    <w:rsid w:val="00CD69A0"/>
    <w:rsid w:val="00CD6ADC"/>
    <w:rsid w:val="00CD6C38"/>
    <w:rsid w:val="00CD6C72"/>
    <w:rsid w:val="00CD6EDF"/>
    <w:rsid w:val="00CD7193"/>
    <w:rsid w:val="00CD77F3"/>
    <w:rsid w:val="00CD7817"/>
    <w:rsid w:val="00CD7967"/>
    <w:rsid w:val="00CD7E7A"/>
    <w:rsid w:val="00CD7F47"/>
    <w:rsid w:val="00CD7FB5"/>
    <w:rsid w:val="00CE0314"/>
    <w:rsid w:val="00CE0372"/>
    <w:rsid w:val="00CE0482"/>
    <w:rsid w:val="00CE059C"/>
    <w:rsid w:val="00CE09D6"/>
    <w:rsid w:val="00CE0A7D"/>
    <w:rsid w:val="00CE0D1F"/>
    <w:rsid w:val="00CE0F6D"/>
    <w:rsid w:val="00CE0FF0"/>
    <w:rsid w:val="00CE1256"/>
    <w:rsid w:val="00CE145E"/>
    <w:rsid w:val="00CE1623"/>
    <w:rsid w:val="00CE1F75"/>
    <w:rsid w:val="00CE2267"/>
    <w:rsid w:val="00CE22F1"/>
    <w:rsid w:val="00CE264D"/>
    <w:rsid w:val="00CE2C9B"/>
    <w:rsid w:val="00CE2FE8"/>
    <w:rsid w:val="00CE38C8"/>
    <w:rsid w:val="00CE442D"/>
    <w:rsid w:val="00CE4AE0"/>
    <w:rsid w:val="00CE4AF1"/>
    <w:rsid w:val="00CE4E99"/>
    <w:rsid w:val="00CE520E"/>
    <w:rsid w:val="00CE56C2"/>
    <w:rsid w:val="00CE5980"/>
    <w:rsid w:val="00CE5AD0"/>
    <w:rsid w:val="00CE60F2"/>
    <w:rsid w:val="00CE6115"/>
    <w:rsid w:val="00CE6274"/>
    <w:rsid w:val="00CE698A"/>
    <w:rsid w:val="00CE69BD"/>
    <w:rsid w:val="00CE6A2F"/>
    <w:rsid w:val="00CE6BDD"/>
    <w:rsid w:val="00CE6C3B"/>
    <w:rsid w:val="00CE6D2C"/>
    <w:rsid w:val="00CE6D39"/>
    <w:rsid w:val="00CE6D66"/>
    <w:rsid w:val="00CE6D94"/>
    <w:rsid w:val="00CE70CB"/>
    <w:rsid w:val="00CE7114"/>
    <w:rsid w:val="00CE7159"/>
    <w:rsid w:val="00CE76BF"/>
    <w:rsid w:val="00CE77B6"/>
    <w:rsid w:val="00CE7B86"/>
    <w:rsid w:val="00CE7E48"/>
    <w:rsid w:val="00CE7EB8"/>
    <w:rsid w:val="00CF00F1"/>
    <w:rsid w:val="00CF025C"/>
    <w:rsid w:val="00CF0ACB"/>
    <w:rsid w:val="00CF0F3F"/>
    <w:rsid w:val="00CF10F3"/>
    <w:rsid w:val="00CF1136"/>
    <w:rsid w:val="00CF14A0"/>
    <w:rsid w:val="00CF16DF"/>
    <w:rsid w:val="00CF1729"/>
    <w:rsid w:val="00CF1800"/>
    <w:rsid w:val="00CF1829"/>
    <w:rsid w:val="00CF1CC2"/>
    <w:rsid w:val="00CF1CC9"/>
    <w:rsid w:val="00CF1D38"/>
    <w:rsid w:val="00CF1DEA"/>
    <w:rsid w:val="00CF20A7"/>
    <w:rsid w:val="00CF22C7"/>
    <w:rsid w:val="00CF23D4"/>
    <w:rsid w:val="00CF25D4"/>
    <w:rsid w:val="00CF2688"/>
    <w:rsid w:val="00CF2B02"/>
    <w:rsid w:val="00CF2B8D"/>
    <w:rsid w:val="00CF2E72"/>
    <w:rsid w:val="00CF3AF8"/>
    <w:rsid w:val="00CF456B"/>
    <w:rsid w:val="00CF4A72"/>
    <w:rsid w:val="00CF4AD4"/>
    <w:rsid w:val="00CF4C73"/>
    <w:rsid w:val="00CF4CA8"/>
    <w:rsid w:val="00CF538F"/>
    <w:rsid w:val="00CF544E"/>
    <w:rsid w:val="00CF573B"/>
    <w:rsid w:val="00CF57F5"/>
    <w:rsid w:val="00CF57F7"/>
    <w:rsid w:val="00CF5A22"/>
    <w:rsid w:val="00CF5B2F"/>
    <w:rsid w:val="00CF5BCB"/>
    <w:rsid w:val="00CF5F2A"/>
    <w:rsid w:val="00CF5F3F"/>
    <w:rsid w:val="00CF683D"/>
    <w:rsid w:val="00CF6A98"/>
    <w:rsid w:val="00CF6B0A"/>
    <w:rsid w:val="00CF6CDB"/>
    <w:rsid w:val="00CF6E58"/>
    <w:rsid w:val="00CF72B1"/>
    <w:rsid w:val="00CF7318"/>
    <w:rsid w:val="00CF75FD"/>
    <w:rsid w:val="00CF7693"/>
    <w:rsid w:val="00CF7778"/>
    <w:rsid w:val="00CF77B4"/>
    <w:rsid w:val="00CF7D01"/>
    <w:rsid w:val="00CF7D51"/>
    <w:rsid w:val="00CF7D7C"/>
    <w:rsid w:val="00CF7E14"/>
    <w:rsid w:val="00CF7FE4"/>
    <w:rsid w:val="00D00556"/>
    <w:rsid w:val="00D00644"/>
    <w:rsid w:val="00D0064C"/>
    <w:rsid w:val="00D009E3"/>
    <w:rsid w:val="00D00ABE"/>
    <w:rsid w:val="00D00CFF"/>
    <w:rsid w:val="00D00EEB"/>
    <w:rsid w:val="00D00F43"/>
    <w:rsid w:val="00D016B6"/>
    <w:rsid w:val="00D01AE9"/>
    <w:rsid w:val="00D01F6E"/>
    <w:rsid w:val="00D0205F"/>
    <w:rsid w:val="00D023FC"/>
    <w:rsid w:val="00D0262E"/>
    <w:rsid w:val="00D02A7F"/>
    <w:rsid w:val="00D02AC0"/>
    <w:rsid w:val="00D02FAB"/>
    <w:rsid w:val="00D03107"/>
    <w:rsid w:val="00D0311D"/>
    <w:rsid w:val="00D031DA"/>
    <w:rsid w:val="00D0336C"/>
    <w:rsid w:val="00D03592"/>
    <w:rsid w:val="00D036DC"/>
    <w:rsid w:val="00D037C2"/>
    <w:rsid w:val="00D0396A"/>
    <w:rsid w:val="00D03D3E"/>
    <w:rsid w:val="00D03DBB"/>
    <w:rsid w:val="00D04710"/>
    <w:rsid w:val="00D0476F"/>
    <w:rsid w:val="00D04BFB"/>
    <w:rsid w:val="00D04CDF"/>
    <w:rsid w:val="00D05AD5"/>
    <w:rsid w:val="00D05BCA"/>
    <w:rsid w:val="00D05E3D"/>
    <w:rsid w:val="00D06139"/>
    <w:rsid w:val="00D06363"/>
    <w:rsid w:val="00D06412"/>
    <w:rsid w:val="00D065E6"/>
    <w:rsid w:val="00D06629"/>
    <w:rsid w:val="00D06A69"/>
    <w:rsid w:val="00D06C9C"/>
    <w:rsid w:val="00D06D08"/>
    <w:rsid w:val="00D06ED3"/>
    <w:rsid w:val="00D07437"/>
    <w:rsid w:val="00D07611"/>
    <w:rsid w:val="00D077F0"/>
    <w:rsid w:val="00D0789F"/>
    <w:rsid w:val="00D110BD"/>
    <w:rsid w:val="00D114E5"/>
    <w:rsid w:val="00D11A57"/>
    <w:rsid w:val="00D12A58"/>
    <w:rsid w:val="00D12F9C"/>
    <w:rsid w:val="00D130A1"/>
    <w:rsid w:val="00D13431"/>
    <w:rsid w:val="00D13675"/>
    <w:rsid w:val="00D13789"/>
    <w:rsid w:val="00D141E1"/>
    <w:rsid w:val="00D14205"/>
    <w:rsid w:val="00D144BC"/>
    <w:rsid w:val="00D1483F"/>
    <w:rsid w:val="00D15242"/>
    <w:rsid w:val="00D15314"/>
    <w:rsid w:val="00D153B4"/>
    <w:rsid w:val="00D15641"/>
    <w:rsid w:val="00D16140"/>
    <w:rsid w:val="00D163BC"/>
    <w:rsid w:val="00D16BD8"/>
    <w:rsid w:val="00D16C3B"/>
    <w:rsid w:val="00D16D57"/>
    <w:rsid w:val="00D16FB6"/>
    <w:rsid w:val="00D172F3"/>
    <w:rsid w:val="00D17955"/>
    <w:rsid w:val="00D179B0"/>
    <w:rsid w:val="00D17BB8"/>
    <w:rsid w:val="00D17D6C"/>
    <w:rsid w:val="00D17DBF"/>
    <w:rsid w:val="00D17EB8"/>
    <w:rsid w:val="00D201F1"/>
    <w:rsid w:val="00D2038E"/>
    <w:rsid w:val="00D203A1"/>
    <w:rsid w:val="00D203AE"/>
    <w:rsid w:val="00D20609"/>
    <w:rsid w:val="00D207D0"/>
    <w:rsid w:val="00D20C90"/>
    <w:rsid w:val="00D20CC7"/>
    <w:rsid w:val="00D20D8B"/>
    <w:rsid w:val="00D211A4"/>
    <w:rsid w:val="00D21558"/>
    <w:rsid w:val="00D2155B"/>
    <w:rsid w:val="00D21D11"/>
    <w:rsid w:val="00D22778"/>
    <w:rsid w:val="00D22BAA"/>
    <w:rsid w:val="00D22BBD"/>
    <w:rsid w:val="00D2302C"/>
    <w:rsid w:val="00D23518"/>
    <w:rsid w:val="00D23665"/>
    <w:rsid w:val="00D23673"/>
    <w:rsid w:val="00D237EC"/>
    <w:rsid w:val="00D23B10"/>
    <w:rsid w:val="00D23D11"/>
    <w:rsid w:val="00D244B6"/>
    <w:rsid w:val="00D246CF"/>
    <w:rsid w:val="00D247D8"/>
    <w:rsid w:val="00D2517E"/>
    <w:rsid w:val="00D257EC"/>
    <w:rsid w:val="00D25C10"/>
    <w:rsid w:val="00D25C5F"/>
    <w:rsid w:val="00D26778"/>
    <w:rsid w:val="00D26A9E"/>
    <w:rsid w:val="00D26B1D"/>
    <w:rsid w:val="00D26F1A"/>
    <w:rsid w:val="00D2754D"/>
    <w:rsid w:val="00D27631"/>
    <w:rsid w:val="00D27771"/>
    <w:rsid w:val="00D27810"/>
    <w:rsid w:val="00D27970"/>
    <w:rsid w:val="00D27B27"/>
    <w:rsid w:val="00D27B47"/>
    <w:rsid w:val="00D27B67"/>
    <w:rsid w:val="00D27FA7"/>
    <w:rsid w:val="00D30030"/>
    <w:rsid w:val="00D3015B"/>
    <w:rsid w:val="00D30967"/>
    <w:rsid w:val="00D30A25"/>
    <w:rsid w:val="00D30CD1"/>
    <w:rsid w:val="00D31538"/>
    <w:rsid w:val="00D31B5D"/>
    <w:rsid w:val="00D320C0"/>
    <w:rsid w:val="00D32814"/>
    <w:rsid w:val="00D32DCE"/>
    <w:rsid w:val="00D32EF3"/>
    <w:rsid w:val="00D330FA"/>
    <w:rsid w:val="00D333E5"/>
    <w:rsid w:val="00D33414"/>
    <w:rsid w:val="00D3396F"/>
    <w:rsid w:val="00D33BE9"/>
    <w:rsid w:val="00D33F93"/>
    <w:rsid w:val="00D342F0"/>
    <w:rsid w:val="00D34A9F"/>
    <w:rsid w:val="00D34AF4"/>
    <w:rsid w:val="00D34E2D"/>
    <w:rsid w:val="00D3513A"/>
    <w:rsid w:val="00D353F8"/>
    <w:rsid w:val="00D35409"/>
    <w:rsid w:val="00D3553A"/>
    <w:rsid w:val="00D357FF"/>
    <w:rsid w:val="00D35862"/>
    <w:rsid w:val="00D363C1"/>
    <w:rsid w:val="00D36413"/>
    <w:rsid w:val="00D365E1"/>
    <w:rsid w:val="00D366CF"/>
    <w:rsid w:val="00D374B4"/>
    <w:rsid w:val="00D374F8"/>
    <w:rsid w:val="00D3758C"/>
    <w:rsid w:val="00D37632"/>
    <w:rsid w:val="00D3768F"/>
    <w:rsid w:val="00D37752"/>
    <w:rsid w:val="00D37AA3"/>
    <w:rsid w:val="00D37AC2"/>
    <w:rsid w:val="00D402D6"/>
    <w:rsid w:val="00D404B2"/>
    <w:rsid w:val="00D40CC5"/>
    <w:rsid w:val="00D40CE4"/>
    <w:rsid w:val="00D4115C"/>
    <w:rsid w:val="00D4127A"/>
    <w:rsid w:val="00D416F9"/>
    <w:rsid w:val="00D41780"/>
    <w:rsid w:val="00D4181D"/>
    <w:rsid w:val="00D41831"/>
    <w:rsid w:val="00D41A7D"/>
    <w:rsid w:val="00D41AFE"/>
    <w:rsid w:val="00D41C94"/>
    <w:rsid w:val="00D41D10"/>
    <w:rsid w:val="00D420DD"/>
    <w:rsid w:val="00D4229F"/>
    <w:rsid w:val="00D424C7"/>
    <w:rsid w:val="00D426EB"/>
    <w:rsid w:val="00D42AC6"/>
    <w:rsid w:val="00D42C4C"/>
    <w:rsid w:val="00D433CC"/>
    <w:rsid w:val="00D43839"/>
    <w:rsid w:val="00D439A7"/>
    <w:rsid w:val="00D439C5"/>
    <w:rsid w:val="00D43A65"/>
    <w:rsid w:val="00D43B2A"/>
    <w:rsid w:val="00D43BC8"/>
    <w:rsid w:val="00D43D83"/>
    <w:rsid w:val="00D43E18"/>
    <w:rsid w:val="00D440D7"/>
    <w:rsid w:val="00D4472B"/>
    <w:rsid w:val="00D44C2E"/>
    <w:rsid w:val="00D44D31"/>
    <w:rsid w:val="00D44F54"/>
    <w:rsid w:val="00D45413"/>
    <w:rsid w:val="00D45462"/>
    <w:rsid w:val="00D4549F"/>
    <w:rsid w:val="00D45605"/>
    <w:rsid w:val="00D456B6"/>
    <w:rsid w:val="00D45810"/>
    <w:rsid w:val="00D46045"/>
    <w:rsid w:val="00D463B9"/>
    <w:rsid w:val="00D463E6"/>
    <w:rsid w:val="00D4651B"/>
    <w:rsid w:val="00D46627"/>
    <w:rsid w:val="00D46CFF"/>
    <w:rsid w:val="00D47299"/>
    <w:rsid w:val="00D473A6"/>
    <w:rsid w:val="00D47568"/>
    <w:rsid w:val="00D47575"/>
    <w:rsid w:val="00D475B6"/>
    <w:rsid w:val="00D47757"/>
    <w:rsid w:val="00D47926"/>
    <w:rsid w:val="00D50B12"/>
    <w:rsid w:val="00D50E1A"/>
    <w:rsid w:val="00D50E7B"/>
    <w:rsid w:val="00D50E7E"/>
    <w:rsid w:val="00D50FE7"/>
    <w:rsid w:val="00D5110A"/>
    <w:rsid w:val="00D5150C"/>
    <w:rsid w:val="00D51CEC"/>
    <w:rsid w:val="00D51D08"/>
    <w:rsid w:val="00D520DA"/>
    <w:rsid w:val="00D52104"/>
    <w:rsid w:val="00D52216"/>
    <w:rsid w:val="00D52223"/>
    <w:rsid w:val="00D5243B"/>
    <w:rsid w:val="00D52B29"/>
    <w:rsid w:val="00D52B85"/>
    <w:rsid w:val="00D5334E"/>
    <w:rsid w:val="00D533EC"/>
    <w:rsid w:val="00D536BF"/>
    <w:rsid w:val="00D5468C"/>
    <w:rsid w:val="00D54954"/>
    <w:rsid w:val="00D54EB7"/>
    <w:rsid w:val="00D553CB"/>
    <w:rsid w:val="00D5557A"/>
    <w:rsid w:val="00D556F5"/>
    <w:rsid w:val="00D55738"/>
    <w:rsid w:val="00D558C2"/>
    <w:rsid w:val="00D55B8F"/>
    <w:rsid w:val="00D55ED5"/>
    <w:rsid w:val="00D560E9"/>
    <w:rsid w:val="00D567FF"/>
    <w:rsid w:val="00D5695C"/>
    <w:rsid w:val="00D56A5E"/>
    <w:rsid w:val="00D56A95"/>
    <w:rsid w:val="00D56C7F"/>
    <w:rsid w:val="00D56E5E"/>
    <w:rsid w:val="00D57613"/>
    <w:rsid w:val="00D577DD"/>
    <w:rsid w:val="00D5783A"/>
    <w:rsid w:val="00D578AA"/>
    <w:rsid w:val="00D579F2"/>
    <w:rsid w:val="00D57CAE"/>
    <w:rsid w:val="00D60666"/>
    <w:rsid w:val="00D607F0"/>
    <w:rsid w:val="00D60886"/>
    <w:rsid w:val="00D60A1C"/>
    <w:rsid w:val="00D60D2C"/>
    <w:rsid w:val="00D616EF"/>
    <w:rsid w:val="00D619EB"/>
    <w:rsid w:val="00D61FCB"/>
    <w:rsid w:val="00D62043"/>
    <w:rsid w:val="00D6241D"/>
    <w:rsid w:val="00D62613"/>
    <w:rsid w:val="00D6295B"/>
    <w:rsid w:val="00D62B93"/>
    <w:rsid w:val="00D62DBB"/>
    <w:rsid w:val="00D62FA0"/>
    <w:rsid w:val="00D63154"/>
    <w:rsid w:val="00D632F2"/>
    <w:rsid w:val="00D63470"/>
    <w:rsid w:val="00D634E1"/>
    <w:rsid w:val="00D635F3"/>
    <w:rsid w:val="00D637BE"/>
    <w:rsid w:val="00D6381F"/>
    <w:rsid w:val="00D63AA7"/>
    <w:rsid w:val="00D643BF"/>
    <w:rsid w:val="00D64577"/>
    <w:rsid w:val="00D645CA"/>
    <w:rsid w:val="00D64A1B"/>
    <w:rsid w:val="00D64F54"/>
    <w:rsid w:val="00D65CC2"/>
    <w:rsid w:val="00D6641D"/>
    <w:rsid w:val="00D66543"/>
    <w:rsid w:val="00D665A4"/>
    <w:rsid w:val="00D667D8"/>
    <w:rsid w:val="00D66EC7"/>
    <w:rsid w:val="00D679A8"/>
    <w:rsid w:val="00D67A30"/>
    <w:rsid w:val="00D67A47"/>
    <w:rsid w:val="00D67C9B"/>
    <w:rsid w:val="00D67CF7"/>
    <w:rsid w:val="00D67D8B"/>
    <w:rsid w:val="00D70057"/>
    <w:rsid w:val="00D70563"/>
    <w:rsid w:val="00D70AA8"/>
    <w:rsid w:val="00D70AE5"/>
    <w:rsid w:val="00D70F16"/>
    <w:rsid w:val="00D71523"/>
    <w:rsid w:val="00D71596"/>
    <w:rsid w:val="00D7176B"/>
    <w:rsid w:val="00D71FA0"/>
    <w:rsid w:val="00D7266E"/>
    <w:rsid w:val="00D72960"/>
    <w:rsid w:val="00D72F57"/>
    <w:rsid w:val="00D734D7"/>
    <w:rsid w:val="00D735DB"/>
    <w:rsid w:val="00D7361B"/>
    <w:rsid w:val="00D73740"/>
    <w:rsid w:val="00D7384C"/>
    <w:rsid w:val="00D739FC"/>
    <w:rsid w:val="00D73C33"/>
    <w:rsid w:val="00D73C7D"/>
    <w:rsid w:val="00D742D9"/>
    <w:rsid w:val="00D74991"/>
    <w:rsid w:val="00D74C40"/>
    <w:rsid w:val="00D75152"/>
    <w:rsid w:val="00D75269"/>
    <w:rsid w:val="00D75322"/>
    <w:rsid w:val="00D753C3"/>
    <w:rsid w:val="00D75B2D"/>
    <w:rsid w:val="00D75C54"/>
    <w:rsid w:val="00D75DAF"/>
    <w:rsid w:val="00D76574"/>
    <w:rsid w:val="00D769F4"/>
    <w:rsid w:val="00D76A44"/>
    <w:rsid w:val="00D76A86"/>
    <w:rsid w:val="00D76D23"/>
    <w:rsid w:val="00D76FB6"/>
    <w:rsid w:val="00D77060"/>
    <w:rsid w:val="00D7707C"/>
    <w:rsid w:val="00D772A9"/>
    <w:rsid w:val="00D772DB"/>
    <w:rsid w:val="00D77322"/>
    <w:rsid w:val="00D77991"/>
    <w:rsid w:val="00D77B29"/>
    <w:rsid w:val="00D8039D"/>
    <w:rsid w:val="00D80538"/>
    <w:rsid w:val="00D80DE5"/>
    <w:rsid w:val="00D80EDC"/>
    <w:rsid w:val="00D81170"/>
    <w:rsid w:val="00D81407"/>
    <w:rsid w:val="00D814C6"/>
    <w:rsid w:val="00D815AE"/>
    <w:rsid w:val="00D815EF"/>
    <w:rsid w:val="00D81F26"/>
    <w:rsid w:val="00D82058"/>
    <w:rsid w:val="00D82118"/>
    <w:rsid w:val="00D8222A"/>
    <w:rsid w:val="00D8243C"/>
    <w:rsid w:val="00D824F8"/>
    <w:rsid w:val="00D827BC"/>
    <w:rsid w:val="00D82BCB"/>
    <w:rsid w:val="00D82C53"/>
    <w:rsid w:val="00D82F48"/>
    <w:rsid w:val="00D83060"/>
    <w:rsid w:val="00D832BF"/>
    <w:rsid w:val="00D832C4"/>
    <w:rsid w:val="00D833C0"/>
    <w:rsid w:val="00D8352A"/>
    <w:rsid w:val="00D838FD"/>
    <w:rsid w:val="00D83D3C"/>
    <w:rsid w:val="00D8424C"/>
    <w:rsid w:val="00D84744"/>
    <w:rsid w:val="00D8495E"/>
    <w:rsid w:val="00D84AF5"/>
    <w:rsid w:val="00D84C02"/>
    <w:rsid w:val="00D84D84"/>
    <w:rsid w:val="00D84F74"/>
    <w:rsid w:val="00D85157"/>
    <w:rsid w:val="00D8521A"/>
    <w:rsid w:val="00D85ABB"/>
    <w:rsid w:val="00D85D30"/>
    <w:rsid w:val="00D85E5A"/>
    <w:rsid w:val="00D86024"/>
    <w:rsid w:val="00D86231"/>
    <w:rsid w:val="00D8735E"/>
    <w:rsid w:val="00D87870"/>
    <w:rsid w:val="00D878F6"/>
    <w:rsid w:val="00D8798B"/>
    <w:rsid w:val="00D87AC9"/>
    <w:rsid w:val="00D87B87"/>
    <w:rsid w:val="00D90192"/>
    <w:rsid w:val="00D90570"/>
    <w:rsid w:val="00D907EF"/>
    <w:rsid w:val="00D90C84"/>
    <w:rsid w:val="00D91240"/>
    <w:rsid w:val="00D91306"/>
    <w:rsid w:val="00D9174F"/>
    <w:rsid w:val="00D91923"/>
    <w:rsid w:val="00D919C9"/>
    <w:rsid w:val="00D91EDD"/>
    <w:rsid w:val="00D9265A"/>
    <w:rsid w:val="00D9271E"/>
    <w:rsid w:val="00D9273E"/>
    <w:rsid w:val="00D929E1"/>
    <w:rsid w:val="00D934DE"/>
    <w:rsid w:val="00D935DD"/>
    <w:rsid w:val="00D9363A"/>
    <w:rsid w:val="00D93753"/>
    <w:rsid w:val="00D93956"/>
    <w:rsid w:val="00D93A5B"/>
    <w:rsid w:val="00D93A78"/>
    <w:rsid w:val="00D94063"/>
    <w:rsid w:val="00D94281"/>
    <w:rsid w:val="00D946B5"/>
    <w:rsid w:val="00D949C1"/>
    <w:rsid w:val="00D94ADF"/>
    <w:rsid w:val="00D956A1"/>
    <w:rsid w:val="00D956B3"/>
    <w:rsid w:val="00D95A53"/>
    <w:rsid w:val="00D95D26"/>
    <w:rsid w:val="00D95D5D"/>
    <w:rsid w:val="00D96062"/>
    <w:rsid w:val="00D96132"/>
    <w:rsid w:val="00D961F5"/>
    <w:rsid w:val="00D966F6"/>
    <w:rsid w:val="00D96B76"/>
    <w:rsid w:val="00D96E7B"/>
    <w:rsid w:val="00D96E86"/>
    <w:rsid w:val="00D973A0"/>
    <w:rsid w:val="00D9748B"/>
    <w:rsid w:val="00D97772"/>
    <w:rsid w:val="00D97A99"/>
    <w:rsid w:val="00D97D70"/>
    <w:rsid w:val="00D97F43"/>
    <w:rsid w:val="00DA009C"/>
    <w:rsid w:val="00DA0285"/>
    <w:rsid w:val="00DA09ED"/>
    <w:rsid w:val="00DA0A1D"/>
    <w:rsid w:val="00DA0A3D"/>
    <w:rsid w:val="00DA0B55"/>
    <w:rsid w:val="00DA1075"/>
    <w:rsid w:val="00DA1958"/>
    <w:rsid w:val="00DA1CB4"/>
    <w:rsid w:val="00DA1EB2"/>
    <w:rsid w:val="00DA2207"/>
    <w:rsid w:val="00DA281A"/>
    <w:rsid w:val="00DA2997"/>
    <w:rsid w:val="00DA3167"/>
    <w:rsid w:val="00DA3D24"/>
    <w:rsid w:val="00DA3E0D"/>
    <w:rsid w:val="00DA3F7B"/>
    <w:rsid w:val="00DA409B"/>
    <w:rsid w:val="00DA4401"/>
    <w:rsid w:val="00DA44F6"/>
    <w:rsid w:val="00DA4752"/>
    <w:rsid w:val="00DA4897"/>
    <w:rsid w:val="00DA4DC3"/>
    <w:rsid w:val="00DA5154"/>
    <w:rsid w:val="00DA5222"/>
    <w:rsid w:val="00DA57FC"/>
    <w:rsid w:val="00DA5A38"/>
    <w:rsid w:val="00DA5AE0"/>
    <w:rsid w:val="00DA5C7E"/>
    <w:rsid w:val="00DA5E84"/>
    <w:rsid w:val="00DA5ECE"/>
    <w:rsid w:val="00DA6B4B"/>
    <w:rsid w:val="00DA6B81"/>
    <w:rsid w:val="00DA6D56"/>
    <w:rsid w:val="00DA6D5B"/>
    <w:rsid w:val="00DA6DD2"/>
    <w:rsid w:val="00DA6F22"/>
    <w:rsid w:val="00DA702B"/>
    <w:rsid w:val="00DA77A5"/>
    <w:rsid w:val="00DA7BAD"/>
    <w:rsid w:val="00DB010F"/>
    <w:rsid w:val="00DB0296"/>
    <w:rsid w:val="00DB070A"/>
    <w:rsid w:val="00DB0B13"/>
    <w:rsid w:val="00DB0EAD"/>
    <w:rsid w:val="00DB0EB4"/>
    <w:rsid w:val="00DB1318"/>
    <w:rsid w:val="00DB1CA4"/>
    <w:rsid w:val="00DB1CED"/>
    <w:rsid w:val="00DB251D"/>
    <w:rsid w:val="00DB2737"/>
    <w:rsid w:val="00DB27FB"/>
    <w:rsid w:val="00DB298B"/>
    <w:rsid w:val="00DB2F8A"/>
    <w:rsid w:val="00DB35A9"/>
    <w:rsid w:val="00DB3A2A"/>
    <w:rsid w:val="00DB3BC2"/>
    <w:rsid w:val="00DB3DBF"/>
    <w:rsid w:val="00DB3DE8"/>
    <w:rsid w:val="00DB3E25"/>
    <w:rsid w:val="00DB4160"/>
    <w:rsid w:val="00DB433F"/>
    <w:rsid w:val="00DB484F"/>
    <w:rsid w:val="00DB485A"/>
    <w:rsid w:val="00DB4BF8"/>
    <w:rsid w:val="00DB4EAF"/>
    <w:rsid w:val="00DB51D5"/>
    <w:rsid w:val="00DB5854"/>
    <w:rsid w:val="00DB638C"/>
    <w:rsid w:val="00DB650D"/>
    <w:rsid w:val="00DB6628"/>
    <w:rsid w:val="00DB691D"/>
    <w:rsid w:val="00DB6C59"/>
    <w:rsid w:val="00DB6F66"/>
    <w:rsid w:val="00DB6F7D"/>
    <w:rsid w:val="00DB70CC"/>
    <w:rsid w:val="00DB7958"/>
    <w:rsid w:val="00DB7A27"/>
    <w:rsid w:val="00DB7AEE"/>
    <w:rsid w:val="00DB7BE8"/>
    <w:rsid w:val="00DC00D0"/>
    <w:rsid w:val="00DC0150"/>
    <w:rsid w:val="00DC0248"/>
    <w:rsid w:val="00DC0305"/>
    <w:rsid w:val="00DC0411"/>
    <w:rsid w:val="00DC04F6"/>
    <w:rsid w:val="00DC0690"/>
    <w:rsid w:val="00DC0B07"/>
    <w:rsid w:val="00DC0FA1"/>
    <w:rsid w:val="00DC0FFE"/>
    <w:rsid w:val="00DC143B"/>
    <w:rsid w:val="00DC163D"/>
    <w:rsid w:val="00DC16EA"/>
    <w:rsid w:val="00DC1D65"/>
    <w:rsid w:val="00DC2D07"/>
    <w:rsid w:val="00DC2FA6"/>
    <w:rsid w:val="00DC306D"/>
    <w:rsid w:val="00DC3171"/>
    <w:rsid w:val="00DC3674"/>
    <w:rsid w:val="00DC3C57"/>
    <w:rsid w:val="00DC3FA2"/>
    <w:rsid w:val="00DC3FD5"/>
    <w:rsid w:val="00DC4313"/>
    <w:rsid w:val="00DC446C"/>
    <w:rsid w:val="00DC47F1"/>
    <w:rsid w:val="00DC488A"/>
    <w:rsid w:val="00DC4945"/>
    <w:rsid w:val="00DC49B4"/>
    <w:rsid w:val="00DC4A16"/>
    <w:rsid w:val="00DC4C37"/>
    <w:rsid w:val="00DC4E25"/>
    <w:rsid w:val="00DC4F2E"/>
    <w:rsid w:val="00DC4F9C"/>
    <w:rsid w:val="00DC5501"/>
    <w:rsid w:val="00DC57BE"/>
    <w:rsid w:val="00DC5D50"/>
    <w:rsid w:val="00DC6318"/>
    <w:rsid w:val="00DC678A"/>
    <w:rsid w:val="00DC688A"/>
    <w:rsid w:val="00DC6DE2"/>
    <w:rsid w:val="00DC7154"/>
    <w:rsid w:val="00DC7575"/>
    <w:rsid w:val="00DC75B0"/>
    <w:rsid w:val="00DC7678"/>
    <w:rsid w:val="00DC77F6"/>
    <w:rsid w:val="00DC783A"/>
    <w:rsid w:val="00DC7E8A"/>
    <w:rsid w:val="00DC7FE1"/>
    <w:rsid w:val="00DD0162"/>
    <w:rsid w:val="00DD07F3"/>
    <w:rsid w:val="00DD0EA9"/>
    <w:rsid w:val="00DD0F37"/>
    <w:rsid w:val="00DD0F78"/>
    <w:rsid w:val="00DD1448"/>
    <w:rsid w:val="00DD1DC5"/>
    <w:rsid w:val="00DD20C7"/>
    <w:rsid w:val="00DD22C7"/>
    <w:rsid w:val="00DD273C"/>
    <w:rsid w:val="00DD2CBA"/>
    <w:rsid w:val="00DD335A"/>
    <w:rsid w:val="00DD33D3"/>
    <w:rsid w:val="00DD355D"/>
    <w:rsid w:val="00DD39AA"/>
    <w:rsid w:val="00DD3A01"/>
    <w:rsid w:val="00DD3DAD"/>
    <w:rsid w:val="00DD3F28"/>
    <w:rsid w:val="00DD3FE8"/>
    <w:rsid w:val="00DD4029"/>
    <w:rsid w:val="00DD4470"/>
    <w:rsid w:val="00DD4537"/>
    <w:rsid w:val="00DD4E15"/>
    <w:rsid w:val="00DD4E44"/>
    <w:rsid w:val="00DD4F45"/>
    <w:rsid w:val="00DD5648"/>
    <w:rsid w:val="00DD5908"/>
    <w:rsid w:val="00DD591E"/>
    <w:rsid w:val="00DD5B5D"/>
    <w:rsid w:val="00DD5D20"/>
    <w:rsid w:val="00DD5D7A"/>
    <w:rsid w:val="00DD5E48"/>
    <w:rsid w:val="00DD5E5B"/>
    <w:rsid w:val="00DD6ABC"/>
    <w:rsid w:val="00DD6DF6"/>
    <w:rsid w:val="00DD6E22"/>
    <w:rsid w:val="00DD708C"/>
    <w:rsid w:val="00DD7306"/>
    <w:rsid w:val="00DD730E"/>
    <w:rsid w:val="00DD733D"/>
    <w:rsid w:val="00DD764A"/>
    <w:rsid w:val="00DD7E93"/>
    <w:rsid w:val="00DE00B4"/>
    <w:rsid w:val="00DE0249"/>
    <w:rsid w:val="00DE0280"/>
    <w:rsid w:val="00DE0ADA"/>
    <w:rsid w:val="00DE1479"/>
    <w:rsid w:val="00DE2014"/>
    <w:rsid w:val="00DE2304"/>
    <w:rsid w:val="00DE24ED"/>
    <w:rsid w:val="00DE2B10"/>
    <w:rsid w:val="00DE2E4C"/>
    <w:rsid w:val="00DE2ED9"/>
    <w:rsid w:val="00DE3138"/>
    <w:rsid w:val="00DE349A"/>
    <w:rsid w:val="00DE3566"/>
    <w:rsid w:val="00DE37F8"/>
    <w:rsid w:val="00DE4BFA"/>
    <w:rsid w:val="00DE4FCB"/>
    <w:rsid w:val="00DE5605"/>
    <w:rsid w:val="00DE597E"/>
    <w:rsid w:val="00DE59C3"/>
    <w:rsid w:val="00DE5A22"/>
    <w:rsid w:val="00DE5D07"/>
    <w:rsid w:val="00DE6635"/>
    <w:rsid w:val="00DE667B"/>
    <w:rsid w:val="00DE68DD"/>
    <w:rsid w:val="00DE6991"/>
    <w:rsid w:val="00DE6A45"/>
    <w:rsid w:val="00DE6AF3"/>
    <w:rsid w:val="00DE6CF1"/>
    <w:rsid w:val="00DE6F0D"/>
    <w:rsid w:val="00DE7136"/>
    <w:rsid w:val="00DE72A7"/>
    <w:rsid w:val="00DE730E"/>
    <w:rsid w:val="00DE73A9"/>
    <w:rsid w:val="00DE7832"/>
    <w:rsid w:val="00DE7926"/>
    <w:rsid w:val="00DE799C"/>
    <w:rsid w:val="00DE7D67"/>
    <w:rsid w:val="00DF0244"/>
    <w:rsid w:val="00DF0383"/>
    <w:rsid w:val="00DF0667"/>
    <w:rsid w:val="00DF074C"/>
    <w:rsid w:val="00DF08C4"/>
    <w:rsid w:val="00DF09E0"/>
    <w:rsid w:val="00DF09FE"/>
    <w:rsid w:val="00DF0B0F"/>
    <w:rsid w:val="00DF0B2E"/>
    <w:rsid w:val="00DF0BB6"/>
    <w:rsid w:val="00DF0D43"/>
    <w:rsid w:val="00DF0ECA"/>
    <w:rsid w:val="00DF16D6"/>
    <w:rsid w:val="00DF18FC"/>
    <w:rsid w:val="00DF1BEE"/>
    <w:rsid w:val="00DF1D7B"/>
    <w:rsid w:val="00DF22BC"/>
    <w:rsid w:val="00DF29E5"/>
    <w:rsid w:val="00DF2AA0"/>
    <w:rsid w:val="00DF2ED7"/>
    <w:rsid w:val="00DF34B6"/>
    <w:rsid w:val="00DF375C"/>
    <w:rsid w:val="00DF37E8"/>
    <w:rsid w:val="00DF39E3"/>
    <w:rsid w:val="00DF3C73"/>
    <w:rsid w:val="00DF3C75"/>
    <w:rsid w:val="00DF3DD4"/>
    <w:rsid w:val="00DF41A4"/>
    <w:rsid w:val="00DF4732"/>
    <w:rsid w:val="00DF478C"/>
    <w:rsid w:val="00DF4DB5"/>
    <w:rsid w:val="00DF4DDC"/>
    <w:rsid w:val="00DF4E34"/>
    <w:rsid w:val="00DF51A6"/>
    <w:rsid w:val="00DF596E"/>
    <w:rsid w:val="00DF59FC"/>
    <w:rsid w:val="00DF5D2B"/>
    <w:rsid w:val="00DF5D5A"/>
    <w:rsid w:val="00DF5E72"/>
    <w:rsid w:val="00DF5FF5"/>
    <w:rsid w:val="00DF6556"/>
    <w:rsid w:val="00DF67F5"/>
    <w:rsid w:val="00DF681C"/>
    <w:rsid w:val="00DF6A87"/>
    <w:rsid w:val="00DF71A9"/>
    <w:rsid w:val="00DF7793"/>
    <w:rsid w:val="00DF77BC"/>
    <w:rsid w:val="00DF78FF"/>
    <w:rsid w:val="00DF7ACF"/>
    <w:rsid w:val="00DF7BDF"/>
    <w:rsid w:val="00E00270"/>
    <w:rsid w:val="00E002E3"/>
    <w:rsid w:val="00E00903"/>
    <w:rsid w:val="00E00AE5"/>
    <w:rsid w:val="00E00C47"/>
    <w:rsid w:val="00E00CCD"/>
    <w:rsid w:val="00E00E8E"/>
    <w:rsid w:val="00E01443"/>
    <w:rsid w:val="00E01D2E"/>
    <w:rsid w:val="00E01DD4"/>
    <w:rsid w:val="00E01FF5"/>
    <w:rsid w:val="00E02185"/>
    <w:rsid w:val="00E021CC"/>
    <w:rsid w:val="00E02332"/>
    <w:rsid w:val="00E023F5"/>
    <w:rsid w:val="00E0259E"/>
    <w:rsid w:val="00E026AD"/>
    <w:rsid w:val="00E027A8"/>
    <w:rsid w:val="00E02D0A"/>
    <w:rsid w:val="00E02EBA"/>
    <w:rsid w:val="00E03271"/>
    <w:rsid w:val="00E03688"/>
    <w:rsid w:val="00E0388E"/>
    <w:rsid w:val="00E0393E"/>
    <w:rsid w:val="00E039B9"/>
    <w:rsid w:val="00E03D02"/>
    <w:rsid w:val="00E03E92"/>
    <w:rsid w:val="00E04378"/>
    <w:rsid w:val="00E046E5"/>
    <w:rsid w:val="00E04710"/>
    <w:rsid w:val="00E04787"/>
    <w:rsid w:val="00E05117"/>
    <w:rsid w:val="00E05311"/>
    <w:rsid w:val="00E05630"/>
    <w:rsid w:val="00E058A5"/>
    <w:rsid w:val="00E059BD"/>
    <w:rsid w:val="00E05A93"/>
    <w:rsid w:val="00E05AB3"/>
    <w:rsid w:val="00E06538"/>
    <w:rsid w:val="00E06C74"/>
    <w:rsid w:val="00E06CD9"/>
    <w:rsid w:val="00E06D17"/>
    <w:rsid w:val="00E06DBB"/>
    <w:rsid w:val="00E071F3"/>
    <w:rsid w:val="00E07386"/>
    <w:rsid w:val="00E07452"/>
    <w:rsid w:val="00E10149"/>
    <w:rsid w:val="00E102CB"/>
    <w:rsid w:val="00E10471"/>
    <w:rsid w:val="00E10EBF"/>
    <w:rsid w:val="00E10ED2"/>
    <w:rsid w:val="00E11340"/>
    <w:rsid w:val="00E113AC"/>
    <w:rsid w:val="00E11473"/>
    <w:rsid w:val="00E116D8"/>
    <w:rsid w:val="00E12033"/>
    <w:rsid w:val="00E1227B"/>
    <w:rsid w:val="00E122A1"/>
    <w:rsid w:val="00E1269E"/>
    <w:rsid w:val="00E12881"/>
    <w:rsid w:val="00E13438"/>
    <w:rsid w:val="00E13601"/>
    <w:rsid w:val="00E13B04"/>
    <w:rsid w:val="00E13CF6"/>
    <w:rsid w:val="00E13D2D"/>
    <w:rsid w:val="00E13E55"/>
    <w:rsid w:val="00E1404F"/>
    <w:rsid w:val="00E14270"/>
    <w:rsid w:val="00E147AA"/>
    <w:rsid w:val="00E14835"/>
    <w:rsid w:val="00E14BA2"/>
    <w:rsid w:val="00E15146"/>
    <w:rsid w:val="00E154CC"/>
    <w:rsid w:val="00E159DF"/>
    <w:rsid w:val="00E15D62"/>
    <w:rsid w:val="00E16372"/>
    <w:rsid w:val="00E16A2C"/>
    <w:rsid w:val="00E16AF4"/>
    <w:rsid w:val="00E16E1A"/>
    <w:rsid w:val="00E178ED"/>
    <w:rsid w:val="00E20966"/>
    <w:rsid w:val="00E20C83"/>
    <w:rsid w:val="00E20E4D"/>
    <w:rsid w:val="00E20ED6"/>
    <w:rsid w:val="00E20FB1"/>
    <w:rsid w:val="00E210D9"/>
    <w:rsid w:val="00E21358"/>
    <w:rsid w:val="00E214F5"/>
    <w:rsid w:val="00E217F3"/>
    <w:rsid w:val="00E219AA"/>
    <w:rsid w:val="00E21B11"/>
    <w:rsid w:val="00E21B78"/>
    <w:rsid w:val="00E21BA4"/>
    <w:rsid w:val="00E2249B"/>
    <w:rsid w:val="00E2287F"/>
    <w:rsid w:val="00E22A0D"/>
    <w:rsid w:val="00E23478"/>
    <w:rsid w:val="00E234EA"/>
    <w:rsid w:val="00E23AE3"/>
    <w:rsid w:val="00E244F6"/>
    <w:rsid w:val="00E2462F"/>
    <w:rsid w:val="00E24B4C"/>
    <w:rsid w:val="00E24BE8"/>
    <w:rsid w:val="00E24F12"/>
    <w:rsid w:val="00E24FF9"/>
    <w:rsid w:val="00E25077"/>
    <w:rsid w:val="00E250E3"/>
    <w:rsid w:val="00E25274"/>
    <w:rsid w:val="00E2562A"/>
    <w:rsid w:val="00E2563B"/>
    <w:rsid w:val="00E26202"/>
    <w:rsid w:val="00E26417"/>
    <w:rsid w:val="00E267A9"/>
    <w:rsid w:val="00E26919"/>
    <w:rsid w:val="00E26978"/>
    <w:rsid w:val="00E2746F"/>
    <w:rsid w:val="00E2748D"/>
    <w:rsid w:val="00E2771E"/>
    <w:rsid w:val="00E27A4F"/>
    <w:rsid w:val="00E30172"/>
    <w:rsid w:val="00E3059E"/>
    <w:rsid w:val="00E30A53"/>
    <w:rsid w:val="00E30C3E"/>
    <w:rsid w:val="00E30D5F"/>
    <w:rsid w:val="00E30F2E"/>
    <w:rsid w:val="00E31096"/>
    <w:rsid w:val="00E311EF"/>
    <w:rsid w:val="00E3130A"/>
    <w:rsid w:val="00E31804"/>
    <w:rsid w:val="00E32180"/>
    <w:rsid w:val="00E322FF"/>
    <w:rsid w:val="00E32549"/>
    <w:rsid w:val="00E329EB"/>
    <w:rsid w:val="00E32AC9"/>
    <w:rsid w:val="00E32C4B"/>
    <w:rsid w:val="00E32D60"/>
    <w:rsid w:val="00E32E38"/>
    <w:rsid w:val="00E330A1"/>
    <w:rsid w:val="00E3342E"/>
    <w:rsid w:val="00E33FFF"/>
    <w:rsid w:val="00E34355"/>
    <w:rsid w:val="00E343F1"/>
    <w:rsid w:val="00E348E2"/>
    <w:rsid w:val="00E34948"/>
    <w:rsid w:val="00E3525F"/>
    <w:rsid w:val="00E35355"/>
    <w:rsid w:val="00E35B53"/>
    <w:rsid w:val="00E35CD2"/>
    <w:rsid w:val="00E35ED1"/>
    <w:rsid w:val="00E35FF2"/>
    <w:rsid w:val="00E361BC"/>
    <w:rsid w:val="00E36405"/>
    <w:rsid w:val="00E36886"/>
    <w:rsid w:val="00E36B14"/>
    <w:rsid w:val="00E36C7A"/>
    <w:rsid w:val="00E36CE4"/>
    <w:rsid w:val="00E36F97"/>
    <w:rsid w:val="00E37569"/>
    <w:rsid w:val="00E3795F"/>
    <w:rsid w:val="00E37E4C"/>
    <w:rsid w:val="00E401B2"/>
    <w:rsid w:val="00E404EE"/>
    <w:rsid w:val="00E4066D"/>
    <w:rsid w:val="00E40A24"/>
    <w:rsid w:val="00E40B97"/>
    <w:rsid w:val="00E40C18"/>
    <w:rsid w:val="00E40EDB"/>
    <w:rsid w:val="00E416F7"/>
    <w:rsid w:val="00E41811"/>
    <w:rsid w:val="00E419D0"/>
    <w:rsid w:val="00E41E30"/>
    <w:rsid w:val="00E422CC"/>
    <w:rsid w:val="00E42629"/>
    <w:rsid w:val="00E42937"/>
    <w:rsid w:val="00E42947"/>
    <w:rsid w:val="00E42EF9"/>
    <w:rsid w:val="00E42F73"/>
    <w:rsid w:val="00E430BB"/>
    <w:rsid w:val="00E435AF"/>
    <w:rsid w:val="00E43A79"/>
    <w:rsid w:val="00E43D70"/>
    <w:rsid w:val="00E43EF1"/>
    <w:rsid w:val="00E43F19"/>
    <w:rsid w:val="00E43F2A"/>
    <w:rsid w:val="00E43FDF"/>
    <w:rsid w:val="00E4412C"/>
    <w:rsid w:val="00E4419F"/>
    <w:rsid w:val="00E44565"/>
    <w:rsid w:val="00E4474B"/>
    <w:rsid w:val="00E44B40"/>
    <w:rsid w:val="00E44EE1"/>
    <w:rsid w:val="00E44FE2"/>
    <w:rsid w:val="00E451D5"/>
    <w:rsid w:val="00E45366"/>
    <w:rsid w:val="00E453E4"/>
    <w:rsid w:val="00E45B3C"/>
    <w:rsid w:val="00E45DAC"/>
    <w:rsid w:val="00E46085"/>
    <w:rsid w:val="00E464E0"/>
    <w:rsid w:val="00E466F3"/>
    <w:rsid w:val="00E46887"/>
    <w:rsid w:val="00E468DE"/>
    <w:rsid w:val="00E46A93"/>
    <w:rsid w:val="00E46D82"/>
    <w:rsid w:val="00E46E3E"/>
    <w:rsid w:val="00E4700A"/>
    <w:rsid w:val="00E4701C"/>
    <w:rsid w:val="00E47378"/>
    <w:rsid w:val="00E47A0B"/>
    <w:rsid w:val="00E47B2C"/>
    <w:rsid w:val="00E47BBF"/>
    <w:rsid w:val="00E508D8"/>
    <w:rsid w:val="00E509F8"/>
    <w:rsid w:val="00E50D66"/>
    <w:rsid w:val="00E51089"/>
    <w:rsid w:val="00E51560"/>
    <w:rsid w:val="00E51996"/>
    <w:rsid w:val="00E52425"/>
    <w:rsid w:val="00E5259D"/>
    <w:rsid w:val="00E52979"/>
    <w:rsid w:val="00E52AF8"/>
    <w:rsid w:val="00E52B6A"/>
    <w:rsid w:val="00E53068"/>
    <w:rsid w:val="00E5320E"/>
    <w:rsid w:val="00E5343F"/>
    <w:rsid w:val="00E537C7"/>
    <w:rsid w:val="00E53831"/>
    <w:rsid w:val="00E53AB4"/>
    <w:rsid w:val="00E53CA1"/>
    <w:rsid w:val="00E53DEA"/>
    <w:rsid w:val="00E53FC8"/>
    <w:rsid w:val="00E54347"/>
    <w:rsid w:val="00E5455A"/>
    <w:rsid w:val="00E54AD0"/>
    <w:rsid w:val="00E54DB9"/>
    <w:rsid w:val="00E55357"/>
    <w:rsid w:val="00E55424"/>
    <w:rsid w:val="00E55915"/>
    <w:rsid w:val="00E55BB5"/>
    <w:rsid w:val="00E55F87"/>
    <w:rsid w:val="00E55F9D"/>
    <w:rsid w:val="00E569BE"/>
    <w:rsid w:val="00E56C87"/>
    <w:rsid w:val="00E5709E"/>
    <w:rsid w:val="00E57CEC"/>
    <w:rsid w:val="00E6015E"/>
    <w:rsid w:val="00E60411"/>
    <w:rsid w:val="00E609FE"/>
    <w:rsid w:val="00E60B95"/>
    <w:rsid w:val="00E60EE8"/>
    <w:rsid w:val="00E614DF"/>
    <w:rsid w:val="00E6169E"/>
    <w:rsid w:val="00E6177C"/>
    <w:rsid w:val="00E61A2A"/>
    <w:rsid w:val="00E62BEB"/>
    <w:rsid w:val="00E62C71"/>
    <w:rsid w:val="00E62D0F"/>
    <w:rsid w:val="00E6301D"/>
    <w:rsid w:val="00E63446"/>
    <w:rsid w:val="00E63629"/>
    <w:rsid w:val="00E63CE1"/>
    <w:rsid w:val="00E63E69"/>
    <w:rsid w:val="00E64172"/>
    <w:rsid w:val="00E64432"/>
    <w:rsid w:val="00E647FC"/>
    <w:rsid w:val="00E64A93"/>
    <w:rsid w:val="00E64CB3"/>
    <w:rsid w:val="00E64E38"/>
    <w:rsid w:val="00E65A23"/>
    <w:rsid w:val="00E65A86"/>
    <w:rsid w:val="00E65E79"/>
    <w:rsid w:val="00E66021"/>
    <w:rsid w:val="00E66261"/>
    <w:rsid w:val="00E6653C"/>
    <w:rsid w:val="00E66573"/>
    <w:rsid w:val="00E66645"/>
    <w:rsid w:val="00E66BA2"/>
    <w:rsid w:val="00E66C6F"/>
    <w:rsid w:val="00E67416"/>
    <w:rsid w:val="00E678B8"/>
    <w:rsid w:val="00E67D93"/>
    <w:rsid w:val="00E7001C"/>
    <w:rsid w:val="00E70283"/>
    <w:rsid w:val="00E7044A"/>
    <w:rsid w:val="00E709EC"/>
    <w:rsid w:val="00E70AD2"/>
    <w:rsid w:val="00E70CDB"/>
    <w:rsid w:val="00E71397"/>
    <w:rsid w:val="00E718B6"/>
    <w:rsid w:val="00E71A95"/>
    <w:rsid w:val="00E71D43"/>
    <w:rsid w:val="00E71EA3"/>
    <w:rsid w:val="00E7203D"/>
    <w:rsid w:val="00E723BA"/>
    <w:rsid w:val="00E72431"/>
    <w:rsid w:val="00E72433"/>
    <w:rsid w:val="00E72615"/>
    <w:rsid w:val="00E72C49"/>
    <w:rsid w:val="00E72C66"/>
    <w:rsid w:val="00E72F68"/>
    <w:rsid w:val="00E72F7D"/>
    <w:rsid w:val="00E73581"/>
    <w:rsid w:val="00E736CD"/>
    <w:rsid w:val="00E73B44"/>
    <w:rsid w:val="00E73BED"/>
    <w:rsid w:val="00E74343"/>
    <w:rsid w:val="00E743C3"/>
    <w:rsid w:val="00E74681"/>
    <w:rsid w:val="00E7493D"/>
    <w:rsid w:val="00E74FBD"/>
    <w:rsid w:val="00E7522E"/>
    <w:rsid w:val="00E76030"/>
    <w:rsid w:val="00E76256"/>
    <w:rsid w:val="00E76D2E"/>
    <w:rsid w:val="00E76E39"/>
    <w:rsid w:val="00E7704C"/>
    <w:rsid w:val="00E77A13"/>
    <w:rsid w:val="00E77A3F"/>
    <w:rsid w:val="00E77D6E"/>
    <w:rsid w:val="00E77E46"/>
    <w:rsid w:val="00E80804"/>
    <w:rsid w:val="00E809B7"/>
    <w:rsid w:val="00E80E60"/>
    <w:rsid w:val="00E812FF"/>
    <w:rsid w:val="00E81561"/>
    <w:rsid w:val="00E815F4"/>
    <w:rsid w:val="00E818CF"/>
    <w:rsid w:val="00E819C0"/>
    <w:rsid w:val="00E81DE3"/>
    <w:rsid w:val="00E82265"/>
    <w:rsid w:val="00E8252A"/>
    <w:rsid w:val="00E825B2"/>
    <w:rsid w:val="00E825D5"/>
    <w:rsid w:val="00E8268A"/>
    <w:rsid w:val="00E826C3"/>
    <w:rsid w:val="00E82C7B"/>
    <w:rsid w:val="00E831D0"/>
    <w:rsid w:val="00E831F7"/>
    <w:rsid w:val="00E833F7"/>
    <w:rsid w:val="00E838AF"/>
    <w:rsid w:val="00E83ACB"/>
    <w:rsid w:val="00E83BDF"/>
    <w:rsid w:val="00E841C7"/>
    <w:rsid w:val="00E8493F"/>
    <w:rsid w:val="00E852A1"/>
    <w:rsid w:val="00E85580"/>
    <w:rsid w:val="00E85603"/>
    <w:rsid w:val="00E863EC"/>
    <w:rsid w:val="00E86C92"/>
    <w:rsid w:val="00E86D9F"/>
    <w:rsid w:val="00E86E24"/>
    <w:rsid w:val="00E87A1D"/>
    <w:rsid w:val="00E87B32"/>
    <w:rsid w:val="00E87EB2"/>
    <w:rsid w:val="00E906A5"/>
    <w:rsid w:val="00E9094A"/>
    <w:rsid w:val="00E90B3E"/>
    <w:rsid w:val="00E90B43"/>
    <w:rsid w:val="00E90B47"/>
    <w:rsid w:val="00E90B69"/>
    <w:rsid w:val="00E90F05"/>
    <w:rsid w:val="00E91125"/>
    <w:rsid w:val="00E9128D"/>
    <w:rsid w:val="00E91524"/>
    <w:rsid w:val="00E91B72"/>
    <w:rsid w:val="00E91C2D"/>
    <w:rsid w:val="00E91C7E"/>
    <w:rsid w:val="00E91D35"/>
    <w:rsid w:val="00E91E74"/>
    <w:rsid w:val="00E920FA"/>
    <w:rsid w:val="00E926A5"/>
    <w:rsid w:val="00E92AD9"/>
    <w:rsid w:val="00E92CAC"/>
    <w:rsid w:val="00E93B88"/>
    <w:rsid w:val="00E93BC2"/>
    <w:rsid w:val="00E9419B"/>
    <w:rsid w:val="00E9419D"/>
    <w:rsid w:val="00E941A4"/>
    <w:rsid w:val="00E94437"/>
    <w:rsid w:val="00E94FC1"/>
    <w:rsid w:val="00E955F8"/>
    <w:rsid w:val="00E95950"/>
    <w:rsid w:val="00E96541"/>
    <w:rsid w:val="00E973D6"/>
    <w:rsid w:val="00E975BE"/>
    <w:rsid w:val="00E978EC"/>
    <w:rsid w:val="00EA0150"/>
    <w:rsid w:val="00EA015F"/>
    <w:rsid w:val="00EA0185"/>
    <w:rsid w:val="00EA0282"/>
    <w:rsid w:val="00EA0294"/>
    <w:rsid w:val="00EA0576"/>
    <w:rsid w:val="00EA09DC"/>
    <w:rsid w:val="00EA0E0C"/>
    <w:rsid w:val="00EA0EBB"/>
    <w:rsid w:val="00EA1710"/>
    <w:rsid w:val="00EA17C3"/>
    <w:rsid w:val="00EA187C"/>
    <w:rsid w:val="00EA1C1E"/>
    <w:rsid w:val="00EA248A"/>
    <w:rsid w:val="00EA2571"/>
    <w:rsid w:val="00EA26FD"/>
    <w:rsid w:val="00EA270B"/>
    <w:rsid w:val="00EA2975"/>
    <w:rsid w:val="00EA2CAA"/>
    <w:rsid w:val="00EA2E64"/>
    <w:rsid w:val="00EA2FF9"/>
    <w:rsid w:val="00EA3300"/>
    <w:rsid w:val="00EA333B"/>
    <w:rsid w:val="00EA3864"/>
    <w:rsid w:val="00EA38B3"/>
    <w:rsid w:val="00EA3C08"/>
    <w:rsid w:val="00EA3FA9"/>
    <w:rsid w:val="00EA4174"/>
    <w:rsid w:val="00EA440A"/>
    <w:rsid w:val="00EA4A99"/>
    <w:rsid w:val="00EA4B0E"/>
    <w:rsid w:val="00EA4D15"/>
    <w:rsid w:val="00EA4E70"/>
    <w:rsid w:val="00EA5321"/>
    <w:rsid w:val="00EA5937"/>
    <w:rsid w:val="00EA597A"/>
    <w:rsid w:val="00EA5C45"/>
    <w:rsid w:val="00EA5C4B"/>
    <w:rsid w:val="00EA606A"/>
    <w:rsid w:val="00EA6434"/>
    <w:rsid w:val="00EA6895"/>
    <w:rsid w:val="00EA68AE"/>
    <w:rsid w:val="00EA6B4D"/>
    <w:rsid w:val="00EA6D29"/>
    <w:rsid w:val="00EA6DA8"/>
    <w:rsid w:val="00EA6E29"/>
    <w:rsid w:val="00EA7215"/>
    <w:rsid w:val="00EA7813"/>
    <w:rsid w:val="00EA7AF1"/>
    <w:rsid w:val="00EA7E12"/>
    <w:rsid w:val="00EA7F1C"/>
    <w:rsid w:val="00EB02E7"/>
    <w:rsid w:val="00EB037D"/>
    <w:rsid w:val="00EB04B2"/>
    <w:rsid w:val="00EB0587"/>
    <w:rsid w:val="00EB074F"/>
    <w:rsid w:val="00EB11B5"/>
    <w:rsid w:val="00EB1383"/>
    <w:rsid w:val="00EB15B6"/>
    <w:rsid w:val="00EB2347"/>
    <w:rsid w:val="00EB24D3"/>
    <w:rsid w:val="00EB260B"/>
    <w:rsid w:val="00EB2639"/>
    <w:rsid w:val="00EB269F"/>
    <w:rsid w:val="00EB29DA"/>
    <w:rsid w:val="00EB2EEB"/>
    <w:rsid w:val="00EB3081"/>
    <w:rsid w:val="00EB3105"/>
    <w:rsid w:val="00EB3191"/>
    <w:rsid w:val="00EB31DD"/>
    <w:rsid w:val="00EB3634"/>
    <w:rsid w:val="00EB3D06"/>
    <w:rsid w:val="00EB40F2"/>
    <w:rsid w:val="00EB459A"/>
    <w:rsid w:val="00EB461B"/>
    <w:rsid w:val="00EB4916"/>
    <w:rsid w:val="00EB5093"/>
    <w:rsid w:val="00EB5690"/>
    <w:rsid w:val="00EB5BC5"/>
    <w:rsid w:val="00EB6262"/>
    <w:rsid w:val="00EB67C2"/>
    <w:rsid w:val="00EB6A09"/>
    <w:rsid w:val="00EB6B5F"/>
    <w:rsid w:val="00EB6D49"/>
    <w:rsid w:val="00EB71E5"/>
    <w:rsid w:val="00EB7C1B"/>
    <w:rsid w:val="00EC00C9"/>
    <w:rsid w:val="00EC021C"/>
    <w:rsid w:val="00EC0268"/>
    <w:rsid w:val="00EC089F"/>
    <w:rsid w:val="00EC0DD9"/>
    <w:rsid w:val="00EC160E"/>
    <w:rsid w:val="00EC175A"/>
    <w:rsid w:val="00EC1956"/>
    <w:rsid w:val="00EC1D55"/>
    <w:rsid w:val="00EC1D7D"/>
    <w:rsid w:val="00EC1FE8"/>
    <w:rsid w:val="00EC2268"/>
    <w:rsid w:val="00EC2649"/>
    <w:rsid w:val="00EC28BE"/>
    <w:rsid w:val="00EC294A"/>
    <w:rsid w:val="00EC3063"/>
    <w:rsid w:val="00EC310E"/>
    <w:rsid w:val="00EC31ED"/>
    <w:rsid w:val="00EC32A3"/>
    <w:rsid w:val="00EC3394"/>
    <w:rsid w:val="00EC35A3"/>
    <w:rsid w:val="00EC3F37"/>
    <w:rsid w:val="00EC4643"/>
    <w:rsid w:val="00EC46A8"/>
    <w:rsid w:val="00EC46CA"/>
    <w:rsid w:val="00EC47A1"/>
    <w:rsid w:val="00EC47B6"/>
    <w:rsid w:val="00EC48CD"/>
    <w:rsid w:val="00EC49C8"/>
    <w:rsid w:val="00EC4A1B"/>
    <w:rsid w:val="00EC4DFC"/>
    <w:rsid w:val="00EC50A9"/>
    <w:rsid w:val="00EC523C"/>
    <w:rsid w:val="00EC5657"/>
    <w:rsid w:val="00EC56ED"/>
    <w:rsid w:val="00EC5739"/>
    <w:rsid w:val="00EC5836"/>
    <w:rsid w:val="00EC589C"/>
    <w:rsid w:val="00EC6387"/>
    <w:rsid w:val="00EC64C9"/>
    <w:rsid w:val="00EC688C"/>
    <w:rsid w:val="00EC6919"/>
    <w:rsid w:val="00EC6CD0"/>
    <w:rsid w:val="00EC6D76"/>
    <w:rsid w:val="00EC6DE7"/>
    <w:rsid w:val="00EC6F2A"/>
    <w:rsid w:val="00EC75AC"/>
    <w:rsid w:val="00EC791C"/>
    <w:rsid w:val="00EC7C01"/>
    <w:rsid w:val="00EC7C67"/>
    <w:rsid w:val="00ED0A53"/>
    <w:rsid w:val="00ED0BBF"/>
    <w:rsid w:val="00ED110A"/>
    <w:rsid w:val="00ED1351"/>
    <w:rsid w:val="00ED14A8"/>
    <w:rsid w:val="00ED1617"/>
    <w:rsid w:val="00ED187A"/>
    <w:rsid w:val="00ED1891"/>
    <w:rsid w:val="00ED1934"/>
    <w:rsid w:val="00ED1A0F"/>
    <w:rsid w:val="00ED1A14"/>
    <w:rsid w:val="00ED1A64"/>
    <w:rsid w:val="00ED1CE2"/>
    <w:rsid w:val="00ED1F6E"/>
    <w:rsid w:val="00ED2444"/>
    <w:rsid w:val="00ED26EA"/>
    <w:rsid w:val="00ED26F2"/>
    <w:rsid w:val="00ED2991"/>
    <w:rsid w:val="00ED3043"/>
    <w:rsid w:val="00ED333A"/>
    <w:rsid w:val="00ED4034"/>
    <w:rsid w:val="00ED45AB"/>
    <w:rsid w:val="00ED45BB"/>
    <w:rsid w:val="00ED45C5"/>
    <w:rsid w:val="00ED477B"/>
    <w:rsid w:val="00ED4BDF"/>
    <w:rsid w:val="00ED4C01"/>
    <w:rsid w:val="00ED53D7"/>
    <w:rsid w:val="00ED566F"/>
    <w:rsid w:val="00ED57EA"/>
    <w:rsid w:val="00ED5BD4"/>
    <w:rsid w:val="00ED5D99"/>
    <w:rsid w:val="00ED654A"/>
    <w:rsid w:val="00ED6983"/>
    <w:rsid w:val="00ED6F39"/>
    <w:rsid w:val="00ED729B"/>
    <w:rsid w:val="00ED7A35"/>
    <w:rsid w:val="00ED7AB7"/>
    <w:rsid w:val="00ED7B20"/>
    <w:rsid w:val="00ED7B39"/>
    <w:rsid w:val="00ED7E9A"/>
    <w:rsid w:val="00EE071C"/>
    <w:rsid w:val="00EE07D3"/>
    <w:rsid w:val="00EE08C1"/>
    <w:rsid w:val="00EE0A6A"/>
    <w:rsid w:val="00EE0B97"/>
    <w:rsid w:val="00EE0C66"/>
    <w:rsid w:val="00EE11C4"/>
    <w:rsid w:val="00EE130C"/>
    <w:rsid w:val="00EE1649"/>
    <w:rsid w:val="00EE1996"/>
    <w:rsid w:val="00EE19AC"/>
    <w:rsid w:val="00EE19F2"/>
    <w:rsid w:val="00EE1C01"/>
    <w:rsid w:val="00EE1C0F"/>
    <w:rsid w:val="00EE1D55"/>
    <w:rsid w:val="00EE22AF"/>
    <w:rsid w:val="00EE2469"/>
    <w:rsid w:val="00EE2572"/>
    <w:rsid w:val="00EE25B6"/>
    <w:rsid w:val="00EE2B30"/>
    <w:rsid w:val="00EE2C9D"/>
    <w:rsid w:val="00EE3221"/>
    <w:rsid w:val="00EE37E0"/>
    <w:rsid w:val="00EE3AFF"/>
    <w:rsid w:val="00EE4306"/>
    <w:rsid w:val="00EE443C"/>
    <w:rsid w:val="00EE446A"/>
    <w:rsid w:val="00EE4613"/>
    <w:rsid w:val="00EE49D0"/>
    <w:rsid w:val="00EE4ABF"/>
    <w:rsid w:val="00EE4CAE"/>
    <w:rsid w:val="00EE590F"/>
    <w:rsid w:val="00EE5F75"/>
    <w:rsid w:val="00EE5FB5"/>
    <w:rsid w:val="00EE66E0"/>
    <w:rsid w:val="00EE6809"/>
    <w:rsid w:val="00EE691A"/>
    <w:rsid w:val="00EE69B1"/>
    <w:rsid w:val="00EE7A3B"/>
    <w:rsid w:val="00EE7BA6"/>
    <w:rsid w:val="00EE7D80"/>
    <w:rsid w:val="00EF0171"/>
    <w:rsid w:val="00EF0437"/>
    <w:rsid w:val="00EF080E"/>
    <w:rsid w:val="00EF0EE0"/>
    <w:rsid w:val="00EF1010"/>
    <w:rsid w:val="00EF108A"/>
    <w:rsid w:val="00EF1165"/>
    <w:rsid w:val="00EF170F"/>
    <w:rsid w:val="00EF190A"/>
    <w:rsid w:val="00EF1B25"/>
    <w:rsid w:val="00EF1D04"/>
    <w:rsid w:val="00EF1DA0"/>
    <w:rsid w:val="00EF203C"/>
    <w:rsid w:val="00EF2058"/>
    <w:rsid w:val="00EF229A"/>
    <w:rsid w:val="00EF245D"/>
    <w:rsid w:val="00EF26C3"/>
    <w:rsid w:val="00EF2770"/>
    <w:rsid w:val="00EF2F3D"/>
    <w:rsid w:val="00EF3369"/>
    <w:rsid w:val="00EF367E"/>
    <w:rsid w:val="00EF421F"/>
    <w:rsid w:val="00EF4708"/>
    <w:rsid w:val="00EF4747"/>
    <w:rsid w:val="00EF49C6"/>
    <w:rsid w:val="00EF4BF8"/>
    <w:rsid w:val="00EF5660"/>
    <w:rsid w:val="00EF567B"/>
    <w:rsid w:val="00EF591C"/>
    <w:rsid w:val="00EF5C92"/>
    <w:rsid w:val="00EF5F42"/>
    <w:rsid w:val="00EF5FA4"/>
    <w:rsid w:val="00EF6706"/>
    <w:rsid w:val="00EF6D12"/>
    <w:rsid w:val="00EF6E71"/>
    <w:rsid w:val="00EF6FB5"/>
    <w:rsid w:val="00EF7638"/>
    <w:rsid w:val="00EF7ACA"/>
    <w:rsid w:val="00EF7C39"/>
    <w:rsid w:val="00EF7C73"/>
    <w:rsid w:val="00EF7D56"/>
    <w:rsid w:val="00F00248"/>
    <w:rsid w:val="00F0065D"/>
    <w:rsid w:val="00F006A9"/>
    <w:rsid w:val="00F00804"/>
    <w:rsid w:val="00F008E6"/>
    <w:rsid w:val="00F00A5E"/>
    <w:rsid w:val="00F00D2C"/>
    <w:rsid w:val="00F011A4"/>
    <w:rsid w:val="00F0139E"/>
    <w:rsid w:val="00F0175C"/>
    <w:rsid w:val="00F01B0A"/>
    <w:rsid w:val="00F01D41"/>
    <w:rsid w:val="00F01EAC"/>
    <w:rsid w:val="00F02253"/>
    <w:rsid w:val="00F022BC"/>
    <w:rsid w:val="00F023F6"/>
    <w:rsid w:val="00F02506"/>
    <w:rsid w:val="00F027F3"/>
    <w:rsid w:val="00F03282"/>
    <w:rsid w:val="00F034E6"/>
    <w:rsid w:val="00F038B9"/>
    <w:rsid w:val="00F03978"/>
    <w:rsid w:val="00F03C2E"/>
    <w:rsid w:val="00F03C94"/>
    <w:rsid w:val="00F03F19"/>
    <w:rsid w:val="00F04391"/>
    <w:rsid w:val="00F04462"/>
    <w:rsid w:val="00F04932"/>
    <w:rsid w:val="00F04A66"/>
    <w:rsid w:val="00F04B4B"/>
    <w:rsid w:val="00F05115"/>
    <w:rsid w:val="00F0516C"/>
    <w:rsid w:val="00F0520F"/>
    <w:rsid w:val="00F05272"/>
    <w:rsid w:val="00F0533B"/>
    <w:rsid w:val="00F05455"/>
    <w:rsid w:val="00F05752"/>
    <w:rsid w:val="00F05D48"/>
    <w:rsid w:val="00F063D0"/>
    <w:rsid w:val="00F067A2"/>
    <w:rsid w:val="00F068DD"/>
    <w:rsid w:val="00F06D71"/>
    <w:rsid w:val="00F06EBD"/>
    <w:rsid w:val="00F07307"/>
    <w:rsid w:val="00F07400"/>
    <w:rsid w:val="00F0749F"/>
    <w:rsid w:val="00F074B5"/>
    <w:rsid w:val="00F07610"/>
    <w:rsid w:val="00F078C3"/>
    <w:rsid w:val="00F07B9E"/>
    <w:rsid w:val="00F07C42"/>
    <w:rsid w:val="00F07D51"/>
    <w:rsid w:val="00F07E06"/>
    <w:rsid w:val="00F100AD"/>
    <w:rsid w:val="00F1054F"/>
    <w:rsid w:val="00F10738"/>
    <w:rsid w:val="00F107C8"/>
    <w:rsid w:val="00F10C72"/>
    <w:rsid w:val="00F10CA0"/>
    <w:rsid w:val="00F1116F"/>
    <w:rsid w:val="00F1125E"/>
    <w:rsid w:val="00F1129E"/>
    <w:rsid w:val="00F11401"/>
    <w:rsid w:val="00F11B56"/>
    <w:rsid w:val="00F1225E"/>
    <w:rsid w:val="00F1263A"/>
    <w:rsid w:val="00F12B9E"/>
    <w:rsid w:val="00F12EDD"/>
    <w:rsid w:val="00F1329B"/>
    <w:rsid w:val="00F134A6"/>
    <w:rsid w:val="00F13A9A"/>
    <w:rsid w:val="00F14161"/>
    <w:rsid w:val="00F142C2"/>
    <w:rsid w:val="00F149E0"/>
    <w:rsid w:val="00F14ACC"/>
    <w:rsid w:val="00F14C34"/>
    <w:rsid w:val="00F14CCC"/>
    <w:rsid w:val="00F14CFF"/>
    <w:rsid w:val="00F14E66"/>
    <w:rsid w:val="00F15062"/>
    <w:rsid w:val="00F151EE"/>
    <w:rsid w:val="00F15371"/>
    <w:rsid w:val="00F1557F"/>
    <w:rsid w:val="00F15B38"/>
    <w:rsid w:val="00F15B77"/>
    <w:rsid w:val="00F15EFD"/>
    <w:rsid w:val="00F16309"/>
    <w:rsid w:val="00F16353"/>
    <w:rsid w:val="00F16931"/>
    <w:rsid w:val="00F16A23"/>
    <w:rsid w:val="00F16A3D"/>
    <w:rsid w:val="00F172C1"/>
    <w:rsid w:val="00F174E8"/>
    <w:rsid w:val="00F1779C"/>
    <w:rsid w:val="00F17A84"/>
    <w:rsid w:val="00F17BA7"/>
    <w:rsid w:val="00F17C48"/>
    <w:rsid w:val="00F204C5"/>
    <w:rsid w:val="00F208C0"/>
    <w:rsid w:val="00F20981"/>
    <w:rsid w:val="00F20D88"/>
    <w:rsid w:val="00F210F8"/>
    <w:rsid w:val="00F2137D"/>
    <w:rsid w:val="00F2198B"/>
    <w:rsid w:val="00F21B9F"/>
    <w:rsid w:val="00F21D91"/>
    <w:rsid w:val="00F22439"/>
    <w:rsid w:val="00F224B4"/>
    <w:rsid w:val="00F229AD"/>
    <w:rsid w:val="00F229CC"/>
    <w:rsid w:val="00F2300E"/>
    <w:rsid w:val="00F230EF"/>
    <w:rsid w:val="00F231F0"/>
    <w:rsid w:val="00F23390"/>
    <w:rsid w:val="00F236A8"/>
    <w:rsid w:val="00F236C3"/>
    <w:rsid w:val="00F23917"/>
    <w:rsid w:val="00F2395F"/>
    <w:rsid w:val="00F24130"/>
    <w:rsid w:val="00F24837"/>
    <w:rsid w:val="00F24A31"/>
    <w:rsid w:val="00F24A8F"/>
    <w:rsid w:val="00F24E6F"/>
    <w:rsid w:val="00F24F91"/>
    <w:rsid w:val="00F251D9"/>
    <w:rsid w:val="00F253AC"/>
    <w:rsid w:val="00F255A6"/>
    <w:rsid w:val="00F2575B"/>
    <w:rsid w:val="00F2575F"/>
    <w:rsid w:val="00F25A1F"/>
    <w:rsid w:val="00F25E4F"/>
    <w:rsid w:val="00F2680B"/>
    <w:rsid w:val="00F26826"/>
    <w:rsid w:val="00F268A3"/>
    <w:rsid w:val="00F26C81"/>
    <w:rsid w:val="00F26CEC"/>
    <w:rsid w:val="00F2700F"/>
    <w:rsid w:val="00F27565"/>
    <w:rsid w:val="00F27677"/>
    <w:rsid w:val="00F27855"/>
    <w:rsid w:val="00F2790D"/>
    <w:rsid w:val="00F27CDD"/>
    <w:rsid w:val="00F27DB0"/>
    <w:rsid w:val="00F27E47"/>
    <w:rsid w:val="00F27F69"/>
    <w:rsid w:val="00F30D03"/>
    <w:rsid w:val="00F30E07"/>
    <w:rsid w:val="00F310D4"/>
    <w:rsid w:val="00F312E2"/>
    <w:rsid w:val="00F313A5"/>
    <w:rsid w:val="00F318D2"/>
    <w:rsid w:val="00F31993"/>
    <w:rsid w:val="00F31CD2"/>
    <w:rsid w:val="00F31D43"/>
    <w:rsid w:val="00F31D5A"/>
    <w:rsid w:val="00F31D7C"/>
    <w:rsid w:val="00F31D89"/>
    <w:rsid w:val="00F31DCE"/>
    <w:rsid w:val="00F31E44"/>
    <w:rsid w:val="00F31E9C"/>
    <w:rsid w:val="00F3250B"/>
    <w:rsid w:val="00F3271D"/>
    <w:rsid w:val="00F32848"/>
    <w:rsid w:val="00F32FF6"/>
    <w:rsid w:val="00F33975"/>
    <w:rsid w:val="00F33DE9"/>
    <w:rsid w:val="00F33E57"/>
    <w:rsid w:val="00F34D8D"/>
    <w:rsid w:val="00F34EFC"/>
    <w:rsid w:val="00F35633"/>
    <w:rsid w:val="00F357FC"/>
    <w:rsid w:val="00F35809"/>
    <w:rsid w:val="00F35E6D"/>
    <w:rsid w:val="00F3619A"/>
    <w:rsid w:val="00F3629B"/>
    <w:rsid w:val="00F364E9"/>
    <w:rsid w:val="00F36751"/>
    <w:rsid w:val="00F371C7"/>
    <w:rsid w:val="00F37268"/>
    <w:rsid w:val="00F375C4"/>
    <w:rsid w:val="00F37B1D"/>
    <w:rsid w:val="00F37D12"/>
    <w:rsid w:val="00F40302"/>
    <w:rsid w:val="00F4037E"/>
    <w:rsid w:val="00F404D6"/>
    <w:rsid w:val="00F40AAA"/>
    <w:rsid w:val="00F40BA7"/>
    <w:rsid w:val="00F40BB4"/>
    <w:rsid w:val="00F40F88"/>
    <w:rsid w:val="00F40F9D"/>
    <w:rsid w:val="00F41626"/>
    <w:rsid w:val="00F41815"/>
    <w:rsid w:val="00F419C3"/>
    <w:rsid w:val="00F41ACD"/>
    <w:rsid w:val="00F41B6E"/>
    <w:rsid w:val="00F41DE6"/>
    <w:rsid w:val="00F42110"/>
    <w:rsid w:val="00F42407"/>
    <w:rsid w:val="00F4242B"/>
    <w:rsid w:val="00F429A5"/>
    <w:rsid w:val="00F429E3"/>
    <w:rsid w:val="00F42E2B"/>
    <w:rsid w:val="00F42F49"/>
    <w:rsid w:val="00F42FEA"/>
    <w:rsid w:val="00F43632"/>
    <w:rsid w:val="00F4399B"/>
    <w:rsid w:val="00F43B5F"/>
    <w:rsid w:val="00F43BC9"/>
    <w:rsid w:val="00F43D34"/>
    <w:rsid w:val="00F43F36"/>
    <w:rsid w:val="00F43F62"/>
    <w:rsid w:val="00F44030"/>
    <w:rsid w:val="00F441D9"/>
    <w:rsid w:val="00F44779"/>
    <w:rsid w:val="00F4479F"/>
    <w:rsid w:val="00F44CEA"/>
    <w:rsid w:val="00F44F29"/>
    <w:rsid w:val="00F4510D"/>
    <w:rsid w:val="00F45A15"/>
    <w:rsid w:val="00F4609C"/>
    <w:rsid w:val="00F461DC"/>
    <w:rsid w:val="00F46541"/>
    <w:rsid w:val="00F46CB6"/>
    <w:rsid w:val="00F47125"/>
    <w:rsid w:val="00F4756D"/>
    <w:rsid w:val="00F475FC"/>
    <w:rsid w:val="00F47629"/>
    <w:rsid w:val="00F476BC"/>
    <w:rsid w:val="00F476C7"/>
    <w:rsid w:val="00F47888"/>
    <w:rsid w:val="00F47894"/>
    <w:rsid w:val="00F47DE8"/>
    <w:rsid w:val="00F47EC6"/>
    <w:rsid w:val="00F500B4"/>
    <w:rsid w:val="00F503D7"/>
    <w:rsid w:val="00F5090E"/>
    <w:rsid w:val="00F50B34"/>
    <w:rsid w:val="00F510C1"/>
    <w:rsid w:val="00F51184"/>
    <w:rsid w:val="00F51608"/>
    <w:rsid w:val="00F5185B"/>
    <w:rsid w:val="00F51B39"/>
    <w:rsid w:val="00F51CD4"/>
    <w:rsid w:val="00F52232"/>
    <w:rsid w:val="00F52309"/>
    <w:rsid w:val="00F52D2E"/>
    <w:rsid w:val="00F5300F"/>
    <w:rsid w:val="00F5337D"/>
    <w:rsid w:val="00F536B3"/>
    <w:rsid w:val="00F53C9A"/>
    <w:rsid w:val="00F53CB3"/>
    <w:rsid w:val="00F53F5E"/>
    <w:rsid w:val="00F542C1"/>
    <w:rsid w:val="00F544C0"/>
    <w:rsid w:val="00F548DE"/>
    <w:rsid w:val="00F54C26"/>
    <w:rsid w:val="00F54C3C"/>
    <w:rsid w:val="00F55146"/>
    <w:rsid w:val="00F553FB"/>
    <w:rsid w:val="00F55439"/>
    <w:rsid w:val="00F55E73"/>
    <w:rsid w:val="00F55EDA"/>
    <w:rsid w:val="00F560B5"/>
    <w:rsid w:val="00F568E4"/>
    <w:rsid w:val="00F56A4A"/>
    <w:rsid w:val="00F56C80"/>
    <w:rsid w:val="00F56CB6"/>
    <w:rsid w:val="00F56CF7"/>
    <w:rsid w:val="00F57CBF"/>
    <w:rsid w:val="00F57FD9"/>
    <w:rsid w:val="00F60092"/>
    <w:rsid w:val="00F602CC"/>
    <w:rsid w:val="00F605B8"/>
    <w:rsid w:val="00F605EE"/>
    <w:rsid w:val="00F607D4"/>
    <w:rsid w:val="00F60AE7"/>
    <w:rsid w:val="00F60AF5"/>
    <w:rsid w:val="00F6137F"/>
    <w:rsid w:val="00F61614"/>
    <w:rsid w:val="00F61C18"/>
    <w:rsid w:val="00F62C2D"/>
    <w:rsid w:val="00F62D18"/>
    <w:rsid w:val="00F62DCA"/>
    <w:rsid w:val="00F63102"/>
    <w:rsid w:val="00F633D5"/>
    <w:rsid w:val="00F63618"/>
    <w:rsid w:val="00F63DFE"/>
    <w:rsid w:val="00F64356"/>
    <w:rsid w:val="00F6484B"/>
    <w:rsid w:val="00F64ABE"/>
    <w:rsid w:val="00F64BA5"/>
    <w:rsid w:val="00F64CC7"/>
    <w:rsid w:val="00F64EE9"/>
    <w:rsid w:val="00F65045"/>
    <w:rsid w:val="00F65282"/>
    <w:rsid w:val="00F6576E"/>
    <w:rsid w:val="00F6582F"/>
    <w:rsid w:val="00F65AB7"/>
    <w:rsid w:val="00F65C9C"/>
    <w:rsid w:val="00F65D92"/>
    <w:rsid w:val="00F65F4B"/>
    <w:rsid w:val="00F66070"/>
    <w:rsid w:val="00F6616D"/>
    <w:rsid w:val="00F66459"/>
    <w:rsid w:val="00F66945"/>
    <w:rsid w:val="00F66BC3"/>
    <w:rsid w:val="00F66DDC"/>
    <w:rsid w:val="00F66E64"/>
    <w:rsid w:val="00F66E76"/>
    <w:rsid w:val="00F66F89"/>
    <w:rsid w:val="00F670F8"/>
    <w:rsid w:val="00F673C8"/>
    <w:rsid w:val="00F676EA"/>
    <w:rsid w:val="00F678A2"/>
    <w:rsid w:val="00F67A69"/>
    <w:rsid w:val="00F67C45"/>
    <w:rsid w:val="00F67FEB"/>
    <w:rsid w:val="00F70443"/>
    <w:rsid w:val="00F706E5"/>
    <w:rsid w:val="00F70BFF"/>
    <w:rsid w:val="00F70C9D"/>
    <w:rsid w:val="00F70CC4"/>
    <w:rsid w:val="00F70EB8"/>
    <w:rsid w:val="00F71107"/>
    <w:rsid w:val="00F71378"/>
    <w:rsid w:val="00F7144B"/>
    <w:rsid w:val="00F714AA"/>
    <w:rsid w:val="00F719CE"/>
    <w:rsid w:val="00F71BB7"/>
    <w:rsid w:val="00F71D8A"/>
    <w:rsid w:val="00F720F3"/>
    <w:rsid w:val="00F722E0"/>
    <w:rsid w:val="00F72661"/>
    <w:rsid w:val="00F7285D"/>
    <w:rsid w:val="00F73275"/>
    <w:rsid w:val="00F73607"/>
    <w:rsid w:val="00F736A2"/>
    <w:rsid w:val="00F73955"/>
    <w:rsid w:val="00F73B5E"/>
    <w:rsid w:val="00F73BBE"/>
    <w:rsid w:val="00F7436E"/>
    <w:rsid w:val="00F74877"/>
    <w:rsid w:val="00F749D4"/>
    <w:rsid w:val="00F74CD9"/>
    <w:rsid w:val="00F75376"/>
    <w:rsid w:val="00F7626B"/>
    <w:rsid w:val="00F76632"/>
    <w:rsid w:val="00F769FF"/>
    <w:rsid w:val="00F76A0F"/>
    <w:rsid w:val="00F772F6"/>
    <w:rsid w:val="00F77C87"/>
    <w:rsid w:val="00F80628"/>
    <w:rsid w:val="00F8064F"/>
    <w:rsid w:val="00F8075E"/>
    <w:rsid w:val="00F80A7B"/>
    <w:rsid w:val="00F80D0B"/>
    <w:rsid w:val="00F80E5D"/>
    <w:rsid w:val="00F817AA"/>
    <w:rsid w:val="00F817AE"/>
    <w:rsid w:val="00F817F5"/>
    <w:rsid w:val="00F819E4"/>
    <w:rsid w:val="00F81AEA"/>
    <w:rsid w:val="00F81D56"/>
    <w:rsid w:val="00F81E1D"/>
    <w:rsid w:val="00F81E78"/>
    <w:rsid w:val="00F828CC"/>
    <w:rsid w:val="00F82C3F"/>
    <w:rsid w:val="00F82F45"/>
    <w:rsid w:val="00F830B8"/>
    <w:rsid w:val="00F8325A"/>
    <w:rsid w:val="00F8349D"/>
    <w:rsid w:val="00F83541"/>
    <w:rsid w:val="00F8385E"/>
    <w:rsid w:val="00F8435B"/>
    <w:rsid w:val="00F84598"/>
    <w:rsid w:val="00F845C1"/>
    <w:rsid w:val="00F849A2"/>
    <w:rsid w:val="00F84E76"/>
    <w:rsid w:val="00F84FFF"/>
    <w:rsid w:val="00F851CE"/>
    <w:rsid w:val="00F854B8"/>
    <w:rsid w:val="00F85AB9"/>
    <w:rsid w:val="00F85AF0"/>
    <w:rsid w:val="00F85FB2"/>
    <w:rsid w:val="00F86028"/>
    <w:rsid w:val="00F865CA"/>
    <w:rsid w:val="00F868B3"/>
    <w:rsid w:val="00F87651"/>
    <w:rsid w:val="00F878E7"/>
    <w:rsid w:val="00F87BDF"/>
    <w:rsid w:val="00F90666"/>
    <w:rsid w:val="00F91014"/>
    <w:rsid w:val="00F91219"/>
    <w:rsid w:val="00F9125F"/>
    <w:rsid w:val="00F912BB"/>
    <w:rsid w:val="00F91749"/>
    <w:rsid w:val="00F91792"/>
    <w:rsid w:val="00F91CB6"/>
    <w:rsid w:val="00F92276"/>
    <w:rsid w:val="00F923B9"/>
    <w:rsid w:val="00F92444"/>
    <w:rsid w:val="00F92B22"/>
    <w:rsid w:val="00F92CCE"/>
    <w:rsid w:val="00F92EA0"/>
    <w:rsid w:val="00F92EC0"/>
    <w:rsid w:val="00F92EFA"/>
    <w:rsid w:val="00F92F5D"/>
    <w:rsid w:val="00F93087"/>
    <w:rsid w:val="00F93094"/>
    <w:rsid w:val="00F9342C"/>
    <w:rsid w:val="00F93680"/>
    <w:rsid w:val="00F936BF"/>
    <w:rsid w:val="00F9393E"/>
    <w:rsid w:val="00F93CD3"/>
    <w:rsid w:val="00F94508"/>
    <w:rsid w:val="00F94C10"/>
    <w:rsid w:val="00F94FD5"/>
    <w:rsid w:val="00F95639"/>
    <w:rsid w:val="00F95752"/>
    <w:rsid w:val="00F95865"/>
    <w:rsid w:val="00F959A2"/>
    <w:rsid w:val="00F95C86"/>
    <w:rsid w:val="00F95C98"/>
    <w:rsid w:val="00F95DDB"/>
    <w:rsid w:val="00F9625E"/>
    <w:rsid w:val="00F96277"/>
    <w:rsid w:val="00F96450"/>
    <w:rsid w:val="00F966A9"/>
    <w:rsid w:val="00F96768"/>
    <w:rsid w:val="00F9684B"/>
    <w:rsid w:val="00F968FB"/>
    <w:rsid w:val="00F96D89"/>
    <w:rsid w:val="00F96FD0"/>
    <w:rsid w:val="00F97054"/>
    <w:rsid w:val="00F972E2"/>
    <w:rsid w:val="00F9739D"/>
    <w:rsid w:val="00F97983"/>
    <w:rsid w:val="00F97A78"/>
    <w:rsid w:val="00F97C67"/>
    <w:rsid w:val="00F97D78"/>
    <w:rsid w:val="00FA05DE"/>
    <w:rsid w:val="00FA0B14"/>
    <w:rsid w:val="00FA0B20"/>
    <w:rsid w:val="00FA0F5A"/>
    <w:rsid w:val="00FA1238"/>
    <w:rsid w:val="00FA13A8"/>
    <w:rsid w:val="00FA1703"/>
    <w:rsid w:val="00FA18CE"/>
    <w:rsid w:val="00FA1AA5"/>
    <w:rsid w:val="00FA1FC5"/>
    <w:rsid w:val="00FA2129"/>
    <w:rsid w:val="00FA23C4"/>
    <w:rsid w:val="00FA2493"/>
    <w:rsid w:val="00FA24E7"/>
    <w:rsid w:val="00FA26F1"/>
    <w:rsid w:val="00FA2DDC"/>
    <w:rsid w:val="00FA32CC"/>
    <w:rsid w:val="00FA3775"/>
    <w:rsid w:val="00FA3B42"/>
    <w:rsid w:val="00FA3E35"/>
    <w:rsid w:val="00FA3F0E"/>
    <w:rsid w:val="00FA4307"/>
    <w:rsid w:val="00FA4443"/>
    <w:rsid w:val="00FA4733"/>
    <w:rsid w:val="00FA4D88"/>
    <w:rsid w:val="00FA51BB"/>
    <w:rsid w:val="00FA53B3"/>
    <w:rsid w:val="00FA5702"/>
    <w:rsid w:val="00FA572B"/>
    <w:rsid w:val="00FA5EE6"/>
    <w:rsid w:val="00FA6297"/>
    <w:rsid w:val="00FA63E7"/>
    <w:rsid w:val="00FA6C87"/>
    <w:rsid w:val="00FA71D7"/>
    <w:rsid w:val="00FA73FA"/>
    <w:rsid w:val="00FA747D"/>
    <w:rsid w:val="00FA7627"/>
    <w:rsid w:val="00FA77AB"/>
    <w:rsid w:val="00FA7956"/>
    <w:rsid w:val="00FA7BCB"/>
    <w:rsid w:val="00FA7DC4"/>
    <w:rsid w:val="00FA7E6F"/>
    <w:rsid w:val="00FB000C"/>
    <w:rsid w:val="00FB032B"/>
    <w:rsid w:val="00FB0524"/>
    <w:rsid w:val="00FB0F8E"/>
    <w:rsid w:val="00FB19FE"/>
    <w:rsid w:val="00FB2098"/>
    <w:rsid w:val="00FB2A00"/>
    <w:rsid w:val="00FB2C94"/>
    <w:rsid w:val="00FB2EE8"/>
    <w:rsid w:val="00FB2FCB"/>
    <w:rsid w:val="00FB3A71"/>
    <w:rsid w:val="00FB3C6D"/>
    <w:rsid w:val="00FB3DDD"/>
    <w:rsid w:val="00FB3EEE"/>
    <w:rsid w:val="00FB41C7"/>
    <w:rsid w:val="00FB434C"/>
    <w:rsid w:val="00FB43D1"/>
    <w:rsid w:val="00FB4780"/>
    <w:rsid w:val="00FB499B"/>
    <w:rsid w:val="00FB5126"/>
    <w:rsid w:val="00FB52C7"/>
    <w:rsid w:val="00FB584C"/>
    <w:rsid w:val="00FB5CC0"/>
    <w:rsid w:val="00FB61E4"/>
    <w:rsid w:val="00FB6548"/>
    <w:rsid w:val="00FB6BB6"/>
    <w:rsid w:val="00FB7465"/>
    <w:rsid w:val="00FB7808"/>
    <w:rsid w:val="00FB7C55"/>
    <w:rsid w:val="00FB7CE7"/>
    <w:rsid w:val="00FC08A4"/>
    <w:rsid w:val="00FC0A34"/>
    <w:rsid w:val="00FC0F9D"/>
    <w:rsid w:val="00FC0FAF"/>
    <w:rsid w:val="00FC1074"/>
    <w:rsid w:val="00FC14AA"/>
    <w:rsid w:val="00FC1664"/>
    <w:rsid w:val="00FC1884"/>
    <w:rsid w:val="00FC1918"/>
    <w:rsid w:val="00FC1923"/>
    <w:rsid w:val="00FC1E3C"/>
    <w:rsid w:val="00FC2098"/>
    <w:rsid w:val="00FC22C2"/>
    <w:rsid w:val="00FC233B"/>
    <w:rsid w:val="00FC24B2"/>
    <w:rsid w:val="00FC2584"/>
    <w:rsid w:val="00FC2814"/>
    <w:rsid w:val="00FC2A21"/>
    <w:rsid w:val="00FC2A44"/>
    <w:rsid w:val="00FC2A48"/>
    <w:rsid w:val="00FC2B47"/>
    <w:rsid w:val="00FC2CB2"/>
    <w:rsid w:val="00FC309E"/>
    <w:rsid w:val="00FC31C7"/>
    <w:rsid w:val="00FC33F1"/>
    <w:rsid w:val="00FC367B"/>
    <w:rsid w:val="00FC371D"/>
    <w:rsid w:val="00FC3A73"/>
    <w:rsid w:val="00FC3EDD"/>
    <w:rsid w:val="00FC40A6"/>
    <w:rsid w:val="00FC423A"/>
    <w:rsid w:val="00FC43D7"/>
    <w:rsid w:val="00FC470F"/>
    <w:rsid w:val="00FC4798"/>
    <w:rsid w:val="00FC4BB8"/>
    <w:rsid w:val="00FC4E8F"/>
    <w:rsid w:val="00FC4E9F"/>
    <w:rsid w:val="00FC4EC9"/>
    <w:rsid w:val="00FC5199"/>
    <w:rsid w:val="00FC5B94"/>
    <w:rsid w:val="00FC5BB2"/>
    <w:rsid w:val="00FC5C53"/>
    <w:rsid w:val="00FC5D93"/>
    <w:rsid w:val="00FC5F0B"/>
    <w:rsid w:val="00FC6091"/>
    <w:rsid w:val="00FC6266"/>
    <w:rsid w:val="00FC62F7"/>
    <w:rsid w:val="00FC62F9"/>
    <w:rsid w:val="00FC6AD6"/>
    <w:rsid w:val="00FC6B36"/>
    <w:rsid w:val="00FC6C07"/>
    <w:rsid w:val="00FC7412"/>
    <w:rsid w:val="00FC77B1"/>
    <w:rsid w:val="00FC7EC5"/>
    <w:rsid w:val="00FC7F37"/>
    <w:rsid w:val="00FD0286"/>
    <w:rsid w:val="00FD0725"/>
    <w:rsid w:val="00FD0A59"/>
    <w:rsid w:val="00FD0C7E"/>
    <w:rsid w:val="00FD0DFA"/>
    <w:rsid w:val="00FD0F24"/>
    <w:rsid w:val="00FD1431"/>
    <w:rsid w:val="00FD14FA"/>
    <w:rsid w:val="00FD17A2"/>
    <w:rsid w:val="00FD1853"/>
    <w:rsid w:val="00FD1A1F"/>
    <w:rsid w:val="00FD1DDE"/>
    <w:rsid w:val="00FD1EA0"/>
    <w:rsid w:val="00FD2100"/>
    <w:rsid w:val="00FD27B4"/>
    <w:rsid w:val="00FD2B83"/>
    <w:rsid w:val="00FD2B94"/>
    <w:rsid w:val="00FD2BFD"/>
    <w:rsid w:val="00FD2D2E"/>
    <w:rsid w:val="00FD2D71"/>
    <w:rsid w:val="00FD3B28"/>
    <w:rsid w:val="00FD3EB8"/>
    <w:rsid w:val="00FD3F6B"/>
    <w:rsid w:val="00FD436C"/>
    <w:rsid w:val="00FD446D"/>
    <w:rsid w:val="00FD4670"/>
    <w:rsid w:val="00FD46ED"/>
    <w:rsid w:val="00FD48B1"/>
    <w:rsid w:val="00FD4998"/>
    <w:rsid w:val="00FD4F2C"/>
    <w:rsid w:val="00FD536E"/>
    <w:rsid w:val="00FD5568"/>
    <w:rsid w:val="00FD55AA"/>
    <w:rsid w:val="00FD564B"/>
    <w:rsid w:val="00FD579C"/>
    <w:rsid w:val="00FD590C"/>
    <w:rsid w:val="00FD5B33"/>
    <w:rsid w:val="00FD5C26"/>
    <w:rsid w:val="00FD5EAF"/>
    <w:rsid w:val="00FD5F87"/>
    <w:rsid w:val="00FD5FFC"/>
    <w:rsid w:val="00FD6076"/>
    <w:rsid w:val="00FD635F"/>
    <w:rsid w:val="00FD6394"/>
    <w:rsid w:val="00FD6490"/>
    <w:rsid w:val="00FD6CFA"/>
    <w:rsid w:val="00FD7471"/>
    <w:rsid w:val="00FD752E"/>
    <w:rsid w:val="00FD777C"/>
    <w:rsid w:val="00FD7798"/>
    <w:rsid w:val="00FD77AF"/>
    <w:rsid w:val="00FD7B8D"/>
    <w:rsid w:val="00FD7D3C"/>
    <w:rsid w:val="00FE028F"/>
    <w:rsid w:val="00FE08F7"/>
    <w:rsid w:val="00FE093E"/>
    <w:rsid w:val="00FE0CC6"/>
    <w:rsid w:val="00FE0E6C"/>
    <w:rsid w:val="00FE0F83"/>
    <w:rsid w:val="00FE1680"/>
    <w:rsid w:val="00FE1765"/>
    <w:rsid w:val="00FE1836"/>
    <w:rsid w:val="00FE1877"/>
    <w:rsid w:val="00FE1CDC"/>
    <w:rsid w:val="00FE3020"/>
    <w:rsid w:val="00FE3163"/>
    <w:rsid w:val="00FE3335"/>
    <w:rsid w:val="00FE3408"/>
    <w:rsid w:val="00FE37A0"/>
    <w:rsid w:val="00FE38C7"/>
    <w:rsid w:val="00FE39EB"/>
    <w:rsid w:val="00FE3DCF"/>
    <w:rsid w:val="00FE4627"/>
    <w:rsid w:val="00FE4863"/>
    <w:rsid w:val="00FE4872"/>
    <w:rsid w:val="00FE4A60"/>
    <w:rsid w:val="00FE4D84"/>
    <w:rsid w:val="00FE4D86"/>
    <w:rsid w:val="00FE517E"/>
    <w:rsid w:val="00FE521E"/>
    <w:rsid w:val="00FE5789"/>
    <w:rsid w:val="00FE5C26"/>
    <w:rsid w:val="00FE61DF"/>
    <w:rsid w:val="00FE645E"/>
    <w:rsid w:val="00FE6486"/>
    <w:rsid w:val="00FE659E"/>
    <w:rsid w:val="00FE6B7A"/>
    <w:rsid w:val="00FE6B9A"/>
    <w:rsid w:val="00FE6DDD"/>
    <w:rsid w:val="00FE70C3"/>
    <w:rsid w:val="00FE7637"/>
    <w:rsid w:val="00FE7AAF"/>
    <w:rsid w:val="00FF03C5"/>
    <w:rsid w:val="00FF11AC"/>
    <w:rsid w:val="00FF1CF3"/>
    <w:rsid w:val="00FF1E07"/>
    <w:rsid w:val="00FF1F6E"/>
    <w:rsid w:val="00FF2232"/>
    <w:rsid w:val="00FF238D"/>
    <w:rsid w:val="00FF247F"/>
    <w:rsid w:val="00FF24D2"/>
    <w:rsid w:val="00FF26E3"/>
    <w:rsid w:val="00FF2A7F"/>
    <w:rsid w:val="00FF2AD9"/>
    <w:rsid w:val="00FF2E55"/>
    <w:rsid w:val="00FF2F55"/>
    <w:rsid w:val="00FF34F0"/>
    <w:rsid w:val="00FF359F"/>
    <w:rsid w:val="00FF35D5"/>
    <w:rsid w:val="00FF3DCF"/>
    <w:rsid w:val="00FF4131"/>
    <w:rsid w:val="00FF43E8"/>
    <w:rsid w:val="00FF4697"/>
    <w:rsid w:val="00FF492C"/>
    <w:rsid w:val="00FF4A21"/>
    <w:rsid w:val="00FF4A6C"/>
    <w:rsid w:val="00FF5AA3"/>
    <w:rsid w:val="00FF5AB0"/>
    <w:rsid w:val="00FF5AD8"/>
    <w:rsid w:val="00FF5B33"/>
    <w:rsid w:val="00FF5C29"/>
    <w:rsid w:val="00FF6232"/>
    <w:rsid w:val="00FF68C8"/>
    <w:rsid w:val="00FF6B14"/>
    <w:rsid w:val="00FF70CB"/>
    <w:rsid w:val="00FF712B"/>
    <w:rsid w:val="00FF715A"/>
    <w:rsid w:val="00FF749C"/>
    <w:rsid w:val="00FF77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A5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1"/>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DD733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DD733D"/>
    <w:rPr>
      <w:rFonts w:ascii="Calibri" w:hAnsi="Calibri" w:cs="Arial"/>
      <w:sz w:val="24"/>
      <w:szCs w:val="24"/>
    </w:rPr>
  </w:style>
  <w:style w:type="paragraph" w:styleId="Footer">
    <w:name w:val="footer"/>
    <w:basedOn w:val="Normal"/>
    <w:link w:val="FooterChar"/>
    <w:uiPriority w:val="99"/>
    <w:unhideWhenUsed/>
    <w:rsid w:val="00DD733D"/>
    <w:pPr>
      <w:tabs>
        <w:tab w:val="center" w:pos="4513"/>
        <w:tab w:val="right" w:pos="9026"/>
      </w:tabs>
    </w:pPr>
  </w:style>
  <w:style w:type="character" w:customStyle="1" w:styleId="FooterChar">
    <w:name w:val="Footer Char"/>
    <w:basedOn w:val="DefaultParagraphFont"/>
    <w:link w:val="Footer"/>
    <w:uiPriority w:val="99"/>
    <w:rsid w:val="00DD733D"/>
    <w:rPr>
      <w:rFonts w:ascii="Calibri" w:hAnsi="Calibri" w:cs="Arial"/>
      <w:sz w:val="24"/>
      <w:szCs w:val="24"/>
    </w:rPr>
  </w:style>
  <w:style w:type="character" w:styleId="CommentReference">
    <w:name w:val="annotation reference"/>
    <w:basedOn w:val="DefaultParagraphFont"/>
    <w:uiPriority w:val="99"/>
    <w:semiHidden/>
    <w:unhideWhenUsed/>
    <w:rsid w:val="00E52979"/>
    <w:rPr>
      <w:sz w:val="16"/>
      <w:szCs w:val="16"/>
    </w:rPr>
  </w:style>
  <w:style w:type="paragraph" w:styleId="CommentText">
    <w:name w:val="annotation text"/>
    <w:basedOn w:val="Normal"/>
    <w:link w:val="CommentTextChar"/>
    <w:uiPriority w:val="99"/>
    <w:unhideWhenUsed/>
    <w:rsid w:val="00E52979"/>
    <w:rPr>
      <w:sz w:val="20"/>
      <w:szCs w:val="20"/>
    </w:rPr>
  </w:style>
  <w:style w:type="character" w:customStyle="1" w:styleId="CommentTextChar">
    <w:name w:val="Comment Text Char"/>
    <w:basedOn w:val="DefaultParagraphFont"/>
    <w:link w:val="CommentText"/>
    <w:uiPriority w:val="99"/>
    <w:rsid w:val="00E52979"/>
    <w:rPr>
      <w:rFonts w:ascii="Calibri" w:hAnsi="Calibri" w:cs="Arial"/>
    </w:rPr>
  </w:style>
  <w:style w:type="paragraph" w:styleId="CommentSubject">
    <w:name w:val="annotation subject"/>
    <w:basedOn w:val="CommentText"/>
    <w:next w:val="CommentText"/>
    <w:link w:val="CommentSubjectChar"/>
    <w:semiHidden/>
    <w:unhideWhenUsed/>
    <w:rsid w:val="00E52979"/>
    <w:rPr>
      <w:b/>
      <w:bCs/>
    </w:rPr>
  </w:style>
  <w:style w:type="character" w:customStyle="1" w:styleId="CommentSubjectChar">
    <w:name w:val="Comment Subject Char"/>
    <w:basedOn w:val="CommentTextChar"/>
    <w:link w:val="CommentSubject"/>
    <w:semiHidden/>
    <w:rsid w:val="00E52979"/>
    <w:rPr>
      <w:rFonts w:ascii="Calibri" w:hAnsi="Calibri" w:cs="Arial"/>
      <w:b/>
      <w:bCs/>
    </w:rPr>
  </w:style>
  <w:style w:type="paragraph" w:styleId="ListParagraph">
    <w:name w:val="List Paragraph"/>
    <w:aliases w:val="Body Text Bullet Points,Numbered para,BulletPoints,List Paragraph1,Bullet point,List Paragraph11,Recommendation,Section heading,Footnote,Bullet List,Styl moj,Akapit z listą1,Akapit z listą11,Bullets Points,Bullet1,ES Paragraph,L"/>
    <w:basedOn w:val="Normal"/>
    <w:link w:val="ListParagraphChar"/>
    <w:uiPriority w:val="34"/>
    <w:qFormat/>
    <w:rsid w:val="00A23514"/>
    <w:pPr>
      <w:ind w:left="720"/>
      <w:contextualSpacing/>
    </w:pPr>
  </w:style>
  <w:style w:type="character" w:customStyle="1" w:styleId="UnresolvedMention1">
    <w:name w:val="Unresolved Mention1"/>
    <w:basedOn w:val="DefaultParagraphFont"/>
    <w:uiPriority w:val="99"/>
    <w:semiHidden/>
    <w:unhideWhenUsed/>
    <w:rsid w:val="00327B42"/>
    <w:rPr>
      <w:color w:val="605E5C"/>
      <w:shd w:val="clear" w:color="auto" w:fill="E1DFDD"/>
    </w:rPr>
  </w:style>
  <w:style w:type="paragraph" w:customStyle="1" w:styleId="TableBullet">
    <w:name w:val="Table Bullet"/>
    <w:basedOn w:val="TableText"/>
    <w:qFormat/>
    <w:rsid w:val="00B321DA"/>
    <w:pPr>
      <w:keepNext w:val="0"/>
      <w:numPr>
        <w:numId w:val="5"/>
      </w:numPr>
      <w:tabs>
        <w:tab w:val="num" w:pos="360"/>
      </w:tabs>
      <w:spacing w:before="40" w:after="40"/>
      <w:ind w:left="0" w:firstLine="0"/>
    </w:pPr>
    <w:rPr>
      <w:rFonts w:eastAsia="Calibri" w:cs="Times New Roman"/>
      <w:bCs w:val="0"/>
      <w:szCs w:val="22"/>
      <w:lang w:eastAsia="en-US"/>
    </w:rPr>
  </w:style>
  <w:style w:type="character" w:styleId="PlaceholderText">
    <w:name w:val="Placeholder Text"/>
    <w:basedOn w:val="DefaultParagraphFont"/>
    <w:uiPriority w:val="99"/>
    <w:semiHidden/>
    <w:rsid w:val="00873E41"/>
    <w:rPr>
      <w:color w:val="808080"/>
    </w:rPr>
  </w:style>
  <w:style w:type="paragraph" w:customStyle="1" w:styleId="Bullet0">
    <w:name w:val="Bullet+0"/>
    <w:basedOn w:val="BodyText"/>
    <w:uiPriority w:val="2"/>
    <w:qFormat/>
    <w:rsid w:val="00F364E9"/>
    <w:pPr>
      <w:numPr>
        <w:numId w:val="6"/>
      </w:numPr>
      <w:spacing w:after="0" w:line="276" w:lineRule="auto"/>
      <w:jc w:val="left"/>
    </w:pPr>
    <w:rPr>
      <w:rFonts w:asciiTheme="minorHAnsi" w:eastAsiaTheme="minorHAnsi" w:hAnsiTheme="minorHAnsi"/>
      <w:sz w:val="22"/>
      <w:szCs w:val="22"/>
      <w:lang w:eastAsia="en-US"/>
    </w:rPr>
  </w:style>
  <w:style w:type="paragraph" w:customStyle="1" w:styleId="Bullet12">
    <w:name w:val="Bullet+12"/>
    <w:basedOn w:val="Bullet0"/>
    <w:next w:val="BodyText"/>
    <w:link w:val="Bullet12Char"/>
    <w:uiPriority w:val="2"/>
    <w:qFormat/>
    <w:rsid w:val="00F364E9"/>
    <w:pPr>
      <w:spacing w:after="240" w:line="240" w:lineRule="auto"/>
    </w:pPr>
    <w:rPr>
      <w:rFonts w:ascii="Calibri" w:eastAsia="Times New Roman" w:hAnsi="Calibri"/>
      <w:szCs w:val="24"/>
      <w:lang w:val="en-US"/>
    </w:rPr>
  </w:style>
  <w:style w:type="character" w:customStyle="1" w:styleId="Bullet12Char">
    <w:name w:val="Bullet+12 Char"/>
    <w:basedOn w:val="DefaultParagraphFont"/>
    <w:link w:val="Bullet12"/>
    <w:uiPriority w:val="2"/>
    <w:rsid w:val="00F364E9"/>
    <w:rPr>
      <w:rFonts w:ascii="Calibri" w:hAnsi="Calibri" w:cs="Arial"/>
      <w:sz w:val="22"/>
      <w:szCs w:val="24"/>
      <w:lang w:val="en-US" w:eastAsia="en-US"/>
    </w:rPr>
  </w:style>
  <w:style w:type="paragraph" w:customStyle="1" w:styleId="Tablebulletlist">
    <w:name w:val="Table bullet list"/>
    <w:basedOn w:val="Normal"/>
    <w:qFormat/>
    <w:rsid w:val="00F364E9"/>
    <w:pPr>
      <w:widowControl w:val="0"/>
      <w:numPr>
        <w:numId w:val="7"/>
      </w:numPr>
      <w:tabs>
        <w:tab w:val="left" w:pos="464"/>
      </w:tabs>
      <w:spacing w:before="34"/>
      <w:jc w:val="left"/>
    </w:pPr>
    <w:rPr>
      <w:rFonts w:asciiTheme="minorHAnsi" w:eastAsia="Calibri" w:hAnsiTheme="minorHAnsi" w:cs="Times New Roman"/>
      <w:sz w:val="18"/>
      <w:szCs w:val="18"/>
      <w:lang w:val="en-US"/>
    </w:rPr>
  </w:style>
  <w:style w:type="paragraph" w:styleId="BodyText">
    <w:name w:val="Body Text"/>
    <w:basedOn w:val="Normal"/>
    <w:link w:val="BodyTextChar"/>
    <w:semiHidden/>
    <w:unhideWhenUsed/>
    <w:rsid w:val="00F364E9"/>
    <w:pPr>
      <w:spacing w:after="120"/>
    </w:pPr>
  </w:style>
  <w:style w:type="character" w:customStyle="1" w:styleId="BodyTextChar">
    <w:name w:val="Body Text Char"/>
    <w:basedOn w:val="DefaultParagraphFont"/>
    <w:link w:val="BodyText"/>
    <w:semiHidden/>
    <w:rsid w:val="00F364E9"/>
    <w:rPr>
      <w:rFonts w:ascii="Calibri" w:hAnsi="Calibri" w:cs="Arial"/>
      <w:sz w:val="24"/>
      <w:szCs w:val="24"/>
    </w:rPr>
  </w:style>
  <w:style w:type="paragraph" w:customStyle="1" w:styleId="TableParagraph">
    <w:name w:val="Table Paragraph"/>
    <w:basedOn w:val="Normal"/>
    <w:uiPriority w:val="1"/>
    <w:qFormat/>
    <w:rsid w:val="00D07437"/>
    <w:pPr>
      <w:widowControl w:val="0"/>
      <w:autoSpaceDE w:val="0"/>
      <w:autoSpaceDN w:val="0"/>
      <w:jc w:val="left"/>
    </w:pPr>
    <w:rPr>
      <w:rFonts w:ascii="Arial" w:eastAsia="Arial" w:hAnsi="Arial"/>
      <w:sz w:val="22"/>
      <w:szCs w:val="22"/>
      <w:lang w:val="en-US" w:eastAsia="en-US"/>
    </w:rPr>
  </w:style>
  <w:style w:type="paragraph" w:customStyle="1" w:styleId="TableFooter">
    <w:name w:val="Table Footer"/>
    <w:basedOn w:val="Normal"/>
    <w:link w:val="TableFooterChar"/>
    <w:qFormat/>
    <w:rsid w:val="00586B0D"/>
    <w:pPr>
      <w:widowControl w:val="0"/>
    </w:pPr>
    <w:rPr>
      <w:rFonts w:ascii="Arial Narrow" w:hAnsi="Arial Narrow"/>
      <w:snapToGrid w:val="0"/>
      <w:sz w:val="18"/>
      <w:szCs w:val="22"/>
      <w:lang w:eastAsia="en-US"/>
    </w:rPr>
  </w:style>
  <w:style w:type="character" w:customStyle="1" w:styleId="TableFooterChar">
    <w:name w:val="Table Footer Char"/>
    <w:link w:val="TableFooter"/>
    <w:rsid w:val="00586B0D"/>
    <w:rPr>
      <w:rFonts w:ascii="Arial Narrow" w:hAnsi="Arial Narrow" w:cs="Arial"/>
      <w:snapToGrid w:val="0"/>
      <w:sz w:val="18"/>
      <w:szCs w:val="22"/>
      <w:lang w:eastAsia="en-US"/>
    </w:rPr>
  </w:style>
  <w:style w:type="paragraph" w:customStyle="1" w:styleId="Tabletext0">
    <w:name w:val="Table text"/>
    <w:basedOn w:val="Normal"/>
    <w:link w:val="TabletextChar0"/>
    <w:uiPriority w:val="99"/>
    <w:qFormat/>
    <w:rsid w:val="00ED110A"/>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ED110A"/>
    <w:rPr>
      <w:rFonts w:ascii="Arial Narrow" w:hAnsi="Arial Narrow"/>
      <w:szCs w:val="22"/>
      <w:lang w:eastAsia="en-US"/>
    </w:rPr>
  </w:style>
  <w:style w:type="paragraph" w:styleId="Caption">
    <w:name w:val="caption"/>
    <w:basedOn w:val="TableFigureCaption"/>
    <w:next w:val="Normal"/>
    <w:unhideWhenUsed/>
    <w:rsid w:val="002D7D3A"/>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Styl moj Char,Akapit z listą1 Char"/>
    <w:basedOn w:val="DefaultParagraphFont"/>
    <w:link w:val="ListParagraph"/>
    <w:uiPriority w:val="34"/>
    <w:qFormat/>
    <w:locked/>
    <w:rsid w:val="002D0D68"/>
    <w:rPr>
      <w:rFonts w:ascii="Calibri" w:hAnsi="Calibri" w:cs="Arial"/>
      <w:sz w:val="24"/>
      <w:szCs w:val="24"/>
    </w:rPr>
  </w:style>
  <w:style w:type="paragraph" w:customStyle="1" w:styleId="PBACHeading1">
    <w:name w:val="PBAC Heading 1"/>
    <w:qFormat/>
    <w:rsid w:val="00A05B02"/>
    <w:pPr>
      <w:ind w:left="720" w:hanging="720"/>
      <w:outlineLvl w:val="0"/>
    </w:pPr>
    <w:rPr>
      <w:rFonts w:ascii="Calibri" w:hAnsi="Calibri" w:cs="Calibri"/>
      <w:b/>
      <w:snapToGrid w:val="0"/>
      <w:sz w:val="32"/>
      <w:szCs w:val="32"/>
      <w:lang w:eastAsia="en-US"/>
    </w:rPr>
  </w:style>
  <w:style w:type="paragraph" w:customStyle="1" w:styleId="3-BodyText">
    <w:name w:val="3-Body Text"/>
    <w:basedOn w:val="ListParagraph"/>
    <w:link w:val="3-BodyTextChar"/>
    <w:qFormat/>
    <w:rsid w:val="00423F13"/>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423F13"/>
    <w:rPr>
      <w:rFonts w:asciiTheme="minorHAnsi" w:hAnsiTheme="minorHAnsi" w:cs="Arial"/>
      <w:snapToGrid w:val="0"/>
      <w:sz w:val="24"/>
      <w:szCs w:val="24"/>
    </w:rPr>
  </w:style>
  <w:style w:type="paragraph" w:styleId="FootnoteText">
    <w:name w:val="footnote text"/>
    <w:basedOn w:val="Normal"/>
    <w:link w:val="FootnoteTextChar"/>
    <w:semiHidden/>
    <w:unhideWhenUsed/>
    <w:rsid w:val="00583B86"/>
    <w:rPr>
      <w:sz w:val="20"/>
      <w:szCs w:val="20"/>
    </w:rPr>
  </w:style>
  <w:style w:type="character" w:customStyle="1" w:styleId="FootnoteTextChar">
    <w:name w:val="Footnote Text Char"/>
    <w:basedOn w:val="DefaultParagraphFont"/>
    <w:link w:val="FootnoteText"/>
    <w:semiHidden/>
    <w:rsid w:val="00583B86"/>
    <w:rPr>
      <w:rFonts w:ascii="Calibri" w:hAnsi="Calibri" w:cs="Arial"/>
    </w:rPr>
  </w:style>
  <w:style w:type="character" w:styleId="FootnoteReference">
    <w:name w:val="footnote reference"/>
    <w:basedOn w:val="DefaultParagraphFont"/>
    <w:semiHidden/>
    <w:unhideWhenUsed/>
    <w:rsid w:val="00583B86"/>
    <w:rPr>
      <w:vertAlign w:val="superscript"/>
    </w:rPr>
  </w:style>
  <w:style w:type="paragraph" w:customStyle="1" w:styleId="EndNoteBibliography">
    <w:name w:val="EndNote Bibliography"/>
    <w:basedOn w:val="Normal"/>
    <w:link w:val="EndNoteBibliographyChar"/>
    <w:rsid w:val="00583B86"/>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583B86"/>
    <w:rPr>
      <w:rFonts w:ascii="Calibri" w:eastAsiaTheme="minorHAnsi" w:hAnsi="Calibri" w:cs="Calibri"/>
      <w:noProof/>
      <w:sz w:val="22"/>
      <w:szCs w:val="22"/>
      <w:lang w:val="en-US" w:eastAsia="en-US"/>
    </w:rPr>
  </w:style>
  <w:style w:type="paragraph" w:styleId="NoSpacing">
    <w:name w:val="No Spacing"/>
    <w:uiPriority w:val="1"/>
    <w:qFormat/>
    <w:rsid w:val="00934577"/>
    <w:rPr>
      <w:sz w:val="24"/>
      <w:szCs w:val="24"/>
      <w:lang w:eastAsia="en-US"/>
    </w:rPr>
  </w:style>
  <w:style w:type="paragraph" w:styleId="NormalWeb">
    <w:name w:val="Normal (Web)"/>
    <w:basedOn w:val="Normal"/>
    <w:uiPriority w:val="99"/>
    <w:semiHidden/>
    <w:unhideWhenUsed/>
    <w:rsid w:val="00135F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457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91125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65535353">
      <w:bodyDiv w:val="1"/>
      <w:marLeft w:val="0"/>
      <w:marRight w:val="0"/>
      <w:marTop w:val="0"/>
      <w:marBottom w:val="0"/>
      <w:divBdr>
        <w:top w:val="none" w:sz="0" w:space="0" w:color="auto"/>
        <w:left w:val="none" w:sz="0" w:space="0" w:color="auto"/>
        <w:bottom w:val="none" w:sz="0" w:space="0" w:color="auto"/>
        <w:right w:val="none" w:sz="0" w:space="0" w:color="auto"/>
      </w:divBdr>
      <w:divsChild>
        <w:div w:id="1916544611">
          <w:marLeft w:val="360"/>
          <w:marRight w:val="0"/>
          <w:marTop w:val="200"/>
          <w:marBottom w:val="0"/>
          <w:divBdr>
            <w:top w:val="none" w:sz="0" w:space="0" w:color="auto"/>
            <w:left w:val="none" w:sz="0" w:space="0" w:color="auto"/>
            <w:bottom w:val="none" w:sz="0" w:space="0" w:color="auto"/>
            <w:right w:val="none" w:sz="0" w:space="0" w:color="auto"/>
          </w:divBdr>
        </w:div>
      </w:divsChild>
    </w:div>
    <w:div w:id="973291541">
      <w:bodyDiv w:val="1"/>
      <w:marLeft w:val="0"/>
      <w:marRight w:val="0"/>
      <w:marTop w:val="0"/>
      <w:marBottom w:val="0"/>
      <w:divBdr>
        <w:top w:val="none" w:sz="0" w:space="0" w:color="auto"/>
        <w:left w:val="none" w:sz="0" w:space="0" w:color="auto"/>
        <w:bottom w:val="none" w:sz="0" w:space="0" w:color="auto"/>
        <w:right w:val="none" w:sz="0" w:space="0" w:color="auto"/>
      </w:divBdr>
      <w:divsChild>
        <w:div w:id="1484422121">
          <w:marLeft w:val="360"/>
          <w:marRight w:val="0"/>
          <w:marTop w:val="200"/>
          <w:marBottom w:val="0"/>
          <w:divBdr>
            <w:top w:val="none" w:sz="0" w:space="0" w:color="auto"/>
            <w:left w:val="none" w:sz="0" w:space="0" w:color="auto"/>
            <w:bottom w:val="none" w:sz="0" w:space="0" w:color="auto"/>
            <w:right w:val="none" w:sz="0" w:space="0" w:color="auto"/>
          </w:divBdr>
        </w:div>
      </w:divsChild>
    </w:div>
    <w:div w:id="1084104287">
      <w:bodyDiv w:val="1"/>
      <w:marLeft w:val="0"/>
      <w:marRight w:val="0"/>
      <w:marTop w:val="0"/>
      <w:marBottom w:val="0"/>
      <w:divBdr>
        <w:top w:val="none" w:sz="0" w:space="0" w:color="auto"/>
        <w:left w:val="none" w:sz="0" w:space="0" w:color="auto"/>
        <w:bottom w:val="none" w:sz="0" w:space="0" w:color="auto"/>
        <w:right w:val="none" w:sz="0" w:space="0" w:color="auto"/>
      </w:divBdr>
      <w:divsChild>
        <w:div w:id="1008293392">
          <w:marLeft w:val="360"/>
          <w:marRight w:val="0"/>
          <w:marTop w:val="200"/>
          <w:marBottom w:val="0"/>
          <w:divBdr>
            <w:top w:val="none" w:sz="0" w:space="0" w:color="auto"/>
            <w:left w:val="none" w:sz="0" w:space="0" w:color="auto"/>
            <w:bottom w:val="none" w:sz="0" w:space="0" w:color="auto"/>
            <w:right w:val="none" w:sz="0" w:space="0" w:color="auto"/>
          </w:divBdr>
        </w:div>
      </w:divsChild>
    </w:div>
    <w:div w:id="115587496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4404">
      <w:bodyDiv w:val="1"/>
      <w:marLeft w:val="0"/>
      <w:marRight w:val="0"/>
      <w:marTop w:val="0"/>
      <w:marBottom w:val="0"/>
      <w:divBdr>
        <w:top w:val="none" w:sz="0" w:space="0" w:color="auto"/>
        <w:left w:val="none" w:sz="0" w:space="0" w:color="auto"/>
        <w:bottom w:val="none" w:sz="0" w:space="0" w:color="auto"/>
        <w:right w:val="none" w:sz="0" w:space="0" w:color="auto"/>
      </w:divBdr>
      <w:divsChild>
        <w:div w:id="1280530971">
          <w:marLeft w:val="360"/>
          <w:marRight w:val="0"/>
          <w:marTop w:val="200"/>
          <w:marBottom w:val="0"/>
          <w:divBdr>
            <w:top w:val="none" w:sz="0" w:space="0" w:color="auto"/>
            <w:left w:val="none" w:sz="0" w:space="0" w:color="auto"/>
            <w:bottom w:val="none" w:sz="0" w:space="0" w:color="auto"/>
            <w:right w:val="none" w:sz="0" w:space="0" w:color="auto"/>
          </w:divBdr>
        </w:div>
      </w:divsChild>
    </w:div>
    <w:div w:id="1580335309">
      <w:bodyDiv w:val="1"/>
      <w:marLeft w:val="0"/>
      <w:marRight w:val="0"/>
      <w:marTop w:val="0"/>
      <w:marBottom w:val="0"/>
      <w:divBdr>
        <w:top w:val="none" w:sz="0" w:space="0" w:color="auto"/>
        <w:left w:val="none" w:sz="0" w:space="0" w:color="auto"/>
        <w:bottom w:val="none" w:sz="0" w:space="0" w:color="auto"/>
        <w:right w:val="none" w:sz="0" w:space="0" w:color="auto"/>
      </w:divBdr>
    </w:div>
    <w:div w:id="1675523902">
      <w:bodyDiv w:val="1"/>
      <w:marLeft w:val="0"/>
      <w:marRight w:val="0"/>
      <w:marTop w:val="0"/>
      <w:marBottom w:val="0"/>
      <w:divBdr>
        <w:top w:val="none" w:sz="0" w:space="0" w:color="auto"/>
        <w:left w:val="none" w:sz="0" w:space="0" w:color="auto"/>
        <w:bottom w:val="none" w:sz="0" w:space="0" w:color="auto"/>
        <w:right w:val="none" w:sz="0" w:space="0" w:color="auto"/>
      </w:divBdr>
      <w:divsChild>
        <w:div w:id="249508613">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E09B-695B-4D84-BC52-042B7558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18136</Words>
  <Characters>103768</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2022-06-30T06:39:00Z</dcterms:created>
  <dcterms:modified xsi:type="dcterms:W3CDTF">2022-06-30T06:39:00Z</dcterms:modified>
</cp:coreProperties>
</file>